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720"/>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09"/>
        <w:gridCol w:w="5090"/>
      </w:tblGrid>
      <w:tr w:rsidR="00E80303" w:rsidRPr="00A27310">
        <w:trPr>
          <w:cantSplit/>
        </w:trPr>
        <w:tc>
          <w:tcPr>
            <w:tcW w:w="9999" w:type="dxa"/>
            <w:gridSpan w:val="2"/>
            <w:tcBorders>
              <w:top w:val="nil"/>
              <w:left w:val="nil"/>
              <w:bottom w:val="nil"/>
              <w:right w:val="nil"/>
            </w:tcBorders>
            <w:shd w:val="clear" w:color="auto" w:fill="auto"/>
          </w:tcPr>
          <w:p w:rsidR="00E80303" w:rsidRPr="00A27310" w:rsidRDefault="00C46A9E" w:rsidP="00510C77">
            <w:pPr>
              <w:jc w:val="center"/>
            </w:pPr>
            <w:r>
              <w:rPr>
                <w:noProof/>
              </w:rPr>
              <w:drawing>
                <wp:inline distT="0" distB="0" distL="0" distR="0">
                  <wp:extent cx="569595" cy="724535"/>
                  <wp:effectExtent l="19050" t="0" r="1905" b="0"/>
                  <wp:docPr id="1" name="Рисунок 1" descr="Изображение Герба Волгоградской области для бла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Герба Волгоградской области для бланков"/>
                          <pic:cNvPicPr>
                            <a:picLocks noChangeAspect="1" noChangeArrowheads="1"/>
                          </pic:cNvPicPr>
                        </pic:nvPicPr>
                        <pic:blipFill>
                          <a:blip r:embed="rId7" cstate="print"/>
                          <a:srcRect/>
                          <a:stretch>
                            <a:fillRect/>
                          </a:stretch>
                        </pic:blipFill>
                        <pic:spPr bwMode="auto">
                          <a:xfrm>
                            <a:off x="0" y="0"/>
                            <a:ext cx="569595" cy="724535"/>
                          </a:xfrm>
                          <a:prstGeom prst="rect">
                            <a:avLst/>
                          </a:prstGeom>
                          <a:noFill/>
                          <a:ln w="9525">
                            <a:noFill/>
                            <a:miter lim="800000"/>
                            <a:headEnd/>
                            <a:tailEnd/>
                          </a:ln>
                        </pic:spPr>
                      </pic:pic>
                    </a:graphicData>
                  </a:graphic>
                </wp:inline>
              </w:drawing>
            </w:r>
          </w:p>
        </w:tc>
      </w:tr>
      <w:tr w:rsidR="00E80303" w:rsidRPr="00A27310">
        <w:trPr>
          <w:cantSplit/>
          <w:trHeight w:val="401"/>
        </w:trPr>
        <w:tc>
          <w:tcPr>
            <w:tcW w:w="9999" w:type="dxa"/>
            <w:gridSpan w:val="2"/>
            <w:tcBorders>
              <w:top w:val="nil"/>
              <w:left w:val="nil"/>
              <w:bottom w:val="nil"/>
              <w:right w:val="nil"/>
            </w:tcBorders>
            <w:shd w:val="clear" w:color="auto" w:fill="auto"/>
          </w:tcPr>
          <w:p w:rsidR="00E80303" w:rsidRPr="00A27310" w:rsidRDefault="00E80303" w:rsidP="00510C77">
            <w:pPr>
              <w:pStyle w:val="21"/>
              <w:rPr>
                <w:sz w:val="24"/>
                <w:szCs w:val="24"/>
              </w:rPr>
            </w:pPr>
            <w:r w:rsidRPr="00A27310">
              <w:rPr>
                <w:sz w:val="24"/>
                <w:szCs w:val="24"/>
              </w:rPr>
              <w:t>КОНТРОЛЬНО-СЧЕТНАЯ ПАЛАТА Волгоградской области</w:t>
            </w:r>
          </w:p>
        </w:tc>
      </w:tr>
      <w:tr w:rsidR="00E80303" w:rsidRPr="00A27310">
        <w:trPr>
          <w:cantSplit/>
        </w:trPr>
        <w:tc>
          <w:tcPr>
            <w:tcW w:w="9999" w:type="dxa"/>
            <w:gridSpan w:val="2"/>
            <w:tcBorders>
              <w:top w:val="nil"/>
              <w:left w:val="nil"/>
              <w:bottom w:val="thinThickSmallGap" w:sz="18" w:space="0" w:color="auto"/>
              <w:right w:val="nil"/>
            </w:tcBorders>
            <w:shd w:val="clear" w:color="auto" w:fill="auto"/>
          </w:tcPr>
          <w:p w:rsidR="00E80303" w:rsidRPr="00A27310" w:rsidRDefault="00E80303" w:rsidP="00510C77">
            <w:pPr>
              <w:jc w:val="both"/>
            </w:pPr>
          </w:p>
        </w:tc>
      </w:tr>
      <w:tr w:rsidR="00E80303" w:rsidRPr="00A27310">
        <w:tc>
          <w:tcPr>
            <w:tcW w:w="4909" w:type="dxa"/>
            <w:tcBorders>
              <w:top w:val="thinThickSmallGap" w:sz="18" w:space="0" w:color="auto"/>
              <w:left w:val="nil"/>
              <w:bottom w:val="nil"/>
              <w:right w:val="nil"/>
            </w:tcBorders>
            <w:shd w:val="clear" w:color="auto" w:fill="auto"/>
          </w:tcPr>
          <w:p w:rsidR="00E80303" w:rsidRPr="00A27310" w:rsidRDefault="000A74FB" w:rsidP="00280B37">
            <w:pPr>
              <w:pStyle w:val="12"/>
              <w:rPr>
                <w:szCs w:val="24"/>
              </w:rPr>
            </w:pPr>
            <w:r>
              <w:rPr>
                <w:szCs w:val="24"/>
              </w:rPr>
              <w:t>№ 01КСП-02-02/</w:t>
            </w:r>
            <w:r w:rsidR="00163205">
              <w:rPr>
                <w:szCs w:val="24"/>
              </w:rPr>
              <w:t>162</w:t>
            </w:r>
          </w:p>
        </w:tc>
        <w:tc>
          <w:tcPr>
            <w:tcW w:w="5090" w:type="dxa"/>
            <w:tcBorders>
              <w:top w:val="thinThickSmallGap" w:sz="18" w:space="0" w:color="auto"/>
              <w:left w:val="nil"/>
              <w:bottom w:val="nil"/>
              <w:right w:val="nil"/>
            </w:tcBorders>
            <w:shd w:val="clear" w:color="auto" w:fill="auto"/>
          </w:tcPr>
          <w:p w:rsidR="00E80303" w:rsidRPr="00A27310" w:rsidRDefault="00E80303" w:rsidP="00120F67">
            <w:pPr>
              <w:jc w:val="right"/>
            </w:pPr>
            <w:r w:rsidRPr="00A27310">
              <w:t>«</w:t>
            </w:r>
            <w:r w:rsidR="00EF4608">
              <w:t xml:space="preserve">  </w:t>
            </w:r>
            <w:r w:rsidR="00120F67">
              <w:t>21</w:t>
            </w:r>
            <w:r w:rsidR="00790AAC">
              <w:t xml:space="preserve"> </w:t>
            </w:r>
            <w:r w:rsidR="001939F2">
              <w:t xml:space="preserve"> </w:t>
            </w:r>
            <w:r w:rsidRPr="00A27310">
              <w:t>»</w:t>
            </w:r>
            <w:r w:rsidR="00CD122F" w:rsidRPr="00A27310">
              <w:t xml:space="preserve"> </w:t>
            </w:r>
            <w:r w:rsidR="006F2AB3">
              <w:t>ноя</w:t>
            </w:r>
            <w:r w:rsidR="00CD0086" w:rsidRPr="00A27310">
              <w:t>бря</w:t>
            </w:r>
            <w:r w:rsidRPr="00A27310">
              <w:t xml:space="preserve"> </w:t>
            </w:r>
            <w:r w:rsidR="00621582" w:rsidRPr="00A27310">
              <w:t xml:space="preserve"> </w:t>
            </w:r>
            <w:r w:rsidRPr="00A27310">
              <w:t>20</w:t>
            </w:r>
            <w:r w:rsidR="00CD122F" w:rsidRPr="00A27310">
              <w:t>1</w:t>
            </w:r>
            <w:r w:rsidR="00212143">
              <w:t>6</w:t>
            </w:r>
            <w:r w:rsidRPr="00A27310">
              <w:t xml:space="preserve"> г.</w:t>
            </w:r>
          </w:p>
        </w:tc>
      </w:tr>
    </w:tbl>
    <w:p w:rsidR="00E80303" w:rsidRDefault="00E80303" w:rsidP="00E80303">
      <w:pPr>
        <w:pStyle w:val="11"/>
        <w:jc w:val="center"/>
        <w:outlineLvl w:val="0"/>
        <w:rPr>
          <w:caps/>
          <w:sz w:val="24"/>
          <w:szCs w:val="24"/>
        </w:rPr>
      </w:pPr>
    </w:p>
    <w:p w:rsidR="00E80303" w:rsidRPr="00A27310" w:rsidRDefault="00E80303" w:rsidP="00E80303">
      <w:pPr>
        <w:pStyle w:val="11"/>
        <w:jc w:val="center"/>
        <w:outlineLvl w:val="0"/>
        <w:rPr>
          <w:b/>
          <w:i/>
          <w:caps/>
          <w:sz w:val="24"/>
          <w:szCs w:val="24"/>
        </w:rPr>
      </w:pPr>
      <w:bookmarkStart w:id="0" w:name="OLE_LINK2"/>
      <w:r w:rsidRPr="00A27310">
        <w:rPr>
          <w:b/>
          <w:i/>
          <w:caps/>
          <w:sz w:val="24"/>
          <w:szCs w:val="24"/>
        </w:rPr>
        <w:t>ЭКСПЕРТНОЕ  заКЛЮЧЕНИЕ</w:t>
      </w:r>
    </w:p>
    <w:p w:rsidR="00E80303" w:rsidRPr="00A27310" w:rsidRDefault="00E80303" w:rsidP="00E80303">
      <w:pPr>
        <w:pStyle w:val="11"/>
        <w:jc w:val="center"/>
        <w:rPr>
          <w:b/>
          <w:i/>
          <w:sz w:val="24"/>
          <w:szCs w:val="24"/>
        </w:rPr>
      </w:pPr>
      <w:r w:rsidRPr="00A27310">
        <w:rPr>
          <w:b/>
          <w:i/>
          <w:sz w:val="24"/>
          <w:szCs w:val="24"/>
        </w:rPr>
        <w:t>к проекту закона Волгоградской области «Об областном бюджете на 20</w:t>
      </w:r>
      <w:r w:rsidR="00F14706" w:rsidRPr="00A27310">
        <w:rPr>
          <w:b/>
          <w:i/>
          <w:sz w:val="24"/>
          <w:szCs w:val="24"/>
        </w:rPr>
        <w:t>1</w:t>
      </w:r>
      <w:r w:rsidR="00212143">
        <w:rPr>
          <w:b/>
          <w:i/>
          <w:sz w:val="24"/>
          <w:szCs w:val="24"/>
        </w:rPr>
        <w:t>7</w:t>
      </w:r>
      <w:r w:rsidRPr="00A27310">
        <w:rPr>
          <w:b/>
          <w:i/>
          <w:sz w:val="24"/>
          <w:szCs w:val="24"/>
        </w:rPr>
        <w:t xml:space="preserve"> год и на </w:t>
      </w:r>
      <w:r w:rsidR="00A84505" w:rsidRPr="00A27310">
        <w:rPr>
          <w:b/>
          <w:i/>
          <w:sz w:val="24"/>
          <w:szCs w:val="24"/>
        </w:rPr>
        <w:t xml:space="preserve">плановый </w:t>
      </w:r>
      <w:r w:rsidRPr="00A27310">
        <w:rPr>
          <w:b/>
          <w:i/>
          <w:sz w:val="24"/>
          <w:szCs w:val="24"/>
        </w:rPr>
        <w:t xml:space="preserve">период </w:t>
      </w:r>
      <w:r w:rsidR="00A84505" w:rsidRPr="00A27310">
        <w:rPr>
          <w:b/>
          <w:i/>
          <w:sz w:val="24"/>
          <w:szCs w:val="24"/>
        </w:rPr>
        <w:t>201</w:t>
      </w:r>
      <w:r w:rsidR="00212143">
        <w:rPr>
          <w:b/>
          <w:i/>
          <w:sz w:val="24"/>
          <w:szCs w:val="24"/>
        </w:rPr>
        <w:t>8</w:t>
      </w:r>
      <w:r w:rsidR="00A84505" w:rsidRPr="00A27310">
        <w:rPr>
          <w:b/>
          <w:i/>
          <w:sz w:val="24"/>
          <w:szCs w:val="24"/>
        </w:rPr>
        <w:t xml:space="preserve"> и</w:t>
      </w:r>
      <w:r w:rsidRPr="00A27310">
        <w:rPr>
          <w:b/>
          <w:i/>
          <w:sz w:val="24"/>
          <w:szCs w:val="24"/>
        </w:rPr>
        <w:t xml:space="preserve"> 201</w:t>
      </w:r>
      <w:r w:rsidR="00212143">
        <w:rPr>
          <w:b/>
          <w:i/>
          <w:sz w:val="24"/>
          <w:szCs w:val="24"/>
        </w:rPr>
        <w:t>9</w:t>
      </w:r>
      <w:r w:rsidRPr="00A27310">
        <w:rPr>
          <w:b/>
          <w:i/>
          <w:sz w:val="24"/>
          <w:szCs w:val="24"/>
        </w:rPr>
        <w:t xml:space="preserve"> год</w:t>
      </w:r>
      <w:r w:rsidR="00A84505" w:rsidRPr="00A27310">
        <w:rPr>
          <w:b/>
          <w:i/>
          <w:sz w:val="24"/>
          <w:szCs w:val="24"/>
        </w:rPr>
        <w:t>ов</w:t>
      </w:r>
      <w:r w:rsidRPr="00A27310">
        <w:rPr>
          <w:b/>
          <w:i/>
          <w:sz w:val="24"/>
          <w:szCs w:val="24"/>
        </w:rPr>
        <w:t>», представленному в Волгоградскую областную Думу</w:t>
      </w:r>
      <w:r w:rsidR="00A27310" w:rsidRPr="00A27310">
        <w:rPr>
          <w:b/>
          <w:i/>
          <w:sz w:val="24"/>
          <w:szCs w:val="24"/>
        </w:rPr>
        <w:t xml:space="preserve"> </w:t>
      </w:r>
      <w:r w:rsidRPr="00A27310">
        <w:rPr>
          <w:b/>
          <w:i/>
          <w:sz w:val="24"/>
          <w:szCs w:val="24"/>
        </w:rPr>
        <w:t>на первое чтение</w:t>
      </w:r>
      <w:bookmarkEnd w:id="0"/>
      <w:r w:rsidRPr="00A27310">
        <w:rPr>
          <w:b/>
          <w:i/>
          <w:sz w:val="24"/>
          <w:szCs w:val="24"/>
        </w:rPr>
        <w:t xml:space="preserve">. </w:t>
      </w:r>
    </w:p>
    <w:p w:rsidR="00E80303" w:rsidRPr="00A27310" w:rsidRDefault="00E80303" w:rsidP="00E80303">
      <w:pPr>
        <w:pStyle w:val="11"/>
        <w:jc w:val="center"/>
        <w:rPr>
          <w:b/>
          <w:sz w:val="24"/>
          <w:szCs w:val="24"/>
        </w:rPr>
      </w:pPr>
    </w:p>
    <w:p w:rsidR="00E80303" w:rsidRPr="00A27310" w:rsidRDefault="00E80303" w:rsidP="00E80303">
      <w:pPr>
        <w:pStyle w:val="3"/>
      </w:pPr>
      <w:r w:rsidRPr="00A27310">
        <w:t>Экспертное заключение на проект закона Волгоградской области «Об областном бюджете на 20</w:t>
      </w:r>
      <w:r w:rsidR="00F14706" w:rsidRPr="00A27310">
        <w:t>1</w:t>
      </w:r>
      <w:r w:rsidR="00212143">
        <w:t>7</w:t>
      </w:r>
      <w:r w:rsidRPr="00A27310">
        <w:t xml:space="preserve"> год и на</w:t>
      </w:r>
      <w:r w:rsidR="00B04C08" w:rsidRPr="00A27310">
        <w:t xml:space="preserve"> плановый период</w:t>
      </w:r>
      <w:r w:rsidRPr="00A27310">
        <w:t xml:space="preserve"> 201</w:t>
      </w:r>
      <w:r w:rsidR="00212143">
        <w:t>8</w:t>
      </w:r>
      <w:r w:rsidR="00B04C08" w:rsidRPr="00A27310">
        <w:t xml:space="preserve"> и 201</w:t>
      </w:r>
      <w:r w:rsidR="00212143">
        <w:t>9</w:t>
      </w:r>
      <w:r w:rsidR="00B04C08" w:rsidRPr="00A27310">
        <w:t xml:space="preserve"> </w:t>
      </w:r>
      <w:r w:rsidRPr="00A27310">
        <w:t>год</w:t>
      </w:r>
      <w:r w:rsidR="00B04C08" w:rsidRPr="00A27310">
        <w:t>ов</w:t>
      </w:r>
      <w:r w:rsidRPr="00A27310">
        <w:t xml:space="preserve">» подготовлено с учетом требований Бюджетного кодекса РФ, </w:t>
      </w:r>
      <w:r w:rsidR="00387CD9" w:rsidRPr="00A27310">
        <w:t>З</w:t>
      </w:r>
      <w:r w:rsidRPr="00A27310">
        <w:t xml:space="preserve">аконов Волгоградской области </w:t>
      </w:r>
      <w:r w:rsidR="00387CD9" w:rsidRPr="00A27310">
        <w:t xml:space="preserve">от 11.06.2008 №1694-ОД </w:t>
      </w:r>
      <w:r w:rsidRPr="00A27310">
        <w:t xml:space="preserve">«О бюджетном процессе в Волгоградской области» и </w:t>
      </w:r>
      <w:r w:rsidR="00387CD9" w:rsidRPr="00A27310">
        <w:t xml:space="preserve">от 17.12.1999 №344-ОД </w:t>
      </w:r>
      <w:r w:rsidRPr="00A27310">
        <w:t xml:space="preserve">«О контрольно-счетной палате Волгоградской области». </w:t>
      </w:r>
    </w:p>
    <w:p w:rsidR="00514C8C" w:rsidRPr="007753D5" w:rsidRDefault="00514C8C" w:rsidP="00514C8C">
      <w:pPr>
        <w:pStyle w:val="11"/>
        <w:ind w:firstLine="708"/>
        <w:jc w:val="both"/>
        <w:rPr>
          <w:sz w:val="24"/>
          <w:szCs w:val="24"/>
        </w:rPr>
      </w:pPr>
      <w:r w:rsidRPr="00A27310">
        <w:rPr>
          <w:sz w:val="24"/>
          <w:szCs w:val="24"/>
        </w:rPr>
        <w:t>Согласно статье 24 Закона Волгоградской области «О бюджетном процессе в Волгоградской области» при рассмотрении Волгоградской областной Думой проекта закона об областном бюджете на очередной финансовый год и плановый период в первом чтении обсуждаются его концепция</w:t>
      </w:r>
      <w:r w:rsidR="007753D5">
        <w:rPr>
          <w:sz w:val="24"/>
          <w:szCs w:val="24"/>
        </w:rPr>
        <w:t>,</w:t>
      </w:r>
      <w:r w:rsidRPr="00A27310">
        <w:rPr>
          <w:sz w:val="24"/>
          <w:szCs w:val="24"/>
        </w:rPr>
        <w:t xml:space="preserve"> прогноз социально-экономического развития</w:t>
      </w:r>
      <w:r w:rsidR="007753D5">
        <w:rPr>
          <w:sz w:val="24"/>
          <w:szCs w:val="24"/>
        </w:rPr>
        <w:t xml:space="preserve"> и </w:t>
      </w:r>
      <w:r w:rsidR="007753D5" w:rsidRPr="007753D5">
        <w:rPr>
          <w:sz w:val="24"/>
          <w:szCs w:val="24"/>
        </w:rPr>
        <w:t>о</w:t>
      </w:r>
      <w:r w:rsidR="007753D5" w:rsidRPr="007753D5">
        <w:rPr>
          <w:color w:val="000000"/>
          <w:spacing w:val="1"/>
          <w:sz w:val="24"/>
          <w:szCs w:val="24"/>
        </w:rPr>
        <w:t>сновные направления бюджетной и налоговой политики</w:t>
      </w:r>
      <w:r w:rsidRPr="007753D5">
        <w:rPr>
          <w:sz w:val="24"/>
          <w:szCs w:val="24"/>
        </w:rPr>
        <w:t>.</w:t>
      </w:r>
    </w:p>
    <w:p w:rsidR="00E80303" w:rsidRPr="00A27310" w:rsidRDefault="00E80303" w:rsidP="00E80303">
      <w:pPr>
        <w:pStyle w:val="3"/>
      </w:pPr>
    </w:p>
    <w:p w:rsidR="00E80303" w:rsidRPr="00A27310" w:rsidRDefault="00E80303" w:rsidP="00E80303">
      <w:pPr>
        <w:pStyle w:val="a5"/>
        <w:numPr>
          <w:ilvl w:val="0"/>
          <w:numId w:val="1"/>
        </w:numPr>
        <w:outlineLvl w:val="0"/>
        <w:rPr>
          <w:b/>
          <w:i/>
        </w:rPr>
      </w:pPr>
      <w:r w:rsidRPr="00A27310">
        <w:rPr>
          <w:b/>
          <w:i/>
        </w:rPr>
        <w:t>Концепция проекта закона Волгоградской области</w:t>
      </w:r>
    </w:p>
    <w:p w:rsidR="00E80303" w:rsidRPr="00A27310" w:rsidRDefault="00E80303" w:rsidP="00E80303">
      <w:pPr>
        <w:pStyle w:val="a5"/>
        <w:ind w:left="708"/>
        <w:outlineLvl w:val="0"/>
        <w:rPr>
          <w:b/>
          <w:i/>
        </w:rPr>
      </w:pPr>
      <w:r w:rsidRPr="00A27310">
        <w:rPr>
          <w:b/>
          <w:i/>
        </w:rPr>
        <w:t>об областном бюджете на 20</w:t>
      </w:r>
      <w:r w:rsidR="00F14706" w:rsidRPr="00A27310">
        <w:rPr>
          <w:b/>
          <w:i/>
        </w:rPr>
        <w:t>1</w:t>
      </w:r>
      <w:r w:rsidR="00212143">
        <w:rPr>
          <w:b/>
          <w:i/>
        </w:rPr>
        <w:t>7</w:t>
      </w:r>
      <w:r w:rsidRPr="00A27310">
        <w:rPr>
          <w:b/>
          <w:i/>
        </w:rPr>
        <w:t xml:space="preserve"> год и на </w:t>
      </w:r>
      <w:r w:rsidR="008D51AF" w:rsidRPr="00A27310">
        <w:rPr>
          <w:b/>
          <w:i/>
        </w:rPr>
        <w:t xml:space="preserve">плановый </w:t>
      </w:r>
      <w:r w:rsidRPr="00A27310">
        <w:rPr>
          <w:b/>
          <w:i/>
        </w:rPr>
        <w:t>период</w:t>
      </w:r>
      <w:r w:rsidR="008D51AF" w:rsidRPr="00A27310">
        <w:rPr>
          <w:b/>
          <w:i/>
        </w:rPr>
        <w:t xml:space="preserve"> 201</w:t>
      </w:r>
      <w:r w:rsidR="00212143">
        <w:rPr>
          <w:b/>
          <w:i/>
        </w:rPr>
        <w:t>8</w:t>
      </w:r>
      <w:r w:rsidR="008D51AF" w:rsidRPr="00A27310">
        <w:rPr>
          <w:b/>
          <w:i/>
        </w:rPr>
        <w:t xml:space="preserve"> и</w:t>
      </w:r>
      <w:r w:rsidRPr="00A27310">
        <w:rPr>
          <w:b/>
          <w:i/>
        </w:rPr>
        <w:t xml:space="preserve"> 201</w:t>
      </w:r>
      <w:r w:rsidR="00212143">
        <w:rPr>
          <w:b/>
          <w:i/>
        </w:rPr>
        <w:t>9</w:t>
      </w:r>
      <w:r w:rsidR="00A948BE" w:rsidRPr="00A27310">
        <w:rPr>
          <w:b/>
          <w:i/>
        </w:rPr>
        <w:t xml:space="preserve"> </w:t>
      </w:r>
      <w:r w:rsidRPr="00A27310">
        <w:rPr>
          <w:b/>
          <w:i/>
        </w:rPr>
        <w:t>год</w:t>
      </w:r>
      <w:r w:rsidR="008D51AF" w:rsidRPr="00A27310">
        <w:rPr>
          <w:b/>
          <w:i/>
        </w:rPr>
        <w:t>ов</w:t>
      </w:r>
      <w:r w:rsidR="00A948BE" w:rsidRPr="00A27310">
        <w:rPr>
          <w:b/>
          <w:i/>
        </w:rPr>
        <w:t>.</w:t>
      </w:r>
    </w:p>
    <w:p w:rsidR="00995A28" w:rsidRPr="00995A28" w:rsidRDefault="00995A28" w:rsidP="00995A28">
      <w:pPr>
        <w:keepNext/>
        <w:keepLines/>
        <w:tabs>
          <w:tab w:val="left" w:pos="4620"/>
        </w:tabs>
        <w:autoSpaceDE w:val="0"/>
        <w:autoSpaceDN w:val="0"/>
        <w:adjustRightInd w:val="0"/>
      </w:pPr>
      <w:r>
        <w:tab/>
      </w:r>
    </w:p>
    <w:p w:rsidR="00127F10" w:rsidRDefault="00127F10" w:rsidP="00F474FC">
      <w:pPr>
        <w:ind w:firstLine="709"/>
        <w:jc w:val="both"/>
      </w:pPr>
      <w:r w:rsidRPr="00DD2784">
        <w:t>Основной особенностью внесенного проекта областного бюджета на 2017 год и плановый период 2018 и 2019 годов является</w:t>
      </w:r>
      <w:r w:rsidRPr="002B1823">
        <w:rPr>
          <w:b/>
          <w:i/>
        </w:rPr>
        <w:t xml:space="preserve"> его </w:t>
      </w:r>
      <w:proofErr w:type="spellStart"/>
      <w:r w:rsidRPr="00633CE4">
        <w:rPr>
          <w:b/>
          <w:i/>
        </w:rPr>
        <w:t>бездефицитность</w:t>
      </w:r>
      <w:proofErr w:type="spellEnd"/>
      <w:r>
        <w:t xml:space="preserve">. </w:t>
      </w:r>
      <w:r w:rsidR="00902F90">
        <w:t xml:space="preserve">При этом объем расходов </w:t>
      </w:r>
      <w:r w:rsidR="00B20B66">
        <w:t xml:space="preserve">на 2017 год </w:t>
      </w:r>
      <w:r w:rsidR="00902F90">
        <w:t xml:space="preserve">предусмотрен в размере 73124,3 млн. руб., что на 10419,6 млн. руб. меньше ассигнований текущего года </w:t>
      </w:r>
      <w:r w:rsidR="00DD2784">
        <w:t>(</w:t>
      </w:r>
      <w:r w:rsidR="00902F90">
        <w:t>согласно сводной бюджетной росписи на 01.10.2016</w:t>
      </w:r>
      <w:r w:rsidR="00DD2784">
        <w:t>)</w:t>
      </w:r>
      <w:r w:rsidR="00902F90">
        <w:t>.</w:t>
      </w:r>
    </w:p>
    <w:p w:rsidR="00995A28" w:rsidRPr="003444BE" w:rsidRDefault="00995A28" w:rsidP="00995A28">
      <w:pPr>
        <w:ind w:firstLine="709"/>
        <w:jc w:val="both"/>
      </w:pPr>
      <w:r>
        <w:t>Основным</w:t>
      </w:r>
      <w:r w:rsidR="00DD2784">
        <w:t>и</w:t>
      </w:r>
      <w:r>
        <w:t xml:space="preserve"> направлени</w:t>
      </w:r>
      <w:r w:rsidR="00DD2784">
        <w:t>я</w:t>
      </w:r>
      <w:r>
        <w:t>м</w:t>
      </w:r>
      <w:r w:rsidR="00DD2784">
        <w:t>и</w:t>
      </w:r>
      <w:r>
        <w:t xml:space="preserve"> бюджетной политики Волгоградской области на 2017-2019 годы </w:t>
      </w:r>
      <w:r w:rsidR="00633CE4">
        <w:t>определено «</w:t>
      </w:r>
      <w:r w:rsidRPr="003E22EB">
        <w:t>безусловное выполнение всех социальных обязательств</w:t>
      </w:r>
      <w:r w:rsidR="00633CE4">
        <w:t>»</w:t>
      </w:r>
      <w:r w:rsidRPr="003E22EB">
        <w:t>.</w:t>
      </w:r>
      <w:r w:rsidR="00633CE4">
        <w:t xml:space="preserve"> </w:t>
      </w:r>
      <w:r>
        <w:t xml:space="preserve">Вместе с тем </w:t>
      </w:r>
      <w:r w:rsidRPr="003444BE">
        <w:t>расходы на социальную политику на 2017 год</w:t>
      </w:r>
      <w:r w:rsidRPr="00F474FC">
        <w:t xml:space="preserve"> </w:t>
      </w:r>
      <w:r>
        <w:t>(б</w:t>
      </w:r>
      <w:r w:rsidRPr="00F474FC">
        <w:t>ез учета расходов на уплату страховых взносов на обязательное медицинское страхование неработающего населения</w:t>
      </w:r>
      <w:r>
        <w:t xml:space="preserve">) </w:t>
      </w:r>
      <w:r w:rsidRPr="00F474FC">
        <w:t xml:space="preserve">предусмотрены </w:t>
      </w:r>
      <w:r w:rsidR="00633CE4">
        <w:t xml:space="preserve">внесенным </w:t>
      </w:r>
      <w:r w:rsidRPr="00F474FC">
        <w:t xml:space="preserve">законопроектом в размере 14093,7 млн. руб., что </w:t>
      </w:r>
      <w:r w:rsidRPr="003444BE">
        <w:t>на 3700,7 млн. руб. меньше аналогичных расходов 2016 года</w:t>
      </w:r>
      <w:r w:rsidR="00C935DF" w:rsidRPr="003444BE">
        <w:t>.</w:t>
      </w:r>
      <w:r w:rsidRPr="003444BE">
        <w:t xml:space="preserve"> </w:t>
      </w:r>
    </w:p>
    <w:p w:rsidR="00F474FC" w:rsidRPr="00F474FC" w:rsidRDefault="00995A28" w:rsidP="00F474FC">
      <w:pPr>
        <w:ind w:firstLine="709"/>
        <w:jc w:val="both"/>
      </w:pPr>
      <w:r>
        <w:t xml:space="preserve"> </w:t>
      </w:r>
      <w:r w:rsidR="00C935DF">
        <w:t xml:space="preserve">С 01.07.2016 вступил в силу Социальный кодекс Волгоградской области. </w:t>
      </w:r>
      <w:r w:rsidR="00F474FC" w:rsidRPr="00F474FC">
        <w:t xml:space="preserve">Согласно информации комитета социальной защиты населения Волгоградской области потребность в ассигнованиях на предоставление в 2017 году отдельных мер социальной помощи и поддержки в связи с принятием Социального кодекса уменьшилась на 1418,3 млн. руб. в результате реализации предложений КСП по применению принципов </w:t>
      </w:r>
      <w:proofErr w:type="spellStart"/>
      <w:r w:rsidR="00F474FC" w:rsidRPr="00F474FC">
        <w:t>адресности</w:t>
      </w:r>
      <w:proofErr w:type="spellEnd"/>
      <w:r w:rsidR="00F474FC" w:rsidRPr="00F474FC">
        <w:t xml:space="preserve"> и нуждаемости при их </w:t>
      </w:r>
      <w:r w:rsidR="003E22EB">
        <w:t>назначении</w:t>
      </w:r>
      <w:r w:rsidR="00F474FC" w:rsidRPr="00F474FC">
        <w:t xml:space="preserve">.  </w:t>
      </w:r>
    </w:p>
    <w:p w:rsidR="00995A28" w:rsidRDefault="00633CE4" w:rsidP="003F000D">
      <w:pPr>
        <w:ind w:firstLine="709"/>
        <w:jc w:val="both"/>
      </w:pPr>
      <w:r>
        <w:t xml:space="preserve">В то же время </w:t>
      </w:r>
      <w:r w:rsidRPr="00633CE4">
        <w:rPr>
          <w:b/>
          <w:i/>
        </w:rPr>
        <w:t>н</w:t>
      </w:r>
      <w:r w:rsidR="00073DDF" w:rsidRPr="00633CE4">
        <w:rPr>
          <w:b/>
          <w:i/>
        </w:rPr>
        <w:t>е</w:t>
      </w:r>
      <w:r w:rsidR="00073DDF" w:rsidRPr="003444BE">
        <w:rPr>
          <w:b/>
          <w:i/>
        </w:rPr>
        <w:t>достато</w:t>
      </w:r>
      <w:r w:rsidR="003444BE">
        <w:rPr>
          <w:b/>
          <w:i/>
        </w:rPr>
        <w:t>чность</w:t>
      </w:r>
      <w:r w:rsidR="00073DDF" w:rsidRPr="003444BE">
        <w:rPr>
          <w:b/>
          <w:i/>
        </w:rPr>
        <w:t xml:space="preserve"> бюджетных ассигнований на социальные выплаты и пособия является концептуальным недостатком внесенного проекта</w:t>
      </w:r>
      <w:r w:rsidR="003444BE">
        <w:t>, который</w:t>
      </w:r>
      <w:r w:rsidR="00073DDF">
        <w:t xml:space="preserve"> должен быть устранен в процессе исполнения областного бюджета в 2017 году за счет мобилизации дополнительных доходов и оптимизационных мероприятий по расходам.</w:t>
      </w:r>
    </w:p>
    <w:p w:rsidR="003F000D" w:rsidRDefault="003F000D" w:rsidP="003F000D">
      <w:pPr>
        <w:ind w:firstLine="709"/>
        <w:jc w:val="both"/>
      </w:pPr>
      <w:proofErr w:type="gramStart"/>
      <w:r>
        <w:t>П</w:t>
      </w:r>
      <w:r w:rsidRPr="006A6DD7">
        <w:t xml:space="preserve">редусмотренный законопроектом </w:t>
      </w:r>
      <w:r w:rsidRPr="006F33E4">
        <w:t>объем субвенци</w:t>
      </w:r>
      <w:r w:rsidR="006D2038" w:rsidRPr="006F33E4">
        <w:t>й</w:t>
      </w:r>
      <w:r w:rsidRPr="006F33E4">
        <w:t xml:space="preserve"> на финансовое обеспечение образовательного процесса </w:t>
      </w:r>
      <w:r w:rsidRPr="006A6DD7">
        <w:t xml:space="preserve">в муниципальных образовательных организациях </w:t>
      </w:r>
      <w:r w:rsidR="00B91343">
        <w:t xml:space="preserve">в размере 9887,7 млн. руб. </w:t>
      </w:r>
      <w:r w:rsidRPr="006F33E4">
        <w:t xml:space="preserve">на 1995 млн. руб., или </w:t>
      </w:r>
      <w:r w:rsidR="006D2038" w:rsidRPr="006F33E4">
        <w:t xml:space="preserve">на </w:t>
      </w:r>
      <w:r w:rsidRPr="006F33E4">
        <w:t>16% меньше ассигнований на эти цели на 2016 год</w:t>
      </w:r>
      <w:r>
        <w:t xml:space="preserve"> (</w:t>
      </w:r>
      <w:r w:rsidR="006D2038">
        <w:t xml:space="preserve">согласно бюджетной росписи </w:t>
      </w:r>
      <w:r>
        <w:t>на 01.10.2016 - 11882,7 млн. руб.), в том числе</w:t>
      </w:r>
      <w:r w:rsidR="006D2038">
        <w:t xml:space="preserve"> </w:t>
      </w:r>
      <w:r w:rsidRPr="006A6DD7">
        <w:t xml:space="preserve">в </w:t>
      </w:r>
      <w:r>
        <w:t>дошкольных</w:t>
      </w:r>
      <w:r w:rsidRPr="006A6DD7">
        <w:t xml:space="preserve"> организациях</w:t>
      </w:r>
      <w:r>
        <w:t xml:space="preserve"> - на 43</w:t>
      </w:r>
      <w:r w:rsidR="00B91343">
        <w:t>3</w:t>
      </w:r>
      <w:r>
        <w:t xml:space="preserve"> млн. руб., или </w:t>
      </w:r>
      <w:r w:rsidR="00B91343">
        <w:t xml:space="preserve">на </w:t>
      </w:r>
      <w:r>
        <w:t>13,1%</w:t>
      </w:r>
      <w:r w:rsidR="006D2038">
        <w:t xml:space="preserve">, </w:t>
      </w:r>
      <w:r>
        <w:t xml:space="preserve">в </w:t>
      </w:r>
      <w:r w:rsidRPr="006A6DD7">
        <w:t>об</w:t>
      </w:r>
      <w:r>
        <w:t>щеоб</w:t>
      </w:r>
      <w:r w:rsidRPr="006A6DD7">
        <w:t>разовательных организациях</w:t>
      </w:r>
      <w:r>
        <w:t xml:space="preserve"> - на 1562 млн</w:t>
      </w:r>
      <w:proofErr w:type="gramEnd"/>
      <w:r>
        <w:t xml:space="preserve">. руб., или </w:t>
      </w:r>
      <w:r w:rsidR="00B91343">
        <w:t xml:space="preserve">на </w:t>
      </w:r>
      <w:r>
        <w:t>18,2</w:t>
      </w:r>
      <w:r w:rsidR="006D2038">
        <w:t xml:space="preserve"> процента</w:t>
      </w:r>
      <w:r>
        <w:t>.</w:t>
      </w:r>
    </w:p>
    <w:p w:rsidR="003F000D" w:rsidRDefault="003F000D" w:rsidP="003F000D">
      <w:pPr>
        <w:ind w:firstLine="709"/>
        <w:jc w:val="both"/>
      </w:pPr>
      <w:r w:rsidRPr="00FE2867">
        <w:lastRenderedPageBreak/>
        <w:t>Такой объем средств позволит сохранить достигнутый в первом полугодии 2016 года уровень средней заработной платы педагогических работников</w:t>
      </w:r>
      <w:r>
        <w:t xml:space="preserve"> дошкольных (22,2 тыс. руб.) и </w:t>
      </w:r>
      <w:r w:rsidR="003444BE">
        <w:t>обще</w:t>
      </w:r>
      <w:r>
        <w:t xml:space="preserve">образовательных организаций (29,2 тыс. руб.) </w:t>
      </w:r>
      <w:r w:rsidRPr="00FE2867">
        <w:t xml:space="preserve">при </w:t>
      </w:r>
      <w:r>
        <w:t xml:space="preserve">использовании </w:t>
      </w:r>
      <w:r w:rsidRPr="00FE2867">
        <w:t xml:space="preserve"> </w:t>
      </w:r>
      <w:r w:rsidR="003444BE">
        <w:t xml:space="preserve">запланированных </w:t>
      </w:r>
      <w:r w:rsidRPr="00FE2867">
        <w:t xml:space="preserve">средств субвенции </w:t>
      </w:r>
      <w:r>
        <w:t xml:space="preserve">только в течение 10 месяцев. </w:t>
      </w:r>
      <w:proofErr w:type="gramStart"/>
      <w:r>
        <w:t xml:space="preserve">При этом </w:t>
      </w:r>
      <w:r w:rsidR="003444BE">
        <w:t xml:space="preserve">он </w:t>
      </w:r>
      <w:r>
        <w:t xml:space="preserve">не позволит </w:t>
      </w:r>
      <w:r w:rsidR="003444BE">
        <w:t xml:space="preserve">обеспечить </w:t>
      </w:r>
      <w:r>
        <w:t>соблюд</w:t>
      </w:r>
      <w:r w:rsidR="003444BE">
        <w:t>ение</w:t>
      </w:r>
      <w:r>
        <w:t xml:space="preserve"> нормативов финансового обеспечения, </w:t>
      </w:r>
      <w:r w:rsidRPr="00557594">
        <w:t>утвержденны</w:t>
      </w:r>
      <w:r w:rsidR="003444BE">
        <w:t>х в рамках реализации</w:t>
      </w:r>
      <w:r w:rsidRPr="00557594">
        <w:t xml:space="preserve"> Закон</w:t>
      </w:r>
      <w:r w:rsidR="003444BE">
        <w:t>а</w:t>
      </w:r>
      <w:r w:rsidRPr="00557594">
        <w:t xml:space="preserve"> Волгоградской области от 10.01.2014 №13-ОД «О методиках расчета субвенций, предоставляемых из областного бюджета бюджетам муниципальных образований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w:t>
      </w:r>
      <w:r>
        <w:t>овательных организациях, общедоступного и бесплатного дошкольного, начального общего, основного общего, среднего общего образования</w:t>
      </w:r>
      <w:proofErr w:type="gramEnd"/>
      <w:r>
        <w:t xml:space="preserve">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(далее Закон №13-ОД).</w:t>
      </w:r>
    </w:p>
    <w:p w:rsidR="003F000D" w:rsidRDefault="003F000D" w:rsidP="003F000D">
      <w:pPr>
        <w:ind w:firstLine="709"/>
        <w:jc w:val="both"/>
      </w:pPr>
      <w:proofErr w:type="gramStart"/>
      <w:r>
        <w:t>Р</w:t>
      </w:r>
      <w:r w:rsidRPr="00E14D28">
        <w:t>асчетный размер субвенции в соответствии с утвержденными нормативами финансового обеспечения</w:t>
      </w:r>
      <w:r>
        <w:t xml:space="preserve"> на 2017 год составляет 15157,3 млн. руб. (</w:t>
      </w:r>
      <w:r w:rsidRPr="006A6DD7">
        <w:t xml:space="preserve">в </w:t>
      </w:r>
      <w:r>
        <w:t>дошкольных</w:t>
      </w:r>
      <w:r w:rsidRPr="006A6DD7">
        <w:t xml:space="preserve"> организациях</w:t>
      </w:r>
      <w:r>
        <w:t xml:space="preserve"> - 4470,1 млн. руб., в </w:t>
      </w:r>
      <w:r w:rsidRPr="006A6DD7">
        <w:t>об</w:t>
      </w:r>
      <w:r>
        <w:t>щеоб</w:t>
      </w:r>
      <w:r w:rsidRPr="006A6DD7">
        <w:t>разовательных организациях</w:t>
      </w:r>
      <w:r>
        <w:t xml:space="preserve"> - 10687,2 млн. руб.), в том числе на оплату труда </w:t>
      </w:r>
      <w:r w:rsidR="003444BE">
        <w:t xml:space="preserve">- </w:t>
      </w:r>
      <w:r>
        <w:t>14228,1 млн</w:t>
      </w:r>
      <w:r w:rsidR="00A31A18">
        <w:t>. р</w:t>
      </w:r>
      <w:r>
        <w:t>уб. (</w:t>
      </w:r>
      <w:r w:rsidRPr="006A6DD7">
        <w:t xml:space="preserve">в </w:t>
      </w:r>
      <w:r>
        <w:t>дошкольных</w:t>
      </w:r>
      <w:r w:rsidRPr="006A6DD7">
        <w:t xml:space="preserve"> организациях</w:t>
      </w:r>
      <w:r>
        <w:t xml:space="preserve"> – 4292,5 млн. руб., в </w:t>
      </w:r>
      <w:r w:rsidRPr="006A6DD7">
        <w:t>об</w:t>
      </w:r>
      <w:r>
        <w:t>щеоб</w:t>
      </w:r>
      <w:r w:rsidRPr="006A6DD7">
        <w:t>разовательных организациях</w:t>
      </w:r>
      <w:r>
        <w:t xml:space="preserve"> – 9935,6 млн. руб.).</w:t>
      </w:r>
      <w:proofErr w:type="gramEnd"/>
    </w:p>
    <w:p w:rsidR="00F35D37" w:rsidRDefault="006F33E4" w:rsidP="00EA0FE0">
      <w:pPr>
        <w:pStyle w:val="Style6"/>
        <w:widowControl/>
        <w:spacing w:line="240" w:lineRule="auto"/>
        <w:ind w:firstLine="709"/>
      </w:pPr>
      <w:r w:rsidRPr="006F33E4">
        <w:rPr>
          <w:b/>
          <w:i/>
        </w:rPr>
        <w:t xml:space="preserve">Недостаточность ассигнований на финансовое обеспечение образовательного процесса является </w:t>
      </w:r>
      <w:r w:rsidR="00B20B66">
        <w:rPr>
          <w:b/>
          <w:i/>
        </w:rPr>
        <w:t xml:space="preserve">еще одним </w:t>
      </w:r>
      <w:r w:rsidRPr="006F33E4">
        <w:rPr>
          <w:b/>
          <w:i/>
        </w:rPr>
        <w:t>концептуальным недостатком внесенного законопроекта</w:t>
      </w:r>
      <w:r>
        <w:t xml:space="preserve">. </w:t>
      </w:r>
      <w:r w:rsidR="00481054">
        <w:t xml:space="preserve">Данный недостаток так же, как и в предыдущем случае, необходимо будет устранять в первоочередном порядке при получении дополнительных доходов либо при оптимизации (сокращении) бюджетных расходов. </w:t>
      </w:r>
    </w:p>
    <w:p w:rsidR="006F33E4" w:rsidRPr="00F474FC" w:rsidRDefault="006F33E4" w:rsidP="00EA0FE0">
      <w:pPr>
        <w:pStyle w:val="Style6"/>
        <w:widowControl/>
        <w:spacing w:line="240" w:lineRule="auto"/>
        <w:ind w:firstLine="709"/>
      </w:pPr>
    </w:p>
    <w:p w:rsidR="006A3F52" w:rsidRPr="00A27310" w:rsidRDefault="006A3F52" w:rsidP="006A3F52">
      <w:pPr>
        <w:pStyle w:val="a5"/>
        <w:numPr>
          <w:ilvl w:val="0"/>
          <w:numId w:val="1"/>
        </w:numPr>
        <w:outlineLvl w:val="0"/>
        <w:rPr>
          <w:b/>
          <w:i/>
        </w:rPr>
      </w:pPr>
      <w:r w:rsidRPr="00A27310">
        <w:rPr>
          <w:b/>
          <w:i/>
        </w:rPr>
        <w:t>Прогноз социально-экономического развития Волгоградской области</w:t>
      </w:r>
    </w:p>
    <w:p w:rsidR="006A3F52" w:rsidRDefault="006A3F52" w:rsidP="006A3F52">
      <w:pPr>
        <w:pStyle w:val="a5"/>
        <w:ind w:left="708"/>
        <w:outlineLvl w:val="0"/>
        <w:rPr>
          <w:b/>
          <w:i/>
        </w:rPr>
      </w:pPr>
      <w:r w:rsidRPr="00A27310">
        <w:rPr>
          <w:b/>
          <w:i/>
        </w:rPr>
        <w:t>на 20</w:t>
      </w:r>
      <w:r w:rsidR="00BC4973" w:rsidRPr="00A27310">
        <w:rPr>
          <w:b/>
          <w:i/>
        </w:rPr>
        <w:t>1</w:t>
      </w:r>
      <w:r w:rsidR="00212143">
        <w:rPr>
          <w:b/>
          <w:i/>
        </w:rPr>
        <w:t>7</w:t>
      </w:r>
      <w:r w:rsidRPr="00A27310">
        <w:rPr>
          <w:b/>
          <w:i/>
        </w:rPr>
        <w:t>-201</w:t>
      </w:r>
      <w:r w:rsidR="00212143">
        <w:rPr>
          <w:b/>
          <w:i/>
        </w:rPr>
        <w:t>9</w:t>
      </w:r>
      <w:r w:rsidRPr="00A27310">
        <w:rPr>
          <w:b/>
          <w:i/>
        </w:rPr>
        <w:t xml:space="preserve"> годы.</w:t>
      </w:r>
    </w:p>
    <w:p w:rsidR="00C679B6" w:rsidRDefault="00C679B6" w:rsidP="00A31A18">
      <w:pPr>
        <w:pStyle w:val="a5"/>
        <w:ind w:left="708"/>
        <w:jc w:val="both"/>
        <w:outlineLvl w:val="0"/>
      </w:pPr>
    </w:p>
    <w:p w:rsidR="00A31A18" w:rsidRPr="00580BCE" w:rsidRDefault="00A31A18" w:rsidP="00A31A18">
      <w:pPr>
        <w:ind w:firstLine="680"/>
        <w:jc w:val="both"/>
      </w:pPr>
      <w:r w:rsidRPr="00580BCE">
        <w:t>Прогноз социально-экономического развития Волгоградской области на 2017</w:t>
      </w:r>
      <w:r>
        <w:t>-</w:t>
      </w:r>
      <w:r w:rsidRPr="00580BCE">
        <w:t>2019 годы (далее Прогноз СЭР) разработан по двум вариантам: базов</w:t>
      </w:r>
      <w:r>
        <w:t>ому</w:t>
      </w:r>
      <w:r w:rsidRPr="00580BCE">
        <w:t xml:space="preserve"> (вариант 1) и целево</w:t>
      </w:r>
      <w:r>
        <w:t>му</w:t>
      </w:r>
      <w:r w:rsidRPr="00580BCE">
        <w:t xml:space="preserve"> (вариант 2).</w:t>
      </w:r>
    </w:p>
    <w:p w:rsidR="00A31A18" w:rsidRPr="00A84943" w:rsidRDefault="00A31A18" w:rsidP="00A31A18">
      <w:pPr>
        <w:pStyle w:val="a5"/>
        <w:ind w:firstLine="680"/>
        <w:jc w:val="both"/>
        <w:rPr>
          <w:rFonts w:eastAsia="Calibri"/>
        </w:rPr>
      </w:pPr>
      <w:r w:rsidRPr="00A84943">
        <w:t xml:space="preserve">Базовый сценарий предполагает, что развитие российской экономики будет происходить в условиях сохранения консервативных тенденций </w:t>
      </w:r>
      <w:r w:rsidRPr="00A84943">
        <w:rPr>
          <w:rFonts w:eastAsia="Calibri"/>
        </w:rPr>
        <w:t>изменения внешних факторов при сохранении консервативной бюджетной политики. Предполагается, что с</w:t>
      </w:r>
      <w:r w:rsidRPr="00A84943">
        <w:t xml:space="preserve">реднегодовая цена на нефть </w:t>
      </w:r>
      <w:proofErr w:type="spellStart"/>
      <w:r w:rsidRPr="00A84943">
        <w:t>Urals</w:t>
      </w:r>
      <w:proofErr w:type="spellEnd"/>
      <w:r w:rsidRPr="00A84943">
        <w:t xml:space="preserve"> составит 40 долларов США за баррель</w:t>
      </w:r>
      <w:r>
        <w:t>, а</w:t>
      </w:r>
      <w:r w:rsidRPr="00A84943">
        <w:t xml:space="preserve"> </w:t>
      </w:r>
      <w:r>
        <w:t>и</w:t>
      </w:r>
      <w:r w:rsidRPr="00A84943">
        <w:t xml:space="preserve">нфляция </w:t>
      </w:r>
      <w:r>
        <w:t xml:space="preserve">составит </w:t>
      </w:r>
      <w:r w:rsidRPr="00A84943">
        <w:rPr>
          <w:rFonts w:eastAsia="Calibri"/>
        </w:rPr>
        <w:t xml:space="preserve">в 2016 году </w:t>
      </w:r>
      <w:r>
        <w:rPr>
          <w:rFonts w:eastAsia="Calibri"/>
        </w:rPr>
        <w:t xml:space="preserve">6,5% </w:t>
      </w:r>
      <w:r w:rsidRPr="00A84943">
        <w:rPr>
          <w:rFonts w:eastAsia="Calibri"/>
          <w:lang w:val="en-US"/>
        </w:rPr>
        <w:t>c</w:t>
      </w:r>
      <w:r w:rsidRPr="00A84943">
        <w:rPr>
          <w:rFonts w:eastAsia="Calibri"/>
        </w:rPr>
        <w:t xml:space="preserve"> дальнейшим замедлением ее роста к 2019 году</w:t>
      </w:r>
      <w:r>
        <w:rPr>
          <w:rFonts w:eastAsia="Calibri"/>
        </w:rPr>
        <w:t xml:space="preserve"> </w:t>
      </w:r>
      <w:r w:rsidRPr="00A84943">
        <w:rPr>
          <w:rFonts w:eastAsia="Calibri"/>
        </w:rPr>
        <w:t>до 4</w:t>
      </w:r>
      <w:r>
        <w:rPr>
          <w:rFonts w:eastAsia="Calibri"/>
        </w:rPr>
        <w:t xml:space="preserve"> процентов</w:t>
      </w:r>
      <w:r w:rsidRPr="00A84943">
        <w:rPr>
          <w:rFonts w:eastAsia="Calibri"/>
        </w:rPr>
        <w:t xml:space="preserve">. </w:t>
      </w:r>
    </w:p>
    <w:p w:rsidR="00A31A18" w:rsidRPr="00A84943" w:rsidRDefault="00A31A18" w:rsidP="00A31A18">
      <w:pPr>
        <w:ind w:firstLine="680"/>
        <w:jc w:val="both"/>
      </w:pPr>
      <w:r w:rsidRPr="00A84943">
        <w:t xml:space="preserve">Целевой вариант ориентирует на достижение целевых показателей социально-экономического развития и решение задач стратегического планирования. Предполагается выход российской экономики на траекторию устойчивого роста темпами не ниже </w:t>
      </w:r>
      <w:proofErr w:type="gramStart"/>
      <w:r w:rsidRPr="00A84943">
        <w:t>среднемировых</w:t>
      </w:r>
      <w:proofErr w:type="gramEnd"/>
      <w:r w:rsidRPr="00A84943">
        <w:t>, снижение инфляции до уровня 4</w:t>
      </w:r>
      <w:r>
        <w:t xml:space="preserve">% </w:t>
      </w:r>
      <w:r w:rsidRPr="00A84943">
        <w:t>в 2017 году и рост производительности труда не менее чем на 5</w:t>
      </w:r>
      <w:r>
        <w:t>%</w:t>
      </w:r>
      <w:r w:rsidRPr="00A84943">
        <w:t xml:space="preserve"> в среднесрочной перспективе при одновременном обеспечении макроэкономической сбалансированности. </w:t>
      </w:r>
    </w:p>
    <w:p w:rsidR="00A31A18" w:rsidRDefault="00A31A18" w:rsidP="00A31A18">
      <w:pPr>
        <w:pStyle w:val="a5"/>
        <w:ind w:firstLine="680"/>
        <w:jc w:val="both"/>
        <w:rPr>
          <w:szCs w:val="28"/>
        </w:rPr>
      </w:pPr>
      <w:r w:rsidRPr="008767B7">
        <w:rPr>
          <w:szCs w:val="28"/>
        </w:rPr>
        <w:t xml:space="preserve">Основные показатели Прогноза </w:t>
      </w:r>
      <w:r>
        <w:rPr>
          <w:szCs w:val="28"/>
        </w:rPr>
        <w:t xml:space="preserve">СЭР </w:t>
      </w:r>
      <w:r w:rsidRPr="008767B7">
        <w:rPr>
          <w:szCs w:val="28"/>
        </w:rPr>
        <w:t xml:space="preserve">являются базовыми для разработки консолидированного бюджета Волгоградской области на 2017 год </w:t>
      </w:r>
      <w:r w:rsidRPr="008767B7">
        <w:rPr>
          <w:szCs w:val="28"/>
        </w:rPr>
        <w:br/>
        <w:t>и на плановый период 2018 и 2019 годов</w:t>
      </w:r>
      <w:r>
        <w:rPr>
          <w:szCs w:val="28"/>
        </w:rPr>
        <w:t>.</w:t>
      </w:r>
    </w:p>
    <w:p w:rsidR="00A31A18" w:rsidRPr="00913D40" w:rsidRDefault="00A31A18" w:rsidP="00A31A18">
      <w:pPr>
        <w:pStyle w:val="ConsNonformat"/>
        <w:widowControl/>
        <w:ind w:firstLine="680"/>
        <w:jc w:val="both"/>
        <w:rPr>
          <w:rFonts w:ascii="Times New Roman" w:hAnsi="Times New Roman"/>
          <w:sz w:val="24"/>
          <w:szCs w:val="24"/>
        </w:rPr>
      </w:pPr>
      <w:r w:rsidRPr="00913D40">
        <w:rPr>
          <w:rFonts w:ascii="Times New Roman" w:hAnsi="Times New Roman"/>
          <w:sz w:val="24"/>
          <w:szCs w:val="24"/>
        </w:rPr>
        <w:t xml:space="preserve">Согласно пояснительной записке к </w:t>
      </w:r>
      <w:r>
        <w:rPr>
          <w:rFonts w:ascii="Times New Roman" w:hAnsi="Times New Roman"/>
          <w:sz w:val="24"/>
          <w:szCs w:val="24"/>
        </w:rPr>
        <w:t>з</w:t>
      </w:r>
      <w:r w:rsidRPr="00913D40">
        <w:rPr>
          <w:rFonts w:ascii="Times New Roman" w:hAnsi="Times New Roman"/>
          <w:sz w:val="24"/>
          <w:szCs w:val="24"/>
        </w:rPr>
        <w:t xml:space="preserve">аконопроекту расчет прогнозных показателей поступления налоговых и неналоговых доходов в областной бюджет осуществлен исходя из </w:t>
      </w:r>
      <w:r>
        <w:rPr>
          <w:rFonts w:ascii="Times New Roman" w:hAnsi="Times New Roman"/>
          <w:sz w:val="24"/>
          <w:szCs w:val="24"/>
        </w:rPr>
        <w:t>отдельных</w:t>
      </w:r>
      <w:r w:rsidRPr="00913D40">
        <w:rPr>
          <w:rFonts w:ascii="Times New Roman" w:hAnsi="Times New Roman"/>
          <w:sz w:val="24"/>
          <w:szCs w:val="24"/>
        </w:rPr>
        <w:t xml:space="preserve"> макроэкономических показателей социально–экономического развития области на 2017 год и на плановый период 2018 и 2019 годов по базовому варианту</w:t>
      </w:r>
      <w:r>
        <w:rPr>
          <w:rFonts w:ascii="Times New Roman" w:hAnsi="Times New Roman"/>
          <w:sz w:val="24"/>
          <w:szCs w:val="24"/>
        </w:rPr>
        <w:t xml:space="preserve">, в </w:t>
      </w:r>
      <w:proofErr w:type="gramStart"/>
      <w:r>
        <w:rPr>
          <w:rFonts w:ascii="Times New Roman" w:hAnsi="Times New Roman"/>
          <w:sz w:val="24"/>
          <w:szCs w:val="24"/>
        </w:rPr>
        <w:t>связи</w:t>
      </w:r>
      <w:proofErr w:type="gramEnd"/>
      <w:r>
        <w:rPr>
          <w:rFonts w:ascii="Times New Roman" w:hAnsi="Times New Roman"/>
          <w:sz w:val="24"/>
          <w:szCs w:val="24"/>
        </w:rPr>
        <w:t xml:space="preserve"> с чем </w:t>
      </w:r>
      <w:r w:rsidRPr="00913D40">
        <w:rPr>
          <w:rFonts w:ascii="Times New Roman" w:hAnsi="Times New Roman"/>
          <w:sz w:val="24"/>
          <w:szCs w:val="24"/>
        </w:rPr>
        <w:t xml:space="preserve">далее приведен анализ макроэкономических показателей первого варианта. </w:t>
      </w:r>
    </w:p>
    <w:p w:rsidR="00A31A18" w:rsidRDefault="00A31A18" w:rsidP="00A31A18">
      <w:pPr>
        <w:pStyle w:val="ConsNonformat"/>
        <w:widowControl/>
        <w:ind w:firstLine="680"/>
        <w:jc w:val="both"/>
        <w:rPr>
          <w:rFonts w:ascii="Times New Roman" w:hAnsi="Times New Roman"/>
          <w:sz w:val="24"/>
          <w:szCs w:val="24"/>
        </w:rPr>
      </w:pPr>
      <w:r w:rsidRPr="005F7F7D">
        <w:rPr>
          <w:rFonts w:ascii="Times New Roman" w:hAnsi="Times New Roman"/>
          <w:sz w:val="24"/>
          <w:szCs w:val="24"/>
        </w:rPr>
        <w:t>Следует отметить, что существенным недостатком Прогноза СЭР</w:t>
      </w:r>
      <w:r>
        <w:rPr>
          <w:rFonts w:ascii="Times New Roman" w:hAnsi="Times New Roman"/>
          <w:sz w:val="24"/>
          <w:szCs w:val="24"/>
        </w:rPr>
        <w:t xml:space="preserve"> </w:t>
      </w:r>
      <w:r w:rsidRPr="008778F7">
        <w:rPr>
          <w:rFonts w:ascii="Times New Roman" w:hAnsi="Times New Roman"/>
          <w:sz w:val="24"/>
          <w:szCs w:val="24"/>
        </w:rPr>
        <w:t xml:space="preserve">является отсутствие в нем показателей прибыли прибыльных организаций и стоимости основных фондов, являющихся основополагающими для расчета прогнозных поступлений налога на прибыль и налога на имущество организаций. Указанные показатели приведены в </w:t>
      </w:r>
      <w:r w:rsidRPr="008778F7">
        <w:rPr>
          <w:rFonts w:ascii="Times New Roman" w:hAnsi="Times New Roman"/>
          <w:sz w:val="24"/>
          <w:szCs w:val="24"/>
        </w:rPr>
        <w:lastRenderedPageBreak/>
        <w:t>Предварительных итогах социально-экономического развития Волгоградской области за январь-сентябрь 201</w:t>
      </w:r>
      <w:r>
        <w:rPr>
          <w:rFonts w:ascii="Times New Roman" w:hAnsi="Times New Roman"/>
          <w:sz w:val="24"/>
          <w:szCs w:val="24"/>
        </w:rPr>
        <w:t>6</w:t>
      </w:r>
      <w:r w:rsidRPr="008778F7">
        <w:rPr>
          <w:rFonts w:ascii="Times New Roman" w:hAnsi="Times New Roman"/>
          <w:sz w:val="24"/>
          <w:szCs w:val="24"/>
        </w:rPr>
        <w:t xml:space="preserve"> года и ожидаемых итогах социально-экономического развития Волгоградской области за 201</w:t>
      </w:r>
      <w:r>
        <w:rPr>
          <w:rFonts w:ascii="Times New Roman" w:hAnsi="Times New Roman"/>
          <w:sz w:val="24"/>
          <w:szCs w:val="24"/>
        </w:rPr>
        <w:t>6</w:t>
      </w:r>
      <w:r w:rsidRPr="008778F7">
        <w:rPr>
          <w:rFonts w:ascii="Times New Roman" w:hAnsi="Times New Roman"/>
          <w:sz w:val="24"/>
          <w:szCs w:val="24"/>
        </w:rPr>
        <w:t xml:space="preserve"> год (по состоянию на 0</w:t>
      </w:r>
      <w:r>
        <w:rPr>
          <w:rFonts w:ascii="Times New Roman" w:hAnsi="Times New Roman"/>
          <w:sz w:val="24"/>
          <w:szCs w:val="24"/>
        </w:rPr>
        <w:t>9</w:t>
      </w:r>
      <w:r w:rsidRPr="008778F7">
        <w:rPr>
          <w:rFonts w:ascii="Times New Roman" w:hAnsi="Times New Roman"/>
          <w:sz w:val="24"/>
          <w:szCs w:val="24"/>
        </w:rPr>
        <w:t>.11.201</w:t>
      </w:r>
      <w:r w:rsidR="007F228C">
        <w:rPr>
          <w:rFonts w:ascii="Times New Roman" w:hAnsi="Times New Roman"/>
          <w:sz w:val="24"/>
          <w:szCs w:val="24"/>
        </w:rPr>
        <w:t>6</w:t>
      </w:r>
      <w:r w:rsidRPr="008778F7">
        <w:rPr>
          <w:rFonts w:ascii="Times New Roman" w:hAnsi="Times New Roman"/>
          <w:sz w:val="24"/>
          <w:szCs w:val="24"/>
        </w:rPr>
        <w:t>)</w:t>
      </w:r>
      <w:r>
        <w:rPr>
          <w:rFonts w:ascii="Times New Roman" w:hAnsi="Times New Roman"/>
          <w:sz w:val="24"/>
          <w:szCs w:val="24"/>
        </w:rPr>
        <w:t xml:space="preserve">, а также </w:t>
      </w:r>
      <w:r w:rsidRPr="000F06D7">
        <w:rPr>
          <w:rFonts w:ascii="Times New Roman" w:hAnsi="Times New Roman"/>
          <w:sz w:val="24"/>
          <w:szCs w:val="24"/>
        </w:rPr>
        <w:t xml:space="preserve">расчетах </w:t>
      </w:r>
      <w:r>
        <w:rPr>
          <w:rFonts w:ascii="Times New Roman" w:hAnsi="Times New Roman"/>
          <w:sz w:val="24"/>
          <w:szCs w:val="24"/>
        </w:rPr>
        <w:t>доходов областного бюджета</w:t>
      </w:r>
      <w:r w:rsidR="00C61D43">
        <w:rPr>
          <w:rFonts w:ascii="Times New Roman" w:hAnsi="Times New Roman"/>
          <w:sz w:val="24"/>
          <w:szCs w:val="24"/>
        </w:rPr>
        <w:t xml:space="preserve"> на 2017-2019 годы</w:t>
      </w:r>
      <w:r>
        <w:rPr>
          <w:rFonts w:ascii="Times New Roman" w:hAnsi="Times New Roman"/>
          <w:sz w:val="24"/>
          <w:szCs w:val="24"/>
        </w:rPr>
        <w:t>.</w:t>
      </w:r>
      <w:r w:rsidRPr="000F06D7">
        <w:rPr>
          <w:rFonts w:ascii="Times New Roman" w:hAnsi="Times New Roman"/>
          <w:sz w:val="24"/>
          <w:szCs w:val="24"/>
        </w:rPr>
        <w:t xml:space="preserve"> </w:t>
      </w:r>
    </w:p>
    <w:p w:rsidR="00A31A18" w:rsidRPr="000478B4" w:rsidRDefault="00A31A18" w:rsidP="00A31A18">
      <w:pPr>
        <w:ind w:firstLine="680"/>
        <w:jc w:val="both"/>
      </w:pPr>
      <w:r w:rsidRPr="000478B4">
        <w:t>Согласно Прогнозу СЭР макроэкономические условия развития Волгоградской области характеризуются следующим</w:t>
      </w:r>
      <w:r>
        <w:t xml:space="preserve"> </w:t>
      </w:r>
      <w:r w:rsidRPr="00C61D43">
        <w:rPr>
          <w:b/>
          <w:u w:val="single"/>
        </w:rPr>
        <w:t>(</w:t>
      </w:r>
      <w:r w:rsidRPr="00C61D43">
        <w:rPr>
          <w:b/>
          <w:i/>
          <w:u w:val="single"/>
        </w:rPr>
        <w:t>приложение № 1</w:t>
      </w:r>
      <w:r w:rsidRPr="00C61D43">
        <w:rPr>
          <w:b/>
          <w:u w:val="single"/>
        </w:rPr>
        <w:t>):</w:t>
      </w:r>
    </w:p>
    <w:p w:rsidR="00A31A18" w:rsidRPr="000C667D" w:rsidRDefault="00A31A18" w:rsidP="00A31A18">
      <w:pPr>
        <w:pStyle w:val="af0"/>
        <w:numPr>
          <w:ilvl w:val="0"/>
          <w:numId w:val="22"/>
        </w:numPr>
        <w:spacing w:line="240" w:lineRule="auto"/>
        <w:ind w:left="0" w:firstLine="680"/>
        <w:jc w:val="both"/>
        <w:rPr>
          <w:sz w:val="24"/>
          <w:szCs w:val="24"/>
        </w:rPr>
      </w:pPr>
      <w:r w:rsidRPr="000C667D">
        <w:rPr>
          <w:sz w:val="24"/>
          <w:szCs w:val="24"/>
        </w:rPr>
        <w:t>ростом в 2017-2019 годах следующих показателей:</w:t>
      </w:r>
    </w:p>
    <w:p w:rsidR="00A31A18" w:rsidRPr="00550FCF" w:rsidRDefault="00A31A18" w:rsidP="00A31A18">
      <w:pPr>
        <w:ind w:firstLine="680"/>
        <w:jc w:val="both"/>
      </w:pPr>
      <w:r w:rsidRPr="00550FCF">
        <w:t>- валового регионального продукта (далее ВРП) – в среднем на 2% (индексы физического объема предусмотрены в размере 101,0; 102,0 и 102,5% соответственно);</w:t>
      </w:r>
    </w:p>
    <w:p w:rsidR="00A31A18" w:rsidRPr="00550FCF" w:rsidRDefault="00A31A18" w:rsidP="00A31A18">
      <w:pPr>
        <w:ind w:firstLine="680"/>
        <w:jc w:val="both"/>
      </w:pPr>
      <w:r w:rsidRPr="00550FCF">
        <w:t>- индекса промышленного производства – в среднем на 2% (в 2017-2019 годах он составит 101,5; 102,1 и 102,5% соответственно);</w:t>
      </w:r>
    </w:p>
    <w:p w:rsidR="00A31A18" w:rsidRPr="00550FCF" w:rsidRDefault="00A31A18" w:rsidP="00A31A18">
      <w:pPr>
        <w:ind w:firstLine="680"/>
        <w:jc w:val="both"/>
      </w:pPr>
      <w:r w:rsidRPr="00550FCF">
        <w:t>- оборота розничной торговли (</w:t>
      </w:r>
      <w:proofErr w:type="gramStart"/>
      <w:r w:rsidRPr="00550FCF">
        <w:t>в</w:t>
      </w:r>
      <w:proofErr w:type="gramEnd"/>
      <w:r w:rsidRPr="00550FCF">
        <w:t xml:space="preserve"> % </w:t>
      </w:r>
      <w:proofErr w:type="gramStart"/>
      <w:r w:rsidRPr="00550FCF">
        <w:t>к</w:t>
      </w:r>
      <w:proofErr w:type="gramEnd"/>
      <w:r w:rsidRPr="00550FCF">
        <w:t xml:space="preserve"> предыдущему году в сопоставимых ценах) – в среднем на 2% (в 2017-2019 годах темп роста состави</w:t>
      </w:r>
      <w:r w:rsidR="00C61D43">
        <w:t>т</w:t>
      </w:r>
      <w:r w:rsidRPr="00550FCF">
        <w:t xml:space="preserve"> 100,6; 102,0 и 103,1% соответственно); </w:t>
      </w:r>
    </w:p>
    <w:p w:rsidR="00A31A18" w:rsidRPr="00550FCF" w:rsidRDefault="00A31A18" w:rsidP="00A31A18">
      <w:pPr>
        <w:ind w:firstLine="680"/>
        <w:jc w:val="both"/>
      </w:pPr>
      <w:r w:rsidRPr="00550FCF">
        <w:t>- объема инвестиций в основной капитал – в среднем на 8,3% (индекс физического объема составил 111,0; 104,8 и 109,3% соответственно);</w:t>
      </w:r>
    </w:p>
    <w:p w:rsidR="00A31A18" w:rsidRPr="00550FCF" w:rsidRDefault="00A31A18" w:rsidP="00A31A18">
      <w:pPr>
        <w:ind w:firstLine="680"/>
        <w:jc w:val="both"/>
      </w:pPr>
      <w:r w:rsidRPr="00550FCF">
        <w:t>- практически сохранением темпа роста прибыли прибыльных организаций, который в 2017 и 2019 году составит 105,0%, в 2018 году – 105,3%;</w:t>
      </w:r>
    </w:p>
    <w:p w:rsidR="00A31A18" w:rsidRPr="00550FCF" w:rsidRDefault="00A31A18" w:rsidP="00A31A18">
      <w:pPr>
        <w:ind w:firstLine="680"/>
        <w:jc w:val="both"/>
      </w:pPr>
      <w:r w:rsidRPr="00550FCF">
        <w:t>- денежных доходов населения в виде оплаты труда с 235,2 млрд. руб. в 2017 году до 259,4 млрд. руб. в 2019 году, или на 10,3 процента. При этом запланировано снижение реальных денежных доходов населения в 2017-2018 годах на 1,1 и 0,3% и увеличение в 2019 году на 2,3%;</w:t>
      </w:r>
    </w:p>
    <w:p w:rsidR="00A31A18" w:rsidRPr="00550FCF" w:rsidRDefault="00A31A18" w:rsidP="00A31A18">
      <w:pPr>
        <w:pStyle w:val="af0"/>
        <w:numPr>
          <w:ilvl w:val="0"/>
          <w:numId w:val="22"/>
        </w:numPr>
        <w:spacing w:line="240" w:lineRule="auto"/>
        <w:ind w:left="0" w:firstLine="680"/>
        <w:jc w:val="both"/>
        <w:rPr>
          <w:sz w:val="24"/>
          <w:szCs w:val="24"/>
        </w:rPr>
      </w:pPr>
      <w:r w:rsidRPr="00550FCF">
        <w:rPr>
          <w:sz w:val="24"/>
          <w:szCs w:val="24"/>
        </w:rPr>
        <w:t xml:space="preserve"> снижением индекса производства продукции сельского хозяйства в 2017 году на 5,9% и сохранением темпа роста в 2018-2019 годах на 1,1%;</w:t>
      </w:r>
    </w:p>
    <w:p w:rsidR="00A31A18" w:rsidRPr="00550FCF" w:rsidRDefault="00A31A18" w:rsidP="00A31A18">
      <w:pPr>
        <w:pStyle w:val="af0"/>
        <w:numPr>
          <w:ilvl w:val="0"/>
          <w:numId w:val="22"/>
        </w:numPr>
        <w:spacing w:line="240" w:lineRule="auto"/>
        <w:ind w:left="0" w:firstLine="680"/>
        <w:jc w:val="both"/>
        <w:rPr>
          <w:sz w:val="24"/>
          <w:szCs w:val="24"/>
        </w:rPr>
      </w:pPr>
      <w:r w:rsidRPr="00550FCF">
        <w:rPr>
          <w:sz w:val="24"/>
          <w:szCs w:val="24"/>
        </w:rPr>
        <w:t>снижением уровня инфляции со 105,5% в 2017 году до 104,3% в 2019 году;</w:t>
      </w:r>
    </w:p>
    <w:p w:rsidR="00A31A18" w:rsidRPr="00550FCF" w:rsidRDefault="00A31A18" w:rsidP="00A31A18">
      <w:pPr>
        <w:pStyle w:val="af0"/>
        <w:numPr>
          <w:ilvl w:val="0"/>
          <w:numId w:val="22"/>
        </w:numPr>
        <w:spacing w:line="240" w:lineRule="auto"/>
        <w:ind w:left="0" w:firstLine="680"/>
        <w:jc w:val="both"/>
        <w:rPr>
          <w:sz w:val="24"/>
          <w:szCs w:val="24"/>
        </w:rPr>
      </w:pPr>
      <w:r w:rsidRPr="00550FCF">
        <w:rPr>
          <w:sz w:val="24"/>
          <w:szCs w:val="24"/>
        </w:rPr>
        <w:t>сохранением уровня безработицы в 2017-2018 годах в размере 7,2% и его снижением в 2019 году на 0,2 процентных пункта.</w:t>
      </w:r>
    </w:p>
    <w:p w:rsidR="00A31A18" w:rsidRPr="00580BCE" w:rsidRDefault="00A31A18" w:rsidP="00A31A18">
      <w:pPr>
        <w:pStyle w:val="af4"/>
        <w:spacing w:before="0" w:beforeAutospacing="0" w:after="0" w:afterAutospacing="0"/>
        <w:ind w:firstLine="680"/>
        <w:jc w:val="both"/>
      </w:pPr>
      <w:r w:rsidRPr="00580BCE">
        <w:t xml:space="preserve">Анализ макроэкономических показателей развития Волгоградской области, прогнозируемых на 2017-2019 годы, проведен на предмет достоверности основных параметров Прогноза СЭР, а также проведено сравнение с показателями Прогноза социально-экономического развития Российской Федерации на 2017 год и плановый период 2018 и 2019 годов (далее Прогноз РФ). </w:t>
      </w:r>
    </w:p>
    <w:p w:rsidR="00A31A18" w:rsidRDefault="00A31A18" w:rsidP="00A31A18">
      <w:pPr>
        <w:pStyle w:val="2"/>
        <w:spacing w:after="0" w:line="240" w:lineRule="auto"/>
        <w:ind w:firstLine="680"/>
        <w:jc w:val="both"/>
      </w:pPr>
      <w:r w:rsidRPr="00CE1A84">
        <w:t>Динамика макроэкономических показателей СЭР ВО за 2015-2017 годы представлена в следующей таблице.</w:t>
      </w:r>
    </w:p>
    <w:p w:rsidR="00C61D43" w:rsidRPr="00CE1A84" w:rsidRDefault="00C61D43" w:rsidP="00A31A18">
      <w:pPr>
        <w:pStyle w:val="2"/>
        <w:spacing w:after="0" w:line="240" w:lineRule="auto"/>
        <w:ind w:firstLine="680"/>
        <w:jc w:val="both"/>
      </w:pPr>
    </w:p>
    <w:tbl>
      <w:tblPr>
        <w:tblW w:w="10774" w:type="dxa"/>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3828"/>
        <w:gridCol w:w="1134"/>
        <w:gridCol w:w="1276"/>
        <w:gridCol w:w="1134"/>
        <w:gridCol w:w="1134"/>
        <w:gridCol w:w="1134"/>
        <w:gridCol w:w="1134"/>
      </w:tblGrid>
      <w:tr w:rsidR="00A31A18" w:rsidRPr="00955C08" w:rsidTr="00955C08">
        <w:trPr>
          <w:trHeight w:val="300"/>
        </w:trPr>
        <w:tc>
          <w:tcPr>
            <w:tcW w:w="3828" w:type="dxa"/>
            <w:vMerge w:val="restart"/>
            <w:shd w:val="clear" w:color="auto" w:fill="auto"/>
            <w:vAlign w:val="center"/>
            <w:hideMark/>
          </w:tcPr>
          <w:p w:rsidR="00A31A18" w:rsidRPr="00955C08" w:rsidRDefault="00A31A18" w:rsidP="00A31A18">
            <w:pPr>
              <w:rPr>
                <w:b/>
                <w:iCs/>
                <w:color w:val="000000"/>
                <w:sz w:val="20"/>
                <w:szCs w:val="20"/>
              </w:rPr>
            </w:pPr>
            <w:r w:rsidRPr="00955C08">
              <w:rPr>
                <w:b/>
                <w:iCs/>
                <w:color w:val="000000"/>
                <w:sz w:val="20"/>
                <w:szCs w:val="20"/>
              </w:rPr>
              <w:t>Наименование показателей</w:t>
            </w:r>
          </w:p>
        </w:tc>
        <w:tc>
          <w:tcPr>
            <w:tcW w:w="1134" w:type="dxa"/>
            <w:vMerge w:val="restart"/>
            <w:shd w:val="clear" w:color="auto" w:fill="auto"/>
            <w:vAlign w:val="center"/>
            <w:hideMark/>
          </w:tcPr>
          <w:p w:rsidR="00A31A18" w:rsidRPr="00955C08" w:rsidRDefault="00A31A18" w:rsidP="00955C08">
            <w:pPr>
              <w:rPr>
                <w:b/>
                <w:iCs/>
                <w:color w:val="000000"/>
                <w:sz w:val="20"/>
                <w:szCs w:val="20"/>
              </w:rPr>
            </w:pPr>
            <w:r w:rsidRPr="00955C08">
              <w:rPr>
                <w:b/>
                <w:iCs/>
                <w:color w:val="000000"/>
                <w:sz w:val="20"/>
                <w:szCs w:val="20"/>
              </w:rPr>
              <w:t>Отчет                 2015 г</w:t>
            </w:r>
            <w:r w:rsidR="00955C08">
              <w:rPr>
                <w:b/>
                <w:iCs/>
                <w:color w:val="000000"/>
                <w:sz w:val="20"/>
                <w:szCs w:val="20"/>
              </w:rPr>
              <w:t>.</w:t>
            </w:r>
          </w:p>
        </w:tc>
        <w:tc>
          <w:tcPr>
            <w:tcW w:w="1276" w:type="dxa"/>
            <w:vMerge w:val="restart"/>
            <w:shd w:val="clear" w:color="auto" w:fill="auto"/>
            <w:vAlign w:val="center"/>
            <w:hideMark/>
          </w:tcPr>
          <w:p w:rsidR="00A31A18" w:rsidRPr="00955C08" w:rsidRDefault="00A31A18" w:rsidP="00955C08">
            <w:pPr>
              <w:rPr>
                <w:b/>
                <w:iCs/>
                <w:color w:val="000000"/>
                <w:sz w:val="20"/>
                <w:szCs w:val="20"/>
              </w:rPr>
            </w:pPr>
            <w:r w:rsidRPr="00955C08">
              <w:rPr>
                <w:b/>
                <w:iCs/>
                <w:color w:val="000000"/>
                <w:sz w:val="20"/>
                <w:szCs w:val="20"/>
              </w:rPr>
              <w:t>Факт за 9 мес. 2016 г</w:t>
            </w:r>
            <w:r w:rsidR="00955C08">
              <w:rPr>
                <w:b/>
                <w:iCs/>
                <w:color w:val="000000"/>
                <w:sz w:val="20"/>
                <w:szCs w:val="20"/>
              </w:rPr>
              <w:t>.</w:t>
            </w:r>
          </w:p>
        </w:tc>
        <w:tc>
          <w:tcPr>
            <w:tcW w:w="1134" w:type="dxa"/>
            <w:vMerge w:val="restart"/>
            <w:shd w:val="clear" w:color="auto" w:fill="auto"/>
            <w:vAlign w:val="center"/>
            <w:hideMark/>
          </w:tcPr>
          <w:p w:rsidR="00A31A18" w:rsidRPr="00955C08" w:rsidRDefault="00A31A18" w:rsidP="00955C08">
            <w:pPr>
              <w:rPr>
                <w:b/>
                <w:iCs/>
                <w:color w:val="000000"/>
                <w:sz w:val="20"/>
                <w:szCs w:val="20"/>
              </w:rPr>
            </w:pPr>
            <w:r w:rsidRPr="00955C08">
              <w:rPr>
                <w:b/>
                <w:iCs/>
                <w:color w:val="000000"/>
                <w:sz w:val="20"/>
                <w:szCs w:val="20"/>
              </w:rPr>
              <w:t>Оценка                           2016 г</w:t>
            </w:r>
            <w:r w:rsidR="00955C08">
              <w:rPr>
                <w:b/>
                <w:iCs/>
                <w:color w:val="000000"/>
                <w:sz w:val="20"/>
                <w:szCs w:val="20"/>
              </w:rPr>
              <w:t>.</w:t>
            </w:r>
          </w:p>
        </w:tc>
        <w:tc>
          <w:tcPr>
            <w:tcW w:w="1134" w:type="dxa"/>
            <w:vMerge w:val="restart"/>
            <w:shd w:val="clear" w:color="auto" w:fill="auto"/>
            <w:vAlign w:val="center"/>
            <w:hideMark/>
          </w:tcPr>
          <w:p w:rsidR="00A31A18" w:rsidRPr="00955C08" w:rsidRDefault="00955C08" w:rsidP="00955C08">
            <w:pPr>
              <w:rPr>
                <w:b/>
                <w:iCs/>
                <w:color w:val="000000"/>
                <w:sz w:val="20"/>
                <w:szCs w:val="20"/>
              </w:rPr>
            </w:pPr>
            <w:proofErr w:type="gramStart"/>
            <w:r>
              <w:rPr>
                <w:b/>
                <w:iCs/>
                <w:color w:val="000000"/>
                <w:sz w:val="20"/>
                <w:szCs w:val="20"/>
              </w:rPr>
              <w:t>Прогноз</w:t>
            </w:r>
            <w:r w:rsidR="00A31A18" w:rsidRPr="00955C08">
              <w:rPr>
                <w:b/>
                <w:iCs/>
                <w:color w:val="000000"/>
                <w:sz w:val="20"/>
                <w:szCs w:val="20"/>
              </w:rPr>
              <w:t xml:space="preserve"> 2017 г</w:t>
            </w:r>
            <w:r>
              <w:rPr>
                <w:b/>
                <w:iCs/>
                <w:color w:val="000000"/>
                <w:sz w:val="20"/>
                <w:szCs w:val="20"/>
              </w:rPr>
              <w:t>.</w:t>
            </w:r>
            <w:r w:rsidR="00A31A18" w:rsidRPr="00955C08">
              <w:rPr>
                <w:b/>
                <w:iCs/>
                <w:color w:val="000000"/>
                <w:sz w:val="20"/>
                <w:szCs w:val="20"/>
              </w:rPr>
              <w:t xml:space="preserve"> (вар</w:t>
            </w:r>
            <w:r w:rsidRPr="00955C08">
              <w:rPr>
                <w:b/>
                <w:iCs/>
                <w:color w:val="000000"/>
                <w:sz w:val="20"/>
                <w:szCs w:val="20"/>
              </w:rPr>
              <w:t>.</w:t>
            </w:r>
            <w:proofErr w:type="gramEnd"/>
            <w:r w:rsidR="00A31A18" w:rsidRPr="00955C08">
              <w:rPr>
                <w:b/>
                <w:iCs/>
                <w:color w:val="000000"/>
                <w:sz w:val="20"/>
                <w:szCs w:val="20"/>
              </w:rPr>
              <w:t xml:space="preserve"> I)</w:t>
            </w:r>
          </w:p>
        </w:tc>
        <w:tc>
          <w:tcPr>
            <w:tcW w:w="1134" w:type="dxa"/>
            <w:vMerge w:val="restart"/>
            <w:shd w:val="clear" w:color="auto" w:fill="auto"/>
            <w:vAlign w:val="center"/>
            <w:hideMark/>
          </w:tcPr>
          <w:p w:rsidR="00955C08" w:rsidRDefault="00A31A18" w:rsidP="00955C08">
            <w:pPr>
              <w:rPr>
                <w:b/>
                <w:iCs/>
                <w:color w:val="000000"/>
                <w:sz w:val="20"/>
                <w:szCs w:val="20"/>
              </w:rPr>
            </w:pPr>
            <w:proofErr w:type="spellStart"/>
            <w:r w:rsidRPr="00955C08">
              <w:rPr>
                <w:b/>
                <w:iCs/>
                <w:color w:val="000000"/>
                <w:sz w:val="20"/>
                <w:szCs w:val="20"/>
              </w:rPr>
              <w:t>Откл</w:t>
            </w:r>
            <w:proofErr w:type="spellEnd"/>
            <w:r w:rsidR="00C61D43" w:rsidRPr="00955C08">
              <w:rPr>
                <w:b/>
                <w:iCs/>
                <w:color w:val="000000"/>
                <w:sz w:val="20"/>
                <w:szCs w:val="20"/>
              </w:rPr>
              <w:t>.</w:t>
            </w:r>
            <w:r w:rsidR="00955C08">
              <w:rPr>
                <w:b/>
                <w:iCs/>
                <w:color w:val="000000"/>
                <w:sz w:val="20"/>
                <w:szCs w:val="20"/>
              </w:rPr>
              <w:t xml:space="preserve"> 2017 г.</w:t>
            </w:r>
            <w:r w:rsidRPr="00955C08">
              <w:rPr>
                <w:b/>
                <w:iCs/>
                <w:color w:val="000000"/>
                <w:sz w:val="20"/>
                <w:szCs w:val="20"/>
              </w:rPr>
              <w:t xml:space="preserve"> </w:t>
            </w:r>
          </w:p>
          <w:p w:rsidR="00A31A18" w:rsidRPr="00955C08" w:rsidRDefault="00A31A18" w:rsidP="00955C08">
            <w:pPr>
              <w:rPr>
                <w:b/>
                <w:iCs/>
                <w:color w:val="000000"/>
                <w:sz w:val="20"/>
                <w:szCs w:val="20"/>
              </w:rPr>
            </w:pPr>
            <w:r w:rsidRPr="00955C08">
              <w:rPr>
                <w:b/>
                <w:iCs/>
                <w:color w:val="000000"/>
                <w:sz w:val="20"/>
                <w:szCs w:val="20"/>
              </w:rPr>
              <w:t>от 2016 г</w:t>
            </w:r>
            <w:r w:rsidR="00955C08">
              <w:rPr>
                <w:b/>
                <w:iCs/>
                <w:color w:val="000000"/>
                <w:sz w:val="20"/>
                <w:szCs w:val="20"/>
              </w:rPr>
              <w:t>.</w:t>
            </w:r>
          </w:p>
        </w:tc>
        <w:tc>
          <w:tcPr>
            <w:tcW w:w="1134" w:type="dxa"/>
            <w:vMerge w:val="restart"/>
            <w:shd w:val="clear" w:color="auto" w:fill="auto"/>
            <w:vAlign w:val="center"/>
            <w:hideMark/>
          </w:tcPr>
          <w:p w:rsidR="00955C08" w:rsidRDefault="00A31A18" w:rsidP="00955C08">
            <w:pPr>
              <w:rPr>
                <w:b/>
                <w:iCs/>
                <w:color w:val="000000"/>
                <w:sz w:val="20"/>
                <w:szCs w:val="20"/>
              </w:rPr>
            </w:pPr>
            <w:proofErr w:type="spellStart"/>
            <w:r w:rsidRPr="00955C08">
              <w:rPr>
                <w:b/>
                <w:iCs/>
                <w:color w:val="000000"/>
                <w:sz w:val="20"/>
                <w:szCs w:val="20"/>
              </w:rPr>
              <w:t>Откл</w:t>
            </w:r>
            <w:proofErr w:type="spellEnd"/>
            <w:r w:rsidR="00C61D43" w:rsidRPr="00955C08">
              <w:rPr>
                <w:b/>
                <w:iCs/>
                <w:color w:val="000000"/>
                <w:sz w:val="20"/>
                <w:szCs w:val="20"/>
              </w:rPr>
              <w:t>.</w:t>
            </w:r>
            <w:r w:rsidRPr="00955C08">
              <w:rPr>
                <w:b/>
                <w:iCs/>
                <w:color w:val="000000"/>
                <w:sz w:val="20"/>
                <w:szCs w:val="20"/>
              </w:rPr>
              <w:t xml:space="preserve"> 2016 г</w:t>
            </w:r>
            <w:r w:rsidR="00955C08">
              <w:rPr>
                <w:b/>
                <w:iCs/>
                <w:color w:val="000000"/>
                <w:sz w:val="20"/>
                <w:szCs w:val="20"/>
              </w:rPr>
              <w:t xml:space="preserve">. </w:t>
            </w:r>
            <w:r w:rsidRPr="00955C08">
              <w:rPr>
                <w:b/>
                <w:iCs/>
                <w:color w:val="000000"/>
                <w:sz w:val="20"/>
                <w:szCs w:val="20"/>
              </w:rPr>
              <w:t xml:space="preserve"> </w:t>
            </w:r>
          </w:p>
          <w:p w:rsidR="00A31A18" w:rsidRPr="00955C08" w:rsidRDefault="00A31A18" w:rsidP="00955C08">
            <w:pPr>
              <w:rPr>
                <w:b/>
                <w:iCs/>
                <w:color w:val="000000"/>
                <w:sz w:val="20"/>
                <w:szCs w:val="20"/>
              </w:rPr>
            </w:pPr>
            <w:r w:rsidRPr="00955C08">
              <w:rPr>
                <w:b/>
                <w:iCs/>
                <w:color w:val="000000"/>
                <w:sz w:val="20"/>
                <w:szCs w:val="20"/>
              </w:rPr>
              <w:t>от 2015 г</w:t>
            </w:r>
            <w:r w:rsidR="00955C08">
              <w:rPr>
                <w:b/>
                <w:iCs/>
                <w:color w:val="000000"/>
                <w:sz w:val="20"/>
                <w:szCs w:val="20"/>
              </w:rPr>
              <w:t>.</w:t>
            </w:r>
          </w:p>
        </w:tc>
      </w:tr>
      <w:tr w:rsidR="00A31A18" w:rsidRPr="00955C08" w:rsidTr="00955C08">
        <w:trPr>
          <w:trHeight w:val="555"/>
        </w:trPr>
        <w:tc>
          <w:tcPr>
            <w:tcW w:w="3828" w:type="dxa"/>
            <w:vMerge/>
            <w:vAlign w:val="center"/>
            <w:hideMark/>
          </w:tcPr>
          <w:p w:rsidR="00A31A18" w:rsidRPr="00955C08" w:rsidRDefault="00A31A18" w:rsidP="00A31A18">
            <w:pPr>
              <w:rPr>
                <w:i/>
                <w:iCs/>
                <w:color w:val="000000"/>
                <w:sz w:val="20"/>
                <w:szCs w:val="20"/>
              </w:rPr>
            </w:pPr>
          </w:p>
        </w:tc>
        <w:tc>
          <w:tcPr>
            <w:tcW w:w="1134" w:type="dxa"/>
            <w:vMerge/>
            <w:vAlign w:val="center"/>
            <w:hideMark/>
          </w:tcPr>
          <w:p w:rsidR="00A31A18" w:rsidRPr="00955C08" w:rsidRDefault="00A31A18" w:rsidP="00A31A18">
            <w:pPr>
              <w:rPr>
                <w:i/>
                <w:iCs/>
                <w:color w:val="000000"/>
                <w:sz w:val="20"/>
                <w:szCs w:val="20"/>
              </w:rPr>
            </w:pPr>
          </w:p>
        </w:tc>
        <w:tc>
          <w:tcPr>
            <w:tcW w:w="1276" w:type="dxa"/>
            <w:vMerge/>
            <w:vAlign w:val="center"/>
            <w:hideMark/>
          </w:tcPr>
          <w:p w:rsidR="00A31A18" w:rsidRPr="00955C08" w:rsidRDefault="00A31A18" w:rsidP="00A31A18">
            <w:pPr>
              <w:rPr>
                <w:i/>
                <w:iCs/>
                <w:color w:val="000000"/>
                <w:sz w:val="20"/>
                <w:szCs w:val="20"/>
              </w:rPr>
            </w:pPr>
          </w:p>
        </w:tc>
        <w:tc>
          <w:tcPr>
            <w:tcW w:w="1134" w:type="dxa"/>
            <w:vMerge/>
            <w:vAlign w:val="center"/>
            <w:hideMark/>
          </w:tcPr>
          <w:p w:rsidR="00A31A18" w:rsidRPr="00955C08" w:rsidRDefault="00A31A18" w:rsidP="00A31A18">
            <w:pPr>
              <w:rPr>
                <w:i/>
                <w:iCs/>
                <w:color w:val="000000"/>
                <w:sz w:val="20"/>
                <w:szCs w:val="20"/>
              </w:rPr>
            </w:pPr>
          </w:p>
        </w:tc>
        <w:tc>
          <w:tcPr>
            <w:tcW w:w="1134" w:type="dxa"/>
            <w:vMerge/>
            <w:vAlign w:val="center"/>
            <w:hideMark/>
          </w:tcPr>
          <w:p w:rsidR="00A31A18" w:rsidRPr="00955C08" w:rsidRDefault="00A31A18" w:rsidP="00A31A18">
            <w:pPr>
              <w:rPr>
                <w:i/>
                <w:iCs/>
                <w:color w:val="000000"/>
                <w:sz w:val="20"/>
                <w:szCs w:val="20"/>
              </w:rPr>
            </w:pPr>
          </w:p>
        </w:tc>
        <w:tc>
          <w:tcPr>
            <w:tcW w:w="1134" w:type="dxa"/>
            <w:vMerge/>
            <w:vAlign w:val="center"/>
            <w:hideMark/>
          </w:tcPr>
          <w:p w:rsidR="00A31A18" w:rsidRPr="00955C08" w:rsidRDefault="00A31A18" w:rsidP="00A31A18">
            <w:pPr>
              <w:rPr>
                <w:i/>
                <w:iCs/>
                <w:color w:val="000000"/>
                <w:sz w:val="20"/>
                <w:szCs w:val="20"/>
              </w:rPr>
            </w:pPr>
          </w:p>
        </w:tc>
        <w:tc>
          <w:tcPr>
            <w:tcW w:w="1134" w:type="dxa"/>
            <w:vMerge/>
            <w:vAlign w:val="center"/>
            <w:hideMark/>
          </w:tcPr>
          <w:p w:rsidR="00A31A18" w:rsidRPr="00955C08" w:rsidRDefault="00A31A18" w:rsidP="00A31A18">
            <w:pPr>
              <w:rPr>
                <w:i/>
                <w:iCs/>
                <w:color w:val="000000"/>
                <w:sz w:val="20"/>
                <w:szCs w:val="20"/>
              </w:rPr>
            </w:pPr>
          </w:p>
        </w:tc>
      </w:tr>
      <w:tr w:rsidR="00A31A18" w:rsidRPr="00955C08" w:rsidTr="00955C08">
        <w:trPr>
          <w:trHeight w:val="209"/>
        </w:trPr>
        <w:tc>
          <w:tcPr>
            <w:tcW w:w="3828" w:type="dxa"/>
            <w:tcBorders>
              <w:bottom w:val="nil"/>
            </w:tcBorders>
            <w:shd w:val="clear" w:color="auto" w:fill="auto"/>
            <w:hideMark/>
          </w:tcPr>
          <w:p w:rsidR="00A31A18" w:rsidRPr="00955C08" w:rsidRDefault="00A31A18" w:rsidP="00A31A18">
            <w:pPr>
              <w:rPr>
                <w:color w:val="000000"/>
                <w:sz w:val="20"/>
                <w:szCs w:val="20"/>
              </w:rPr>
            </w:pPr>
            <w:r w:rsidRPr="00955C08">
              <w:rPr>
                <w:color w:val="000000"/>
                <w:sz w:val="20"/>
                <w:szCs w:val="20"/>
              </w:rPr>
              <w:t>ВРП, млн. руб.,</w:t>
            </w:r>
          </w:p>
        </w:tc>
        <w:tc>
          <w:tcPr>
            <w:tcW w:w="1134" w:type="dxa"/>
            <w:tcBorders>
              <w:bottom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777 810,4</w:t>
            </w:r>
          </w:p>
        </w:tc>
        <w:tc>
          <w:tcPr>
            <w:tcW w:w="1276" w:type="dxa"/>
            <w:tcBorders>
              <w:bottom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w:t>
            </w:r>
          </w:p>
        </w:tc>
        <w:tc>
          <w:tcPr>
            <w:tcW w:w="1134" w:type="dxa"/>
            <w:tcBorders>
              <w:bottom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813 589,7</w:t>
            </w:r>
          </w:p>
        </w:tc>
        <w:tc>
          <w:tcPr>
            <w:tcW w:w="1134" w:type="dxa"/>
            <w:tcBorders>
              <w:bottom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864 455,3</w:t>
            </w:r>
          </w:p>
        </w:tc>
        <w:tc>
          <w:tcPr>
            <w:tcW w:w="1134" w:type="dxa"/>
            <w:tcBorders>
              <w:bottom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50 865,6</w:t>
            </w:r>
          </w:p>
        </w:tc>
        <w:tc>
          <w:tcPr>
            <w:tcW w:w="1134" w:type="dxa"/>
            <w:tcBorders>
              <w:bottom w:val="nil"/>
            </w:tcBorders>
            <w:shd w:val="clear" w:color="000000" w:fill="FFFFFF"/>
            <w:noWrap/>
            <w:hideMark/>
          </w:tcPr>
          <w:p w:rsidR="00A31A18" w:rsidRPr="00955C08" w:rsidRDefault="00A31A18" w:rsidP="00955C08">
            <w:pPr>
              <w:jc w:val="center"/>
              <w:rPr>
                <w:color w:val="000000"/>
                <w:sz w:val="20"/>
                <w:szCs w:val="20"/>
              </w:rPr>
            </w:pPr>
            <w:r w:rsidRPr="00955C08">
              <w:rPr>
                <w:color w:val="000000"/>
                <w:sz w:val="20"/>
                <w:szCs w:val="20"/>
              </w:rPr>
              <w:t>35 779,3</w:t>
            </w:r>
          </w:p>
        </w:tc>
      </w:tr>
      <w:tr w:rsidR="00A31A18" w:rsidRPr="00955C08" w:rsidTr="00955C08">
        <w:trPr>
          <w:trHeight w:val="433"/>
        </w:trPr>
        <w:tc>
          <w:tcPr>
            <w:tcW w:w="3828" w:type="dxa"/>
            <w:tcBorders>
              <w:top w:val="nil"/>
            </w:tcBorders>
            <w:shd w:val="clear" w:color="auto" w:fill="auto"/>
            <w:hideMark/>
          </w:tcPr>
          <w:p w:rsidR="00A31A18" w:rsidRPr="00955C08" w:rsidRDefault="00F859C6" w:rsidP="00F859C6">
            <w:pPr>
              <w:rPr>
                <w:i/>
                <w:color w:val="000000"/>
                <w:sz w:val="20"/>
                <w:szCs w:val="20"/>
              </w:rPr>
            </w:pPr>
            <w:r>
              <w:rPr>
                <w:color w:val="000000"/>
                <w:sz w:val="20"/>
                <w:szCs w:val="20"/>
              </w:rPr>
              <w:t>-</w:t>
            </w:r>
            <w:r w:rsidR="00A31A18" w:rsidRPr="00955C08">
              <w:rPr>
                <w:color w:val="000000"/>
                <w:sz w:val="20"/>
                <w:szCs w:val="20"/>
              </w:rPr>
              <w:t xml:space="preserve">индекс физического объема </w:t>
            </w:r>
            <w:proofErr w:type="gramStart"/>
            <w:r w:rsidR="00A31A18" w:rsidRPr="00955C08">
              <w:rPr>
                <w:color w:val="000000"/>
                <w:sz w:val="20"/>
                <w:szCs w:val="20"/>
              </w:rPr>
              <w:t>в</w:t>
            </w:r>
            <w:proofErr w:type="gramEnd"/>
            <w:r w:rsidR="00A31A18" w:rsidRPr="00955C08">
              <w:rPr>
                <w:color w:val="000000"/>
                <w:sz w:val="20"/>
                <w:szCs w:val="20"/>
              </w:rPr>
              <w:t xml:space="preserve"> % </w:t>
            </w:r>
            <w:proofErr w:type="gramStart"/>
            <w:r w:rsidR="00A31A18" w:rsidRPr="00955C08">
              <w:rPr>
                <w:color w:val="000000"/>
                <w:sz w:val="20"/>
                <w:szCs w:val="20"/>
              </w:rPr>
              <w:t>к</w:t>
            </w:r>
            <w:proofErr w:type="gramEnd"/>
            <w:r w:rsidR="00A31A18" w:rsidRPr="00955C08">
              <w:rPr>
                <w:color w:val="000000"/>
                <w:sz w:val="20"/>
                <w:szCs w:val="20"/>
              </w:rPr>
              <w:t xml:space="preserve"> предыдущему году в сопоставимых ценах</w:t>
            </w:r>
          </w:p>
        </w:tc>
        <w:tc>
          <w:tcPr>
            <w:tcW w:w="1134" w:type="dxa"/>
            <w:tcBorders>
              <w:top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101,0</w:t>
            </w:r>
          </w:p>
        </w:tc>
        <w:tc>
          <w:tcPr>
            <w:tcW w:w="1276" w:type="dxa"/>
            <w:tcBorders>
              <w:top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w:t>
            </w:r>
          </w:p>
        </w:tc>
        <w:tc>
          <w:tcPr>
            <w:tcW w:w="1134" w:type="dxa"/>
            <w:tcBorders>
              <w:top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100,0</w:t>
            </w:r>
          </w:p>
        </w:tc>
        <w:tc>
          <w:tcPr>
            <w:tcW w:w="1134" w:type="dxa"/>
            <w:tcBorders>
              <w:top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101,0</w:t>
            </w:r>
          </w:p>
        </w:tc>
        <w:tc>
          <w:tcPr>
            <w:tcW w:w="1134" w:type="dxa"/>
            <w:tcBorders>
              <w:top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1,0</w:t>
            </w:r>
          </w:p>
        </w:tc>
        <w:tc>
          <w:tcPr>
            <w:tcW w:w="1134" w:type="dxa"/>
            <w:tcBorders>
              <w:top w:val="nil"/>
            </w:tcBorders>
            <w:shd w:val="clear" w:color="000000" w:fill="FFFFFF"/>
            <w:noWrap/>
            <w:hideMark/>
          </w:tcPr>
          <w:p w:rsidR="00A31A18" w:rsidRPr="00955C08" w:rsidRDefault="00A31A18" w:rsidP="00955C08">
            <w:pPr>
              <w:jc w:val="center"/>
              <w:rPr>
                <w:color w:val="000000"/>
                <w:sz w:val="20"/>
                <w:szCs w:val="20"/>
              </w:rPr>
            </w:pPr>
            <w:r w:rsidRPr="00955C08">
              <w:rPr>
                <w:color w:val="000000"/>
                <w:sz w:val="20"/>
                <w:szCs w:val="20"/>
              </w:rPr>
              <w:t>-1,0</w:t>
            </w:r>
          </w:p>
        </w:tc>
      </w:tr>
      <w:tr w:rsidR="00A31A18" w:rsidRPr="00955C08" w:rsidTr="00955C08">
        <w:trPr>
          <w:trHeight w:val="907"/>
        </w:trPr>
        <w:tc>
          <w:tcPr>
            <w:tcW w:w="3828" w:type="dxa"/>
            <w:tcBorders>
              <w:bottom w:val="single" w:sz="2" w:space="0" w:color="auto"/>
            </w:tcBorders>
            <w:shd w:val="clear" w:color="auto" w:fill="auto"/>
            <w:hideMark/>
          </w:tcPr>
          <w:p w:rsidR="00A31A18" w:rsidRPr="00955C08" w:rsidRDefault="00A31A18" w:rsidP="00955C08">
            <w:pPr>
              <w:rPr>
                <w:color w:val="000000"/>
                <w:sz w:val="20"/>
                <w:szCs w:val="20"/>
              </w:rPr>
            </w:pPr>
            <w:r w:rsidRPr="00955C08">
              <w:rPr>
                <w:color w:val="000000"/>
                <w:sz w:val="20"/>
                <w:szCs w:val="20"/>
              </w:rPr>
              <w:t>Объем отгруженных товаров собственного производства, выполненных работ и услуг собственными силами, млн. руб.</w:t>
            </w:r>
          </w:p>
        </w:tc>
        <w:tc>
          <w:tcPr>
            <w:tcW w:w="1134" w:type="dxa"/>
            <w:tcBorders>
              <w:bottom w:val="single" w:sz="2" w:space="0" w:color="auto"/>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727 485,8</w:t>
            </w:r>
          </w:p>
        </w:tc>
        <w:tc>
          <w:tcPr>
            <w:tcW w:w="1276" w:type="dxa"/>
            <w:tcBorders>
              <w:bottom w:val="single" w:sz="2" w:space="0" w:color="auto"/>
            </w:tcBorders>
            <w:shd w:val="clear" w:color="000000" w:fill="FFFFFF"/>
            <w:hideMark/>
          </w:tcPr>
          <w:p w:rsidR="00A31A18" w:rsidRPr="00955C08" w:rsidRDefault="00A31A18" w:rsidP="00955C08">
            <w:pPr>
              <w:jc w:val="center"/>
              <w:rPr>
                <w:sz w:val="20"/>
                <w:szCs w:val="20"/>
              </w:rPr>
            </w:pPr>
            <w:r w:rsidRPr="00955C08">
              <w:rPr>
                <w:sz w:val="20"/>
                <w:szCs w:val="20"/>
              </w:rPr>
              <w:t>527 981,9</w:t>
            </w:r>
          </w:p>
        </w:tc>
        <w:tc>
          <w:tcPr>
            <w:tcW w:w="1134" w:type="dxa"/>
            <w:tcBorders>
              <w:bottom w:val="single" w:sz="2" w:space="0" w:color="auto"/>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697 541,7</w:t>
            </w:r>
          </w:p>
        </w:tc>
        <w:tc>
          <w:tcPr>
            <w:tcW w:w="1134" w:type="dxa"/>
            <w:tcBorders>
              <w:bottom w:val="single" w:sz="2" w:space="0" w:color="auto"/>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747 700,0</w:t>
            </w:r>
          </w:p>
        </w:tc>
        <w:tc>
          <w:tcPr>
            <w:tcW w:w="1134" w:type="dxa"/>
            <w:tcBorders>
              <w:bottom w:val="single" w:sz="2" w:space="0" w:color="auto"/>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50 158,3</w:t>
            </w:r>
          </w:p>
        </w:tc>
        <w:tc>
          <w:tcPr>
            <w:tcW w:w="1134" w:type="dxa"/>
            <w:tcBorders>
              <w:bottom w:val="single" w:sz="2" w:space="0" w:color="auto"/>
            </w:tcBorders>
            <w:shd w:val="clear" w:color="000000" w:fill="FFFFFF"/>
            <w:noWrap/>
            <w:hideMark/>
          </w:tcPr>
          <w:p w:rsidR="00A31A18" w:rsidRPr="00955C08" w:rsidRDefault="00A31A18" w:rsidP="00955C08">
            <w:pPr>
              <w:jc w:val="center"/>
              <w:rPr>
                <w:color w:val="000000"/>
                <w:sz w:val="20"/>
                <w:szCs w:val="20"/>
              </w:rPr>
            </w:pPr>
            <w:r w:rsidRPr="00955C08">
              <w:rPr>
                <w:color w:val="000000"/>
                <w:sz w:val="20"/>
                <w:szCs w:val="20"/>
              </w:rPr>
              <w:t>-29 944,1</w:t>
            </w:r>
          </w:p>
        </w:tc>
      </w:tr>
      <w:tr w:rsidR="00A31A18" w:rsidRPr="00955C08" w:rsidTr="00955C08">
        <w:trPr>
          <w:trHeight w:val="373"/>
        </w:trPr>
        <w:tc>
          <w:tcPr>
            <w:tcW w:w="3828" w:type="dxa"/>
            <w:tcBorders>
              <w:bottom w:val="nil"/>
            </w:tcBorders>
            <w:shd w:val="clear" w:color="auto" w:fill="auto"/>
            <w:hideMark/>
          </w:tcPr>
          <w:p w:rsidR="00A31A18" w:rsidRPr="00955C08" w:rsidRDefault="00A31A18" w:rsidP="00A31A18">
            <w:pPr>
              <w:rPr>
                <w:color w:val="000000"/>
                <w:sz w:val="20"/>
                <w:szCs w:val="20"/>
              </w:rPr>
            </w:pPr>
            <w:r w:rsidRPr="00955C08">
              <w:rPr>
                <w:color w:val="000000"/>
                <w:sz w:val="20"/>
                <w:szCs w:val="20"/>
              </w:rPr>
              <w:t>Индекс</w:t>
            </w:r>
            <w:r w:rsidRPr="00955C08">
              <w:rPr>
                <w:i/>
                <w:color w:val="000000"/>
                <w:sz w:val="20"/>
                <w:szCs w:val="20"/>
              </w:rPr>
              <w:t xml:space="preserve"> </w:t>
            </w:r>
            <w:r w:rsidRPr="00955C08">
              <w:rPr>
                <w:color w:val="000000"/>
                <w:sz w:val="20"/>
                <w:szCs w:val="20"/>
              </w:rPr>
              <w:t>промышленного производства, %</w:t>
            </w:r>
          </w:p>
        </w:tc>
        <w:tc>
          <w:tcPr>
            <w:tcW w:w="1134" w:type="dxa"/>
            <w:tcBorders>
              <w:bottom w:val="nil"/>
            </w:tcBorders>
            <w:shd w:val="clear" w:color="000000" w:fill="FFFFFF"/>
            <w:hideMark/>
          </w:tcPr>
          <w:p w:rsidR="00955C08" w:rsidRPr="00955C08" w:rsidRDefault="00955C08" w:rsidP="00955C08">
            <w:pPr>
              <w:jc w:val="center"/>
              <w:rPr>
                <w:color w:val="000000"/>
                <w:sz w:val="20"/>
                <w:szCs w:val="20"/>
              </w:rPr>
            </w:pPr>
            <w:r>
              <w:rPr>
                <w:color w:val="000000"/>
                <w:sz w:val="20"/>
                <w:szCs w:val="20"/>
              </w:rPr>
              <w:t>101,1</w:t>
            </w:r>
          </w:p>
        </w:tc>
        <w:tc>
          <w:tcPr>
            <w:tcW w:w="1276" w:type="dxa"/>
            <w:tcBorders>
              <w:bottom w:val="nil"/>
            </w:tcBorders>
            <w:shd w:val="clear" w:color="000000" w:fill="FFFFFF"/>
            <w:hideMark/>
          </w:tcPr>
          <w:p w:rsidR="00955C08" w:rsidRPr="00955C08" w:rsidRDefault="00955C08" w:rsidP="00955C08">
            <w:pPr>
              <w:jc w:val="center"/>
              <w:rPr>
                <w:sz w:val="20"/>
                <w:szCs w:val="20"/>
              </w:rPr>
            </w:pPr>
            <w:r>
              <w:rPr>
                <w:sz w:val="20"/>
                <w:szCs w:val="20"/>
              </w:rPr>
              <w:t>103,6</w:t>
            </w:r>
          </w:p>
        </w:tc>
        <w:tc>
          <w:tcPr>
            <w:tcW w:w="1134" w:type="dxa"/>
            <w:tcBorders>
              <w:bottom w:val="nil"/>
            </w:tcBorders>
            <w:shd w:val="clear" w:color="000000" w:fill="FFFFFF"/>
            <w:hideMark/>
          </w:tcPr>
          <w:p w:rsidR="00955C08" w:rsidRPr="00955C08" w:rsidRDefault="00955C08" w:rsidP="00955C08">
            <w:pPr>
              <w:jc w:val="center"/>
              <w:rPr>
                <w:color w:val="000000"/>
                <w:sz w:val="20"/>
                <w:szCs w:val="20"/>
              </w:rPr>
            </w:pPr>
            <w:r>
              <w:rPr>
                <w:color w:val="000000"/>
                <w:sz w:val="20"/>
                <w:szCs w:val="20"/>
              </w:rPr>
              <w:t>100,5</w:t>
            </w:r>
          </w:p>
        </w:tc>
        <w:tc>
          <w:tcPr>
            <w:tcW w:w="1134" w:type="dxa"/>
            <w:tcBorders>
              <w:bottom w:val="nil"/>
            </w:tcBorders>
            <w:shd w:val="clear" w:color="000000" w:fill="FFFFFF"/>
            <w:hideMark/>
          </w:tcPr>
          <w:p w:rsidR="00955C08" w:rsidRPr="00955C08" w:rsidRDefault="00955C08" w:rsidP="00955C08">
            <w:pPr>
              <w:jc w:val="center"/>
              <w:rPr>
                <w:color w:val="000000"/>
                <w:sz w:val="20"/>
                <w:szCs w:val="20"/>
              </w:rPr>
            </w:pPr>
            <w:r>
              <w:rPr>
                <w:color w:val="000000"/>
                <w:sz w:val="20"/>
                <w:szCs w:val="20"/>
              </w:rPr>
              <w:t>101,5</w:t>
            </w:r>
          </w:p>
        </w:tc>
        <w:tc>
          <w:tcPr>
            <w:tcW w:w="1134" w:type="dxa"/>
            <w:tcBorders>
              <w:bottom w:val="nil"/>
            </w:tcBorders>
            <w:shd w:val="clear" w:color="000000" w:fill="FFFFFF"/>
            <w:hideMark/>
          </w:tcPr>
          <w:p w:rsidR="00955C08" w:rsidRPr="00955C08" w:rsidRDefault="00955C08" w:rsidP="00955C08">
            <w:pPr>
              <w:jc w:val="center"/>
              <w:rPr>
                <w:color w:val="000000"/>
                <w:sz w:val="20"/>
                <w:szCs w:val="20"/>
              </w:rPr>
            </w:pPr>
            <w:r>
              <w:rPr>
                <w:color w:val="000000"/>
                <w:sz w:val="20"/>
                <w:szCs w:val="20"/>
              </w:rPr>
              <w:t>1,0</w:t>
            </w:r>
          </w:p>
        </w:tc>
        <w:tc>
          <w:tcPr>
            <w:tcW w:w="1134" w:type="dxa"/>
            <w:tcBorders>
              <w:bottom w:val="nil"/>
            </w:tcBorders>
            <w:shd w:val="clear" w:color="000000" w:fill="FFFFFF"/>
            <w:noWrap/>
            <w:hideMark/>
          </w:tcPr>
          <w:p w:rsidR="00955C08" w:rsidRPr="00955C08" w:rsidRDefault="00955C08" w:rsidP="00955C08">
            <w:pPr>
              <w:jc w:val="center"/>
              <w:rPr>
                <w:color w:val="000000"/>
                <w:sz w:val="20"/>
                <w:szCs w:val="20"/>
              </w:rPr>
            </w:pPr>
            <w:r>
              <w:rPr>
                <w:color w:val="000000"/>
                <w:sz w:val="20"/>
                <w:szCs w:val="20"/>
              </w:rPr>
              <w:t>-0,6</w:t>
            </w:r>
          </w:p>
        </w:tc>
      </w:tr>
      <w:tr w:rsidR="00A31A18" w:rsidRPr="00955C08" w:rsidTr="00D43F3C">
        <w:trPr>
          <w:trHeight w:val="74"/>
        </w:trPr>
        <w:tc>
          <w:tcPr>
            <w:tcW w:w="3828" w:type="dxa"/>
            <w:tcBorders>
              <w:top w:val="nil"/>
            </w:tcBorders>
            <w:shd w:val="clear" w:color="auto" w:fill="auto"/>
            <w:hideMark/>
          </w:tcPr>
          <w:p w:rsidR="00A31A18" w:rsidRPr="00955C08" w:rsidRDefault="00A31A18" w:rsidP="00A31A18">
            <w:pPr>
              <w:rPr>
                <w:i/>
                <w:color w:val="000000"/>
                <w:sz w:val="20"/>
                <w:szCs w:val="20"/>
              </w:rPr>
            </w:pPr>
            <w:r w:rsidRPr="00955C08">
              <w:rPr>
                <w:i/>
                <w:color w:val="000000"/>
                <w:sz w:val="20"/>
                <w:szCs w:val="20"/>
              </w:rPr>
              <w:t xml:space="preserve"> </w:t>
            </w:r>
          </w:p>
        </w:tc>
        <w:tc>
          <w:tcPr>
            <w:tcW w:w="1134" w:type="dxa"/>
            <w:tcBorders>
              <w:top w:val="nil"/>
            </w:tcBorders>
            <w:shd w:val="clear" w:color="000000" w:fill="FFFFFF"/>
            <w:hideMark/>
          </w:tcPr>
          <w:p w:rsidR="00A31A18" w:rsidRPr="00955C08" w:rsidRDefault="00A31A18" w:rsidP="00955C08">
            <w:pPr>
              <w:jc w:val="center"/>
              <w:rPr>
                <w:color w:val="000000"/>
                <w:sz w:val="20"/>
                <w:szCs w:val="20"/>
              </w:rPr>
            </w:pPr>
          </w:p>
        </w:tc>
        <w:tc>
          <w:tcPr>
            <w:tcW w:w="1276" w:type="dxa"/>
            <w:tcBorders>
              <w:top w:val="nil"/>
            </w:tcBorders>
            <w:shd w:val="clear" w:color="000000" w:fill="FFFFFF"/>
            <w:hideMark/>
          </w:tcPr>
          <w:p w:rsidR="00A31A18" w:rsidRPr="00955C08" w:rsidRDefault="00A31A18" w:rsidP="00955C08">
            <w:pPr>
              <w:jc w:val="center"/>
              <w:rPr>
                <w:color w:val="000000"/>
                <w:sz w:val="20"/>
                <w:szCs w:val="20"/>
              </w:rPr>
            </w:pPr>
          </w:p>
        </w:tc>
        <w:tc>
          <w:tcPr>
            <w:tcW w:w="1134" w:type="dxa"/>
            <w:tcBorders>
              <w:top w:val="nil"/>
            </w:tcBorders>
            <w:shd w:val="clear" w:color="000000" w:fill="FFFFFF"/>
            <w:hideMark/>
          </w:tcPr>
          <w:p w:rsidR="00A31A18" w:rsidRPr="00955C08" w:rsidRDefault="00A31A18" w:rsidP="00955C08">
            <w:pPr>
              <w:jc w:val="center"/>
              <w:rPr>
                <w:color w:val="000000"/>
                <w:sz w:val="20"/>
                <w:szCs w:val="20"/>
              </w:rPr>
            </w:pPr>
          </w:p>
        </w:tc>
        <w:tc>
          <w:tcPr>
            <w:tcW w:w="1134" w:type="dxa"/>
            <w:tcBorders>
              <w:top w:val="nil"/>
            </w:tcBorders>
            <w:shd w:val="clear" w:color="000000" w:fill="FFFFFF"/>
            <w:hideMark/>
          </w:tcPr>
          <w:p w:rsidR="00A31A18" w:rsidRPr="00955C08" w:rsidRDefault="00A31A18" w:rsidP="00955C08">
            <w:pPr>
              <w:jc w:val="center"/>
              <w:rPr>
                <w:color w:val="000000"/>
                <w:sz w:val="20"/>
                <w:szCs w:val="20"/>
              </w:rPr>
            </w:pPr>
          </w:p>
        </w:tc>
        <w:tc>
          <w:tcPr>
            <w:tcW w:w="1134" w:type="dxa"/>
            <w:tcBorders>
              <w:top w:val="nil"/>
            </w:tcBorders>
            <w:shd w:val="clear" w:color="000000" w:fill="FFFFFF"/>
            <w:hideMark/>
          </w:tcPr>
          <w:p w:rsidR="00A31A18" w:rsidRPr="00955C08" w:rsidRDefault="00A31A18" w:rsidP="00955C08">
            <w:pPr>
              <w:jc w:val="center"/>
              <w:rPr>
                <w:color w:val="000000"/>
                <w:sz w:val="20"/>
                <w:szCs w:val="20"/>
              </w:rPr>
            </w:pPr>
          </w:p>
        </w:tc>
        <w:tc>
          <w:tcPr>
            <w:tcW w:w="1134" w:type="dxa"/>
            <w:tcBorders>
              <w:top w:val="nil"/>
            </w:tcBorders>
            <w:shd w:val="clear" w:color="000000" w:fill="FFFFFF"/>
            <w:noWrap/>
            <w:hideMark/>
          </w:tcPr>
          <w:p w:rsidR="00A31A18" w:rsidRPr="00955C08" w:rsidRDefault="00A31A18" w:rsidP="00955C08">
            <w:pPr>
              <w:jc w:val="center"/>
              <w:rPr>
                <w:color w:val="000000"/>
                <w:sz w:val="20"/>
                <w:szCs w:val="20"/>
              </w:rPr>
            </w:pPr>
          </w:p>
        </w:tc>
      </w:tr>
      <w:tr w:rsidR="00A31A18" w:rsidRPr="00955C08" w:rsidTr="00955C08">
        <w:trPr>
          <w:trHeight w:val="383"/>
        </w:trPr>
        <w:tc>
          <w:tcPr>
            <w:tcW w:w="3828" w:type="dxa"/>
            <w:tcBorders>
              <w:bottom w:val="nil"/>
            </w:tcBorders>
            <w:shd w:val="clear" w:color="auto" w:fill="auto"/>
            <w:hideMark/>
          </w:tcPr>
          <w:p w:rsidR="00A31A18" w:rsidRPr="00955C08" w:rsidRDefault="00A31A18" w:rsidP="00A31A18">
            <w:pPr>
              <w:rPr>
                <w:color w:val="000000"/>
                <w:sz w:val="20"/>
                <w:szCs w:val="20"/>
              </w:rPr>
            </w:pPr>
            <w:r w:rsidRPr="00955C08">
              <w:rPr>
                <w:color w:val="000000"/>
                <w:sz w:val="20"/>
                <w:szCs w:val="20"/>
              </w:rPr>
              <w:t>Продукция сельского хозяйства в действующих ценах, млн. руб.,</w:t>
            </w:r>
          </w:p>
        </w:tc>
        <w:tc>
          <w:tcPr>
            <w:tcW w:w="1134" w:type="dxa"/>
            <w:tcBorders>
              <w:bottom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125 238,2</w:t>
            </w:r>
          </w:p>
        </w:tc>
        <w:tc>
          <w:tcPr>
            <w:tcW w:w="1276" w:type="dxa"/>
            <w:tcBorders>
              <w:bottom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120 738,7</w:t>
            </w:r>
          </w:p>
        </w:tc>
        <w:tc>
          <w:tcPr>
            <w:tcW w:w="1134" w:type="dxa"/>
            <w:tcBorders>
              <w:bottom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147 276,4</w:t>
            </w:r>
          </w:p>
        </w:tc>
        <w:tc>
          <w:tcPr>
            <w:tcW w:w="1134" w:type="dxa"/>
            <w:tcBorders>
              <w:bottom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146 264,4</w:t>
            </w:r>
          </w:p>
        </w:tc>
        <w:tc>
          <w:tcPr>
            <w:tcW w:w="1134" w:type="dxa"/>
            <w:tcBorders>
              <w:bottom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-1 012,0</w:t>
            </w:r>
          </w:p>
        </w:tc>
        <w:tc>
          <w:tcPr>
            <w:tcW w:w="1134" w:type="dxa"/>
            <w:tcBorders>
              <w:bottom w:val="nil"/>
            </w:tcBorders>
            <w:shd w:val="clear" w:color="000000" w:fill="FFFFFF"/>
            <w:noWrap/>
            <w:hideMark/>
          </w:tcPr>
          <w:p w:rsidR="00A31A18" w:rsidRPr="00955C08" w:rsidRDefault="00A31A18" w:rsidP="00955C08">
            <w:pPr>
              <w:jc w:val="center"/>
              <w:rPr>
                <w:color w:val="000000"/>
                <w:sz w:val="20"/>
                <w:szCs w:val="20"/>
              </w:rPr>
            </w:pPr>
            <w:r w:rsidRPr="00955C08">
              <w:rPr>
                <w:color w:val="000000"/>
                <w:sz w:val="20"/>
                <w:szCs w:val="20"/>
              </w:rPr>
              <w:t>22 038,2</w:t>
            </w:r>
          </w:p>
        </w:tc>
      </w:tr>
      <w:tr w:rsidR="00A31A18" w:rsidRPr="00955C08" w:rsidTr="00955C08">
        <w:trPr>
          <w:trHeight w:val="189"/>
        </w:trPr>
        <w:tc>
          <w:tcPr>
            <w:tcW w:w="3828" w:type="dxa"/>
            <w:tcBorders>
              <w:top w:val="nil"/>
            </w:tcBorders>
            <w:shd w:val="clear" w:color="auto" w:fill="auto"/>
            <w:hideMark/>
          </w:tcPr>
          <w:p w:rsidR="00A31A18" w:rsidRPr="00955C08" w:rsidRDefault="00A31A18" w:rsidP="00A31A18">
            <w:pPr>
              <w:rPr>
                <w:color w:val="000000"/>
                <w:sz w:val="20"/>
                <w:szCs w:val="20"/>
              </w:rPr>
            </w:pPr>
            <w:r w:rsidRPr="00955C08">
              <w:rPr>
                <w:color w:val="000000"/>
                <w:sz w:val="20"/>
                <w:szCs w:val="20"/>
              </w:rPr>
              <w:t>-индекс пр-ва продукции сельского хозяйства</w:t>
            </w:r>
            <w:r w:rsidR="00A85737">
              <w:rPr>
                <w:color w:val="000000"/>
                <w:sz w:val="20"/>
                <w:szCs w:val="20"/>
              </w:rPr>
              <w:t xml:space="preserve"> в сопоставимых ценах</w:t>
            </w:r>
            <w:r w:rsidRPr="00955C08">
              <w:rPr>
                <w:color w:val="000000"/>
                <w:sz w:val="20"/>
                <w:szCs w:val="20"/>
              </w:rPr>
              <w:t>, %</w:t>
            </w:r>
          </w:p>
        </w:tc>
        <w:tc>
          <w:tcPr>
            <w:tcW w:w="1134" w:type="dxa"/>
            <w:tcBorders>
              <w:top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94,6</w:t>
            </w:r>
          </w:p>
        </w:tc>
        <w:tc>
          <w:tcPr>
            <w:tcW w:w="1276" w:type="dxa"/>
            <w:tcBorders>
              <w:top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108,2</w:t>
            </w:r>
          </w:p>
        </w:tc>
        <w:tc>
          <w:tcPr>
            <w:tcW w:w="1134" w:type="dxa"/>
            <w:tcBorders>
              <w:top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110,2</w:t>
            </w:r>
          </w:p>
        </w:tc>
        <w:tc>
          <w:tcPr>
            <w:tcW w:w="1134" w:type="dxa"/>
            <w:tcBorders>
              <w:top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94,1</w:t>
            </w:r>
          </w:p>
        </w:tc>
        <w:tc>
          <w:tcPr>
            <w:tcW w:w="1134" w:type="dxa"/>
            <w:tcBorders>
              <w:top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-16,1</w:t>
            </w:r>
          </w:p>
        </w:tc>
        <w:tc>
          <w:tcPr>
            <w:tcW w:w="1134" w:type="dxa"/>
            <w:tcBorders>
              <w:top w:val="nil"/>
            </w:tcBorders>
            <w:shd w:val="clear" w:color="000000" w:fill="FFFFFF"/>
            <w:noWrap/>
            <w:hideMark/>
          </w:tcPr>
          <w:p w:rsidR="00A31A18" w:rsidRPr="00955C08" w:rsidRDefault="00A31A18" w:rsidP="00955C08">
            <w:pPr>
              <w:jc w:val="center"/>
              <w:rPr>
                <w:color w:val="000000"/>
                <w:sz w:val="20"/>
                <w:szCs w:val="20"/>
              </w:rPr>
            </w:pPr>
            <w:r w:rsidRPr="00955C08">
              <w:rPr>
                <w:color w:val="000000"/>
                <w:sz w:val="20"/>
                <w:szCs w:val="20"/>
              </w:rPr>
              <w:t>15,6</w:t>
            </w:r>
          </w:p>
        </w:tc>
      </w:tr>
      <w:tr w:rsidR="00A31A18" w:rsidRPr="00955C08" w:rsidTr="00955C08">
        <w:trPr>
          <w:trHeight w:val="371"/>
        </w:trPr>
        <w:tc>
          <w:tcPr>
            <w:tcW w:w="3828" w:type="dxa"/>
            <w:tcBorders>
              <w:bottom w:val="nil"/>
            </w:tcBorders>
            <w:shd w:val="clear" w:color="auto" w:fill="auto"/>
            <w:hideMark/>
          </w:tcPr>
          <w:p w:rsidR="00A31A18" w:rsidRPr="00955C08" w:rsidRDefault="00A31A18" w:rsidP="00A31A18">
            <w:pPr>
              <w:rPr>
                <w:color w:val="000000"/>
                <w:sz w:val="20"/>
                <w:szCs w:val="20"/>
              </w:rPr>
            </w:pPr>
            <w:r w:rsidRPr="00955C08">
              <w:rPr>
                <w:color w:val="000000"/>
                <w:sz w:val="20"/>
                <w:szCs w:val="20"/>
              </w:rPr>
              <w:t>Оборот розничной торговли в действующих ценах, млн. руб.</w:t>
            </w:r>
          </w:p>
        </w:tc>
        <w:tc>
          <w:tcPr>
            <w:tcW w:w="1134" w:type="dxa"/>
            <w:tcBorders>
              <w:bottom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346 899,7</w:t>
            </w:r>
          </w:p>
        </w:tc>
        <w:tc>
          <w:tcPr>
            <w:tcW w:w="1276" w:type="dxa"/>
            <w:tcBorders>
              <w:bottom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256 741,6</w:t>
            </w:r>
          </w:p>
        </w:tc>
        <w:tc>
          <w:tcPr>
            <w:tcW w:w="1134" w:type="dxa"/>
            <w:tcBorders>
              <w:bottom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363 523,5</w:t>
            </w:r>
          </w:p>
        </w:tc>
        <w:tc>
          <w:tcPr>
            <w:tcW w:w="1134" w:type="dxa"/>
            <w:tcBorders>
              <w:bottom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383 153,7</w:t>
            </w:r>
          </w:p>
        </w:tc>
        <w:tc>
          <w:tcPr>
            <w:tcW w:w="1134" w:type="dxa"/>
            <w:tcBorders>
              <w:bottom w:val="nil"/>
            </w:tcBorders>
            <w:shd w:val="clear" w:color="000000" w:fill="FFFFFF"/>
            <w:hideMark/>
          </w:tcPr>
          <w:p w:rsidR="00A31A18" w:rsidRPr="00955C08" w:rsidRDefault="00A31A18" w:rsidP="00955C08">
            <w:pPr>
              <w:jc w:val="center"/>
              <w:rPr>
                <w:color w:val="000000"/>
                <w:sz w:val="20"/>
                <w:szCs w:val="20"/>
              </w:rPr>
            </w:pPr>
            <w:r w:rsidRPr="00955C08">
              <w:rPr>
                <w:color w:val="000000"/>
                <w:sz w:val="20"/>
                <w:szCs w:val="20"/>
              </w:rPr>
              <w:t>19 630,3</w:t>
            </w:r>
          </w:p>
        </w:tc>
        <w:tc>
          <w:tcPr>
            <w:tcW w:w="1134" w:type="dxa"/>
            <w:tcBorders>
              <w:bottom w:val="nil"/>
            </w:tcBorders>
            <w:shd w:val="clear" w:color="000000" w:fill="FFFFFF"/>
            <w:noWrap/>
            <w:hideMark/>
          </w:tcPr>
          <w:p w:rsidR="00A31A18" w:rsidRPr="00955C08" w:rsidRDefault="00A31A18" w:rsidP="00955C08">
            <w:pPr>
              <w:jc w:val="center"/>
              <w:rPr>
                <w:color w:val="000000"/>
                <w:sz w:val="20"/>
                <w:szCs w:val="20"/>
              </w:rPr>
            </w:pPr>
            <w:r w:rsidRPr="00955C08">
              <w:rPr>
                <w:color w:val="000000"/>
                <w:sz w:val="20"/>
                <w:szCs w:val="20"/>
              </w:rPr>
              <w:t>16 623,8</w:t>
            </w:r>
          </w:p>
        </w:tc>
      </w:tr>
      <w:tr w:rsidR="00A31A18" w:rsidRPr="00955C08" w:rsidTr="00955C08">
        <w:trPr>
          <w:trHeight w:val="253"/>
        </w:trPr>
        <w:tc>
          <w:tcPr>
            <w:tcW w:w="3828" w:type="dxa"/>
            <w:tcBorders>
              <w:top w:val="nil"/>
            </w:tcBorders>
            <w:shd w:val="clear" w:color="auto" w:fill="auto"/>
            <w:hideMark/>
          </w:tcPr>
          <w:p w:rsidR="00A31A18" w:rsidRPr="00955C08" w:rsidRDefault="00A31A18" w:rsidP="00A31A18">
            <w:pPr>
              <w:rPr>
                <w:color w:val="000000"/>
                <w:sz w:val="20"/>
                <w:szCs w:val="20"/>
              </w:rPr>
            </w:pPr>
            <w:r w:rsidRPr="00955C08">
              <w:rPr>
                <w:color w:val="000000"/>
                <w:sz w:val="20"/>
                <w:szCs w:val="20"/>
              </w:rPr>
              <w:t>-</w:t>
            </w:r>
            <w:proofErr w:type="gramStart"/>
            <w:r w:rsidRPr="00955C08">
              <w:rPr>
                <w:color w:val="000000"/>
                <w:sz w:val="20"/>
                <w:szCs w:val="20"/>
              </w:rPr>
              <w:t>в</w:t>
            </w:r>
            <w:proofErr w:type="gramEnd"/>
            <w:r w:rsidRPr="00955C08">
              <w:rPr>
                <w:color w:val="000000"/>
                <w:sz w:val="20"/>
                <w:szCs w:val="20"/>
              </w:rPr>
              <w:t xml:space="preserve"> % </w:t>
            </w:r>
            <w:proofErr w:type="gramStart"/>
            <w:r w:rsidRPr="00955C08">
              <w:rPr>
                <w:color w:val="000000"/>
                <w:sz w:val="20"/>
                <w:szCs w:val="20"/>
              </w:rPr>
              <w:t>к</w:t>
            </w:r>
            <w:proofErr w:type="gramEnd"/>
            <w:r w:rsidRPr="00955C08">
              <w:rPr>
                <w:color w:val="000000"/>
                <w:sz w:val="20"/>
                <w:szCs w:val="20"/>
              </w:rPr>
              <w:t xml:space="preserve"> предыдущему году в сопоставимых</w:t>
            </w:r>
            <w:r w:rsidRPr="00955C08">
              <w:rPr>
                <w:i/>
                <w:color w:val="000000"/>
                <w:sz w:val="20"/>
                <w:szCs w:val="20"/>
              </w:rPr>
              <w:t xml:space="preserve"> </w:t>
            </w:r>
            <w:r w:rsidRPr="00955C08">
              <w:rPr>
                <w:color w:val="000000"/>
                <w:sz w:val="20"/>
                <w:szCs w:val="20"/>
              </w:rPr>
              <w:t>ценах</w:t>
            </w:r>
          </w:p>
        </w:tc>
        <w:tc>
          <w:tcPr>
            <w:tcW w:w="1134" w:type="dxa"/>
            <w:tcBorders>
              <w:top w:val="nil"/>
            </w:tcBorders>
            <w:shd w:val="clear" w:color="000000" w:fill="FFFFFF"/>
            <w:hideMark/>
          </w:tcPr>
          <w:p w:rsidR="00A31A18" w:rsidRPr="00955C08" w:rsidRDefault="00A31A18" w:rsidP="00A31A18">
            <w:pPr>
              <w:jc w:val="center"/>
              <w:rPr>
                <w:color w:val="000000"/>
                <w:sz w:val="20"/>
                <w:szCs w:val="20"/>
              </w:rPr>
            </w:pPr>
            <w:r w:rsidRPr="00955C08">
              <w:rPr>
                <w:color w:val="000000"/>
                <w:sz w:val="20"/>
                <w:szCs w:val="20"/>
              </w:rPr>
              <w:t>90,8</w:t>
            </w:r>
          </w:p>
        </w:tc>
        <w:tc>
          <w:tcPr>
            <w:tcW w:w="1276" w:type="dxa"/>
            <w:tcBorders>
              <w:top w:val="nil"/>
            </w:tcBorders>
            <w:shd w:val="clear" w:color="000000" w:fill="FFFFFF"/>
            <w:hideMark/>
          </w:tcPr>
          <w:p w:rsidR="00A31A18" w:rsidRPr="00955C08" w:rsidRDefault="00A31A18" w:rsidP="00A31A18">
            <w:pPr>
              <w:jc w:val="center"/>
              <w:rPr>
                <w:color w:val="000000"/>
                <w:sz w:val="20"/>
                <w:szCs w:val="20"/>
              </w:rPr>
            </w:pPr>
            <w:r w:rsidRPr="00955C08">
              <w:rPr>
                <w:color w:val="000000"/>
                <w:sz w:val="20"/>
                <w:szCs w:val="20"/>
              </w:rPr>
              <w:t>94,7</w:t>
            </w:r>
          </w:p>
        </w:tc>
        <w:tc>
          <w:tcPr>
            <w:tcW w:w="1134" w:type="dxa"/>
            <w:tcBorders>
              <w:top w:val="nil"/>
            </w:tcBorders>
            <w:shd w:val="clear" w:color="000000" w:fill="FFFFFF"/>
            <w:hideMark/>
          </w:tcPr>
          <w:p w:rsidR="00A31A18" w:rsidRPr="00955C08" w:rsidRDefault="00A31A18" w:rsidP="00A31A18">
            <w:pPr>
              <w:jc w:val="center"/>
              <w:rPr>
                <w:color w:val="000000"/>
                <w:sz w:val="20"/>
                <w:szCs w:val="20"/>
              </w:rPr>
            </w:pPr>
            <w:r w:rsidRPr="00955C08">
              <w:rPr>
                <w:color w:val="000000"/>
                <w:sz w:val="20"/>
                <w:szCs w:val="20"/>
              </w:rPr>
              <w:t>97,3</w:t>
            </w:r>
          </w:p>
        </w:tc>
        <w:tc>
          <w:tcPr>
            <w:tcW w:w="1134" w:type="dxa"/>
            <w:tcBorders>
              <w:top w:val="nil"/>
            </w:tcBorders>
            <w:shd w:val="clear" w:color="000000" w:fill="FFFFFF"/>
            <w:hideMark/>
          </w:tcPr>
          <w:p w:rsidR="00A31A18" w:rsidRPr="00955C08" w:rsidRDefault="00A31A18" w:rsidP="00A31A18">
            <w:pPr>
              <w:jc w:val="center"/>
              <w:rPr>
                <w:color w:val="000000"/>
                <w:sz w:val="20"/>
                <w:szCs w:val="20"/>
              </w:rPr>
            </w:pPr>
            <w:r w:rsidRPr="00955C08">
              <w:rPr>
                <w:color w:val="000000"/>
                <w:sz w:val="20"/>
                <w:szCs w:val="20"/>
              </w:rPr>
              <w:t>100</w:t>
            </w:r>
          </w:p>
        </w:tc>
        <w:tc>
          <w:tcPr>
            <w:tcW w:w="1134" w:type="dxa"/>
            <w:tcBorders>
              <w:top w:val="nil"/>
            </w:tcBorders>
            <w:shd w:val="clear" w:color="000000" w:fill="FFFFFF"/>
            <w:hideMark/>
          </w:tcPr>
          <w:p w:rsidR="00A31A18" w:rsidRPr="00955C08" w:rsidRDefault="00A31A18" w:rsidP="00A31A18">
            <w:pPr>
              <w:jc w:val="center"/>
              <w:rPr>
                <w:color w:val="000000"/>
                <w:sz w:val="20"/>
                <w:szCs w:val="20"/>
              </w:rPr>
            </w:pPr>
            <w:r w:rsidRPr="00955C08">
              <w:rPr>
                <w:color w:val="000000"/>
                <w:sz w:val="20"/>
                <w:szCs w:val="20"/>
              </w:rPr>
              <w:t>2,7</w:t>
            </w:r>
          </w:p>
        </w:tc>
        <w:tc>
          <w:tcPr>
            <w:tcW w:w="1134" w:type="dxa"/>
            <w:tcBorders>
              <w:top w:val="nil"/>
            </w:tcBorders>
            <w:shd w:val="clear" w:color="000000" w:fill="FFFFFF"/>
            <w:noWrap/>
            <w:hideMark/>
          </w:tcPr>
          <w:p w:rsidR="00A31A18" w:rsidRPr="00955C08" w:rsidRDefault="00A31A18" w:rsidP="00A31A18">
            <w:pPr>
              <w:rPr>
                <w:color w:val="000000"/>
                <w:sz w:val="20"/>
                <w:szCs w:val="20"/>
              </w:rPr>
            </w:pPr>
            <w:r w:rsidRPr="00955C08">
              <w:rPr>
                <w:color w:val="000000"/>
                <w:sz w:val="20"/>
                <w:szCs w:val="20"/>
              </w:rPr>
              <w:t>6,5</w:t>
            </w:r>
          </w:p>
        </w:tc>
      </w:tr>
      <w:tr w:rsidR="00A31A18" w:rsidRPr="00955C08" w:rsidTr="00955C08">
        <w:trPr>
          <w:trHeight w:val="286"/>
        </w:trPr>
        <w:tc>
          <w:tcPr>
            <w:tcW w:w="3828" w:type="dxa"/>
            <w:tcBorders>
              <w:bottom w:val="nil"/>
            </w:tcBorders>
            <w:shd w:val="clear" w:color="auto" w:fill="auto"/>
            <w:hideMark/>
          </w:tcPr>
          <w:p w:rsidR="00A31A18" w:rsidRPr="00955C08" w:rsidRDefault="00A31A18" w:rsidP="00A31A18">
            <w:pPr>
              <w:rPr>
                <w:color w:val="000000"/>
                <w:sz w:val="20"/>
                <w:szCs w:val="20"/>
              </w:rPr>
            </w:pPr>
            <w:r w:rsidRPr="00955C08">
              <w:rPr>
                <w:color w:val="000000"/>
                <w:sz w:val="20"/>
                <w:szCs w:val="20"/>
              </w:rPr>
              <w:lastRenderedPageBreak/>
              <w:t>Объем платных услуг населению, млн. руб.</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131 503,60</w:t>
            </w:r>
          </w:p>
        </w:tc>
        <w:tc>
          <w:tcPr>
            <w:tcW w:w="1276"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102 984,60</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139 985,10</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148 851,99</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8 866,9</w:t>
            </w:r>
          </w:p>
        </w:tc>
        <w:tc>
          <w:tcPr>
            <w:tcW w:w="1134" w:type="dxa"/>
            <w:tcBorders>
              <w:bottom w:val="nil"/>
            </w:tcBorders>
            <w:shd w:val="clear" w:color="000000" w:fill="FFFFFF"/>
            <w:noWrap/>
            <w:hideMark/>
          </w:tcPr>
          <w:p w:rsidR="00A31A18" w:rsidRPr="00955C08" w:rsidRDefault="00A31A18" w:rsidP="00A0412A">
            <w:pPr>
              <w:jc w:val="center"/>
              <w:rPr>
                <w:color w:val="000000"/>
                <w:sz w:val="20"/>
                <w:szCs w:val="20"/>
              </w:rPr>
            </w:pPr>
            <w:r w:rsidRPr="00955C08">
              <w:rPr>
                <w:color w:val="000000"/>
                <w:sz w:val="20"/>
                <w:szCs w:val="20"/>
              </w:rPr>
              <w:t>8 481,50</w:t>
            </w:r>
          </w:p>
        </w:tc>
      </w:tr>
      <w:tr w:rsidR="00A31A18" w:rsidRPr="00955C08" w:rsidTr="00955C08">
        <w:trPr>
          <w:trHeight w:val="120"/>
        </w:trPr>
        <w:tc>
          <w:tcPr>
            <w:tcW w:w="3828" w:type="dxa"/>
            <w:tcBorders>
              <w:top w:val="nil"/>
            </w:tcBorders>
            <w:shd w:val="clear" w:color="auto" w:fill="auto"/>
            <w:hideMark/>
          </w:tcPr>
          <w:p w:rsidR="00A31A18" w:rsidRPr="00F64CDD" w:rsidRDefault="00A31A18" w:rsidP="00A31A18">
            <w:pPr>
              <w:rPr>
                <w:color w:val="000000"/>
                <w:sz w:val="20"/>
                <w:szCs w:val="20"/>
              </w:rPr>
            </w:pPr>
            <w:r w:rsidRPr="00F64CDD">
              <w:rPr>
                <w:color w:val="000000"/>
                <w:sz w:val="20"/>
                <w:szCs w:val="20"/>
              </w:rPr>
              <w:t>- </w:t>
            </w:r>
            <w:proofErr w:type="gramStart"/>
            <w:r w:rsidRPr="00F64CDD">
              <w:rPr>
                <w:color w:val="000000"/>
                <w:sz w:val="20"/>
                <w:szCs w:val="20"/>
              </w:rPr>
              <w:t>в</w:t>
            </w:r>
            <w:proofErr w:type="gramEnd"/>
            <w:r w:rsidRPr="00F64CDD">
              <w:rPr>
                <w:color w:val="000000"/>
                <w:sz w:val="20"/>
                <w:szCs w:val="20"/>
              </w:rPr>
              <w:t xml:space="preserve"> % </w:t>
            </w:r>
            <w:proofErr w:type="gramStart"/>
            <w:r w:rsidRPr="00F64CDD">
              <w:rPr>
                <w:color w:val="000000"/>
                <w:sz w:val="20"/>
                <w:szCs w:val="20"/>
              </w:rPr>
              <w:t>к</w:t>
            </w:r>
            <w:proofErr w:type="gramEnd"/>
            <w:r w:rsidRPr="00F64CDD">
              <w:rPr>
                <w:color w:val="000000"/>
                <w:sz w:val="20"/>
                <w:szCs w:val="20"/>
              </w:rPr>
              <w:t xml:space="preserve"> предыдущему году в сопоставимых ценах</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98,5</w:t>
            </w:r>
          </w:p>
        </w:tc>
        <w:tc>
          <w:tcPr>
            <w:tcW w:w="1276"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91,4</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99,3</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100,6</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1,3</w:t>
            </w:r>
          </w:p>
        </w:tc>
        <w:tc>
          <w:tcPr>
            <w:tcW w:w="1134" w:type="dxa"/>
            <w:tcBorders>
              <w:top w:val="nil"/>
            </w:tcBorders>
            <w:shd w:val="clear" w:color="000000" w:fill="FFFFFF"/>
            <w:noWrap/>
            <w:hideMark/>
          </w:tcPr>
          <w:p w:rsidR="00A31A18" w:rsidRPr="00955C08" w:rsidRDefault="00A31A18" w:rsidP="00A0412A">
            <w:pPr>
              <w:jc w:val="center"/>
              <w:rPr>
                <w:color w:val="000000"/>
                <w:sz w:val="20"/>
                <w:szCs w:val="20"/>
              </w:rPr>
            </w:pPr>
            <w:r w:rsidRPr="00955C08">
              <w:rPr>
                <w:color w:val="000000"/>
                <w:sz w:val="20"/>
                <w:szCs w:val="20"/>
              </w:rPr>
              <w:t>0,8</w:t>
            </w:r>
          </w:p>
        </w:tc>
      </w:tr>
      <w:tr w:rsidR="00A31A18" w:rsidRPr="00955C08" w:rsidTr="00955C08">
        <w:trPr>
          <w:trHeight w:val="392"/>
        </w:trPr>
        <w:tc>
          <w:tcPr>
            <w:tcW w:w="3828" w:type="dxa"/>
            <w:tcBorders>
              <w:bottom w:val="nil"/>
            </w:tcBorders>
            <w:shd w:val="clear" w:color="auto" w:fill="auto"/>
            <w:hideMark/>
          </w:tcPr>
          <w:p w:rsidR="00A31A18" w:rsidRPr="00955C08" w:rsidRDefault="00A31A18" w:rsidP="00A31A18">
            <w:pPr>
              <w:rPr>
                <w:color w:val="000000"/>
                <w:sz w:val="20"/>
                <w:szCs w:val="20"/>
              </w:rPr>
            </w:pPr>
            <w:r w:rsidRPr="00955C08">
              <w:rPr>
                <w:color w:val="000000"/>
                <w:sz w:val="20"/>
                <w:szCs w:val="20"/>
              </w:rPr>
              <w:t>Инвестиции в основной капитал, млн. руб.,</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193 342,20</w:t>
            </w:r>
          </w:p>
        </w:tc>
        <w:tc>
          <w:tcPr>
            <w:tcW w:w="1276" w:type="dxa"/>
            <w:tcBorders>
              <w:bottom w:val="nil"/>
            </w:tcBorders>
            <w:shd w:val="clear" w:color="000000" w:fill="FFFFFF"/>
            <w:hideMark/>
          </w:tcPr>
          <w:p w:rsidR="00A31A18" w:rsidRPr="00955C08" w:rsidRDefault="00A31A18" w:rsidP="00170AEC">
            <w:pPr>
              <w:jc w:val="center"/>
              <w:rPr>
                <w:color w:val="000000"/>
                <w:sz w:val="20"/>
                <w:szCs w:val="20"/>
              </w:rPr>
            </w:pPr>
            <w:r w:rsidRPr="00955C08">
              <w:rPr>
                <w:color w:val="000000"/>
                <w:sz w:val="20"/>
                <w:szCs w:val="20"/>
              </w:rPr>
              <w:t>78811,2 (янв</w:t>
            </w:r>
            <w:r w:rsidR="00170AEC">
              <w:rPr>
                <w:color w:val="000000"/>
                <w:sz w:val="20"/>
                <w:szCs w:val="20"/>
              </w:rPr>
              <w:t>.</w:t>
            </w:r>
            <w:r w:rsidRPr="00955C08">
              <w:rPr>
                <w:color w:val="000000"/>
                <w:sz w:val="20"/>
                <w:szCs w:val="20"/>
              </w:rPr>
              <w:t>-</w:t>
            </w:r>
            <w:r w:rsidR="00170AEC">
              <w:rPr>
                <w:color w:val="000000"/>
                <w:sz w:val="20"/>
                <w:szCs w:val="20"/>
              </w:rPr>
              <w:t xml:space="preserve"> </w:t>
            </w:r>
            <w:r w:rsidRPr="00955C08">
              <w:rPr>
                <w:color w:val="000000"/>
                <w:sz w:val="20"/>
                <w:szCs w:val="20"/>
              </w:rPr>
              <w:t>июнь 2016)</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185 000,00</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190 000,00</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5 000,0</w:t>
            </w:r>
          </w:p>
        </w:tc>
        <w:tc>
          <w:tcPr>
            <w:tcW w:w="1134" w:type="dxa"/>
            <w:tcBorders>
              <w:bottom w:val="nil"/>
            </w:tcBorders>
            <w:shd w:val="clear" w:color="000000" w:fill="FFFFFF"/>
            <w:noWrap/>
            <w:hideMark/>
          </w:tcPr>
          <w:p w:rsidR="00A31A18" w:rsidRPr="00955C08" w:rsidRDefault="00A31A18" w:rsidP="00A0412A">
            <w:pPr>
              <w:jc w:val="center"/>
              <w:rPr>
                <w:color w:val="000000"/>
                <w:sz w:val="20"/>
                <w:szCs w:val="20"/>
              </w:rPr>
            </w:pPr>
            <w:r w:rsidRPr="00955C08">
              <w:rPr>
                <w:color w:val="000000"/>
                <w:sz w:val="20"/>
                <w:szCs w:val="20"/>
              </w:rPr>
              <w:t>-8 342,20</w:t>
            </w:r>
          </w:p>
        </w:tc>
      </w:tr>
      <w:tr w:rsidR="00A31A18" w:rsidRPr="00955C08" w:rsidTr="00955C08">
        <w:trPr>
          <w:trHeight w:val="420"/>
        </w:trPr>
        <w:tc>
          <w:tcPr>
            <w:tcW w:w="3828" w:type="dxa"/>
            <w:tcBorders>
              <w:top w:val="nil"/>
            </w:tcBorders>
            <w:shd w:val="clear" w:color="auto" w:fill="auto"/>
            <w:hideMark/>
          </w:tcPr>
          <w:p w:rsidR="00A31A18" w:rsidRPr="003B6195" w:rsidRDefault="00A31A18" w:rsidP="00A31A18">
            <w:pPr>
              <w:rPr>
                <w:color w:val="000000"/>
                <w:sz w:val="20"/>
                <w:szCs w:val="20"/>
              </w:rPr>
            </w:pPr>
            <w:r w:rsidRPr="003B6195">
              <w:rPr>
                <w:color w:val="000000"/>
                <w:sz w:val="20"/>
                <w:szCs w:val="20"/>
              </w:rPr>
              <w:t xml:space="preserve">- индекс физического объема инвестиций </w:t>
            </w:r>
            <w:proofErr w:type="gramStart"/>
            <w:r w:rsidRPr="003B6195">
              <w:rPr>
                <w:color w:val="000000"/>
                <w:sz w:val="20"/>
                <w:szCs w:val="20"/>
              </w:rPr>
              <w:t>в</w:t>
            </w:r>
            <w:proofErr w:type="gramEnd"/>
            <w:r w:rsidRPr="003B6195">
              <w:rPr>
                <w:color w:val="000000"/>
                <w:sz w:val="20"/>
                <w:szCs w:val="20"/>
              </w:rPr>
              <w:t xml:space="preserve"> % </w:t>
            </w:r>
            <w:proofErr w:type="gramStart"/>
            <w:r w:rsidRPr="003B6195">
              <w:rPr>
                <w:color w:val="000000"/>
                <w:sz w:val="20"/>
                <w:szCs w:val="20"/>
              </w:rPr>
              <w:t>к</w:t>
            </w:r>
            <w:proofErr w:type="gramEnd"/>
            <w:r w:rsidRPr="003B6195">
              <w:rPr>
                <w:color w:val="000000"/>
                <w:sz w:val="20"/>
                <w:szCs w:val="20"/>
              </w:rPr>
              <w:t xml:space="preserve"> предыдущему году в сопоставимых ценах</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95,7</w:t>
            </w:r>
          </w:p>
        </w:tc>
        <w:tc>
          <w:tcPr>
            <w:tcW w:w="1276" w:type="dxa"/>
            <w:tcBorders>
              <w:top w:val="nil"/>
            </w:tcBorders>
            <w:shd w:val="clear" w:color="000000" w:fill="FFFFFF"/>
            <w:hideMark/>
          </w:tcPr>
          <w:p w:rsidR="00F64CDD" w:rsidRDefault="00A31A18" w:rsidP="00170AEC">
            <w:pPr>
              <w:jc w:val="center"/>
              <w:rPr>
                <w:color w:val="000000"/>
                <w:sz w:val="20"/>
                <w:szCs w:val="20"/>
              </w:rPr>
            </w:pPr>
            <w:r w:rsidRPr="00955C08">
              <w:rPr>
                <w:color w:val="000000"/>
                <w:sz w:val="20"/>
                <w:szCs w:val="20"/>
              </w:rPr>
              <w:t xml:space="preserve">96,9 </w:t>
            </w:r>
          </w:p>
          <w:p w:rsidR="00A31A18" w:rsidRPr="00955C08" w:rsidRDefault="00A31A18" w:rsidP="00170AEC">
            <w:pPr>
              <w:jc w:val="center"/>
              <w:rPr>
                <w:color w:val="000000"/>
                <w:sz w:val="20"/>
                <w:szCs w:val="20"/>
              </w:rPr>
            </w:pPr>
            <w:r w:rsidRPr="00955C08">
              <w:rPr>
                <w:color w:val="000000"/>
                <w:sz w:val="20"/>
                <w:szCs w:val="20"/>
              </w:rPr>
              <w:t>(янв</w:t>
            </w:r>
            <w:r w:rsidR="00170AEC">
              <w:rPr>
                <w:color w:val="000000"/>
                <w:sz w:val="20"/>
                <w:szCs w:val="20"/>
              </w:rPr>
              <w:t>.</w:t>
            </w:r>
            <w:r w:rsidRPr="00955C08">
              <w:rPr>
                <w:color w:val="000000"/>
                <w:sz w:val="20"/>
                <w:szCs w:val="20"/>
              </w:rPr>
              <w:t>-</w:t>
            </w:r>
            <w:r w:rsidR="00170AEC">
              <w:rPr>
                <w:color w:val="000000"/>
                <w:sz w:val="20"/>
                <w:szCs w:val="20"/>
              </w:rPr>
              <w:t xml:space="preserve"> </w:t>
            </w:r>
            <w:r w:rsidRPr="00955C08">
              <w:rPr>
                <w:color w:val="000000"/>
                <w:sz w:val="20"/>
                <w:szCs w:val="20"/>
              </w:rPr>
              <w:t>июнь)</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90,3</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111</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20,7</w:t>
            </w:r>
          </w:p>
        </w:tc>
        <w:tc>
          <w:tcPr>
            <w:tcW w:w="1134" w:type="dxa"/>
            <w:tcBorders>
              <w:top w:val="nil"/>
            </w:tcBorders>
            <w:shd w:val="clear" w:color="000000" w:fill="FFFFFF"/>
            <w:noWrap/>
            <w:hideMark/>
          </w:tcPr>
          <w:p w:rsidR="00A31A18" w:rsidRPr="00955C08" w:rsidRDefault="00A31A18" w:rsidP="00A0412A">
            <w:pPr>
              <w:jc w:val="center"/>
              <w:rPr>
                <w:color w:val="000000"/>
                <w:sz w:val="20"/>
                <w:szCs w:val="20"/>
              </w:rPr>
            </w:pPr>
            <w:r w:rsidRPr="00955C08">
              <w:rPr>
                <w:color w:val="000000"/>
                <w:sz w:val="20"/>
                <w:szCs w:val="20"/>
              </w:rPr>
              <w:t>-5,40</w:t>
            </w:r>
          </w:p>
        </w:tc>
      </w:tr>
      <w:tr w:rsidR="00A31A18" w:rsidRPr="00955C08" w:rsidTr="00955C08">
        <w:trPr>
          <w:trHeight w:val="506"/>
        </w:trPr>
        <w:tc>
          <w:tcPr>
            <w:tcW w:w="3828" w:type="dxa"/>
            <w:tcBorders>
              <w:bottom w:val="nil"/>
            </w:tcBorders>
            <w:shd w:val="clear" w:color="auto" w:fill="auto"/>
            <w:hideMark/>
          </w:tcPr>
          <w:p w:rsidR="00A31A18" w:rsidRPr="00955C08" w:rsidRDefault="00A31A18" w:rsidP="00A31A18">
            <w:pPr>
              <w:rPr>
                <w:color w:val="000000"/>
                <w:sz w:val="20"/>
                <w:szCs w:val="20"/>
              </w:rPr>
            </w:pPr>
            <w:r w:rsidRPr="00955C08">
              <w:rPr>
                <w:color w:val="000000"/>
                <w:sz w:val="20"/>
                <w:szCs w:val="20"/>
              </w:rPr>
              <w:t>Прибыль прибыльных организаций (по полному кругу организаций), млн. руб.*</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132600</w:t>
            </w:r>
          </w:p>
        </w:tc>
        <w:tc>
          <w:tcPr>
            <w:tcW w:w="1276"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43275 (</w:t>
            </w:r>
            <w:proofErr w:type="gramStart"/>
            <w:r w:rsidRPr="00955C08">
              <w:rPr>
                <w:color w:val="000000"/>
                <w:sz w:val="20"/>
                <w:szCs w:val="20"/>
              </w:rPr>
              <w:t>по</w:t>
            </w:r>
            <w:proofErr w:type="gramEnd"/>
            <w:r w:rsidRPr="00955C08">
              <w:rPr>
                <w:color w:val="000000"/>
                <w:sz w:val="20"/>
                <w:szCs w:val="20"/>
              </w:rPr>
              <w:t xml:space="preserve"> крупным и средним)</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142400</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149500</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p>
        </w:tc>
        <w:tc>
          <w:tcPr>
            <w:tcW w:w="1134" w:type="dxa"/>
            <w:tcBorders>
              <w:bottom w:val="nil"/>
            </w:tcBorders>
            <w:shd w:val="clear" w:color="000000" w:fill="FFFFFF"/>
            <w:noWrap/>
            <w:hideMark/>
          </w:tcPr>
          <w:p w:rsidR="00A31A18" w:rsidRPr="00955C08" w:rsidRDefault="00A31A18" w:rsidP="00A0412A">
            <w:pPr>
              <w:jc w:val="center"/>
              <w:rPr>
                <w:color w:val="000000"/>
                <w:sz w:val="20"/>
                <w:szCs w:val="20"/>
              </w:rPr>
            </w:pPr>
            <w:r w:rsidRPr="00955C08">
              <w:rPr>
                <w:color w:val="000000"/>
                <w:sz w:val="20"/>
                <w:szCs w:val="20"/>
              </w:rPr>
              <w:t>9 800,00</w:t>
            </w:r>
          </w:p>
        </w:tc>
      </w:tr>
      <w:tr w:rsidR="00A31A18" w:rsidRPr="00955C08" w:rsidTr="00955C08">
        <w:trPr>
          <w:trHeight w:val="242"/>
        </w:trPr>
        <w:tc>
          <w:tcPr>
            <w:tcW w:w="3828" w:type="dxa"/>
            <w:tcBorders>
              <w:top w:val="nil"/>
            </w:tcBorders>
            <w:shd w:val="clear" w:color="auto" w:fill="auto"/>
            <w:hideMark/>
          </w:tcPr>
          <w:p w:rsidR="00A31A18" w:rsidRPr="003B6195" w:rsidRDefault="00A31A18" w:rsidP="00A31A18">
            <w:pPr>
              <w:rPr>
                <w:color w:val="000000"/>
                <w:sz w:val="20"/>
                <w:szCs w:val="20"/>
              </w:rPr>
            </w:pPr>
            <w:r w:rsidRPr="003B6195">
              <w:rPr>
                <w:color w:val="000000"/>
                <w:sz w:val="20"/>
                <w:szCs w:val="20"/>
              </w:rPr>
              <w:t>-в действующих ценах к предыдущему году, %</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112,3</w:t>
            </w:r>
          </w:p>
        </w:tc>
        <w:tc>
          <w:tcPr>
            <w:tcW w:w="1276"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65,3</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107,4</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105,0</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p>
        </w:tc>
        <w:tc>
          <w:tcPr>
            <w:tcW w:w="1134" w:type="dxa"/>
            <w:tcBorders>
              <w:top w:val="nil"/>
            </w:tcBorders>
            <w:shd w:val="clear" w:color="000000" w:fill="FFFFFF"/>
            <w:noWrap/>
            <w:hideMark/>
          </w:tcPr>
          <w:p w:rsidR="00A31A18" w:rsidRPr="00955C08" w:rsidRDefault="00A31A18" w:rsidP="00A0412A">
            <w:pPr>
              <w:jc w:val="center"/>
              <w:rPr>
                <w:color w:val="000000"/>
                <w:sz w:val="20"/>
                <w:szCs w:val="20"/>
              </w:rPr>
            </w:pPr>
            <w:r w:rsidRPr="00955C08">
              <w:rPr>
                <w:color w:val="000000"/>
                <w:sz w:val="20"/>
                <w:szCs w:val="20"/>
              </w:rPr>
              <w:t>-4,90</w:t>
            </w:r>
          </w:p>
        </w:tc>
      </w:tr>
      <w:tr w:rsidR="00A31A18" w:rsidRPr="00955C08" w:rsidTr="00955C08">
        <w:trPr>
          <w:trHeight w:val="435"/>
        </w:trPr>
        <w:tc>
          <w:tcPr>
            <w:tcW w:w="3828" w:type="dxa"/>
            <w:tcBorders>
              <w:bottom w:val="nil"/>
            </w:tcBorders>
            <w:shd w:val="clear" w:color="auto" w:fill="auto"/>
            <w:hideMark/>
          </w:tcPr>
          <w:p w:rsidR="00A31A18" w:rsidRPr="00955C08" w:rsidRDefault="00A31A18" w:rsidP="00A31A18">
            <w:pPr>
              <w:rPr>
                <w:color w:val="000000"/>
                <w:sz w:val="20"/>
                <w:szCs w:val="20"/>
              </w:rPr>
            </w:pPr>
            <w:r w:rsidRPr="00955C08">
              <w:rPr>
                <w:color w:val="000000"/>
                <w:sz w:val="20"/>
                <w:szCs w:val="20"/>
              </w:rPr>
              <w:t>Денежные доходы населения, млн. руб.</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673 651,00</w:t>
            </w:r>
          </w:p>
        </w:tc>
        <w:tc>
          <w:tcPr>
            <w:tcW w:w="1276" w:type="dxa"/>
            <w:tcBorders>
              <w:bottom w:val="nil"/>
            </w:tcBorders>
            <w:shd w:val="clear" w:color="000000" w:fill="FFFFFF"/>
            <w:hideMark/>
          </w:tcPr>
          <w:p w:rsidR="00A31A18" w:rsidRPr="00955C08" w:rsidRDefault="00A31A18" w:rsidP="003B6195">
            <w:pPr>
              <w:jc w:val="center"/>
              <w:rPr>
                <w:sz w:val="20"/>
                <w:szCs w:val="20"/>
              </w:rPr>
            </w:pPr>
            <w:r w:rsidRPr="00955C08">
              <w:rPr>
                <w:sz w:val="20"/>
                <w:szCs w:val="20"/>
              </w:rPr>
              <w:t>424700 (янв</w:t>
            </w:r>
            <w:r w:rsidR="003B6195">
              <w:rPr>
                <w:sz w:val="20"/>
                <w:szCs w:val="20"/>
              </w:rPr>
              <w:t>.</w:t>
            </w:r>
            <w:r w:rsidRPr="00955C08">
              <w:rPr>
                <w:sz w:val="20"/>
                <w:szCs w:val="20"/>
              </w:rPr>
              <w:t>-авг</w:t>
            </w:r>
            <w:r w:rsidR="003B6195">
              <w:rPr>
                <w:sz w:val="20"/>
                <w:szCs w:val="20"/>
              </w:rPr>
              <w:t>.</w:t>
            </w:r>
            <w:r w:rsidRPr="00955C08">
              <w:rPr>
                <w:sz w:val="20"/>
                <w:szCs w:val="20"/>
              </w:rPr>
              <w:t>)</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692 800,00</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722 896,90</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30 096,9</w:t>
            </w:r>
          </w:p>
        </w:tc>
        <w:tc>
          <w:tcPr>
            <w:tcW w:w="1134" w:type="dxa"/>
            <w:tcBorders>
              <w:bottom w:val="nil"/>
            </w:tcBorders>
            <w:shd w:val="clear" w:color="000000" w:fill="FFFFFF"/>
            <w:noWrap/>
            <w:hideMark/>
          </w:tcPr>
          <w:p w:rsidR="00A31A18" w:rsidRPr="00955C08" w:rsidRDefault="00A31A18" w:rsidP="00A0412A">
            <w:pPr>
              <w:jc w:val="center"/>
              <w:rPr>
                <w:color w:val="000000"/>
                <w:sz w:val="20"/>
                <w:szCs w:val="20"/>
              </w:rPr>
            </w:pPr>
            <w:r w:rsidRPr="00955C08">
              <w:rPr>
                <w:color w:val="000000"/>
                <w:sz w:val="20"/>
                <w:szCs w:val="20"/>
              </w:rPr>
              <w:t>19 149,00</w:t>
            </w:r>
          </w:p>
        </w:tc>
      </w:tr>
      <w:tr w:rsidR="00A31A18" w:rsidRPr="00955C08" w:rsidTr="00955C08">
        <w:trPr>
          <w:trHeight w:val="251"/>
        </w:trPr>
        <w:tc>
          <w:tcPr>
            <w:tcW w:w="3828" w:type="dxa"/>
            <w:tcBorders>
              <w:top w:val="nil"/>
            </w:tcBorders>
            <w:shd w:val="clear" w:color="auto" w:fill="auto"/>
            <w:hideMark/>
          </w:tcPr>
          <w:p w:rsidR="00A31A18" w:rsidRPr="009A1F4F" w:rsidRDefault="00A31A18" w:rsidP="00A31A18">
            <w:pPr>
              <w:rPr>
                <w:color w:val="000000"/>
                <w:sz w:val="20"/>
                <w:szCs w:val="20"/>
              </w:rPr>
            </w:pPr>
            <w:r w:rsidRPr="009A1F4F">
              <w:rPr>
                <w:color w:val="000000"/>
                <w:sz w:val="20"/>
                <w:szCs w:val="20"/>
              </w:rPr>
              <w:t>-</w:t>
            </w:r>
            <w:r w:rsidRPr="009A1F4F">
              <w:rPr>
                <w:i/>
                <w:color w:val="000000"/>
                <w:sz w:val="20"/>
                <w:szCs w:val="20"/>
              </w:rPr>
              <w:t>%</w:t>
            </w:r>
            <w:r w:rsidRPr="009A1F4F">
              <w:rPr>
                <w:color w:val="000000"/>
                <w:sz w:val="20"/>
                <w:szCs w:val="20"/>
              </w:rPr>
              <w:t xml:space="preserve"> роста к предыдущему году</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114,9</w:t>
            </w:r>
          </w:p>
        </w:tc>
        <w:tc>
          <w:tcPr>
            <w:tcW w:w="1276" w:type="dxa"/>
            <w:tcBorders>
              <w:top w:val="nil"/>
            </w:tcBorders>
            <w:shd w:val="clear" w:color="000000" w:fill="FFFFFF"/>
            <w:hideMark/>
          </w:tcPr>
          <w:p w:rsidR="003B6195" w:rsidRDefault="00A31A18" w:rsidP="003B6195">
            <w:pPr>
              <w:jc w:val="center"/>
              <w:rPr>
                <w:sz w:val="20"/>
                <w:szCs w:val="20"/>
              </w:rPr>
            </w:pPr>
            <w:r w:rsidRPr="00955C08">
              <w:rPr>
                <w:sz w:val="20"/>
                <w:szCs w:val="20"/>
              </w:rPr>
              <w:t xml:space="preserve">100,3 </w:t>
            </w:r>
          </w:p>
          <w:p w:rsidR="00A31A18" w:rsidRPr="00955C08" w:rsidRDefault="00A31A18" w:rsidP="003B6195">
            <w:pPr>
              <w:jc w:val="center"/>
              <w:rPr>
                <w:sz w:val="20"/>
                <w:szCs w:val="20"/>
              </w:rPr>
            </w:pPr>
            <w:r w:rsidRPr="00955C08">
              <w:rPr>
                <w:sz w:val="20"/>
                <w:szCs w:val="20"/>
              </w:rPr>
              <w:t>(янв</w:t>
            </w:r>
            <w:r w:rsidR="003B6195">
              <w:rPr>
                <w:sz w:val="20"/>
                <w:szCs w:val="20"/>
              </w:rPr>
              <w:t>.</w:t>
            </w:r>
            <w:r w:rsidRPr="00955C08">
              <w:rPr>
                <w:sz w:val="20"/>
                <w:szCs w:val="20"/>
              </w:rPr>
              <w:t>-авг</w:t>
            </w:r>
            <w:r w:rsidR="003B6195">
              <w:rPr>
                <w:sz w:val="20"/>
                <w:szCs w:val="20"/>
              </w:rPr>
              <w:t>.</w:t>
            </w:r>
            <w:r w:rsidRPr="00955C08">
              <w:rPr>
                <w:sz w:val="20"/>
                <w:szCs w:val="20"/>
              </w:rPr>
              <w:t>)</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102,8</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104,3</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1,5</w:t>
            </w:r>
          </w:p>
        </w:tc>
        <w:tc>
          <w:tcPr>
            <w:tcW w:w="1134" w:type="dxa"/>
            <w:tcBorders>
              <w:top w:val="nil"/>
            </w:tcBorders>
            <w:shd w:val="clear" w:color="000000" w:fill="FFFFFF"/>
            <w:noWrap/>
            <w:hideMark/>
          </w:tcPr>
          <w:p w:rsidR="00A31A18" w:rsidRPr="00955C08" w:rsidRDefault="00A31A18" w:rsidP="00A0412A">
            <w:pPr>
              <w:jc w:val="center"/>
              <w:rPr>
                <w:color w:val="000000"/>
                <w:sz w:val="20"/>
                <w:szCs w:val="20"/>
              </w:rPr>
            </w:pPr>
            <w:r w:rsidRPr="00955C08">
              <w:rPr>
                <w:color w:val="000000"/>
                <w:sz w:val="20"/>
                <w:szCs w:val="20"/>
              </w:rPr>
              <w:t>-12,10</w:t>
            </w:r>
          </w:p>
        </w:tc>
      </w:tr>
      <w:tr w:rsidR="00A31A18" w:rsidRPr="00955C08" w:rsidTr="00955C08">
        <w:trPr>
          <w:trHeight w:val="294"/>
        </w:trPr>
        <w:tc>
          <w:tcPr>
            <w:tcW w:w="3828" w:type="dxa"/>
            <w:tcBorders>
              <w:bottom w:val="nil"/>
            </w:tcBorders>
            <w:shd w:val="clear" w:color="auto" w:fill="auto"/>
            <w:hideMark/>
          </w:tcPr>
          <w:p w:rsidR="00A31A18" w:rsidRPr="00955C08" w:rsidRDefault="00A31A18" w:rsidP="00A31A18">
            <w:pPr>
              <w:rPr>
                <w:color w:val="000000"/>
                <w:sz w:val="20"/>
                <w:szCs w:val="20"/>
              </w:rPr>
            </w:pPr>
            <w:r w:rsidRPr="00955C08">
              <w:rPr>
                <w:color w:val="000000"/>
                <w:sz w:val="20"/>
                <w:szCs w:val="20"/>
              </w:rPr>
              <w:t>в т.ч. оплата труда, млн. руб.</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213 633,80</w:t>
            </w:r>
          </w:p>
        </w:tc>
        <w:tc>
          <w:tcPr>
            <w:tcW w:w="1276"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223 982,20</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235 172,60</w:t>
            </w:r>
          </w:p>
        </w:tc>
        <w:tc>
          <w:tcPr>
            <w:tcW w:w="1134" w:type="dxa"/>
            <w:tcBorders>
              <w:bottom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11 190,4</w:t>
            </w:r>
          </w:p>
        </w:tc>
        <w:tc>
          <w:tcPr>
            <w:tcW w:w="1134" w:type="dxa"/>
            <w:tcBorders>
              <w:bottom w:val="nil"/>
            </w:tcBorders>
            <w:shd w:val="clear" w:color="000000" w:fill="FFFFFF"/>
            <w:noWrap/>
            <w:hideMark/>
          </w:tcPr>
          <w:p w:rsidR="00A31A18" w:rsidRPr="00955C08" w:rsidRDefault="00A31A18" w:rsidP="00A0412A">
            <w:pPr>
              <w:jc w:val="center"/>
              <w:rPr>
                <w:color w:val="000000"/>
                <w:sz w:val="20"/>
                <w:szCs w:val="20"/>
              </w:rPr>
            </w:pPr>
            <w:r w:rsidRPr="00955C08">
              <w:rPr>
                <w:color w:val="000000"/>
                <w:sz w:val="20"/>
                <w:szCs w:val="20"/>
              </w:rPr>
              <w:t>10 348,40</w:t>
            </w:r>
          </w:p>
        </w:tc>
      </w:tr>
      <w:tr w:rsidR="00A31A18" w:rsidRPr="00955C08" w:rsidTr="00955C08">
        <w:trPr>
          <w:trHeight w:val="254"/>
        </w:trPr>
        <w:tc>
          <w:tcPr>
            <w:tcW w:w="3828" w:type="dxa"/>
            <w:tcBorders>
              <w:top w:val="nil"/>
            </w:tcBorders>
            <w:shd w:val="clear" w:color="auto" w:fill="auto"/>
            <w:hideMark/>
          </w:tcPr>
          <w:p w:rsidR="00A31A18" w:rsidRPr="009A1F4F" w:rsidRDefault="00A31A18" w:rsidP="00A31A18">
            <w:pPr>
              <w:rPr>
                <w:color w:val="000000"/>
                <w:sz w:val="20"/>
                <w:szCs w:val="20"/>
              </w:rPr>
            </w:pPr>
            <w:r w:rsidRPr="009A1F4F">
              <w:rPr>
                <w:color w:val="000000"/>
                <w:sz w:val="20"/>
                <w:szCs w:val="20"/>
              </w:rPr>
              <w:t>- % роста к предыдущему году</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103,4</w:t>
            </w:r>
          </w:p>
        </w:tc>
        <w:tc>
          <w:tcPr>
            <w:tcW w:w="1276" w:type="dxa"/>
            <w:tcBorders>
              <w:top w:val="nil"/>
            </w:tcBorders>
            <w:shd w:val="clear" w:color="000000" w:fill="FFFFFF"/>
            <w:hideMark/>
          </w:tcPr>
          <w:p w:rsidR="00A31A18" w:rsidRPr="00955C08" w:rsidRDefault="00A31A18" w:rsidP="00A0412A">
            <w:pPr>
              <w:jc w:val="center"/>
              <w:rPr>
                <w:color w:val="00B0F0"/>
                <w:sz w:val="20"/>
                <w:szCs w:val="20"/>
              </w:rPr>
            </w:pPr>
            <w:r w:rsidRPr="00955C08">
              <w:rPr>
                <w:color w:val="00B0F0"/>
                <w:sz w:val="20"/>
                <w:szCs w:val="20"/>
              </w:rPr>
              <w:t>-</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104,8</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105</w:t>
            </w:r>
          </w:p>
        </w:tc>
        <w:tc>
          <w:tcPr>
            <w:tcW w:w="1134" w:type="dxa"/>
            <w:tcBorders>
              <w:top w:val="nil"/>
            </w:tcBorders>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0,2</w:t>
            </w:r>
          </w:p>
        </w:tc>
        <w:tc>
          <w:tcPr>
            <w:tcW w:w="1134" w:type="dxa"/>
            <w:tcBorders>
              <w:top w:val="nil"/>
            </w:tcBorders>
            <w:shd w:val="clear" w:color="000000" w:fill="FFFFFF"/>
            <w:noWrap/>
            <w:hideMark/>
          </w:tcPr>
          <w:p w:rsidR="00A31A18" w:rsidRPr="00955C08" w:rsidRDefault="00A31A18" w:rsidP="00A0412A">
            <w:pPr>
              <w:jc w:val="center"/>
              <w:rPr>
                <w:color w:val="000000"/>
                <w:sz w:val="20"/>
                <w:szCs w:val="20"/>
              </w:rPr>
            </w:pPr>
            <w:r w:rsidRPr="00955C08">
              <w:rPr>
                <w:color w:val="000000"/>
                <w:sz w:val="20"/>
                <w:szCs w:val="20"/>
              </w:rPr>
              <w:t>1,40</w:t>
            </w:r>
          </w:p>
        </w:tc>
      </w:tr>
      <w:tr w:rsidR="00A31A18" w:rsidRPr="00955C08" w:rsidTr="00955C08">
        <w:trPr>
          <w:trHeight w:val="415"/>
        </w:trPr>
        <w:tc>
          <w:tcPr>
            <w:tcW w:w="3828" w:type="dxa"/>
            <w:shd w:val="clear" w:color="auto" w:fill="auto"/>
            <w:hideMark/>
          </w:tcPr>
          <w:p w:rsidR="00A31A18" w:rsidRPr="00955C08" w:rsidRDefault="00A31A18" w:rsidP="00A31A18">
            <w:pPr>
              <w:rPr>
                <w:color w:val="000000"/>
                <w:sz w:val="20"/>
                <w:szCs w:val="20"/>
              </w:rPr>
            </w:pPr>
            <w:r w:rsidRPr="00955C08">
              <w:rPr>
                <w:color w:val="000000"/>
                <w:sz w:val="20"/>
                <w:szCs w:val="20"/>
              </w:rPr>
              <w:t xml:space="preserve">Рост реальных располагаемых денежных доходов населения </w:t>
            </w:r>
            <w:proofErr w:type="gramStart"/>
            <w:r w:rsidRPr="00955C08">
              <w:rPr>
                <w:color w:val="000000"/>
                <w:sz w:val="20"/>
                <w:szCs w:val="20"/>
              </w:rPr>
              <w:t>в</w:t>
            </w:r>
            <w:proofErr w:type="gramEnd"/>
            <w:r w:rsidRPr="00955C08">
              <w:rPr>
                <w:color w:val="000000"/>
                <w:sz w:val="20"/>
                <w:szCs w:val="20"/>
              </w:rPr>
              <w:t xml:space="preserve"> % </w:t>
            </w:r>
            <w:proofErr w:type="gramStart"/>
            <w:r w:rsidRPr="00955C08">
              <w:rPr>
                <w:color w:val="000000"/>
                <w:sz w:val="20"/>
                <w:szCs w:val="20"/>
              </w:rPr>
              <w:t>к</w:t>
            </w:r>
            <w:proofErr w:type="gramEnd"/>
            <w:r w:rsidRPr="00955C08">
              <w:rPr>
                <w:color w:val="000000"/>
                <w:sz w:val="20"/>
                <w:szCs w:val="20"/>
              </w:rPr>
              <w:t xml:space="preserve"> предыдущему году </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98,8</w:t>
            </w:r>
          </w:p>
        </w:tc>
        <w:tc>
          <w:tcPr>
            <w:tcW w:w="1276" w:type="dxa"/>
            <w:shd w:val="clear" w:color="000000" w:fill="FFFFFF"/>
            <w:hideMark/>
          </w:tcPr>
          <w:p w:rsidR="00873175" w:rsidRDefault="00A31A18" w:rsidP="00873175">
            <w:pPr>
              <w:jc w:val="center"/>
              <w:rPr>
                <w:sz w:val="20"/>
                <w:szCs w:val="20"/>
              </w:rPr>
            </w:pPr>
            <w:r w:rsidRPr="00955C08">
              <w:rPr>
                <w:sz w:val="20"/>
                <w:szCs w:val="20"/>
              </w:rPr>
              <w:t xml:space="preserve">96,5 </w:t>
            </w:r>
          </w:p>
          <w:p w:rsidR="00A31A18" w:rsidRPr="00955C08" w:rsidRDefault="00A31A18" w:rsidP="00873175">
            <w:pPr>
              <w:jc w:val="center"/>
              <w:rPr>
                <w:sz w:val="20"/>
                <w:szCs w:val="20"/>
              </w:rPr>
            </w:pPr>
            <w:r w:rsidRPr="00955C08">
              <w:rPr>
                <w:sz w:val="20"/>
                <w:szCs w:val="20"/>
              </w:rPr>
              <w:t>(янв</w:t>
            </w:r>
            <w:r w:rsidR="00873175">
              <w:rPr>
                <w:sz w:val="20"/>
                <w:szCs w:val="20"/>
              </w:rPr>
              <w:t>.</w:t>
            </w:r>
            <w:r w:rsidRPr="00955C08">
              <w:rPr>
                <w:sz w:val="20"/>
                <w:szCs w:val="20"/>
              </w:rPr>
              <w:t>-авг</w:t>
            </w:r>
            <w:r w:rsidR="00873175">
              <w:rPr>
                <w:sz w:val="20"/>
                <w:szCs w:val="20"/>
              </w:rPr>
              <w:t>.</w:t>
            </w:r>
            <w:r w:rsidRPr="00955C08">
              <w:rPr>
                <w:sz w:val="20"/>
                <w:szCs w:val="20"/>
              </w:rPr>
              <w:t>)</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95,7</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98,9</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3,2</w:t>
            </w:r>
          </w:p>
        </w:tc>
        <w:tc>
          <w:tcPr>
            <w:tcW w:w="1134" w:type="dxa"/>
            <w:shd w:val="clear" w:color="000000" w:fill="FFFFFF"/>
            <w:noWrap/>
            <w:hideMark/>
          </w:tcPr>
          <w:p w:rsidR="00A31A18" w:rsidRPr="00955C08" w:rsidRDefault="00A31A18" w:rsidP="00A0412A">
            <w:pPr>
              <w:jc w:val="center"/>
              <w:rPr>
                <w:color w:val="000000"/>
                <w:sz w:val="20"/>
                <w:szCs w:val="20"/>
              </w:rPr>
            </w:pPr>
            <w:r w:rsidRPr="00955C08">
              <w:rPr>
                <w:color w:val="000000"/>
                <w:sz w:val="20"/>
                <w:szCs w:val="20"/>
              </w:rPr>
              <w:t>-3,10</w:t>
            </w:r>
          </w:p>
        </w:tc>
      </w:tr>
      <w:tr w:rsidR="00A31A18" w:rsidRPr="00955C08" w:rsidTr="00955C08">
        <w:trPr>
          <w:trHeight w:val="417"/>
        </w:trPr>
        <w:tc>
          <w:tcPr>
            <w:tcW w:w="3828" w:type="dxa"/>
            <w:shd w:val="clear" w:color="auto" w:fill="auto"/>
            <w:hideMark/>
          </w:tcPr>
          <w:p w:rsidR="00A31A18" w:rsidRPr="00955C08" w:rsidRDefault="00A31A18" w:rsidP="00A31A18">
            <w:pPr>
              <w:rPr>
                <w:color w:val="000000"/>
                <w:sz w:val="20"/>
                <w:szCs w:val="20"/>
              </w:rPr>
            </w:pPr>
            <w:r w:rsidRPr="00955C08">
              <w:rPr>
                <w:color w:val="000000"/>
                <w:sz w:val="20"/>
                <w:szCs w:val="20"/>
              </w:rPr>
              <w:t>Среднегодовая численность занятых в экономике, тыс. чел.</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1 221,10</w:t>
            </w:r>
          </w:p>
        </w:tc>
        <w:tc>
          <w:tcPr>
            <w:tcW w:w="1276"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1 211,30</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1 205,80</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-5,5</w:t>
            </w:r>
          </w:p>
        </w:tc>
        <w:tc>
          <w:tcPr>
            <w:tcW w:w="1134" w:type="dxa"/>
            <w:shd w:val="clear" w:color="000000" w:fill="FFFFFF"/>
            <w:noWrap/>
            <w:hideMark/>
          </w:tcPr>
          <w:p w:rsidR="00A31A18" w:rsidRPr="00955C08" w:rsidRDefault="00A31A18" w:rsidP="00A0412A">
            <w:pPr>
              <w:jc w:val="center"/>
              <w:rPr>
                <w:color w:val="000000"/>
                <w:sz w:val="20"/>
                <w:szCs w:val="20"/>
              </w:rPr>
            </w:pPr>
            <w:r w:rsidRPr="00955C08">
              <w:rPr>
                <w:color w:val="000000"/>
                <w:sz w:val="20"/>
                <w:szCs w:val="20"/>
              </w:rPr>
              <w:t>-9,80</w:t>
            </w:r>
          </w:p>
        </w:tc>
      </w:tr>
      <w:tr w:rsidR="00A31A18" w:rsidRPr="00955C08" w:rsidTr="00955C08">
        <w:trPr>
          <w:trHeight w:val="254"/>
        </w:trPr>
        <w:tc>
          <w:tcPr>
            <w:tcW w:w="3828" w:type="dxa"/>
            <w:shd w:val="clear" w:color="auto" w:fill="auto"/>
            <w:hideMark/>
          </w:tcPr>
          <w:p w:rsidR="00A31A18" w:rsidRPr="00955C08" w:rsidRDefault="00A31A18" w:rsidP="00A31A18">
            <w:pPr>
              <w:rPr>
                <w:color w:val="000000"/>
                <w:sz w:val="20"/>
                <w:szCs w:val="20"/>
              </w:rPr>
            </w:pPr>
            <w:r w:rsidRPr="00955C08">
              <w:rPr>
                <w:color w:val="000000"/>
                <w:sz w:val="20"/>
                <w:szCs w:val="20"/>
              </w:rPr>
              <w:t>Уровень безработицы (по методологии МОТ), %</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7,20</w:t>
            </w:r>
          </w:p>
        </w:tc>
        <w:tc>
          <w:tcPr>
            <w:tcW w:w="1276"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7,20</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7,20</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0,0</w:t>
            </w:r>
          </w:p>
        </w:tc>
        <w:tc>
          <w:tcPr>
            <w:tcW w:w="1134" w:type="dxa"/>
            <w:shd w:val="clear" w:color="000000" w:fill="FFFFFF"/>
            <w:noWrap/>
            <w:hideMark/>
          </w:tcPr>
          <w:p w:rsidR="00A31A18" w:rsidRPr="00955C08" w:rsidRDefault="00A31A18" w:rsidP="00A0412A">
            <w:pPr>
              <w:jc w:val="center"/>
              <w:rPr>
                <w:color w:val="000000"/>
                <w:sz w:val="20"/>
                <w:szCs w:val="20"/>
              </w:rPr>
            </w:pPr>
            <w:r w:rsidRPr="00955C08">
              <w:rPr>
                <w:color w:val="000000"/>
                <w:sz w:val="20"/>
                <w:szCs w:val="20"/>
              </w:rPr>
              <w:t>0,0</w:t>
            </w:r>
          </w:p>
        </w:tc>
      </w:tr>
      <w:tr w:rsidR="00A31A18" w:rsidRPr="00955C08" w:rsidTr="00955C08">
        <w:trPr>
          <w:trHeight w:val="413"/>
        </w:trPr>
        <w:tc>
          <w:tcPr>
            <w:tcW w:w="3828" w:type="dxa"/>
            <w:shd w:val="clear" w:color="auto" w:fill="auto"/>
            <w:hideMark/>
          </w:tcPr>
          <w:p w:rsidR="00A31A18" w:rsidRPr="00955C08" w:rsidRDefault="00A31A18" w:rsidP="00A31A18">
            <w:pPr>
              <w:rPr>
                <w:color w:val="000000"/>
                <w:sz w:val="20"/>
                <w:szCs w:val="20"/>
              </w:rPr>
            </w:pPr>
            <w:r w:rsidRPr="00955C08">
              <w:rPr>
                <w:color w:val="000000"/>
                <w:sz w:val="20"/>
                <w:szCs w:val="20"/>
              </w:rPr>
              <w:t>Уровень зарегистрированной безработицы (на конец года),5</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1,20</w:t>
            </w:r>
          </w:p>
        </w:tc>
        <w:tc>
          <w:tcPr>
            <w:tcW w:w="1276"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1,20</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1,40</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0,2</w:t>
            </w:r>
          </w:p>
        </w:tc>
        <w:tc>
          <w:tcPr>
            <w:tcW w:w="1134" w:type="dxa"/>
            <w:shd w:val="clear" w:color="000000" w:fill="FFFFFF"/>
            <w:noWrap/>
            <w:hideMark/>
          </w:tcPr>
          <w:p w:rsidR="00A31A18" w:rsidRPr="00955C08" w:rsidRDefault="00A31A18" w:rsidP="00A0412A">
            <w:pPr>
              <w:jc w:val="center"/>
              <w:rPr>
                <w:color w:val="000000"/>
                <w:sz w:val="20"/>
                <w:szCs w:val="20"/>
              </w:rPr>
            </w:pPr>
            <w:r w:rsidRPr="00955C08">
              <w:rPr>
                <w:color w:val="000000"/>
                <w:sz w:val="20"/>
                <w:szCs w:val="20"/>
              </w:rPr>
              <w:t>0,0</w:t>
            </w:r>
          </w:p>
        </w:tc>
      </w:tr>
      <w:tr w:rsidR="00A31A18" w:rsidRPr="00955C08" w:rsidTr="00955C08">
        <w:trPr>
          <w:trHeight w:val="705"/>
        </w:trPr>
        <w:tc>
          <w:tcPr>
            <w:tcW w:w="3828" w:type="dxa"/>
            <w:shd w:val="clear" w:color="auto" w:fill="auto"/>
            <w:noWrap/>
            <w:vAlign w:val="bottom"/>
            <w:hideMark/>
          </w:tcPr>
          <w:p w:rsidR="00A31A18" w:rsidRPr="00955C08" w:rsidRDefault="00A31A18" w:rsidP="00A31A18">
            <w:pPr>
              <w:jc w:val="both"/>
              <w:rPr>
                <w:color w:val="000000"/>
                <w:sz w:val="20"/>
                <w:szCs w:val="20"/>
              </w:rPr>
            </w:pPr>
            <w:r w:rsidRPr="00955C08">
              <w:rPr>
                <w:color w:val="000000"/>
                <w:sz w:val="20"/>
                <w:szCs w:val="20"/>
              </w:rPr>
              <w:t xml:space="preserve">Оборот малых и средних предприятий, включая </w:t>
            </w:r>
            <w:proofErr w:type="spellStart"/>
            <w:r w:rsidRPr="00955C08">
              <w:rPr>
                <w:color w:val="000000"/>
                <w:sz w:val="20"/>
                <w:szCs w:val="20"/>
              </w:rPr>
              <w:t>микропредприятия</w:t>
            </w:r>
            <w:proofErr w:type="spellEnd"/>
            <w:r w:rsidRPr="00955C08">
              <w:rPr>
                <w:color w:val="000000"/>
                <w:sz w:val="20"/>
                <w:szCs w:val="20"/>
              </w:rPr>
              <w:t>, млрд. руб.</w:t>
            </w:r>
          </w:p>
          <w:p w:rsidR="00A31A18" w:rsidRPr="003B6195" w:rsidRDefault="00A31A18" w:rsidP="00A31A18">
            <w:pPr>
              <w:rPr>
                <w:color w:val="000000"/>
                <w:sz w:val="20"/>
                <w:szCs w:val="20"/>
              </w:rPr>
            </w:pPr>
            <w:r w:rsidRPr="003B6195">
              <w:rPr>
                <w:color w:val="000000"/>
                <w:sz w:val="20"/>
                <w:szCs w:val="20"/>
              </w:rPr>
              <w:t>в действующих ценах к предыдущему году, %</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359,40</w:t>
            </w:r>
          </w:p>
          <w:p w:rsidR="00A31A18" w:rsidRPr="00955C08" w:rsidRDefault="00A31A18" w:rsidP="00A0412A">
            <w:pPr>
              <w:jc w:val="center"/>
              <w:rPr>
                <w:color w:val="000000"/>
                <w:sz w:val="20"/>
                <w:szCs w:val="20"/>
              </w:rPr>
            </w:pPr>
          </w:p>
          <w:p w:rsidR="00A31A18" w:rsidRPr="00955C08" w:rsidRDefault="00A31A18" w:rsidP="00A0412A">
            <w:pPr>
              <w:jc w:val="center"/>
              <w:rPr>
                <w:color w:val="000000"/>
                <w:sz w:val="20"/>
                <w:szCs w:val="20"/>
              </w:rPr>
            </w:pPr>
            <w:r w:rsidRPr="00955C08">
              <w:rPr>
                <w:color w:val="000000"/>
                <w:sz w:val="20"/>
                <w:szCs w:val="20"/>
              </w:rPr>
              <w:t>94,06</w:t>
            </w:r>
          </w:p>
        </w:tc>
        <w:tc>
          <w:tcPr>
            <w:tcW w:w="1276"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w:t>
            </w:r>
          </w:p>
          <w:p w:rsidR="00A31A18" w:rsidRPr="00955C08" w:rsidRDefault="00A31A18" w:rsidP="00A0412A">
            <w:pPr>
              <w:jc w:val="center"/>
              <w:rPr>
                <w:color w:val="000000"/>
                <w:sz w:val="20"/>
                <w:szCs w:val="20"/>
              </w:rPr>
            </w:pPr>
            <w:r w:rsidRPr="00955C08">
              <w:rPr>
                <w:color w:val="000000"/>
                <w:sz w:val="20"/>
                <w:szCs w:val="20"/>
              </w:rPr>
              <w:t>-</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365,51</w:t>
            </w:r>
          </w:p>
          <w:p w:rsidR="00A31A18" w:rsidRPr="00955C08" w:rsidRDefault="00A31A18" w:rsidP="00A0412A">
            <w:pPr>
              <w:jc w:val="center"/>
              <w:rPr>
                <w:color w:val="000000"/>
                <w:sz w:val="20"/>
                <w:szCs w:val="20"/>
              </w:rPr>
            </w:pPr>
          </w:p>
          <w:p w:rsidR="00A31A18" w:rsidRPr="00955C08" w:rsidRDefault="00A31A18" w:rsidP="00A0412A">
            <w:pPr>
              <w:jc w:val="center"/>
              <w:rPr>
                <w:color w:val="000000"/>
                <w:sz w:val="20"/>
                <w:szCs w:val="20"/>
              </w:rPr>
            </w:pPr>
            <w:r w:rsidRPr="00955C08">
              <w:rPr>
                <w:color w:val="000000"/>
                <w:sz w:val="20"/>
                <w:szCs w:val="20"/>
              </w:rPr>
              <w:t>101,70</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377,28</w:t>
            </w:r>
          </w:p>
          <w:p w:rsidR="00A31A18" w:rsidRPr="00955C08" w:rsidRDefault="00A31A18" w:rsidP="00A0412A">
            <w:pPr>
              <w:jc w:val="center"/>
              <w:rPr>
                <w:color w:val="000000"/>
                <w:sz w:val="20"/>
                <w:szCs w:val="20"/>
              </w:rPr>
            </w:pPr>
          </w:p>
          <w:p w:rsidR="00A31A18" w:rsidRPr="00955C08" w:rsidRDefault="00A31A18" w:rsidP="00A0412A">
            <w:pPr>
              <w:jc w:val="center"/>
              <w:rPr>
                <w:color w:val="000000"/>
                <w:sz w:val="20"/>
                <w:szCs w:val="20"/>
              </w:rPr>
            </w:pPr>
            <w:r w:rsidRPr="00955C08">
              <w:rPr>
                <w:color w:val="000000"/>
                <w:sz w:val="20"/>
                <w:szCs w:val="20"/>
              </w:rPr>
              <w:t>103,20</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11,8</w:t>
            </w:r>
          </w:p>
          <w:p w:rsidR="00A31A18" w:rsidRPr="00955C08" w:rsidRDefault="00A31A18" w:rsidP="00A0412A">
            <w:pPr>
              <w:jc w:val="center"/>
              <w:rPr>
                <w:color w:val="000000"/>
                <w:sz w:val="20"/>
                <w:szCs w:val="20"/>
              </w:rPr>
            </w:pPr>
          </w:p>
          <w:p w:rsidR="00A31A18" w:rsidRPr="00955C08" w:rsidRDefault="00A31A18" w:rsidP="00A0412A">
            <w:pPr>
              <w:jc w:val="center"/>
              <w:rPr>
                <w:color w:val="000000"/>
                <w:sz w:val="20"/>
                <w:szCs w:val="20"/>
              </w:rPr>
            </w:pPr>
            <w:r w:rsidRPr="00955C08">
              <w:rPr>
                <w:color w:val="000000"/>
                <w:sz w:val="20"/>
                <w:szCs w:val="20"/>
              </w:rPr>
              <w:t>1,5</w:t>
            </w:r>
          </w:p>
        </w:tc>
        <w:tc>
          <w:tcPr>
            <w:tcW w:w="1134" w:type="dxa"/>
            <w:shd w:val="clear" w:color="000000" w:fill="FFFFFF"/>
            <w:noWrap/>
            <w:hideMark/>
          </w:tcPr>
          <w:p w:rsidR="00A31A18" w:rsidRPr="00955C08" w:rsidRDefault="00A31A18" w:rsidP="00A0412A">
            <w:pPr>
              <w:jc w:val="center"/>
              <w:rPr>
                <w:color w:val="000000"/>
                <w:sz w:val="20"/>
                <w:szCs w:val="20"/>
              </w:rPr>
            </w:pPr>
            <w:r w:rsidRPr="00955C08">
              <w:rPr>
                <w:color w:val="000000"/>
                <w:sz w:val="20"/>
                <w:szCs w:val="20"/>
              </w:rPr>
              <w:t>6,11</w:t>
            </w:r>
          </w:p>
          <w:p w:rsidR="00A31A18" w:rsidRPr="00955C08" w:rsidRDefault="00A31A18" w:rsidP="00A0412A">
            <w:pPr>
              <w:jc w:val="center"/>
              <w:rPr>
                <w:color w:val="000000"/>
                <w:sz w:val="20"/>
                <w:szCs w:val="20"/>
              </w:rPr>
            </w:pPr>
          </w:p>
          <w:p w:rsidR="00A31A18" w:rsidRPr="00955C08" w:rsidRDefault="00A31A18" w:rsidP="00A0412A">
            <w:pPr>
              <w:jc w:val="center"/>
              <w:rPr>
                <w:color w:val="000000"/>
                <w:sz w:val="20"/>
                <w:szCs w:val="20"/>
              </w:rPr>
            </w:pPr>
            <w:r w:rsidRPr="00955C08">
              <w:rPr>
                <w:color w:val="000000"/>
                <w:sz w:val="20"/>
                <w:szCs w:val="20"/>
              </w:rPr>
              <w:t>7,64</w:t>
            </w:r>
          </w:p>
        </w:tc>
      </w:tr>
      <w:tr w:rsidR="00A31A18" w:rsidRPr="00955C08" w:rsidTr="00955C08">
        <w:trPr>
          <w:trHeight w:val="375"/>
        </w:trPr>
        <w:tc>
          <w:tcPr>
            <w:tcW w:w="3828" w:type="dxa"/>
            <w:shd w:val="clear" w:color="auto" w:fill="auto"/>
            <w:hideMark/>
          </w:tcPr>
          <w:p w:rsidR="00A31A18" w:rsidRPr="00955C08" w:rsidRDefault="00A31A18" w:rsidP="003B6195">
            <w:pPr>
              <w:rPr>
                <w:color w:val="000000"/>
                <w:sz w:val="20"/>
                <w:szCs w:val="20"/>
              </w:rPr>
            </w:pPr>
            <w:r w:rsidRPr="00955C08">
              <w:rPr>
                <w:color w:val="000000"/>
                <w:sz w:val="20"/>
                <w:szCs w:val="20"/>
              </w:rPr>
              <w:t xml:space="preserve">Индекс потребительских цен (за период с начала года), % </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116,2</w:t>
            </w:r>
          </w:p>
        </w:tc>
        <w:tc>
          <w:tcPr>
            <w:tcW w:w="1276"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103,4</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107,5</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105,5</w:t>
            </w:r>
          </w:p>
        </w:tc>
        <w:tc>
          <w:tcPr>
            <w:tcW w:w="1134" w:type="dxa"/>
            <w:shd w:val="clear" w:color="auto" w:fill="auto"/>
            <w:hideMark/>
          </w:tcPr>
          <w:p w:rsidR="00A31A18" w:rsidRPr="00955C08" w:rsidRDefault="00A31A18" w:rsidP="00A0412A">
            <w:pPr>
              <w:jc w:val="center"/>
              <w:rPr>
                <w:color w:val="000000"/>
                <w:sz w:val="20"/>
                <w:szCs w:val="20"/>
              </w:rPr>
            </w:pPr>
            <w:r w:rsidRPr="00955C08">
              <w:rPr>
                <w:color w:val="000000"/>
                <w:sz w:val="20"/>
                <w:szCs w:val="20"/>
              </w:rPr>
              <w:t>-2,0</w:t>
            </w:r>
          </w:p>
        </w:tc>
        <w:tc>
          <w:tcPr>
            <w:tcW w:w="1134" w:type="dxa"/>
            <w:shd w:val="clear" w:color="auto" w:fill="auto"/>
            <w:noWrap/>
            <w:hideMark/>
          </w:tcPr>
          <w:p w:rsidR="00A31A18" w:rsidRPr="00955C08" w:rsidRDefault="00A31A18" w:rsidP="00A0412A">
            <w:pPr>
              <w:jc w:val="center"/>
              <w:rPr>
                <w:color w:val="000000"/>
                <w:sz w:val="20"/>
                <w:szCs w:val="20"/>
              </w:rPr>
            </w:pPr>
            <w:r w:rsidRPr="00955C08">
              <w:rPr>
                <w:color w:val="000000"/>
                <w:sz w:val="20"/>
                <w:szCs w:val="20"/>
              </w:rPr>
              <w:t>-8,7</w:t>
            </w:r>
          </w:p>
        </w:tc>
      </w:tr>
      <w:tr w:rsidR="00A31A18" w:rsidRPr="00955C08" w:rsidTr="00955C08">
        <w:trPr>
          <w:trHeight w:val="384"/>
        </w:trPr>
        <w:tc>
          <w:tcPr>
            <w:tcW w:w="3828" w:type="dxa"/>
            <w:shd w:val="clear" w:color="auto" w:fill="auto"/>
            <w:hideMark/>
          </w:tcPr>
          <w:p w:rsidR="00A31A18" w:rsidRPr="00955C08" w:rsidRDefault="00A31A18" w:rsidP="00A31A18">
            <w:pPr>
              <w:rPr>
                <w:color w:val="000000"/>
                <w:sz w:val="20"/>
                <w:szCs w:val="20"/>
              </w:rPr>
            </w:pPr>
            <w:r w:rsidRPr="00955C08">
              <w:rPr>
                <w:color w:val="000000"/>
                <w:sz w:val="20"/>
                <w:szCs w:val="20"/>
              </w:rPr>
              <w:t>Экспорт товаров, млн. долл. США</w:t>
            </w:r>
          </w:p>
          <w:p w:rsidR="00A31A18" w:rsidRPr="00955C08" w:rsidRDefault="00A31A18" w:rsidP="00A31A18">
            <w:pPr>
              <w:rPr>
                <w:color w:val="000000"/>
                <w:sz w:val="20"/>
                <w:szCs w:val="20"/>
              </w:rPr>
            </w:pP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2052,0</w:t>
            </w:r>
          </w:p>
        </w:tc>
        <w:tc>
          <w:tcPr>
            <w:tcW w:w="1276" w:type="dxa"/>
            <w:shd w:val="clear" w:color="000000" w:fill="FFFFFF"/>
            <w:hideMark/>
          </w:tcPr>
          <w:p w:rsidR="00A31A18" w:rsidRPr="00955C08" w:rsidRDefault="00A31A18" w:rsidP="009A1F4F">
            <w:pPr>
              <w:jc w:val="center"/>
              <w:rPr>
                <w:color w:val="000000"/>
                <w:sz w:val="20"/>
                <w:szCs w:val="20"/>
              </w:rPr>
            </w:pPr>
            <w:r w:rsidRPr="00955C08">
              <w:rPr>
                <w:sz w:val="20"/>
                <w:szCs w:val="20"/>
              </w:rPr>
              <w:t xml:space="preserve">584,2  (за </w:t>
            </w:r>
            <w:r w:rsidRPr="00955C08">
              <w:rPr>
                <w:sz w:val="20"/>
                <w:szCs w:val="20"/>
                <w:lang w:val="en-US"/>
              </w:rPr>
              <w:t>I</w:t>
            </w:r>
            <w:r w:rsidRPr="00955C08">
              <w:rPr>
                <w:sz w:val="20"/>
                <w:szCs w:val="20"/>
              </w:rPr>
              <w:t xml:space="preserve"> пол</w:t>
            </w:r>
            <w:r w:rsidR="009A1F4F">
              <w:rPr>
                <w:sz w:val="20"/>
                <w:szCs w:val="20"/>
              </w:rPr>
              <w:t>.</w:t>
            </w:r>
            <w:r w:rsidRPr="00955C08">
              <w:rPr>
                <w:sz w:val="20"/>
                <w:szCs w:val="20"/>
              </w:rPr>
              <w:t xml:space="preserve"> 2016 г.)</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1238,4</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1260,1</w:t>
            </w:r>
          </w:p>
        </w:tc>
        <w:tc>
          <w:tcPr>
            <w:tcW w:w="1134" w:type="dxa"/>
            <w:shd w:val="clear" w:color="auto" w:fill="auto"/>
            <w:hideMark/>
          </w:tcPr>
          <w:p w:rsidR="00A31A18" w:rsidRPr="00955C08" w:rsidRDefault="00A31A18" w:rsidP="00A0412A">
            <w:pPr>
              <w:jc w:val="center"/>
              <w:rPr>
                <w:color w:val="000000"/>
                <w:sz w:val="20"/>
                <w:szCs w:val="20"/>
              </w:rPr>
            </w:pPr>
            <w:r w:rsidRPr="00955C08">
              <w:rPr>
                <w:color w:val="000000"/>
                <w:sz w:val="20"/>
                <w:szCs w:val="20"/>
              </w:rPr>
              <w:t>21,7</w:t>
            </w:r>
          </w:p>
        </w:tc>
        <w:tc>
          <w:tcPr>
            <w:tcW w:w="1134" w:type="dxa"/>
            <w:shd w:val="clear" w:color="auto" w:fill="auto"/>
            <w:noWrap/>
            <w:hideMark/>
          </w:tcPr>
          <w:p w:rsidR="00A31A18" w:rsidRPr="00955C08" w:rsidRDefault="00A31A18" w:rsidP="00A0412A">
            <w:pPr>
              <w:jc w:val="center"/>
              <w:rPr>
                <w:color w:val="000000"/>
                <w:sz w:val="20"/>
                <w:szCs w:val="20"/>
              </w:rPr>
            </w:pPr>
            <w:r w:rsidRPr="00955C08">
              <w:rPr>
                <w:color w:val="000000"/>
                <w:sz w:val="20"/>
                <w:szCs w:val="20"/>
              </w:rPr>
              <w:t>-791,9</w:t>
            </w:r>
          </w:p>
        </w:tc>
      </w:tr>
      <w:tr w:rsidR="00A31A18" w:rsidRPr="00955C08" w:rsidTr="00955C08">
        <w:trPr>
          <w:trHeight w:val="250"/>
        </w:trPr>
        <w:tc>
          <w:tcPr>
            <w:tcW w:w="3828" w:type="dxa"/>
            <w:shd w:val="clear" w:color="auto" w:fill="auto"/>
            <w:hideMark/>
          </w:tcPr>
          <w:p w:rsidR="00A31A18" w:rsidRPr="00955C08" w:rsidRDefault="00A31A18" w:rsidP="00A31A18">
            <w:pPr>
              <w:rPr>
                <w:color w:val="000000"/>
                <w:sz w:val="20"/>
                <w:szCs w:val="20"/>
              </w:rPr>
            </w:pPr>
            <w:r w:rsidRPr="00955C08">
              <w:rPr>
                <w:color w:val="000000"/>
                <w:sz w:val="20"/>
                <w:szCs w:val="20"/>
              </w:rPr>
              <w:t>Импорт товаров, млн. долл. США</w:t>
            </w:r>
          </w:p>
          <w:p w:rsidR="00A31A18" w:rsidRPr="00955C08" w:rsidRDefault="00A31A18" w:rsidP="00A31A18">
            <w:pPr>
              <w:rPr>
                <w:color w:val="000000"/>
                <w:sz w:val="20"/>
                <w:szCs w:val="20"/>
              </w:rPr>
            </w:pP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1036,0</w:t>
            </w:r>
          </w:p>
        </w:tc>
        <w:tc>
          <w:tcPr>
            <w:tcW w:w="1276" w:type="dxa"/>
            <w:shd w:val="clear" w:color="000000" w:fill="FFFFFF"/>
            <w:hideMark/>
          </w:tcPr>
          <w:p w:rsidR="00A31A18" w:rsidRPr="00955C08" w:rsidRDefault="00A31A18" w:rsidP="009A1F4F">
            <w:pPr>
              <w:jc w:val="center"/>
              <w:rPr>
                <w:color w:val="000000"/>
                <w:sz w:val="20"/>
                <w:szCs w:val="20"/>
              </w:rPr>
            </w:pPr>
            <w:r w:rsidRPr="00955C08">
              <w:rPr>
                <w:color w:val="000000"/>
                <w:sz w:val="20"/>
                <w:szCs w:val="20"/>
              </w:rPr>
              <w:t xml:space="preserve">310,2 </w:t>
            </w:r>
            <w:r w:rsidRPr="00955C08">
              <w:rPr>
                <w:sz w:val="20"/>
                <w:szCs w:val="20"/>
              </w:rPr>
              <w:t xml:space="preserve">(за </w:t>
            </w:r>
            <w:r w:rsidRPr="00955C08">
              <w:rPr>
                <w:sz w:val="20"/>
                <w:szCs w:val="20"/>
                <w:lang w:val="en-US"/>
              </w:rPr>
              <w:t>I</w:t>
            </w:r>
            <w:r w:rsidRPr="00955C08">
              <w:rPr>
                <w:sz w:val="20"/>
                <w:szCs w:val="20"/>
              </w:rPr>
              <w:t xml:space="preserve"> пол</w:t>
            </w:r>
            <w:r w:rsidR="009A1F4F">
              <w:rPr>
                <w:sz w:val="20"/>
                <w:szCs w:val="20"/>
              </w:rPr>
              <w:t>.</w:t>
            </w:r>
            <w:r w:rsidRPr="00955C08">
              <w:rPr>
                <w:sz w:val="20"/>
                <w:szCs w:val="20"/>
              </w:rPr>
              <w:t xml:space="preserve"> 2016 г.)</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605,2</w:t>
            </w:r>
          </w:p>
        </w:tc>
        <w:tc>
          <w:tcPr>
            <w:tcW w:w="1134" w:type="dxa"/>
            <w:shd w:val="clear" w:color="000000" w:fill="FFFFFF"/>
            <w:hideMark/>
          </w:tcPr>
          <w:p w:rsidR="00A31A18" w:rsidRPr="00955C08" w:rsidRDefault="00A31A18" w:rsidP="00A0412A">
            <w:pPr>
              <w:jc w:val="center"/>
              <w:rPr>
                <w:color w:val="000000"/>
                <w:sz w:val="20"/>
                <w:szCs w:val="20"/>
              </w:rPr>
            </w:pPr>
            <w:r w:rsidRPr="00955C08">
              <w:rPr>
                <w:color w:val="000000"/>
                <w:sz w:val="20"/>
                <w:szCs w:val="20"/>
              </w:rPr>
              <w:t>630,5</w:t>
            </w:r>
          </w:p>
        </w:tc>
        <w:tc>
          <w:tcPr>
            <w:tcW w:w="1134" w:type="dxa"/>
            <w:shd w:val="clear" w:color="auto" w:fill="auto"/>
            <w:hideMark/>
          </w:tcPr>
          <w:p w:rsidR="00A31A18" w:rsidRPr="00955C08" w:rsidRDefault="00A31A18" w:rsidP="00A0412A">
            <w:pPr>
              <w:jc w:val="center"/>
              <w:rPr>
                <w:color w:val="000000"/>
                <w:sz w:val="20"/>
                <w:szCs w:val="20"/>
              </w:rPr>
            </w:pPr>
            <w:r w:rsidRPr="00955C08">
              <w:rPr>
                <w:color w:val="000000"/>
                <w:sz w:val="20"/>
                <w:szCs w:val="20"/>
              </w:rPr>
              <w:t>25,3</w:t>
            </w:r>
          </w:p>
        </w:tc>
        <w:tc>
          <w:tcPr>
            <w:tcW w:w="1134" w:type="dxa"/>
            <w:shd w:val="clear" w:color="auto" w:fill="auto"/>
            <w:noWrap/>
            <w:hideMark/>
          </w:tcPr>
          <w:p w:rsidR="00A31A18" w:rsidRPr="00955C08" w:rsidRDefault="00A31A18" w:rsidP="00A0412A">
            <w:pPr>
              <w:jc w:val="center"/>
              <w:rPr>
                <w:color w:val="000000"/>
                <w:sz w:val="20"/>
                <w:szCs w:val="20"/>
              </w:rPr>
            </w:pPr>
            <w:r w:rsidRPr="00955C08">
              <w:rPr>
                <w:color w:val="000000"/>
                <w:sz w:val="20"/>
                <w:szCs w:val="20"/>
              </w:rPr>
              <w:t>-405,5</w:t>
            </w:r>
          </w:p>
        </w:tc>
      </w:tr>
    </w:tbl>
    <w:p w:rsidR="00A31A18" w:rsidRPr="002B1BA1" w:rsidRDefault="00A31A18" w:rsidP="00A31A18">
      <w:pPr>
        <w:pStyle w:val="ConsNonformat"/>
        <w:widowControl/>
        <w:ind w:firstLine="680"/>
        <w:jc w:val="both"/>
        <w:rPr>
          <w:rFonts w:ascii="Times New Roman" w:hAnsi="Times New Roman"/>
        </w:rPr>
      </w:pPr>
      <w:r w:rsidRPr="007B065F">
        <w:rPr>
          <w:rFonts w:ascii="Times New Roman" w:hAnsi="Times New Roman"/>
          <w:sz w:val="22"/>
          <w:szCs w:val="22"/>
        </w:rPr>
        <w:t>*</w:t>
      </w:r>
      <w:r w:rsidRPr="002B1BA1">
        <w:rPr>
          <w:rFonts w:ascii="Times New Roman" w:hAnsi="Times New Roman"/>
        </w:rPr>
        <w:t>значения показателя приведены</w:t>
      </w:r>
      <w:r w:rsidRPr="002B1BA1">
        <w:t xml:space="preserve"> </w:t>
      </w:r>
      <w:r w:rsidRPr="002B1BA1">
        <w:rPr>
          <w:rFonts w:ascii="Times New Roman" w:hAnsi="Times New Roman"/>
        </w:rPr>
        <w:t xml:space="preserve">в предварительных итогах СЭР за январь-сентябрь 2016 года и ожидаемых итогах СЭР за 2016 год (по состоянию на 09.11.2015), а также расчетах доходов областного бюджета. </w:t>
      </w:r>
    </w:p>
    <w:p w:rsidR="003B6195" w:rsidRDefault="003B6195" w:rsidP="00A31A18">
      <w:pPr>
        <w:pStyle w:val="Style5"/>
        <w:spacing w:line="247" w:lineRule="auto"/>
        <w:jc w:val="both"/>
      </w:pPr>
    </w:p>
    <w:p w:rsidR="00A31A18" w:rsidRPr="00432B12" w:rsidRDefault="00A31A18" w:rsidP="00A31A18">
      <w:pPr>
        <w:pStyle w:val="Style5"/>
        <w:spacing w:line="247" w:lineRule="auto"/>
        <w:jc w:val="both"/>
      </w:pPr>
      <w:proofErr w:type="gramStart"/>
      <w:r>
        <w:t>Из данных, приведенных в таблице, видно, что в</w:t>
      </w:r>
      <w:r w:rsidRPr="00432B12">
        <w:t xml:space="preserve"> 2016 году по отдельным показателям ожидается снижение индексов в сопоставимой оценке по отношению к 2015 году (физического объема ВРП, промышленного производства, инвестиций), темпов роста к предыдущему году (прибыли прибыльных организаций, денежных доходов населения), </w:t>
      </w:r>
      <w:r>
        <w:t xml:space="preserve">объемов экспорта и импорта товаров, </w:t>
      </w:r>
      <w:r w:rsidR="00481054" w:rsidRPr="00432B12">
        <w:t>на,</w:t>
      </w:r>
      <w:r w:rsidRPr="00432B12">
        <w:t xml:space="preserve"> что в том числе повлияло продолжение действия экономических санкций со стороны ЕС и</w:t>
      </w:r>
      <w:proofErr w:type="gramEnd"/>
      <w:r w:rsidRPr="00432B12">
        <w:t xml:space="preserve"> США, ослабление рубля, снижение инвестиционной активности предприятий, а также платежеспособного спроса со стороны физических лиц, вызванного сокращением реальных располагаемых доходов населения.</w:t>
      </w:r>
    </w:p>
    <w:p w:rsidR="00A31A18" w:rsidRPr="00B17BA9" w:rsidRDefault="00A31A18" w:rsidP="00A31A18">
      <w:pPr>
        <w:pStyle w:val="2"/>
        <w:spacing w:after="0" w:line="240" w:lineRule="auto"/>
        <w:ind w:firstLine="680"/>
        <w:jc w:val="both"/>
      </w:pPr>
      <w:r>
        <w:t>На 2017 год</w:t>
      </w:r>
      <w:r w:rsidRPr="00B17BA9">
        <w:t xml:space="preserve"> практически по всем макроэкономическим показателям предусмотрен рост в сопоставимой оценке к 2016 году.</w:t>
      </w:r>
    </w:p>
    <w:p w:rsidR="00A31A18" w:rsidRPr="00B17BA9" w:rsidRDefault="00A31A18" w:rsidP="00A31A18">
      <w:pPr>
        <w:pStyle w:val="2"/>
        <w:spacing w:after="0" w:line="240" w:lineRule="auto"/>
        <w:ind w:firstLine="680"/>
        <w:jc w:val="both"/>
      </w:pPr>
      <w:r w:rsidRPr="00B17BA9">
        <w:t>Снижение предусмотрено по объему продукции сельского хозяйства на 1012 млн. руб.</w:t>
      </w:r>
      <w:r>
        <w:t xml:space="preserve"> (</w:t>
      </w:r>
      <w:r w:rsidRPr="00B17BA9">
        <w:t>индекс производства продукции сельского хозяйства запланирован со снижением на 6,9</w:t>
      </w:r>
      <w:r>
        <w:t xml:space="preserve">%), среднегодовой численности занятых в экономике – на 5,5 тыс. человек. Также предусмотрен рост уровня зарегистрированной безработицы на 0,2 </w:t>
      </w:r>
      <w:proofErr w:type="gramStart"/>
      <w:r>
        <w:t>процентных</w:t>
      </w:r>
      <w:proofErr w:type="gramEnd"/>
      <w:r>
        <w:t xml:space="preserve"> пункта.</w:t>
      </w:r>
    </w:p>
    <w:p w:rsidR="00A31A18" w:rsidRDefault="00A31A18" w:rsidP="00A31A18">
      <w:pPr>
        <w:ind w:firstLine="720"/>
        <w:jc w:val="both"/>
      </w:pPr>
      <w:r w:rsidRPr="00BC428A">
        <w:lastRenderedPageBreak/>
        <w:t>Определяющее влияние на формирование индекса производства продукции сельского хозяйства оказывает производство продукции растениеводства, котор</w:t>
      </w:r>
      <w:r>
        <w:t>ое</w:t>
      </w:r>
      <w:r w:rsidRPr="00BC428A">
        <w:t xml:space="preserve"> составляет около 70% валовой продукции сельского хозяйства. </w:t>
      </w:r>
      <w:r>
        <w:t xml:space="preserve">В 2016 году ожидается </w:t>
      </w:r>
      <w:r w:rsidRPr="00BC428A">
        <w:t>существенный рост указанного показателя (110,2%), что объясняется благоприятными погодными условиями</w:t>
      </w:r>
      <w:r>
        <w:t xml:space="preserve"> для выращивания продукции растениеводства</w:t>
      </w:r>
      <w:r w:rsidRPr="00BC428A">
        <w:t>, сложившимися в 2016 году</w:t>
      </w:r>
      <w:r>
        <w:t xml:space="preserve"> (собран богатый урожай)</w:t>
      </w:r>
      <w:r w:rsidRPr="00BC428A">
        <w:t xml:space="preserve">. </w:t>
      </w:r>
      <w:r>
        <w:t>С учетом погодных условий предыдущих лет абсолютный показатель объема сельскохозяйственной продукции на 2017 год незначительно снижен (на 0,7%), что повлияло на уменьшение индекса производства.</w:t>
      </w:r>
    </w:p>
    <w:p w:rsidR="00A31A18" w:rsidRPr="00432B12" w:rsidRDefault="00A31A18" w:rsidP="00A31A18">
      <w:pPr>
        <w:ind w:firstLine="720"/>
        <w:jc w:val="both"/>
        <w:rPr>
          <w:bCs/>
          <w:szCs w:val="28"/>
        </w:rPr>
      </w:pPr>
      <w:r>
        <w:t xml:space="preserve">На снижение показателя среднегодовой численности занятых в экономике оказывает влияние </w:t>
      </w:r>
      <w:r w:rsidRPr="00885BBD">
        <w:rPr>
          <w:bCs/>
          <w:szCs w:val="28"/>
        </w:rPr>
        <w:t>тенденция к снижению численности населения в трудоспособном возрасте и</w:t>
      </w:r>
      <w:r w:rsidR="00D43F3C">
        <w:rPr>
          <w:bCs/>
          <w:szCs w:val="28"/>
        </w:rPr>
        <w:t>,</w:t>
      </w:r>
      <w:r w:rsidRPr="00885BBD">
        <w:rPr>
          <w:bCs/>
          <w:szCs w:val="28"/>
        </w:rPr>
        <w:t xml:space="preserve"> </w:t>
      </w:r>
      <w:r w:rsidRPr="00432B12">
        <w:rPr>
          <w:bCs/>
          <w:szCs w:val="28"/>
        </w:rPr>
        <w:t>как следствие, трудовых ресурсов в целом. Прогнозируется снижение численности экономически активного населения с 1308,0 тыс. чел. в 2015 году до 1278,1 тыс. чел. в 2017 году, или на 29,9 тыс. чел. (-2,3%).</w:t>
      </w:r>
    </w:p>
    <w:p w:rsidR="00A31A18" w:rsidRDefault="00A31A18" w:rsidP="00A31A18">
      <w:pPr>
        <w:pStyle w:val="af4"/>
        <w:spacing w:before="0" w:beforeAutospacing="0" w:after="0" w:afterAutospacing="0"/>
        <w:ind w:firstLine="680"/>
        <w:jc w:val="both"/>
        <w:rPr>
          <w:b/>
          <w:highlight w:val="yellow"/>
        </w:rPr>
      </w:pPr>
    </w:p>
    <w:p w:rsidR="00A31A18" w:rsidRPr="00442BDB" w:rsidRDefault="00A31A18" w:rsidP="00A31A18">
      <w:pPr>
        <w:pStyle w:val="af4"/>
        <w:spacing w:before="0" w:beforeAutospacing="0" w:after="0" w:afterAutospacing="0"/>
        <w:ind w:firstLine="680"/>
        <w:jc w:val="both"/>
      </w:pPr>
      <w:r w:rsidRPr="00D12C4F">
        <w:rPr>
          <w:b/>
          <w:i/>
        </w:rPr>
        <w:t>Анализ</w:t>
      </w:r>
      <w:r w:rsidRPr="00D12C4F">
        <w:rPr>
          <w:i/>
        </w:rPr>
        <w:t xml:space="preserve"> </w:t>
      </w:r>
      <w:r w:rsidRPr="00D12C4F">
        <w:rPr>
          <w:b/>
          <w:i/>
        </w:rPr>
        <w:t>достоверности основных параметров Прогноза</w:t>
      </w:r>
      <w:r w:rsidRPr="00D12C4F">
        <w:rPr>
          <w:i/>
        </w:rPr>
        <w:t xml:space="preserve"> </w:t>
      </w:r>
      <w:r w:rsidR="00457303">
        <w:rPr>
          <w:i/>
        </w:rPr>
        <w:t xml:space="preserve">СЭР </w:t>
      </w:r>
      <w:r w:rsidRPr="00D12C4F">
        <w:rPr>
          <w:b/>
          <w:i/>
        </w:rPr>
        <w:t>на 2017-2019</w:t>
      </w:r>
      <w:r w:rsidRPr="00D12C4F">
        <w:rPr>
          <w:i/>
        </w:rPr>
        <w:t xml:space="preserve"> </w:t>
      </w:r>
      <w:r w:rsidRPr="00D12C4F">
        <w:rPr>
          <w:b/>
          <w:i/>
        </w:rPr>
        <w:t>годы</w:t>
      </w:r>
      <w:r w:rsidRPr="00442BDB">
        <w:rPr>
          <w:b/>
          <w:i/>
        </w:rPr>
        <w:t xml:space="preserve"> </w:t>
      </w:r>
      <w:r w:rsidRPr="00442BDB">
        <w:t>показал следующее.</w:t>
      </w:r>
    </w:p>
    <w:p w:rsidR="00457303" w:rsidRDefault="00457303" w:rsidP="00457303">
      <w:pPr>
        <w:pStyle w:val="2"/>
        <w:spacing w:after="0" w:line="240" w:lineRule="auto"/>
        <w:ind w:firstLine="680"/>
        <w:jc w:val="both"/>
      </w:pPr>
      <w:r w:rsidRPr="00457303">
        <w:t>Показатель объема инвестиций в основной капитал,</w:t>
      </w:r>
      <w:r w:rsidRPr="00DB7845">
        <w:t xml:space="preserve"> определяющий будущий потенциал развития региональной экономики, </w:t>
      </w:r>
      <w:r>
        <w:t xml:space="preserve">на 2017 -2019 годы </w:t>
      </w:r>
      <w:r w:rsidRPr="00DB7845">
        <w:t>предусмотрен в размере 190 млрд. руб.</w:t>
      </w:r>
      <w:r>
        <w:t>, 210 млрд. руб. и 240 млрд. рублей. З</w:t>
      </w:r>
      <w:r w:rsidRPr="00DB7845">
        <w:t xml:space="preserve">а </w:t>
      </w:r>
      <w:r w:rsidRPr="00DB7845">
        <w:rPr>
          <w:lang w:val="en-US"/>
        </w:rPr>
        <w:t>I</w:t>
      </w:r>
      <w:r w:rsidRPr="00DB7845">
        <w:t xml:space="preserve"> полугодие 2016 года объем инв</w:t>
      </w:r>
      <w:r>
        <w:t>естиций составил 78,8 млрд. рублей</w:t>
      </w:r>
      <w:r w:rsidRPr="00DB7845">
        <w:t>.</w:t>
      </w:r>
      <w:r>
        <w:t xml:space="preserve"> В 2016 году ожидается снижение индекса физического объема инвестиций по отношению к предыдущему году на 5,4% (ожидаемый индекс составляет 90,3%). </w:t>
      </w:r>
    </w:p>
    <w:p w:rsidR="00457303" w:rsidRDefault="00457303" w:rsidP="00457303">
      <w:pPr>
        <w:pStyle w:val="2"/>
        <w:spacing w:after="0" w:line="240" w:lineRule="auto"/>
        <w:ind w:firstLine="680"/>
        <w:jc w:val="both"/>
      </w:pPr>
      <w:r>
        <w:t xml:space="preserve">На </w:t>
      </w:r>
      <w:r w:rsidRPr="00677C5D">
        <w:t xml:space="preserve">2017 год запланирован </w:t>
      </w:r>
      <w:r>
        <w:t>индекс в размере 111% с ростом на 20,7 процента.</w:t>
      </w:r>
      <w:r w:rsidRPr="00677C5D">
        <w:t xml:space="preserve"> При этом </w:t>
      </w:r>
      <w:r>
        <w:t>в</w:t>
      </w:r>
      <w:r w:rsidRPr="00677C5D">
        <w:t xml:space="preserve"> Прогноз</w:t>
      </w:r>
      <w:r>
        <w:t>е</w:t>
      </w:r>
      <w:r w:rsidRPr="00677C5D">
        <w:t xml:space="preserve"> СЭР </w:t>
      </w:r>
      <w:r>
        <w:t>отсутствует информация</w:t>
      </w:r>
      <w:r w:rsidRPr="00677C5D">
        <w:t xml:space="preserve">, за счет чего прогнозируется такое </w:t>
      </w:r>
      <w:r>
        <w:t xml:space="preserve">существенное </w:t>
      </w:r>
      <w:r w:rsidRPr="00677C5D">
        <w:t xml:space="preserve">увеличение </w:t>
      </w:r>
      <w:r>
        <w:t xml:space="preserve">показателя. </w:t>
      </w:r>
      <w:r w:rsidRPr="00677C5D">
        <w:t xml:space="preserve">В текстовой части </w:t>
      </w:r>
      <w:r>
        <w:t xml:space="preserve">Прогноза </w:t>
      </w:r>
      <w:r w:rsidRPr="00677C5D">
        <w:t>отражены общие данные о действующих инвестиционных соглашениях - по состоянию на 01.07.2016 заключено 41 инвестиционное соглашение с 32 организациями - инвесторами. Общий объем инвестиций составит 392,3 млрд. руб., предполагается создание более 8,4 тысяч новых рабочих мест</w:t>
      </w:r>
      <w:r>
        <w:t>. Вместе с тем приведенная в Прогнозе СЭР информация о реализуемых инвестиционных проектах не дает четкого представления о сроках ввода в эксплуатацию инвестиционных объектов, объеме инвестиций и количестве создаваемых рабочих мест</w:t>
      </w:r>
      <w:r w:rsidRPr="00516BFA">
        <w:t xml:space="preserve"> </w:t>
      </w:r>
      <w:r>
        <w:t xml:space="preserve">в разрезе планируемых периодов, в </w:t>
      </w:r>
      <w:proofErr w:type="gramStart"/>
      <w:r>
        <w:t>связи</w:t>
      </w:r>
      <w:proofErr w:type="gramEnd"/>
      <w:r>
        <w:t xml:space="preserve"> с чем невозможно определить влияние результатов реализации инвестиционных проектов на доходную часть бюджета. </w:t>
      </w:r>
    </w:p>
    <w:p w:rsidR="00457303" w:rsidRDefault="00457303" w:rsidP="00457303">
      <w:pPr>
        <w:pStyle w:val="2"/>
        <w:spacing w:after="0" w:line="240" w:lineRule="auto"/>
        <w:ind w:firstLine="680"/>
        <w:jc w:val="both"/>
      </w:pPr>
      <w:r>
        <w:t xml:space="preserve">Аналогичная ситуация наблюдается и </w:t>
      </w:r>
      <w:r w:rsidRPr="00457303">
        <w:t>по показателям экспорта и импорта товаров.</w:t>
      </w:r>
      <w:r>
        <w:t xml:space="preserve"> На 2017 год предусмотрен рост экспорта и импорта товаров по отношению к 2016 году на 21,7 млн. долл. США и 25,3 млн. долл. США соответственно. На 2019 год запланировано увеличение экспорта и импорта товаров до 1340,5 млн. долл. США и 699,8 млн. дол. США, или на 8,2% и 15,6% по отношению к ожидаемым показателям за 2016 год.  </w:t>
      </w:r>
    </w:p>
    <w:p w:rsidR="00457303" w:rsidRPr="00D563C0" w:rsidRDefault="00457303" w:rsidP="00457303">
      <w:pPr>
        <w:pStyle w:val="2"/>
        <w:spacing w:after="0" w:line="240" w:lineRule="auto"/>
        <w:ind w:firstLine="680"/>
        <w:jc w:val="both"/>
      </w:pPr>
      <w:r>
        <w:t xml:space="preserve">В тоже время в 2016 году прогнозируется снижение этих показателей по отношению к 2015 году на 791,9 млн. дол. США (-39,6%) и 405,5 млн. дол. США (-41,6%) соответственно. Информация о планируемых мероприятиях, способствующих росту указанных показателей, в Прогнозе не приведена. Зато отражены сведения о факторах, осложняющих внешнеэкономическую ситуацию в регионе. В их числе </w:t>
      </w:r>
      <w:r w:rsidRPr="001D13B2">
        <w:t xml:space="preserve">падение мировых цен на нефтепродукты, металлы, пшеницу, а также ослабление курса рубля к мировым валютам, приостановление действия договора с </w:t>
      </w:r>
      <w:r w:rsidRPr="00D563C0">
        <w:t>Украиной о зоне свободной торговли и введение российских внешнеторговых санкций в отношении Турции, которые являются близкими соседями и крупнейшими внешнеторговыми партнерами Волгоградской области.</w:t>
      </w:r>
    </w:p>
    <w:p w:rsidR="00457303" w:rsidRDefault="00457303" w:rsidP="00457303">
      <w:pPr>
        <w:pStyle w:val="Style5"/>
        <w:spacing w:line="247" w:lineRule="auto"/>
        <w:ind w:firstLine="680"/>
        <w:jc w:val="both"/>
      </w:pPr>
      <w:r w:rsidRPr="00D563C0">
        <w:t>В отношении роста показателя импорта</w:t>
      </w:r>
      <w:r w:rsidRPr="00120C75">
        <w:t xml:space="preserve"> в Прогнозе СЭР </w:t>
      </w:r>
      <w:r>
        <w:t>приведена информация, касающаяся только 2018 года (</w:t>
      </w:r>
      <w:r w:rsidRPr="00120C75">
        <w:t xml:space="preserve">на значительное увеличение прогнозных значений импорта 2018 года некоторых групп товаров повлияет участие Волгоградской области в проведении в Российской Федерации Чемпионата Мира по футболу </w:t>
      </w:r>
      <w:r w:rsidRPr="00120C75">
        <w:rPr>
          <w:lang w:val="en-US"/>
        </w:rPr>
        <w:t>FIFA</w:t>
      </w:r>
      <w:r w:rsidRPr="00120C75">
        <w:t xml:space="preserve"> 2018 года</w:t>
      </w:r>
      <w:r>
        <w:t>)</w:t>
      </w:r>
      <w:r w:rsidRPr="00120C75">
        <w:t xml:space="preserve">. </w:t>
      </w:r>
    </w:p>
    <w:p w:rsidR="00457303" w:rsidRPr="00457303" w:rsidRDefault="00457303" w:rsidP="00457303">
      <w:pPr>
        <w:pStyle w:val="Style5"/>
        <w:spacing w:line="247" w:lineRule="auto"/>
        <w:ind w:firstLine="680"/>
        <w:jc w:val="both"/>
        <w:rPr>
          <w:b/>
          <w:i/>
        </w:rPr>
      </w:pPr>
      <w:r w:rsidRPr="00457303">
        <w:rPr>
          <w:b/>
          <w:i/>
        </w:rPr>
        <w:t>Таким образом, существуют риски невыполнения вышеприведенных макроэкономических показателей.</w:t>
      </w:r>
    </w:p>
    <w:p w:rsidR="00457303" w:rsidRPr="0038259D" w:rsidRDefault="00457303" w:rsidP="00457303">
      <w:pPr>
        <w:pStyle w:val="Style5"/>
        <w:spacing w:line="247" w:lineRule="auto"/>
        <w:ind w:firstLine="680"/>
        <w:jc w:val="both"/>
      </w:pPr>
      <w:r w:rsidRPr="009555C1">
        <w:lastRenderedPageBreak/>
        <w:t>Показатели уровня безработицы</w:t>
      </w:r>
      <w:r w:rsidRPr="0038259D">
        <w:t xml:space="preserve"> на 2017-2019 годы запланированы практически </w:t>
      </w:r>
      <w:proofErr w:type="gramStart"/>
      <w:r w:rsidRPr="0038259D">
        <w:t>неизменными</w:t>
      </w:r>
      <w:proofErr w:type="gramEnd"/>
      <w:r w:rsidRPr="0038259D">
        <w:t xml:space="preserve">: </w:t>
      </w:r>
    </w:p>
    <w:p w:rsidR="00457303" w:rsidRPr="0038259D" w:rsidRDefault="00457303" w:rsidP="00457303">
      <w:pPr>
        <w:pStyle w:val="Style5"/>
        <w:spacing w:line="247" w:lineRule="auto"/>
        <w:ind w:firstLine="680"/>
        <w:jc w:val="both"/>
        <w:rPr>
          <w:bCs/>
          <w:szCs w:val="28"/>
        </w:rPr>
      </w:pPr>
      <w:r w:rsidRPr="0038259D">
        <w:t xml:space="preserve">- уровень общей безработицы </w:t>
      </w:r>
      <w:r w:rsidRPr="0038259D">
        <w:rPr>
          <w:bCs/>
          <w:szCs w:val="28"/>
        </w:rPr>
        <w:t xml:space="preserve">по методологии Международной организации труда (далее МОТ) на 2017-2018 годы </w:t>
      </w:r>
      <w:r>
        <w:rPr>
          <w:bCs/>
          <w:szCs w:val="28"/>
        </w:rPr>
        <w:t>спрогнозирован в размере</w:t>
      </w:r>
      <w:r w:rsidRPr="0038259D">
        <w:rPr>
          <w:bCs/>
          <w:szCs w:val="28"/>
        </w:rPr>
        <w:t xml:space="preserve"> 7,2%, на 2019 год – 7%;</w:t>
      </w:r>
    </w:p>
    <w:p w:rsidR="00457303" w:rsidRPr="0038259D" w:rsidRDefault="00457303" w:rsidP="00457303">
      <w:pPr>
        <w:pStyle w:val="Style5"/>
        <w:spacing w:line="247" w:lineRule="auto"/>
        <w:ind w:firstLine="680"/>
        <w:jc w:val="both"/>
      </w:pPr>
      <w:r w:rsidRPr="0038259D">
        <w:rPr>
          <w:bCs/>
          <w:szCs w:val="28"/>
        </w:rPr>
        <w:t>- у</w:t>
      </w:r>
      <w:r w:rsidRPr="0038259D">
        <w:t>ровень зарегистрированной безработицы (на конец года) на 2017-2019 годы – 1,4 процента.</w:t>
      </w:r>
    </w:p>
    <w:p w:rsidR="00457303" w:rsidRPr="00450BBB" w:rsidRDefault="00457303" w:rsidP="00457303">
      <w:pPr>
        <w:pStyle w:val="Style5"/>
        <w:spacing w:line="247" w:lineRule="auto"/>
        <w:ind w:firstLine="680"/>
        <w:jc w:val="both"/>
        <w:rPr>
          <w:bCs/>
          <w:szCs w:val="28"/>
        </w:rPr>
      </w:pPr>
      <w:r>
        <w:t xml:space="preserve">Уровень зарегистрированной безработицы на 2017 год предусмотрен с увеличением на 0,2% по сравнению с 2016 годом. </w:t>
      </w:r>
      <w:r w:rsidR="00B27454">
        <w:rPr>
          <w:bCs/>
          <w:szCs w:val="28"/>
        </w:rPr>
        <w:t xml:space="preserve">Согласно </w:t>
      </w:r>
      <w:r w:rsidRPr="00450BBB">
        <w:rPr>
          <w:bCs/>
          <w:szCs w:val="28"/>
        </w:rPr>
        <w:t>Прогноз</w:t>
      </w:r>
      <w:r w:rsidR="00B27454">
        <w:rPr>
          <w:bCs/>
          <w:szCs w:val="28"/>
        </w:rPr>
        <w:t>у</w:t>
      </w:r>
      <w:r w:rsidRPr="00450BBB">
        <w:rPr>
          <w:bCs/>
          <w:szCs w:val="28"/>
        </w:rPr>
        <w:t xml:space="preserve"> СЭР в ближайшей перспективе ожидается незначительное колебание уровня общей безработицы, что обусловлено незначительными темпами роста в основных видах экономической деятельности; превышением числа выбывших над числом принятых на работу на крупные и средние предприятия региона; сохранением на высоком уровне численности работников, находящихся в отпусках без сохранения заработной платы.</w:t>
      </w:r>
      <w:r>
        <w:rPr>
          <w:bCs/>
          <w:szCs w:val="28"/>
        </w:rPr>
        <w:t xml:space="preserve"> </w:t>
      </w:r>
      <w:r w:rsidRPr="00450BBB">
        <w:rPr>
          <w:bCs/>
          <w:szCs w:val="28"/>
        </w:rPr>
        <w:t>Продолжающиеся негативные явления в экономике, связанные с экономическими санкциями, профессиональный и территориальный дисбаланс спроса и предложения на рынке труда Волгоградской области будут являться причинами незначительного прироста числа официально зарегистрированных безработных граждан. К концу 2019 года ожидается: по базовому сценарию - 17,9 тыс. человек, по целевому сценарию - 16,7 тыс. человек.</w:t>
      </w:r>
    </w:p>
    <w:p w:rsidR="00457303" w:rsidRDefault="00F859C6" w:rsidP="00457303">
      <w:pPr>
        <w:pStyle w:val="af4"/>
        <w:spacing w:before="0" w:beforeAutospacing="0" w:after="0" w:afterAutospacing="0"/>
        <w:ind w:firstLine="680"/>
        <w:jc w:val="both"/>
        <w:rPr>
          <w:bCs/>
          <w:kern w:val="36"/>
        </w:rPr>
      </w:pPr>
      <w:r>
        <w:t>По мнению КСП</w:t>
      </w:r>
      <w:r w:rsidR="00457303" w:rsidRPr="00B27454">
        <w:t>, показатель уровня безработицы</w:t>
      </w:r>
      <w:r w:rsidR="00B27454">
        <w:t>, указанный в Прогнозе,</w:t>
      </w:r>
      <w:r w:rsidR="00457303" w:rsidRPr="00B27454">
        <w:t xml:space="preserve"> не увязан с данными о создаваемых рабочих местах</w:t>
      </w:r>
      <w:r w:rsidR="00457303" w:rsidRPr="004006C1">
        <w:rPr>
          <w:i/>
        </w:rPr>
        <w:t xml:space="preserve"> </w:t>
      </w:r>
      <w:r w:rsidR="00457303">
        <w:t xml:space="preserve">в результате реализации инвестиционных проектов. </w:t>
      </w:r>
      <w:r w:rsidR="00457303" w:rsidRPr="002F6987">
        <w:t xml:space="preserve">Так, в Прогнозе СЭР отражено, что в 2016 году в соответствии с постановлением Губернатора Волгоградской области от 05.07.2012 №563 «Об установлении персональной ответственности за практическую реализацию инвестиционных проектов и осуществление электронного мониторинга хода реализации инвестиционных проектов на территории Волгоградской области» установлена персональная ответственность за практическую реализацию 245 инвестиционных проектов. Общий объем инвестиций по данным проектам составляет более 374,5 млрд. руб., в ходе реализации которых будет создано около 12 тысяч новых рабочих мест. </w:t>
      </w:r>
      <w:r w:rsidR="00457303">
        <w:rPr>
          <w:bCs/>
          <w:kern w:val="36"/>
        </w:rPr>
        <w:t xml:space="preserve">При этом в Прогнозе СЭР не приведена информация о высвобождаемых рабочих местах, обусловленных ликвидацией или реорганизацией организаций, в </w:t>
      </w:r>
      <w:proofErr w:type="gramStart"/>
      <w:r w:rsidR="00457303">
        <w:rPr>
          <w:bCs/>
          <w:kern w:val="36"/>
        </w:rPr>
        <w:t>связи</w:t>
      </w:r>
      <w:proofErr w:type="gramEnd"/>
      <w:r w:rsidR="00457303">
        <w:rPr>
          <w:bCs/>
          <w:kern w:val="36"/>
        </w:rPr>
        <w:t xml:space="preserve"> с чем можно сделать вывод об увеличении количества рабочих мест в прогнозируемом периоде.</w:t>
      </w:r>
    </w:p>
    <w:p w:rsidR="00457303" w:rsidRDefault="00457303" w:rsidP="00457303">
      <w:pPr>
        <w:autoSpaceDE w:val="0"/>
        <w:autoSpaceDN w:val="0"/>
        <w:adjustRightInd w:val="0"/>
        <w:ind w:firstLine="680"/>
        <w:jc w:val="both"/>
        <w:outlineLvl w:val="0"/>
        <w:rPr>
          <w:bCs/>
          <w:spacing w:val="-2"/>
          <w:kern w:val="36"/>
        </w:rPr>
      </w:pPr>
      <w:r w:rsidRPr="00275904">
        <w:rPr>
          <w:bCs/>
          <w:kern w:val="36"/>
        </w:rPr>
        <w:t xml:space="preserve">Прогноз СЭР на 2017-2019 годы не содержит информацию обо всех инвестиционных проектах, имеющих ключевое значение для развития экономики региона. Так, в Прогнозе СЭР на 2016-2018 годы приведена информация о планируемом к вводу в действие в 2015 году </w:t>
      </w:r>
      <w:r w:rsidRPr="00275904">
        <w:rPr>
          <w:bCs/>
          <w:spacing w:val="-2"/>
          <w:kern w:val="36"/>
        </w:rPr>
        <w:t>проекте по строительству маслоэкстракционного завода в городе Новоаннинский Волгоградской области, реализуемог</w:t>
      </w:r>
      <w:proofErr w:type="gramStart"/>
      <w:r w:rsidRPr="00275904">
        <w:rPr>
          <w:bCs/>
          <w:spacing w:val="-2"/>
          <w:kern w:val="36"/>
        </w:rPr>
        <w:t>о ООО</w:t>
      </w:r>
      <w:proofErr w:type="gramEnd"/>
      <w:r w:rsidRPr="00275904">
        <w:rPr>
          <w:bCs/>
          <w:spacing w:val="-2"/>
          <w:kern w:val="36"/>
        </w:rPr>
        <w:t xml:space="preserve"> «</w:t>
      </w:r>
      <w:proofErr w:type="spellStart"/>
      <w:r w:rsidRPr="00275904">
        <w:rPr>
          <w:bCs/>
          <w:spacing w:val="-2"/>
          <w:kern w:val="36"/>
        </w:rPr>
        <w:t>Каргилл</w:t>
      </w:r>
      <w:proofErr w:type="spellEnd"/>
      <w:r w:rsidRPr="00275904">
        <w:rPr>
          <w:bCs/>
          <w:spacing w:val="-2"/>
          <w:kern w:val="36"/>
        </w:rPr>
        <w:t xml:space="preserve"> Новоаннинский»</w:t>
      </w:r>
      <w:r w:rsidR="00B27454">
        <w:rPr>
          <w:bCs/>
          <w:spacing w:val="-2"/>
          <w:kern w:val="36"/>
        </w:rPr>
        <w:t>,</w:t>
      </w:r>
      <w:r w:rsidRPr="00275904">
        <w:rPr>
          <w:bCs/>
          <w:spacing w:val="-2"/>
          <w:kern w:val="36"/>
        </w:rPr>
        <w:t xml:space="preserve"> с объемом инвестиций в 7 млрд. руб., количество создаваемых рабочих мест </w:t>
      </w:r>
      <w:r w:rsidR="00B27454">
        <w:rPr>
          <w:bCs/>
          <w:spacing w:val="-2"/>
          <w:kern w:val="36"/>
        </w:rPr>
        <w:t>-</w:t>
      </w:r>
      <w:r w:rsidRPr="00275904">
        <w:rPr>
          <w:bCs/>
          <w:spacing w:val="-2"/>
          <w:kern w:val="36"/>
        </w:rPr>
        <w:t xml:space="preserve"> 130 единиц. В 2015 году указанный проект не был введен в эксплуатацию. Однако в Прогнозе СЭР на 2017-2019 годы информация о </w:t>
      </w:r>
      <w:r w:rsidR="00BD7D6D">
        <w:rPr>
          <w:bCs/>
          <w:spacing w:val="-2"/>
          <w:kern w:val="36"/>
        </w:rPr>
        <w:t xml:space="preserve">его </w:t>
      </w:r>
      <w:r w:rsidRPr="00275904">
        <w:rPr>
          <w:bCs/>
          <w:spacing w:val="-2"/>
          <w:kern w:val="36"/>
        </w:rPr>
        <w:t>реализации отсутствует.</w:t>
      </w:r>
    </w:p>
    <w:p w:rsidR="00457303" w:rsidRDefault="00457303" w:rsidP="00457303">
      <w:pPr>
        <w:autoSpaceDE w:val="0"/>
        <w:autoSpaceDN w:val="0"/>
        <w:adjustRightInd w:val="0"/>
        <w:ind w:firstLine="680"/>
        <w:jc w:val="both"/>
        <w:outlineLvl w:val="0"/>
        <w:rPr>
          <w:bCs/>
          <w:spacing w:val="-2"/>
          <w:kern w:val="36"/>
        </w:rPr>
      </w:pPr>
      <w:r>
        <w:rPr>
          <w:bCs/>
          <w:spacing w:val="-2"/>
          <w:kern w:val="36"/>
        </w:rPr>
        <w:t xml:space="preserve">Вместе с тем ввод в действие новых производств, реконструкция действующих, создание новых рабочих мест оказывает непосредственное влияние на социально-экономическое развитие нашего региона и соответственно на формирование  бюджетообразующих налогов (налог на прибыль организаций, налог на имущество организаций, налог на доходы физических лиц, налог, взимаемый в связи с применением упрощенной системы налогообложения). </w:t>
      </w:r>
    </w:p>
    <w:p w:rsidR="00457303" w:rsidRDefault="00457303" w:rsidP="00457303">
      <w:pPr>
        <w:autoSpaceDE w:val="0"/>
        <w:autoSpaceDN w:val="0"/>
        <w:adjustRightInd w:val="0"/>
        <w:ind w:firstLine="680"/>
        <w:jc w:val="both"/>
        <w:outlineLvl w:val="0"/>
      </w:pPr>
      <w:r w:rsidRPr="00A52098">
        <w:rPr>
          <w:bCs/>
          <w:kern w:val="36"/>
        </w:rPr>
        <w:t>Также анализ показателей Прогноза СЭР показал, что значения отдельных прогнозных показателей не увязаны со значениями аналогичных показателей, предусмотренных государственными программами.</w:t>
      </w:r>
      <w:r>
        <w:rPr>
          <w:bCs/>
          <w:kern w:val="36"/>
        </w:rPr>
        <w:t xml:space="preserve"> </w:t>
      </w:r>
      <w:proofErr w:type="gramStart"/>
      <w:r>
        <w:rPr>
          <w:bCs/>
          <w:kern w:val="36"/>
        </w:rPr>
        <w:t>В тоже время ст</w:t>
      </w:r>
      <w:r w:rsidR="00BD7D6D">
        <w:rPr>
          <w:bCs/>
          <w:kern w:val="36"/>
        </w:rPr>
        <w:t>атьей</w:t>
      </w:r>
      <w:r>
        <w:rPr>
          <w:bCs/>
          <w:kern w:val="36"/>
        </w:rPr>
        <w:t xml:space="preserve"> 12 Закона о стратегическом планировании, а также п</w:t>
      </w:r>
      <w:r w:rsidR="00BD7D6D">
        <w:rPr>
          <w:bCs/>
          <w:kern w:val="36"/>
        </w:rPr>
        <w:t>унктом</w:t>
      </w:r>
      <w:r>
        <w:rPr>
          <w:bCs/>
          <w:kern w:val="36"/>
        </w:rPr>
        <w:t xml:space="preserve"> 2.2 Порядка </w:t>
      </w:r>
      <w:r>
        <w:t xml:space="preserve">разработки, корректировки, осуществления мониторинга и контроля реализации прогноза социально-экономического развития Волгоградской </w:t>
      </w:r>
      <w:r w:rsidRPr="003F1DD6">
        <w:t xml:space="preserve">области на среднесрочный период, утвержденного постановлением Администрации Волгоградской области от 30.12.2015 № 829-п, предусмотрено, что </w:t>
      </w:r>
      <w:r w:rsidR="00BD7D6D">
        <w:t xml:space="preserve">Прогноз </w:t>
      </w:r>
      <w:r w:rsidR="00BD7D6D">
        <w:lastRenderedPageBreak/>
        <w:t xml:space="preserve">СЭР </w:t>
      </w:r>
      <w:r w:rsidRPr="003F1DD6">
        <w:t>на среднесрочный период должен содержать основные параметры государственных программ Волгоградской области.</w:t>
      </w:r>
      <w:proofErr w:type="gramEnd"/>
    </w:p>
    <w:p w:rsidR="00BD7D6D" w:rsidRDefault="00457303" w:rsidP="00457303">
      <w:pPr>
        <w:autoSpaceDE w:val="0"/>
        <w:autoSpaceDN w:val="0"/>
        <w:adjustRightInd w:val="0"/>
        <w:ind w:firstLine="680"/>
        <w:jc w:val="both"/>
        <w:outlineLvl w:val="0"/>
        <w:rPr>
          <w:bCs/>
          <w:kern w:val="36"/>
        </w:rPr>
      </w:pPr>
      <w:r>
        <w:rPr>
          <w:bCs/>
          <w:kern w:val="36"/>
        </w:rPr>
        <w:t xml:space="preserve">Значения отдельных макроэкономических показателей, предусмотренных </w:t>
      </w:r>
      <w:r w:rsidR="00BD7D6D">
        <w:rPr>
          <w:bCs/>
          <w:kern w:val="36"/>
        </w:rPr>
        <w:t xml:space="preserve">действующими </w:t>
      </w:r>
      <w:r>
        <w:rPr>
          <w:bCs/>
          <w:kern w:val="36"/>
        </w:rPr>
        <w:t>государственными программами, в сравнении с прогнозируемыми значениями представлены в следующей таблице.</w:t>
      </w:r>
    </w:p>
    <w:p w:rsidR="00457303" w:rsidRDefault="00457303" w:rsidP="00457303">
      <w:pPr>
        <w:autoSpaceDE w:val="0"/>
        <w:autoSpaceDN w:val="0"/>
        <w:adjustRightInd w:val="0"/>
        <w:ind w:firstLine="680"/>
        <w:jc w:val="both"/>
        <w:outlineLvl w:val="0"/>
        <w:rPr>
          <w:bCs/>
          <w:kern w:val="36"/>
        </w:rPr>
      </w:pPr>
      <w:r>
        <w:rPr>
          <w:bCs/>
          <w:kern w:val="36"/>
        </w:rPr>
        <w:t xml:space="preserve"> </w:t>
      </w:r>
    </w:p>
    <w:tbl>
      <w:tblPr>
        <w:tblW w:w="9650" w:type="dxa"/>
        <w:tblInd w:w="97" w:type="dxa"/>
        <w:tblLook w:val="04A0"/>
      </w:tblPr>
      <w:tblGrid>
        <w:gridCol w:w="1004"/>
        <w:gridCol w:w="956"/>
        <w:gridCol w:w="940"/>
        <w:gridCol w:w="3065"/>
        <w:gridCol w:w="3685"/>
      </w:tblGrid>
      <w:tr w:rsidR="00457303" w:rsidRPr="00133F42" w:rsidTr="002750E9">
        <w:trPr>
          <w:trHeight w:val="510"/>
        </w:trPr>
        <w:tc>
          <w:tcPr>
            <w:tcW w:w="10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57303" w:rsidRPr="00BD7D6D" w:rsidRDefault="00457303" w:rsidP="002750E9">
            <w:pPr>
              <w:jc w:val="center"/>
              <w:rPr>
                <w:b/>
                <w:bCs/>
                <w:sz w:val="20"/>
                <w:szCs w:val="20"/>
              </w:rPr>
            </w:pPr>
            <w:r w:rsidRPr="00BD7D6D">
              <w:rPr>
                <w:b/>
                <w:bCs/>
                <w:sz w:val="20"/>
                <w:szCs w:val="20"/>
              </w:rPr>
              <w:t>Период</w:t>
            </w:r>
          </w:p>
        </w:tc>
        <w:tc>
          <w:tcPr>
            <w:tcW w:w="1896" w:type="dxa"/>
            <w:gridSpan w:val="2"/>
            <w:tcBorders>
              <w:top w:val="single" w:sz="4" w:space="0" w:color="auto"/>
              <w:left w:val="nil"/>
              <w:bottom w:val="single" w:sz="4" w:space="0" w:color="auto"/>
              <w:right w:val="single" w:sz="4" w:space="0" w:color="000000"/>
            </w:tcBorders>
            <w:shd w:val="clear" w:color="auto" w:fill="auto"/>
            <w:vAlign w:val="center"/>
            <w:hideMark/>
          </w:tcPr>
          <w:p w:rsidR="00457303" w:rsidRPr="00BD7D6D" w:rsidRDefault="00457303" w:rsidP="002750E9">
            <w:pPr>
              <w:jc w:val="center"/>
              <w:rPr>
                <w:b/>
                <w:bCs/>
                <w:sz w:val="20"/>
                <w:szCs w:val="20"/>
              </w:rPr>
            </w:pPr>
            <w:r w:rsidRPr="00BD7D6D">
              <w:rPr>
                <w:b/>
                <w:bCs/>
                <w:sz w:val="20"/>
                <w:szCs w:val="20"/>
              </w:rPr>
              <w:t>Прогноз СЭР на 2017-2019 годы</w:t>
            </w:r>
          </w:p>
        </w:tc>
        <w:tc>
          <w:tcPr>
            <w:tcW w:w="3065" w:type="dxa"/>
            <w:vMerge w:val="restart"/>
            <w:tcBorders>
              <w:top w:val="single" w:sz="4" w:space="0" w:color="auto"/>
              <w:left w:val="single" w:sz="4" w:space="0" w:color="auto"/>
              <w:bottom w:val="single" w:sz="4" w:space="0" w:color="000000"/>
              <w:right w:val="nil"/>
            </w:tcBorders>
            <w:shd w:val="clear" w:color="auto" w:fill="auto"/>
            <w:vAlign w:val="center"/>
            <w:hideMark/>
          </w:tcPr>
          <w:p w:rsidR="00457303" w:rsidRPr="00BD7D6D" w:rsidRDefault="00457303" w:rsidP="002750E9">
            <w:pPr>
              <w:jc w:val="center"/>
              <w:rPr>
                <w:b/>
                <w:bCs/>
                <w:sz w:val="20"/>
                <w:szCs w:val="20"/>
              </w:rPr>
            </w:pPr>
            <w:r w:rsidRPr="00BD7D6D">
              <w:rPr>
                <w:b/>
                <w:bCs/>
                <w:sz w:val="20"/>
                <w:szCs w:val="20"/>
              </w:rPr>
              <w:t>Действующая госпрограмма</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57303" w:rsidRPr="00BD7D6D" w:rsidRDefault="00457303" w:rsidP="002750E9">
            <w:pPr>
              <w:jc w:val="center"/>
              <w:rPr>
                <w:b/>
                <w:bCs/>
                <w:sz w:val="20"/>
                <w:szCs w:val="20"/>
              </w:rPr>
            </w:pPr>
            <w:r w:rsidRPr="00BD7D6D">
              <w:rPr>
                <w:b/>
                <w:bCs/>
                <w:sz w:val="20"/>
                <w:szCs w:val="20"/>
              </w:rPr>
              <w:t xml:space="preserve">Программа, представленная на рассмотрение КСП </w:t>
            </w:r>
          </w:p>
        </w:tc>
      </w:tr>
      <w:tr w:rsidR="00457303" w:rsidRPr="00133F42" w:rsidTr="002750E9">
        <w:trPr>
          <w:trHeight w:val="255"/>
        </w:trPr>
        <w:tc>
          <w:tcPr>
            <w:tcW w:w="1004" w:type="dxa"/>
            <w:vMerge/>
            <w:tcBorders>
              <w:top w:val="single" w:sz="4" w:space="0" w:color="auto"/>
              <w:left w:val="single" w:sz="4" w:space="0" w:color="auto"/>
              <w:bottom w:val="single" w:sz="4" w:space="0" w:color="000000"/>
              <w:right w:val="single" w:sz="4" w:space="0" w:color="auto"/>
            </w:tcBorders>
            <w:vAlign w:val="center"/>
            <w:hideMark/>
          </w:tcPr>
          <w:p w:rsidR="00457303" w:rsidRPr="00BD7D6D" w:rsidRDefault="00457303" w:rsidP="002750E9">
            <w:pPr>
              <w:rPr>
                <w:b/>
                <w:bCs/>
                <w:sz w:val="20"/>
                <w:szCs w:val="20"/>
              </w:rPr>
            </w:pPr>
          </w:p>
        </w:tc>
        <w:tc>
          <w:tcPr>
            <w:tcW w:w="956" w:type="dxa"/>
            <w:tcBorders>
              <w:top w:val="nil"/>
              <w:left w:val="nil"/>
              <w:bottom w:val="single" w:sz="4" w:space="0" w:color="auto"/>
              <w:right w:val="single" w:sz="4" w:space="0" w:color="auto"/>
            </w:tcBorders>
            <w:shd w:val="clear" w:color="auto" w:fill="auto"/>
            <w:vAlign w:val="center"/>
            <w:hideMark/>
          </w:tcPr>
          <w:p w:rsidR="00457303" w:rsidRPr="00BD7D6D" w:rsidRDefault="00BD7D6D" w:rsidP="00BD7D6D">
            <w:pPr>
              <w:rPr>
                <w:b/>
                <w:bCs/>
                <w:sz w:val="20"/>
                <w:szCs w:val="20"/>
              </w:rPr>
            </w:pPr>
            <w:r w:rsidRPr="00BD7D6D">
              <w:rPr>
                <w:b/>
                <w:bCs/>
                <w:sz w:val="20"/>
                <w:szCs w:val="20"/>
              </w:rPr>
              <w:t>В</w:t>
            </w:r>
            <w:r w:rsidR="00457303" w:rsidRPr="00BD7D6D">
              <w:rPr>
                <w:b/>
                <w:bCs/>
                <w:sz w:val="20"/>
                <w:szCs w:val="20"/>
              </w:rPr>
              <w:t>ар</w:t>
            </w:r>
            <w:r>
              <w:rPr>
                <w:b/>
                <w:bCs/>
                <w:sz w:val="20"/>
                <w:szCs w:val="20"/>
              </w:rPr>
              <w:t>.</w:t>
            </w:r>
            <w:r w:rsidR="00457303" w:rsidRPr="00BD7D6D">
              <w:rPr>
                <w:b/>
                <w:bCs/>
                <w:sz w:val="20"/>
                <w:szCs w:val="20"/>
              </w:rPr>
              <w:t xml:space="preserve"> 1</w:t>
            </w:r>
          </w:p>
        </w:tc>
        <w:tc>
          <w:tcPr>
            <w:tcW w:w="940" w:type="dxa"/>
            <w:tcBorders>
              <w:top w:val="nil"/>
              <w:left w:val="nil"/>
              <w:bottom w:val="single" w:sz="4" w:space="0" w:color="auto"/>
              <w:right w:val="single" w:sz="4" w:space="0" w:color="auto"/>
            </w:tcBorders>
            <w:shd w:val="clear" w:color="auto" w:fill="auto"/>
            <w:vAlign w:val="center"/>
            <w:hideMark/>
          </w:tcPr>
          <w:p w:rsidR="00457303" w:rsidRPr="00BD7D6D" w:rsidRDefault="00BD7D6D" w:rsidP="00BD7D6D">
            <w:pPr>
              <w:rPr>
                <w:b/>
                <w:bCs/>
                <w:sz w:val="20"/>
                <w:szCs w:val="20"/>
              </w:rPr>
            </w:pPr>
            <w:r w:rsidRPr="00BD7D6D">
              <w:rPr>
                <w:b/>
                <w:bCs/>
                <w:sz w:val="20"/>
                <w:szCs w:val="20"/>
              </w:rPr>
              <w:t>В</w:t>
            </w:r>
            <w:r w:rsidR="00457303" w:rsidRPr="00BD7D6D">
              <w:rPr>
                <w:b/>
                <w:bCs/>
                <w:sz w:val="20"/>
                <w:szCs w:val="20"/>
              </w:rPr>
              <w:t>ар</w:t>
            </w:r>
            <w:r>
              <w:rPr>
                <w:b/>
                <w:bCs/>
                <w:sz w:val="20"/>
                <w:szCs w:val="20"/>
              </w:rPr>
              <w:t>.</w:t>
            </w:r>
            <w:r w:rsidR="00457303" w:rsidRPr="00BD7D6D">
              <w:rPr>
                <w:b/>
                <w:bCs/>
                <w:sz w:val="20"/>
                <w:szCs w:val="20"/>
              </w:rPr>
              <w:t xml:space="preserve"> 2</w:t>
            </w:r>
          </w:p>
        </w:tc>
        <w:tc>
          <w:tcPr>
            <w:tcW w:w="3065" w:type="dxa"/>
            <w:vMerge/>
            <w:tcBorders>
              <w:top w:val="single" w:sz="4" w:space="0" w:color="auto"/>
              <w:left w:val="single" w:sz="4" w:space="0" w:color="auto"/>
              <w:bottom w:val="single" w:sz="4" w:space="0" w:color="000000"/>
              <w:right w:val="nil"/>
            </w:tcBorders>
            <w:vAlign w:val="center"/>
            <w:hideMark/>
          </w:tcPr>
          <w:p w:rsidR="00457303" w:rsidRPr="00BD7D6D" w:rsidRDefault="00457303" w:rsidP="002750E9">
            <w:pPr>
              <w:rPr>
                <w:b/>
                <w:bCs/>
                <w:sz w:val="20"/>
                <w:szCs w:val="20"/>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457303" w:rsidRPr="00BD7D6D" w:rsidRDefault="00457303" w:rsidP="002750E9">
            <w:pPr>
              <w:rPr>
                <w:b/>
                <w:bCs/>
                <w:sz w:val="20"/>
                <w:szCs w:val="20"/>
              </w:rPr>
            </w:pPr>
          </w:p>
        </w:tc>
      </w:tr>
      <w:tr w:rsidR="00457303" w:rsidRPr="00133F42" w:rsidTr="002750E9">
        <w:trPr>
          <w:trHeight w:val="665"/>
        </w:trPr>
        <w:tc>
          <w:tcPr>
            <w:tcW w:w="1004" w:type="dxa"/>
            <w:tcBorders>
              <w:top w:val="nil"/>
              <w:left w:val="single" w:sz="4" w:space="0" w:color="auto"/>
              <w:bottom w:val="single" w:sz="4" w:space="0" w:color="auto"/>
              <w:right w:val="nil"/>
            </w:tcBorders>
            <w:shd w:val="clear" w:color="auto" w:fill="auto"/>
            <w:vAlign w:val="center"/>
            <w:hideMark/>
          </w:tcPr>
          <w:p w:rsidR="00457303" w:rsidRPr="00BD7D6D" w:rsidRDefault="00457303" w:rsidP="002750E9">
            <w:pPr>
              <w:rPr>
                <w:sz w:val="20"/>
                <w:szCs w:val="20"/>
              </w:rPr>
            </w:pPr>
            <w:r w:rsidRPr="00BD7D6D">
              <w:rPr>
                <w:sz w:val="20"/>
                <w:szCs w:val="20"/>
              </w:rPr>
              <w:t> </w:t>
            </w:r>
          </w:p>
        </w:tc>
        <w:tc>
          <w:tcPr>
            <w:tcW w:w="956" w:type="dxa"/>
            <w:tcBorders>
              <w:top w:val="nil"/>
              <w:left w:val="single" w:sz="4" w:space="0" w:color="auto"/>
              <w:bottom w:val="single" w:sz="4" w:space="0" w:color="auto"/>
              <w:right w:val="single" w:sz="4" w:space="0" w:color="auto"/>
            </w:tcBorders>
            <w:shd w:val="clear" w:color="auto" w:fill="auto"/>
            <w:vAlign w:val="center"/>
            <w:hideMark/>
          </w:tcPr>
          <w:p w:rsidR="00457303" w:rsidRPr="00BD7D6D" w:rsidRDefault="00457303" w:rsidP="002750E9">
            <w:pPr>
              <w:rPr>
                <w:sz w:val="20"/>
                <w:szCs w:val="20"/>
              </w:rPr>
            </w:pPr>
            <w:r w:rsidRPr="00BD7D6D">
              <w:rPr>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rsidR="00457303" w:rsidRPr="00BD7D6D" w:rsidRDefault="00457303" w:rsidP="002750E9">
            <w:pPr>
              <w:rPr>
                <w:sz w:val="20"/>
                <w:szCs w:val="20"/>
              </w:rPr>
            </w:pPr>
            <w:r w:rsidRPr="00BD7D6D">
              <w:rPr>
                <w:sz w:val="20"/>
                <w:szCs w:val="20"/>
              </w:rPr>
              <w:t> </w:t>
            </w:r>
          </w:p>
        </w:tc>
        <w:tc>
          <w:tcPr>
            <w:tcW w:w="3065" w:type="dxa"/>
            <w:tcBorders>
              <w:top w:val="nil"/>
              <w:left w:val="nil"/>
              <w:bottom w:val="single" w:sz="4" w:space="0" w:color="auto"/>
              <w:right w:val="single" w:sz="4" w:space="0" w:color="auto"/>
            </w:tcBorders>
            <w:shd w:val="clear" w:color="auto" w:fill="auto"/>
            <w:vAlign w:val="center"/>
            <w:hideMark/>
          </w:tcPr>
          <w:p w:rsidR="00457303" w:rsidRPr="00631B15" w:rsidRDefault="00457303" w:rsidP="002750E9">
            <w:pPr>
              <w:jc w:val="center"/>
              <w:rPr>
                <w:bCs/>
                <w:iCs/>
                <w:sz w:val="20"/>
                <w:szCs w:val="20"/>
              </w:rPr>
            </w:pPr>
            <w:r w:rsidRPr="00631B15">
              <w:rPr>
                <w:bCs/>
                <w:iCs/>
                <w:sz w:val="20"/>
                <w:szCs w:val="20"/>
              </w:rPr>
              <w:t>ГП "Экономическое развитие и инновационная экономика" на 2014 - 2016 годы"</w:t>
            </w:r>
          </w:p>
        </w:tc>
        <w:tc>
          <w:tcPr>
            <w:tcW w:w="3685" w:type="dxa"/>
            <w:tcBorders>
              <w:top w:val="nil"/>
              <w:left w:val="nil"/>
              <w:bottom w:val="nil"/>
              <w:right w:val="single" w:sz="4" w:space="0" w:color="auto"/>
            </w:tcBorders>
            <w:shd w:val="clear" w:color="auto" w:fill="auto"/>
            <w:vAlign w:val="bottom"/>
            <w:hideMark/>
          </w:tcPr>
          <w:p w:rsidR="00457303" w:rsidRPr="00631B15" w:rsidRDefault="00457303" w:rsidP="00631B15">
            <w:pPr>
              <w:jc w:val="center"/>
              <w:rPr>
                <w:bCs/>
                <w:iCs/>
                <w:sz w:val="20"/>
                <w:szCs w:val="20"/>
              </w:rPr>
            </w:pPr>
            <w:r w:rsidRPr="00631B15">
              <w:rPr>
                <w:bCs/>
                <w:iCs/>
                <w:sz w:val="20"/>
                <w:szCs w:val="20"/>
              </w:rPr>
              <w:t xml:space="preserve">ГП "Экономическое развитие и инновационная экономика" на 2017-2020 годы, представленная одновременно с </w:t>
            </w:r>
            <w:r w:rsidR="00BD7D6D" w:rsidRPr="00631B15">
              <w:rPr>
                <w:bCs/>
                <w:iCs/>
                <w:sz w:val="20"/>
                <w:szCs w:val="20"/>
              </w:rPr>
              <w:t>з</w:t>
            </w:r>
            <w:r w:rsidRPr="00631B15">
              <w:rPr>
                <w:bCs/>
                <w:iCs/>
                <w:sz w:val="20"/>
                <w:szCs w:val="20"/>
              </w:rPr>
              <w:t>аконопроектом и внесенная на рассмотрение в КСП комитетом экономики письмом от 10.11.2016 № 07-06-02-13/7848</w:t>
            </w:r>
          </w:p>
        </w:tc>
      </w:tr>
      <w:tr w:rsidR="00457303" w:rsidRPr="00133F42" w:rsidTr="002750E9">
        <w:trPr>
          <w:trHeight w:val="149"/>
        </w:trPr>
        <w:tc>
          <w:tcPr>
            <w:tcW w:w="965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457303" w:rsidRPr="00631B15" w:rsidRDefault="00457303" w:rsidP="002750E9">
            <w:pPr>
              <w:jc w:val="center"/>
              <w:rPr>
                <w:b/>
                <w:iCs/>
                <w:sz w:val="20"/>
                <w:szCs w:val="20"/>
              </w:rPr>
            </w:pPr>
            <w:r w:rsidRPr="00631B15">
              <w:rPr>
                <w:b/>
                <w:iCs/>
                <w:sz w:val="20"/>
                <w:szCs w:val="20"/>
              </w:rPr>
              <w:t>Внешнеторговый оборот, млн. дол. США</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2016 год</w:t>
            </w:r>
          </w:p>
        </w:tc>
        <w:tc>
          <w:tcPr>
            <w:tcW w:w="956"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BD7D6D">
            <w:pPr>
              <w:jc w:val="center"/>
              <w:rPr>
                <w:sz w:val="20"/>
                <w:szCs w:val="20"/>
              </w:rPr>
            </w:pPr>
            <w:r w:rsidRPr="00BD7D6D">
              <w:rPr>
                <w:sz w:val="20"/>
                <w:szCs w:val="20"/>
              </w:rPr>
              <w:t>1843,6</w:t>
            </w:r>
          </w:p>
        </w:tc>
        <w:tc>
          <w:tcPr>
            <w:tcW w:w="940" w:type="dxa"/>
            <w:tcBorders>
              <w:top w:val="nil"/>
              <w:left w:val="nil"/>
              <w:bottom w:val="nil"/>
              <w:right w:val="nil"/>
            </w:tcBorders>
            <w:shd w:val="clear" w:color="auto" w:fill="auto"/>
            <w:vAlign w:val="bottom"/>
            <w:hideMark/>
          </w:tcPr>
          <w:p w:rsidR="00457303" w:rsidRPr="00BD7D6D" w:rsidRDefault="00457303" w:rsidP="00BD7D6D">
            <w:pPr>
              <w:jc w:val="center"/>
              <w:rPr>
                <w:sz w:val="20"/>
                <w:szCs w:val="20"/>
              </w:rPr>
            </w:pPr>
          </w:p>
        </w:tc>
        <w:tc>
          <w:tcPr>
            <w:tcW w:w="3065" w:type="dxa"/>
            <w:tcBorders>
              <w:top w:val="nil"/>
              <w:left w:val="single" w:sz="4" w:space="0" w:color="auto"/>
              <w:bottom w:val="single" w:sz="4" w:space="0" w:color="auto"/>
              <w:right w:val="single" w:sz="4" w:space="0" w:color="auto"/>
            </w:tcBorders>
            <w:shd w:val="clear" w:color="auto" w:fill="auto"/>
            <w:hideMark/>
          </w:tcPr>
          <w:p w:rsidR="00457303" w:rsidRPr="00BD7D6D" w:rsidRDefault="00457303" w:rsidP="00BD7D6D">
            <w:pPr>
              <w:jc w:val="center"/>
              <w:rPr>
                <w:sz w:val="20"/>
                <w:szCs w:val="20"/>
              </w:rPr>
            </w:pPr>
            <w:r w:rsidRPr="00BD7D6D">
              <w:rPr>
                <w:sz w:val="20"/>
                <w:szCs w:val="20"/>
              </w:rPr>
              <w:t>7900,0</w:t>
            </w:r>
          </w:p>
        </w:tc>
        <w:tc>
          <w:tcPr>
            <w:tcW w:w="3685"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BD7D6D">
            <w:pPr>
              <w:jc w:val="center"/>
              <w:rPr>
                <w:sz w:val="20"/>
                <w:szCs w:val="20"/>
              </w:rPr>
            </w:pPr>
            <w:r w:rsidRPr="00BD7D6D">
              <w:rPr>
                <w:sz w:val="20"/>
                <w:szCs w:val="20"/>
              </w:rPr>
              <w:t>1844,0</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2017 год</w:t>
            </w:r>
          </w:p>
        </w:tc>
        <w:tc>
          <w:tcPr>
            <w:tcW w:w="956" w:type="dxa"/>
            <w:tcBorders>
              <w:top w:val="nil"/>
              <w:left w:val="nil"/>
              <w:bottom w:val="single" w:sz="4" w:space="0" w:color="auto"/>
              <w:right w:val="single" w:sz="4" w:space="0" w:color="auto"/>
            </w:tcBorders>
            <w:shd w:val="clear" w:color="auto" w:fill="auto"/>
            <w:vAlign w:val="bottom"/>
            <w:hideMark/>
          </w:tcPr>
          <w:p w:rsidR="00457303" w:rsidRPr="00BD7D6D" w:rsidRDefault="00457303" w:rsidP="00BD7D6D">
            <w:pPr>
              <w:jc w:val="center"/>
              <w:rPr>
                <w:sz w:val="20"/>
                <w:szCs w:val="20"/>
              </w:rPr>
            </w:pPr>
            <w:r w:rsidRPr="00BD7D6D">
              <w:rPr>
                <w:sz w:val="20"/>
                <w:szCs w:val="20"/>
              </w:rPr>
              <w:t>1890,5</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457303" w:rsidRPr="00BD7D6D" w:rsidRDefault="00457303" w:rsidP="00BD7D6D">
            <w:pPr>
              <w:jc w:val="center"/>
              <w:rPr>
                <w:sz w:val="20"/>
                <w:szCs w:val="20"/>
              </w:rPr>
            </w:pPr>
            <w:r w:rsidRPr="00BD7D6D">
              <w:rPr>
                <w:sz w:val="20"/>
                <w:szCs w:val="20"/>
              </w:rPr>
              <w:t>1891,6</w:t>
            </w:r>
          </w:p>
        </w:tc>
        <w:tc>
          <w:tcPr>
            <w:tcW w:w="3065" w:type="dxa"/>
            <w:tcBorders>
              <w:top w:val="nil"/>
              <w:left w:val="nil"/>
              <w:bottom w:val="single" w:sz="4" w:space="0" w:color="auto"/>
              <w:right w:val="single" w:sz="4" w:space="0" w:color="auto"/>
            </w:tcBorders>
            <w:shd w:val="clear" w:color="auto" w:fill="auto"/>
            <w:vAlign w:val="bottom"/>
            <w:hideMark/>
          </w:tcPr>
          <w:p w:rsidR="00457303" w:rsidRPr="00BD7D6D" w:rsidRDefault="00457303" w:rsidP="00BD7D6D">
            <w:pPr>
              <w:jc w:val="center"/>
              <w:rPr>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BD7D6D">
            <w:pPr>
              <w:jc w:val="center"/>
              <w:rPr>
                <w:sz w:val="20"/>
                <w:szCs w:val="20"/>
              </w:rPr>
            </w:pPr>
            <w:r w:rsidRPr="00BD7D6D">
              <w:rPr>
                <w:sz w:val="20"/>
                <w:szCs w:val="20"/>
              </w:rPr>
              <w:t>1891,0</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2018 год</w:t>
            </w:r>
          </w:p>
        </w:tc>
        <w:tc>
          <w:tcPr>
            <w:tcW w:w="956"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BD7D6D">
            <w:pPr>
              <w:jc w:val="center"/>
              <w:rPr>
                <w:sz w:val="20"/>
                <w:szCs w:val="20"/>
              </w:rPr>
            </w:pPr>
            <w:r w:rsidRPr="00BD7D6D">
              <w:rPr>
                <w:sz w:val="20"/>
                <w:szCs w:val="20"/>
              </w:rPr>
              <w:t>1954,5</w:t>
            </w:r>
          </w:p>
        </w:tc>
        <w:tc>
          <w:tcPr>
            <w:tcW w:w="940" w:type="dxa"/>
            <w:tcBorders>
              <w:top w:val="nil"/>
              <w:left w:val="nil"/>
              <w:bottom w:val="single" w:sz="4" w:space="0" w:color="auto"/>
              <w:right w:val="nil"/>
            </w:tcBorders>
            <w:shd w:val="clear" w:color="auto" w:fill="auto"/>
            <w:noWrap/>
            <w:vAlign w:val="bottom"/>
            <w:hideMark/>
          </w:tcPr>
          <w:p w:rsidR="00457303" w:rsidRPr="00BD7D6D" w:rsidRDefault="00457303" w:rsidP="00BD7D6D">
            <w:pPr>
              <w:jc w:val="center"/>
              <w:rPr>
                <w:sz w:val="20"/>
                <w:szCs w:val="20"/>
              </w:rPr>
            </w:pPr>
            <w:r w:rsidRPr="00BD7D6D">
              <w:rPr>
                <w:sz w:val="20"/>
                <w:szCs w:val="20"/>
              </w:rPr>
              <w:t>1963,0</w:t>
            </w:r>
          </w:p>
        </w:tc>
        <w:tc>
          <w:tcPr>
            <w:tcW w:w="3065"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BD7D6D">
            <w:pPr>
              <w:jc w:val="center"/>
              <w:rPr>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BD7D6D">
            <w:pPr>
              <w:jc w:val="center"/>
              <w:rPr>
                <w:sz w:val="20"/>
                <w:szCs w:val="20"/>
              </w:rPr>
            </w:pPr>
            <w:r w:rsidRPr="00BD7D6D">
              <w:rPr>
                <w:sz w:val="20"/>
                <w:szCs w:val="20"/>
              </w:rPr>
              <w:t>1955,0</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2019 год</w:t>
            </w:r>
          </w:p>
        </w:tc>
        <w:tc>
          <w:tcPr>
            <w:tcW w:w="956" w:type="dxa"/>
            <w:tcBorders>
              <w:top w:val="single" w:sz="4" w:space="0" w:color="auto"/>
              <w:left w:val="nil"/>
              <w:bottom w:val="single" w:sz="4" w:space="0" w:color="auto"/>
              <w:right w:val="single" w:sz="4" w:space="0" w:color="auto"/>
            </w:tcBorders>
            <w:shd w:val="clear" w:color="auto" w:fill="auto"/>
            <w:vAlign w:val="bottom"/>
            <w:hideMark/>
          </w:tcPr>
          <w:p w:rsidR="00457303" w:rsidRPr="00BD7D6D" w:rsidRDefault="00457303" w:rsidP="00BD7D6D">
            <w:pPr>
              <w:jc w:val="center"/>
              <w:rPr>
                <w:sz w:val="20"/>
                <w:szCs w:val="20"/>
              </w:rPr>
            </w:pPr>
            <w:r w:rsidRPr="00BD7D6D">
              <w:rPr>
                <w:sz w:val="20"/>
                <w:szCs w:val="20"/>
              </w:rPr>
              <w:t>2040,2</w:t>
            </w:r>
          </w:p>
        </w:tc>
        <w:tc>
          <w:tcPr>
            <w:tcW w:w="940" w:type="dxa"/>
            <w:tcBorders>
              <w:top w:val="single" w:sz="4" w:space="0" w:color="auto"/>
              <w:left w:val="nil"/>
              <w:bottom w:val="single" w:sz="4" w:space="0" w:color="auto"/>
              <w:right w:val="nil"/>
            </w:tcBorders>
            <w:shd w:val="clear" w:color="auto" w:fill="auto"/>
            <w:vAlign w:val="bottom"/>
            <w:hideMark/>
          </w:tcPr>
          <w:p w:rsidR="00457303" w:rsidRPr="00BD7D6D" w:rsidRDefault="00457303" w:rsidP="00BD7D6D">
            <w:pPr>
              <w:jc w:val="center"/>
              <w:rPr>
                <w:sz w:val="20"/>
                <w:szCs w:val="20"/>
              </w:rPr>
            </w:pPr>
            <w:r w:rsidRPr="00BD7D6D">
              <w:rPr>
                <w:sz w:val="20"/>
                <w:szCs w:val="20"/>
              </w:rPr>
              <w:t>2074,2</w:t>
            </w:r>
          </w:p>
        </w:tc>
        <w:tc>
          <w:tcPr>
            <w:tcW w:w="30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7303" w:rsidRPr="00BD7D6D" w:rsidRDefault="00457303" w:rsidP="00BD7D6D">
            <w:pPr>
              <w:jc w:val="center"/>
              <w:rPr>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BD7D6D">
            <w:pPr>
              <w:jc w:val="center"/>
              <w:rPr>
                <w:sz w:val="20"/>
                <w:szCs w:val="20"/>
              </w:rPr>
            </w:pPr>
            <w:r w:rsidRPr="00BD7D6D">
              <w:rPr>
                <w:sz w:val="20"/>
                <w:szCs w:val="20"/>
              </w:rPr>
              <w:t>2050,0</w:t>
            </w:r>
          </w:p>
        </w:tc>
      </w:tr>
      <w:tr w:rsidR="00457303" w:rsidRPr="00133F42" w:rsidTr="002750E9">
        <w:trPr>
          <w:trHeight w:val="881"/>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 </w:t>
            </w:r>
          </w:p>
        </w:tc>
        <w:tc>
          <w:tcPr>
            <w:tcW w:w="956" w:type="dxa"/>
            <w:tcBorders>
              <w:top w:val="single" w:sz="4" w:space="0" w:color="auto"/>
              <w:left w:val="nil"/>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 </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 </w:t>
            </w:r>
          </w:p>
        </w:tc>
        <w:tc>
          <w:tcPr>
            <w:tcW w:w="3065" w:type="dxa"/>
            <w:tcBorders>
              <w:top w:val="single" w:sz="4" w:space="0" w:color="auto"/>
              <w:left w:val="nil"/>
              <w:bottom w:val="single" w:sz="4" w:space="0" w:color="auto"/>
              <w:right w:val="single" w:sz="4" w:space="0" w:color="auto"/>
            </w:tcBorders>
            <w:shd w:val="clear" w:color="auto" w:fill="auto"/>
            <w:vAlign w:val="center"/>
            <w:hideMark/>
          </w:tcPr>
          <w:p w:rsidR="00457303" w:rsidRPr="00631B15" w:rsidRDefault="00457303" w:rsidP="002750E9">
            <w:pPr>
              <w:jc w:val="center"/>
              <w:rPr>
                <w:bCs/>
                <w:iCs/>
                <w:sz w:val="20"/>
                <w:szCs w:val="20"/>
              </w:rPr>
            </w:pPr>
            <w:r w:rsidRPr="00631B15">
              <w:rPr>
                <w:bCs/>
                <w:iCs/>
                <w:sz w:val="20"/>
                <w:szCs w:val="20"/>
              </w:rPr>
              <w:t>ГП "Содействие занятости населения, улучшение условий и охраны труда в Волгоградской области в 2014 - 2020 годах"</w:t>
            </w:r>
          </w:p>
        </w:tc>
        <w:tc>
          <w:tcPr>
            <w:tcW w:w="3685" w:type="dxa"/>
            <w:tcBorders>
              <w:top w:val="nil"/>
              <w:left w:val="nil"/>
              <w:bottom w:val="single" w:sz="4" w:space="0" w:color="auto"/>
              <w:right w:val="single" w:sz="4" w:space="0" w:color="auto"/>
            </w:tcBorders>
            <w:shd w:val="clear" w:color="auto" w:fill="auto"/>
            <w:vAlign w:val="bottom"/>
            <w:hideMark/>
          </w:tcPr>
          <w:p w:rsidR="00457303" w:rsidRPr="00631B15" w:rsidRDefault="00457303" w:rsidP="00631B15">
            <w:pPr>
              <w:jc w:val="center"/>
              <w:rPr>
                <w:bCs/>
                <w:iCs/>
                <w:sz w:val="20"/>
                <w:szCs w:val="20"/>
              </w:rPr>
            </w:pPr>
            <w:r w:rsidRPr="00631B15">
              <w:rPr>
                <w:bCs/>
                <w:iCs/>
                <w:sz w:val="20"/>
                <w:szCs w:val="20"/>
              </w:rPr>
              <w:t xml:space="preserve">ГП "Развитие рынка труда и обеспечения занятости в Волгоградской области" на 2017-2020 годы, </w:t>
            </w:r>
            <w:proofErr w:type="gramStart"/>
            <w:r w:rsidRPr="00631B15">
              <w:rPr>
                <w:bCs/>
                <w:iCs/>
                <w:sz w:val="20"/>
                <w:szCs w:val="20"/>
              </w:rPr>
              <w:t>внесенная</w:t>
            </w:r>
            <w:proofErr w:type="gramEnd"/>
            <w:r w:rsidRPr="00631B15">
              <w:rPr>
                <w:bCs/>
                <w:iCs/>
                <w:sz w:val="20"/>
                <w:szCs w:val="20"/>
              </w:rPr>
              <w:t xml:space="preserve"> на рассмотрение комитетом по труду и занятости письмом от 31.10.2016 № 0601-4511</w:t>
            </w:r>
          </w:p>
        </w:tc>
      </w:tr>
      <w:tr w:rsidR="00457303" w:rsidRPr="00133F42" w:rsidTr="002750E9">
        <w:trPr>
          <w:trHeight w:val="194"/>
        </w:trPr>
        <w:tc>
          <w:tcPr>
            <w:tcW w:w="965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457303" w:rsidRPr="00631B15" w:rsidRDefault="00457303" w:rsidP="002750E9">
            <w:pPr>
              <w:jc w:val="center"/>
              <w:rPr>
                <w:b/>
                <w:iCs/>
                <w:sz w:val="20"/>
                <w:szCs w:val="20"/>
              </w:rPr>
            </w:pPr>
            <w:r w:rsidRPr="00631B15">
              <w:rPr>
                <w:b/>
                <w:iCs/>
                <w:sz w:val="20"/>
                <w:szCs w:val="20"/>
              </w:rPr>
              <w:t>Уровень безработицы (по методологии Международной организации труда), процентов</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2016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7,2</w:t>
            </w:r>
          </w:p>
        </w:tc>
        <w:tc>
          <w:tcPr>
            <w:tcW w:w="940"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BD7D6D">
            <w:pPr>
              <w:jc w:val="center"/>
              <w:rPr>
                <w:sz w:val="20"/>
                <w:szCs w:val="20"/>
              </w:rPr>
            </w:pPr>
            <w:r w:rsidRPr="00BD7D6D">
              <w:rPr>
                <w:sz w:val="20"/>
                <w:szCs w:val="20"/>
              </w:rPr>
              <w:t>7,2</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6,2</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6,2</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2017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7,2</w:t>
            </w:r>
          </w:p>
        </w:tc>
        <w:tc>
          <w:tcPr>
            <w:tcW w:w="940"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BD7D6D">
            <w:pPr>
              <w:jc w:val="center"/>
              <w:rPr>
                <w:sz w:val="20"/>
                <w:szCs w:val="20"/>
              </w:rPr>
            </w:pPr>
            <w:r w:rsidRPr="00BD7D6D">
              <w:rPr>
                <w:sz w:val="20"/>
                <w:szCs w:val="20"/>
              </w:rPr>
              <w:t>7,1</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6,1</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6,1</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2018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7,2</w:t>
            </w:r>
          </w:p>
        </w:tc>
        <w:tc>
          <w:tcPr>
            <w:tcW w:w="940"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BD7D6D">
            <w:pPr>
              <w:jc w:val="center"/>
              <w:rPr>
                <w:sz w:val="20"/>
                <w:szCs w:val="20"/>
              </w:rPr>
            </w:pPr>
            <w:r w:rsidRPr="00BD7D6D">
              <w:rPr>
                <w:sz w:val="20"/>
                <w:szCs w:val="20"/>
              </w:rPr>
              <w:t>7,1</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6,0</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6,0</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2019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7</w:t>
            </w:r>
          </w:p>
        </w:tc>
        <w:tc>
          <w:tcPr>
            <w:tcW w:w="940"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BD7D6D">
            <w:pPr>
              <w:jc w:val="center"/>
              <w:rPr>
                <w:sz w:val="20"/>
                <w:szCs w:val="20"/>
              </w:rPr>
            </w:pPr>
            <w:r w:rsidRPr="00BD7D6D">
              <w:rPr>
                <w:sz w:val="20"/>
                <w:szCs w:val="20"/>
              </w:rPr>
              <w:t>6,9</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5,9</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5,9</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2020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p>
        </w:tc>
        <w:tc>
          <w:tcPr>
            <w:tcW w:w="940" w:type="dxa"/>
            <w:tcBorders>
              <w:top w:val="nil"/>
              <w:left w:val="nil"/>
              <w:bottom w:val="single" w:sz="4" w:space="0" w:color="auto"/>
              <w:right w:val="single" w:sz="4" w:space="0" w:color="auto"/>
            </w:tcBorders>
            <w:shd w:val="clear" w:color="auto" w:fill="auto"/>
            <w:vAlign w:val="bottom"/>
            <w:hideMark/>
          </w:tcPr>
          <w:p w:rsidR="00457303" w:rsidRPr="00BD7D6D" w:rsidRDefault="00457303" w:rsidP="00BD7D6D">
            <w:pPr>
              <w:jc w:val="center"/>
              <w:rPr>
                <w:sz w:val="20"/>
                <w:szCs w:val="20"/>
              </w:rPr>
            </w:pP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5,8</w:t>
            </w:r>
          </w:p>
        </w:tc>
        <w:tc>
          <w:tcPr>
            <w:tcW w:w="3685"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BD7D6D">
            <w:pPr>
              <w:jc w:val="center"/>
              <w:rPr>
                <w:sz w:val="20"/>
                <w:szCs w:val="20"/>
              </w:rPr>
            </w:pPr>
            <w:r w:rsidRPr="00BD7D6D">
              <w:rPr>
                <w:sz w:val="20"/>
                <w:szCs w:val="20"/>
              </w:rPr>
              <w:t>5,8</w:t>
            </w:r>
          </w:p>
        </w:tc>
      </w:tr>
      <w:tr w:rsidR="00457303" w:rsidRPr="00133F42" w:rsidTr="002750E9">
        <w:trPr>
          <w:trHeight w:val="160"/>
        </w:trPr>
        <w:tc>
          <w:tcPr>
            <w:tcW w:w="965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457303" w:rsidRPr="00631B15" w:rsidRDefault="00457303" w:rsidP="00BD7D6D">
            <w:pPr>
              <w:jc w:val="center"/>
              <w:rPr>
                <w:b/>
                <w:iCs/>
                <w:sz w:val="20"/>
                <w:szCs w:val="20"/>
              </w:rPr>
            </w:pPr>
            <w:r w:rsidRPr="00631B15">
              <w:rPr>
                <w:b/>
                <w:iCs/>
                <w:sz w:val="20"/>
                <w:szCs w:val="20"/>
              </w:rPr>
              <w:t>Уровень регистрируемой безработицы, процентов</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2016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1,2</w:t>
            </w:r>
          </w:p>
        </w:tc>
        <w:tc>
          <w:tcPr>
            <w:tcW w:w="940"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1,2</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1,5</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1,5</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2017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1,4</w:t>
            </w:r>
          </w:p>
        </w:tc>
        <w:tc>
          <w:tcPr>
            <w:tcW w:w="940"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1,3</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1,4</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1,4</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2018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1,4</w:t>
            </w:r>
          </w:p>
        </w:tc>
        <w:tc>
          <w:tcPr>
            <w:tcW w:w="940"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1,3</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1,4</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1,4</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2019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1,4</w:t>
            </w:r>
          </w:p>
        </w:tc>
        <w:tc>
          <w:tcPr>
            <w:tcW w:w="940"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BD7D6D">
            <w:pPr>
              <w:jc w:val="center"/>
              <w:rPr>
                <w:sz w:val="20"/>
                <w:szCs w:val="20"/>
              </w:rPr>
            </w:pPr>
            <w:r w:rsidRPr="00BD7D6D">
              <w:rPr>
                <w:sz w:val="20"/>
                <w:szCs w:val="20"/>
              </w:rPr>
              <w:t>1,3</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1,4</w:t>
            </w:r>
          </w:p>
        </w:tc>
        <w:tc>
          <w:tcPr>
            <w:tcW w:w="3685"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BD7D6D">
            <w:pPr>
              <w:jc w:val="center"/>
              <w:rPr>
                <w:sz w:val="20"/>
                <w:szCs w:val="20"/>
              </w:rPr>
            </w:pPr>
            <w:r w:rsidRPr="00BD7D6D">
              <w:rPr>
                <w:sz w:val="20"/>
                <w:szCs w:val="20"/>
              </w:rPr>
              <w:t>1,4</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2020 год</w:t>
            </w:r>
          </w:p>
        </w:tc>
        <w:tc>
          <w:tcPr>
            <w:tcW w:w="956" w:type="dxa"/>
            <w:tcBorders>
              <w:top w:val="nil"/>
              <w:left w:val="nil"/>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 </w:t>
            </w:r>
          </w:p>
        </w:tc>
        <w:tc>
          <w:tcPr>
            <w:tcW w:w="940" w:type="dxa"/>
            <w:tcBorders>
              <w:top w:val="nil"/>
              <w:left w:val="nil"/>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 </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1,3</w:t>
            </w:r>
          </w:p>
        </w:tc>
        <w:tc>
          <w:tcPr>
            <w:tcW w:w="3685"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BD7D6D">
            <w:pPr>
              <w:jc w:val="center"/>
              <w:rPr>
                <w:sz w:val="20"/>
                <w:szCs w:val="20"/>
              </w:rPr>
            </w:pPr>
            <w:r w:rsidRPr="00BD7D6D">
              <w:rPr>
                <w:sz w:val="20"/>
                <w:szCs w:val="20"/>
              </w:rPr>
              <w:t>1,3</w:t>
            </w:r>
          </w:p>
        </w:tc>
      </w:tr>
      <w:tr w:rsidR="00457303" w:rsidRPr="00133F42" w:rsidTr="002750E9">
        <w:trPr>
          <w:trHeight w:val="1010"/>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 </w:t>
            </w:r>
          </w:p>
        </w:tc>
        <w:tc>
          <w:tcPr>
            <w:tcW w:w="956" w:type="dxa"/>
            <w:tcBorders>
              <w:top w:val="nil"/>
              <w:left w:val="nil"/>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 </w:t>
            </w:r>
          </w:p>
        </w:tc>
        <w:tc>
          <w:tcPr>
            <w:tcW w:w="940" w:type="dxa"/>
            <w:tcBorders>
              <w:top w:val="nil"/>
              <w:left w:val="nil"/>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 </w:t>
            </w:r>
          </w:p>
        </w:tc>
        <w:tc>
          <w:tcPr>
            <w:tcW w:w="3065" w:type="dxa"/>
            <w:tcBorders>
              <w:top w:val="nil"/>
              <w:left w:val="nil"/>
              <w:bottom w:val="single" w:sz="4" w:space="0" w:color="auto"/>
              <w:right w:val="single" w:sz="4" w:space="0" w:color="auto"/>
            </w:tcBorders>
            <w:shd w:val="clear" w:color="auto" w:fill="auto"/>
            <w:vAlign w:val="center"/>
            <w:hideMark/>
          </w:tcPr>
          <w:p w:rsidR="00457303" w:rsidRPr="00631B15" w:rsidRDefault="00457303" w:rsidP="002750E9">
            <w:pPr>
              <w:jc w:val="center"/>
              <w:rPr>
                <w:bCs/>
                <w:iCs/>
                <w:sz w:val="20"/>
                <w:szCs w:val="20"/>
              </w:rPr>
            </w:pPr>
            <w:r w:rsidRPr="00631B15">
              <w:rPr>
                <w:bCs/>
                <w:iCs/>
                <w:sz w:val="20"/>
                <w:szCs w:val="20"/>
              </w:rPr>
              <w:t>ГП "Развитие сельского хозяйства и регулирование рынков сельскохозяйственной продукции, сырья и продовольствия" на 2014 - 2020 годы"</w:t>
            </w:r>
          </w:p>
        </w:tc>
        <w:tc>
          <w:tcPr>
            <w:tcW w:w="3685" w:type="dxa"/>
            <w:tcBorders>
              <w:top w:val="nil"/>
              <w:left w:val="nil"/>
              <w:bottom w:val="nil"/>
              <w:right w:val="single" w:sz="4" w:space="0" w:color="auto"/>
            </w:tcBorders>
            <w:shd w:val="clear" w:color="auto" w:fill="auto"/>
            <w:vAlign w:val="bottom"/>
            <w:hideMark/>
          </w:tcPr>
          <w:p w:rsidR="00457303" w:rsidRPr="00631B15" w:rsidRDefault="00457303" w:rsidP="00631B15">
            <w:pPr>
              <w:jc w:val="center"/>
              <w:rPr>
                <w:bCs/>
                <w:iCs/>
                <w:sz w:val="20"/>
                <w:szCs w:val="20"/>
              </w:rPr>
            </w:pPr>
            <w:r w:rsidRPr="00631B15">
              <w:rPr>
                <w:bCs/>
                <w:iCs/>
                <w:sz w:val="20"/>
                <w:szCs w:val="20"/>
              </w:rPr>
              <w:t xml:space="preserve">ГП "Развитие сельского хозяйства и регулирование рынков сельскохозяйственной продукции, сырья и продовольствия" на 2017-2020 годы, </w:t>
            </w:r>
            <w:proofErr w:type="gramStart"/>
            <w:r w:rsidRPr="00631B15">
              <w:rPr>
                <w:bCs/>
                <w:iCs/>
                <w:sz w:val="20"/>
                <w:szCs w:val="20"/>
              </w:rPr>
              <w:t>представленная</w:t>
            </w:r>
            <w:proofErr w:type="gramEnd"/>
            <w:r w:rsidRPr="00631B15">
              <w:rPr>
                <w:bCs/>
                <w:iCs/>
                <w:sz w:val="20"/>
                <w:szCs w:val="20"/>
              </w:rPr>
              <w:t xml:space="preserve"> одновременно с Законопроектом и внесенная на рассмотрение в КСП комитетом сельского хозяйства  от 17.11.2016 № 18-07-05-26/10062</w:t>
            </w:r>
          </w:p>
        </w:tc>
      </w:tr>
      <w:tr w:rsidR="00457303" w:rsidRPr="00133F42" w:rsidTr="002750E9">
        <w:trPr>
          <w:trHeight w:val="153"/>
        </w:trPr>
        <w:tc>
          <w:tcPr>
            <w:tcW w:w="965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457303" w:rsidRPr="00631B15" w:rsidRDefault="00457303" w:rsidP="002750E9">
            <w:pPr>
              <w:jc w:val="center"/>
              <w:rPr>
                <w:b/>
                <w:iCs/>
                <w:sz w:val="20"/>
                <w:szCs w:val="20"/>
              </w:rPr>
            </w:pPr>
            <w:r w:rsidRPr="00631B15">
              <w:rPr>
                <w:b/>
                <w:iCs/>
                <w:sz w:val="20"/>
                <w:szCs w:val="20"/>
              </w:rPr>
              <w:t>Индекс пр-ва продукции сельского хозяйства в хозяйствах всех категорий (в сопоставимых ценах), в процентах к предыдущему году</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2016 год</w:t>
            </w:r>
          </w:p>
        </w:tc>
        <w:tc>
          <w:tcPr>
            <w:tcW w:w="956" w:type="dxa"/>
            <w:tcBorders>
              <w:top w:val="nil"/>
              <w:left w:val="nil"/>
              <w:bottom w:val="single" w:sz="4" w:space="0" w:color="auto"/>
              <w:right w:val="single" w:sz="4" w:space="0" w:color="auto"/>
            </w:tcBorders>
            <w:shd w:val="clear" w:color="auto" w:fill="auto"/>
            <w:vAlign w:val="bottom"/>
            <w:hideMark/>
          </w:tcPr>
          <w:p w:rsidR="00457303" w:rsidRPr="00BD7D6D" w:rsidRDefault="00457303" w:rsidP="00BD7D6D">
            <w:pPr>
              <w:jc w:val="center"/>
              <w:rPr>
                <w:sz w:val="20"/>
                <w:szCs w:val="20"/>
              </w:rPr>
            </w:pPr>
            <w:r w:rsidRPr="00BD7D6D">
              <w:rPr>
                <w:sz w:val="20"/>
                <w:szCs w:val="20"/>
              </w:rPr>
              <w:t>110,2</w:t>
            </w:r>
          </w:p>
        </w:tc>
        <w:tc>
          <w:tcPr>
            <w:tcW w:w="940"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BD7D6D">
            <w:pPr>
              <w:jc w:val="center"/>
              <w:rPr>
                <w:sz w:val="20"/>
                <w:szCs w:val="20"/>
              </w:rPr>
            </w:pPr>
            <w:r w:rsidRPr="00BD7D6D">
              <w:rPr>
                <w:sz w:val="20"/>
                <w:szCs w:val="20"/>
              </w:rPr>
              <w:t>110,2</w:t>
            </w:r>
          </w:p>
        </w:tc>
        <w:tc>
          <w:tcPr>
            <w:tcW w:w="3065" w:type="dxa"/>
            <w:tcBorders>
              <w:top w:val="nil"/>
              <w:left w:val="nil"/>
              <w:bottom w:val="single" w:sz="4" w:space="0" w:color="auto"/>
              <w:right w:val="single" w:sz="4" w:space="0" w:color="auto"/>
            </w:tcBorders>
            <w:shd w:val="clear" w:color="auto" w:fill="auto"/>
            <w:vAlign w:val="bottom"/>
            <w:hideMark/>
          </w:tcPr>
          <w:p w:rsidR="00457303" w:rsidRPr="00BD7D6D" w:rsidRDefault="00457303" w:rsidP="00BD7D6D">
            <w:pPr>
              <w:jc w:val="center"/>
              <w:rPr>
                <w:sz w:val="20"/>
                <w:szCs w:val="20"/>
              </w:rPr>
            </w:pPr>
            <w:r w:rsidRPr="00BD7D6D">
              <w:rPr>
                <w:sz w:val="20"/>
                <w:szCs w:val="20"/>
              </w:rPr>
              <w:t>102,1</w:t>
            </w:r>
          </w:p>
        </w:tc>
        <w:tc>
          <w:tcPr>
            <w:tcW w:w="3685"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BD7D6D">
            <w:pPr>
              <w:jc w:val="center"/>
              <w:rPr>
                <w:sz w:val="20"/>
                <w:szCs w:val="20"/>
              </w:rPr>
            </w:pPr>
            <w:r w:rsidRPr="00BD7D6D">
              <w:rPr>
                <w:sz w:val="20"/>
                <w:szCs w:val="20"/>
              </w:rPr>
              <w:t>108,0</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000000" w:fill="FFFFFF"/>
            <w:vAlign w:val="bottom"/>
            <w:hideMark/>
          </w:tcPr>
          <w:p w:rsidR="00457303" w:rsidRPr="00BD7D6D" w:rsidRDefault="00457303" w:rsidP="002750E9">
            <w:pPr>
              <w:rPr>
                <w:sz w:val="20"/>
                <w:szCs w:val="20"/>
              </w:rPr>
            </w:pPr>
            <w:r w:rsidRPr="00BD7D6D">
              <w:rPr>
                <w:sz w:val="20"/>
                <w:szCs w:val="20"/>
              </w:rPr>
              <w:t>2017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94,1</w:t>
            </w:r>
          </w:p>
        </w:tc>
        <w:tc>
          <w:tcPr>
            <w:tcW w:w="940"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103,2</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102,0</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94,8</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000000" w:fill="FFFFFF"/>
            <w:vAlign w:val="bottom"/>
            <w:hideMark/>
          </w:tcPr>
          <w:p w:rsidR="00457303" w:rsidRPr="00BD7D6D" w:rsidRDefault="00457303" w:rsidP="002750E9">
            <w:pPr>
              <w:rPr>
                <w:sz w:val="20"/>
                <w:szCs w:val="20"/>
              </w:rPr>
            </w:pPr>
            <w:r w:rsidRPr="00BD7D6D">
              <w:rPr>
                <w:sz w:val="20"/>
                <w:szCs w:val="20"/>
              </w:rPr>
              <w:t>2018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101,1</w:t>
            </w:r>
          </w:p>
        </w:tc>
        <w:tc>
          <w:tcPr>
            <w:tcW w:w="940"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101,6</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102,0</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101,2</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000000" w:fill="FFFFFF"/>
            <w:vAlign w:val="bottom"/>
            <w:hideMark/>
          </w:tcPr>
          <w:p w:rsidR="00457303" w:rsidRPr="00BD7D6D" w:rsidRDefault="00457303" w:rsidP="002750E9">
            <w:pPr>
              <w:rPr>
                <w:sz w:val="20"/>
                <w:szCs w:val="20"/>
              </w:rPr>
            </w:pPr>
            <w:r w:rsidRPr="00BD7D6D">
              <w:rPr>
                <w:sz w:val="20"/>
                <w:szCs w:val="20"/>
              </w:rPr>
              <w:t>2019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101,1</w:t>
            </w:r>
          </w:p>
        </w:tc>
        <w:tc>
          <w:tcPr>
            <w:tcW w:w="940"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101,3</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102,1</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101,3</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000000" w:fill="FFFFFF"/>
            <w:vAlign w:val="bottom"/>
            <w:hideMark/>
          </w:tcPr>
          <w:p w:rsidR="00457303" w:rsidRPr="00BD7D6D" w:rsidRDefault="00457303" w:rsidP="002750E9">
            <w:pPr>
              <w:rPr>
                <w:sz w:val="20"/>
                <w:szCs w:val="20"/>
              </w:rPr>
            </w:pPr>
            <w:r w:rsidRPr="00BD7D6D">
              <w:rPr>
                <w:sz w:val="20"/>
                <w:szCs w:val="20"/>
              </w:rPr>
              <w:t>2020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2750E9">
            <w:pPr>
              <w:rPr>
                <w:sz w:val="20"/>
                <w:szCs w:val="20"/>
              </w:rPr>
            </w:pPr>
            <w:r w:rsidRPr="00BD7D6D">
              <w:rPr>
                <w:sz w:val="20"/>
                <w:szCs w:val="20"/>
              </w:rPr>
              <w:t> </w:t>
            </w:r>
          </w:p>
        </w:tc>
        <w:tc>
          <w:tcPr>
            <w:tcW w:w="940"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2750E9">
            <w:pPr>
              <w:rPr>
                <w:sz w:val="20"/>
                <w:szCs w:val="20"/>
              </w:rPr>
            </w:pPr>
            <w:r w:rsidRPr="00BD7D6D">
              <w:rPr>
                <w:sz w:val="20"/>
                <w:szCs w:val="20"/>
              </w:rPr>
              <w:t> </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BD7D6D">
            <w:pPr>
              <w:jc w:val="center"/>
              <w:rPr>
                <w:sz w:val="20"/>
                <w:szCs w:val="20"/>
              </w:rPr>
            </w:pPr>
            <w:r w:rsidRPr="00BD7D6D">
              <w:rPr>
                <w:sz w:val="20"/>
                <w:szCs w:val="20"/>
              </w:rPr>
              <w:t>102,0</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BD7D6D">
            <w:pPr>
              <w:jc w:val="center"/>
              <w:rPr>
                <w:sz w:val="20"/>
                <w:szCs w:val="20"/>
              </w:rPr>
            </w:pPr>
            <w:r w:rsidRPr="00BD7D6D">
              <w:rPr>
                <w:sz w:val="20"/>
                <w:szCs w:val="20"/>
              </w:rPr>
              <w:t>101,8</w:t>
            </w:r>
          </w:p>
        </w:tc>
      </w:tr>
      <w:tr w:rsidR="00457303" w:rsidRPr="00133F42" w:rsidTr="002750E9">
        <w:trPr>
          <w:trHeight w:val="148"/>
        </w:trPr>
        <w:tc>
          <w:tcPr>
            <w:tcW w:w="965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rsidR="00457303" w:rsidRPr="00631B15" w:rsidRDefault="00457303" w:rsidP="002750E9">
            <w:pPr>
              <w:jc w:val="center"/>
              <w:rPr>
                <w:b/>
                <w:iCs/>
                <w:sz w:val="20"/>
                <w:szCs w:val="20"/>
              </w:rPr>
            </w:pPr>
            <w:r w:rsidRPr="00631B15">
              <w:rPr>
                <w:b/>
                <w:iCs/>
                <w:sz w:val="20"/>
                <w:szCs w:val="20"/>
              </w:rPr>
              <w:t>Индекс пр-ва продукции растениеводства в хозяйствах всех категорий (в сопоставимых ценах), в процентах к предыдущему году</w:t>
            </w:r>
          </w:p>
        </w:tc>
      </w:tr>
      <w:tr w:rsidR="00457303" w:rsidRPr="00133F42" w:rsidTr="00631B15">
        <w:trPr>
          <w:trHeight w:val="255"/>
        </w:trPr>
        <w:tc>
          <w:tcPr>
            <w:tcW w:w="1004" w:type="dxa"/>
            <w:tcBorders>
              <w:top w:val="nil"/>
              <w:left w:val="single" w:sz="4" w:space="0" w:color="auto"/>
              <w:bottom w:val="single" w:sz="4" w:space="0" w:color="auto"/>
              <w:right w:val="single" w:sz="4" w:space="0" w:color="auto"/>
            </w:tcBorders>
            <w:shd w:val="clear" w:color="000000" w:fill="FFFFFF"/>
            <w:vAlign w:val="bottom"/>
            <w:hideMark/>
          </w:tcPr>
          <w:p w:rsidR="00457303" w:rsidRPr="00BD7D6D" w:rsidRDefault="00457303" w:rsidP="002750E9">
            <w:pPr>
              <w:rPr>
                <w:sz w:val="20"/>
                <w:szCs w:val="20"/>
              </w:rPr>
            </w:pPr>
            <w:r w:rsidRPr="00BD7D6D">
              <w:rPr>
                <w:sz w:val="20"/>
                <w:szCs w:val="20"/>
              </w:rPr>
              <w:t>2016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631B15">
            <w:pPr>
              <w:jc w:val="center"/>
              <w:rPr>
                <w:sz w:val="20"/>
                <w:szCs w:val="20"/>
              </w:rPr>
            </w:pPr>
            <w:r w:rsidRPr="00BD7D6D">
              <w:rPr>
                <w:sz w:val="20"/>
                <w:szCs w:val="20"/>
              </w:rPr>
              <w:t>116,8</w:t>
            </w:r>
          </w:p>
        </w:tc>
        <w:tc>
          <w:tcPr>
            <w:tcW w:w="940"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631B15">
            <w:pPr>
              <w:jc w:val="center"/>
              <w:rPr>
                <w:sz w:val="20"/>
                <w:szCs w:val="20"/>
              </w:rPr>
            </w:pPr>
            <w:r w:rsidRPr="00BD7D6D">
              <w:rPr>
                <w:sz w:val="20"/>
                <w:szCs w:val="20"/>
              </w:rPr>
              <w:t>116,8</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631B15">
            <w:pPr>
              <w:jc w:val="center"/>
              <w:rPr>
                <w:sz w:val="20"/>
                <w:szCs w:val="20"/>
              </w:rPr>
            </w:pPr>
            <w:r w:rsidRPr="00BD7D6D">
              <w:rPr>
                <w:sz w:val="20"/>
                <w:szCs w:val="20"/>
              </w:rPr>
              <w:t>102,0</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631B15">
            <w:pPr>
              <w:jc w:val="center"/>
              <w:rPr>
                <w:sz w:val="20"/>
                <w:szCs w:val="20"/>
              </w:rPr>
            </w:pPr>
            <w:r w:rsidRPr="00BD7D6D">
              <w:rPr>
                <w:sz w:val="20"/>
                <w:szCs w:val="20"/>
              </w:rPr>
              <w:t>116,0</w:t>
            </w:r>
          </w:p>
        </w:tc>
      </w:tr>
      <w:tr w:rsidR="00457303" w:rsidRPr="00133F42" w:rsidTr="00631B15">
        <w:trPr>
          <w:trHeight w:val="255"/>
        </w:trPr>
        <w:tc>
          <w:tcPr>
            <w:tcW w:w="10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57303" w:rsidRPr="00BD7D6D" w:rsidRDefault="00457303" w:rsidP="002750E9">
            <w:pPr>
              <w:rPr>
                <w:sz w:val="20"/>
                <w:szCs w:val="20"/>
              </w:rPr>
            </w:pPr>
            <w:r w:rsidRPr="00BD7D6D">
              <w:rPr>
                <w:sz w:val="20"/>
                <w:szCs w:val="20"/>
              </w:rPr>
              <w:lastRenderedPageBreak/>
              <w:t>2017 год</w:t>
            </w:r>
          </w:p>
        </w:tc>
        <w:tc>
          <w:tcPr>
            <w:tcW w:w="956" w:type="dxa"/>
            <w:tcBorders>
              <w:top w:val="single" w:sz="4" w:space="0" w:color="auto"/>
              <w:left w:val="nil"/>
              <w:bottom w:val="single" w:sz="4" w:space="0" w:color="auto"/>
              <w:right w:val="single" w:sz="4" w:space="0" w:color="auto"/>
            </w:tcBorders>
            <w:shd w:val="clear" w:color="000000" w:fill="FFFFFF"/>
            <w:vAlign w:val="bottom"/>
            <w:hideMark/>
          </w:tcPr>
          <w:p w:rsidR="00457303" w:rsidRPr="00BD7D6D" w:rsidRDefault="00457303" w:rsidP="00631B15">
            <w:pPr>
              <w:jc w:val="center"/>
              <w:rPr>
                <w:sz w:val="20"/>
                <w:szCs w:val="20"/>
              </w:rPr>
            </w:pPr>
            <w:r w:rsidRPr="00BD7D6D">
              <w:rPr>
                <w:sz w:val="20"/>
                <w:szCs w:val="20"/>
              </w:rPr>
              <w:t>91,8</w:t>
            </w:r>
          </w:p>
        </w:tc>
        <w:tc>
          <w:tcPr>
            <w:tcW w:w="940" w:type="dxa"/>
            <w:tcBorders>
              <w:top w:val="single" w:sz="4" w:space="0" w:color="auto"/>
              <w:left w:val="nil"/>
              <w:bottom w:val="single" w:sz="4" w:space="0" w:color="auto"/>
              <w:right w:val="single" w:sz="4" w:space="0" w:color="auto"/>
            </w:tcBorders>
            <w:shd w:val="clear" w:color="000000" w:fill="FFFFFF"/>
            <w:noWrap/>
            <w:vAlign w:val="bottom"/>
            <w:hideMark/>
          </w:tcPr>
          <w:p w:rsidR="00457303" w:rsidRPr="00BD7D6D" w:rsidRDefault="00457303" w:rsidP="00631B15">
            <w:pPr>
              <w:jc w:val="center"/>
              <w:rPr>
                <w:sz w:val="20"/>
                <w:szCs w:val="20"/>
              </w:rPr>
            </w:pPr>
            <w:r w:rsidRPr="00BD7D6D">
              <w:rPr>
                <w:sz w:val="20"/>
                <w:szCs w:val="20"/>
              </w:rPr>
              <w:t>103,4</w:t>
            </w:r>
          </w:p>
        </w:tc>
        <w:tc>
          <w:tcPr>
            <w:tcW w:w="3065" w:type="dxa"/>
            <w:tcBorders>
              <w:top w:val="single" w:sz="4" w:space="0" w:color="auto"/>
              <w:left w:val="nil"/>
              <w:bottom w:val="single" w:sz="4" w:space="0" w:color="auto"/>
              <w:right w:val="single" w:sz="4" w:space="0" w:color="auto"/>
            </w:tcBorders>
            <w:shd w:val="clear" w:color="000000" w:fill="FFFFFF"/>
            <w:vAlign w:val="bottom"/>
            <w:hideMark/>
          </w:tcPr>
          <w:p w:rsidR="00457303" w:rsidRPr="00BD7D6D" w:rsidRDefault="00457303" w:rsidP="00631B15">
            <w:pPr>
              <w:jc w:val="center"/>
              <w:rPr>
                <w:sz w:val="20"/>
                <w:szCs w:val="20"/>
              </w:rPr>
            </w:pPr>
            <w:r w:rsidRPr="00BD7D6D">
              <w:rPr>
                <w:sz w:val="20"/>
                <w:szCs w:val="20"/>
              </w:rPr>
              <w:t>102,0</w:t>
            </w:r>
          </w:p>
        </w:tc>
        <w:tc>
          <w:tcPr>
            <w:tcW w:w="3685" w:type="dxa"/>
            <w:tcBorders>
              <w:top w:val="single" w:sz="4" w:space="0" w:color="auto"/>
              <w:left w:val="nil"/>
              <w:bottom w:val="single" w:sz="4" w:space="0" w:color="auto"/>
              <w:right w:val="single" w:sz="4" w:space="0" w:color="auto"/>
            </w:tcBorders>
            <w:shd w:val="clear" w:color="000000" w:fill="FFFFFF"/>
            <w:noWrap/>
            <w:vAlign w:val="bottom"/>
            <w:hideMark/>
          </w:tcPr>
          <w:p w:rsidR="00457303" w:rsidRPr="00BD7D6D" w:rsidRDefault="00457303" w:rsidP="00631B15">
            <w:pPr>
              <w:jc w:val="center"/>
              <w:rPr>
                <w:sz w:val="20"/>
                <w:szCs w:val="20"/>
              </w:rPr>
            </w:pPr>
            <w:r w:rsidRPr="00BD7D6D">
              <w:rPr>
                <w:sz w:val="20"/>
                <w:szCs w:val="20"/>
              </w:rPr>
              <w:t>92,8</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000000" w:fill="FFFFFF"/>
            <w:vAlign w:val="bottom"/>
            <w:hideMark/>
          </w:tcPr>
          <w:p w:rsidR="00457303" w:rsidRPr="00BD7D6D" w:rsidRDefault="00457303" w:rsidP="002750E9">
            <w:pPr>
              <w:rPr>
                <w:sz w:val="20"/>
                <w:szCs w:val="20"/>
              </w:rPr>
            </w:pPr>
            <w:r w:rsidRPr="00BD7D6D">
              <w:rPr>
                <w:sz w:val="20"/>
                <w:szCs w:val="20"/>
              </w:rPr>
              <w:t>2018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631B15">
            <w:pPr>
              <w:jc w:val="center"/>
              <w:rPr>
                <w:sz w:val="20"/>
                <w:szCs w:val="20"/>
              </w:rPr>
            </w:pPr>
            <w:r w:rsidRPr="00BD7D6D">
              <w:rPr>
                <w:sz w:val="20"/>
                <w:szCs w:val="20"/>
              </w:rPr>
              <w:t>101</w:t>
            </w:r>
          </w:p>
        </w:tc>
        <w:tc>
          <w:tcPr>
            <w:tcW w:w="940"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631B15">
            <w:pPr>
              <w:jc w:val="center"/>
              <w:rPr>
                <w:sz w:val="20"/>
                <w:szCs w:val="20"/>
              </w:rPr>
            </w:pPr>
            <w:r w:rsidRPr="00BD7D6D">
              <w:rPr>
                <w:sz w:val="20"/>
                <w:szCs w:val="20"/>
              </w:rPr>
              <w:t>102,2</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631B15">
            <w:pPr>
              <w:jc w:val="center"/>
              <w:rPr>
                <w:sz w:val="20"/>
                <w:szCs w:val="20"/>
              </w:rPr>
            </w:pPr>
            <w:r w:rsidRPr="00BD7D6D">
              <w:rPr>
                <w:sz w:val="20"/>
                <w:szCs w:val="20"/>
              </w:rPr>
              <w:t>102,0</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631B15">
            <w:pPr>
              <w:jc w:val="center"/>
              <w:rPr>
                <w:sz w:val="20"/>
                <w:szCs w:val="20"/>
              </w:rPr>
            </w:pPr>
            <w:r w:rsidRPr="00BD7D6D">
              <w:rPr>
                <w:sz w:val="20"/>
                <w:szCs w:val="20"/>
              </w:rPr>
              <w:t>101,5</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000000" w:fill="FFFFFF"/>
            <w:vAlign w:val="bottom"/>
            <w:hideMark/>
          </w:tcPr>
          <w:p w:rsidR="00457303" w:rsidRPr="00BD7D6D" w:rsidRDefault="00457303" w:rsidP="002750E9">
            <w:pPr>
              <w:rPr>
                <w:sz w:val="20"/>
                <w:szCs w:val="20"/>
              </w:rPr>
            </w:pPr>
            <w:r w:rsidRPr="00BD7D6D">
              <w:rPr>
                <w:sz w:val="20"/>
                <w:szCs w:val="20"/>
              </w:rPr>
              <w:t>2019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631B15">
            <w:pPr>
              <w:jc w:val="center"/>
              <w:rPr>
                <w:sz w:val="20"/>
                <w:szCs w:val="20"/>
              </w:rPr>
            </w:pPr>
            <w:r w:rsidRPr="00BD7D6D">
              <w:rPr>
                <w:sz w:val="20"/>
                <w:szCs w:val="20"/>
              </w:rPr>
              <w:t>101,5</w:t>
            </w:r>
          </w:p>
        </w:tc>
        <w:tc>
          <w:tcPr>
            <w:tcW w:w="940"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631B15">
            <w:pPr>
              <w:jc w:val="center"/>
              <w:rPr>
                <w:sz w:val="20"/>
                <w:szCs w:val="20"/>
              </w:rPr>
            </w:pPr>
            <w:r w:rsidRPr="00BD7D6D">
              <w:rPr>
                <w:sz w:val="20"/>
                <w:szCs w:val="20"/>
              </w:rPr>
              <w:t>101,5</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631B15">
            <w:pPr>
              <w:jc w:val="center"/>
              <w:rPr>
                <w:sz w:val="20"/>
                <w:szCs w:val="20"/>
              </w:rPr>
            </w:pPr>
            <w:r w:rsidRPr="00BD7D6D">
              <w:rPr>
                <w:sz w:val="20"/>
                <w:szCs w:val="20"/>
              </w:rPr>
              <w:t>102,2</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631B15">
            <w:pPr>
              <w:jc w:val="center"/>
              <w:rPr>
                <w:sz w:val="20"/>
                <w:szCs w:val="20"/>
              </w:rPr>
            </w:pPr>
            <w:r w:rsidRPr="00BD7D6D">
              <w:rPr>
                <w:sz w:val="20"/>
                <w:szCs w:val="20"/>
              </w:rPr>
              <w:t>101,6</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000000" w:fill="FFFFFF"/>
            <w:vAlign w:val="bottom"/>
            <w:hideMark/>
          </w:tcPr>
          <w:p w:rsidR="00457303" w:rsidRPr="00BD7D6D" w:rsidRDefault="00457303" w:rsidP="002750E9">
            <w:pPr>
              <w:rPr>
                <w:sz w:val="20"/>
                <w:szCs w:val="20"/>
              </w:rPr>
            </w:pPr>
            <w:r w:rsidRPr="00BD7D6D">
              <w:rPr>
                <w:sz w:val="20"/>
                <w:szCs w:val="20"/>
              </w:rPr>
              <w:t>2020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2750E9">
            <w:pPr>
              <w:rPr>
                <w:sz w:val="20"/>
                <w:szCs w:val="20"/>
              </w:rPr>
            </w:pPr>
            <w:r w:rsidRPr="00BD7D6D">
              <w:rPr>
                <w:sz w:val="20"/>
                <w:szCs w:val="20"/>
              </w:rPr>
              <w:t> </w:t>
            </w:r>
          </w:p>
        </w:tc>
        <w:tc>
          <w:tcPr>
            <w:tcW w:w="940"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2750E9">
            <w:pPr>
              <w:rPr>
                <w:sz w:val="20"/>
                <w:szCs w:val="20"/>
              </w:rPr>
            </w:pPr>
            <w:r w:rsidRPr="00BD7D6D">
              <w:rPr>
                <w:sz w:val="20"/>
                <w:szCs w:val="20"/>
              </w:rPr>
              <w:t> </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631B15">
            <w:pPr>
              <w:jc w:val="center"/>
              <w:rPr>
                <w:sz w:val="20"/>
                <w:szCs w:val="20"/>
              </w:rPr>
            </w:pPr>
            <w:r w:rsidRPr="00BD7D6D">
              <w:rPr>
                <w:sz w:val="20"/>
                <w:szCs w:val="20"/>
              </w:rPr>
              <w:t>102,0</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631B15">
            <w:pPr>
              <w:jc w:val="center"/>
              <w:rPr>
                <w:sz w:val="20"/>
                <w:szCs w:val="20"/>
              </w:rPr>
            </w:pPr>
            <w:r w:rsidRPr="00BD7D6D">
              <w:rPr>
                <w:sz w:val="20"/>
                <w:szCs w:val="20"/>
              </w:rPr>
              <w:t>102,0</w:t>
            </w:r>
          </w:p>
        </w:tc>
      </w:tr>
      <w:tr w:rsidR="00457303" w:rsidRPr="00133F42" w:rsidTr="002750E9">
        <w:trPr>
          <w:trHeight w:val="183"/>
        </w:trPr>
        <w:tc>
          <w:tcPr>
            <w:tcW w:w="965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rsidR="00457303" w:rsidRPr="00631B15" w:rsidRDefault="00457303" w:rsidP="002750E9">
            <w:pPr>
              <w:jc w:val="center"/>
              <w:rPr>
                <w:b/>
                <w:iCs/>
                <w:sz w:val="20"/>
                <w:szCs w:val="20"/>
              </w:rPr>
            </w:pPr>
            <w:r w:rsidRPr="00631B15">
              <w:rPr>
                <w:b/>
                <w:iCs/>
                <w:sz w:val="20"/>
                <w:szCs w:val="20"/>
              </w:rPr>
              <w:t>Индекс пр-ва продукции животноводства в хозяйствах всех категорий (в сопоставимых ценах), в процентах к предыдущему году</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000000" w:fill="FFFFFF"/>
            <w:vAlign w:val="bottom"/>
            <w:hideMark/>
          </w:tcPr>
          <w:p w:rsidR="00457303" w:rsidRPr="00BD7D6D" w:rsidRDefault="00457303" w:rsidP="002750E9">
            <w:pPr>
              <w:rPr>
                <w:sz w:val="20"/>
                <w:szCs w:val="20"/>
              </w:rPr>
            </w:pPr>
            <w:r w:rsidRPr="00BD7D6D">
              <w:rPr>
                <w:sz w:val="20"/>
                <w:szCs w:val="20"/>
              </w:rPr>
              <w:t>2016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631B15">
            <w:pPr>
              <w:jc w:val="center"/>
              <w:rPr>
                <w:sz w:val="20"/>
                <w:szCs w:val="20"/>
              </w:rPr>
            </w:pPr>
            <w:r w:rsidRPr="00BD7D6D">
              <w:rPr>
                <w:sz w:val="20"/>
                <w:szCs w:val="20"/>
              </w:rPr>
              <w:t>96,3</w:t>
            </w:r>
          </w:p>
        </w:tc>
        <w:tc>
          <w:tcPr>
            <w:tcW w:w="940"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631B15">
            <w:pPr>
              <w:jc w:val="center"/>
              <w:rPr>
                <w:sz w:val="20"/>
                <w:szCs w:val="20"/>
              </w:rPr>
            </w:pPr>
            <w:r w:rsidRPr="00BD7D6D">
              <w:rPr>
                <w:sz w:val="20"/>
                <w:szCs w:val="20"/>
              </w:rPr>
              <w:t>96,3</w:t>
            </w:r>
          </w:p>
        </w:tc>
        <w:tc>
          <w:tcPr>
            <w:tcW w:w="3065"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631B15">
            <w:pPr>
              <w:jc w:val="center"/>
              <w:rPr>
                <w:sz w:val="20"/>
                <w:szCs w:val="20"/>
              </w:rPr>
            </w:pPr>
            <w:r w:rsidRPr="00BD7D6D">
              <w:rPr>
                <w:sz w:val="20"/>
                <w:szCs w:val="20"/>
              </w:rPr>
              <w:t>102,5</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631B15">
            <w:pPr>
              <w:jc w:val="center"/>
              <w:rPr>
                <w:sz w:val="20"/>
                <w:szCs w:val="20"/>
              </w:rPr>
            </w:pPr>
            <w:r w:rsidRPr="00BD7D6D">
              <w:rPr>
                <w:sz w:val="20"/>
                <w:szCs w:val="20"/>
              </w:rPr>
              <w:t>96,3</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000000" w:fill="FFFFFF"/>
            <w:vAlign w:val="bottom"/>
            <w:hideMark/>
          </w:tcPr>
          <w:p w:rsidR="00457303" w:rsidRPr="00BD7D6D" w:rsidRDefault="00457303" w:rsidP="002750E9">
            <w:pPr>
              <w:rPr>
                <w:sz w:val="20"/>
                <w:szCs w:val="20"/>
              </w:rPr>
            </w:pPr>
            <w:r w:rsidRPr="00BD7D6D">
              <w:rPr>
                <w:sz w:val="20"/>
                <w:szCs w:val="20"/>
              </w:rPr>
              <w:t>2017 год</w:t>
            </w:r>
          </w:p>
        </w:tc>
        <w:tc>
          <w:tcPr>
            <w:tcW w:w="956" w:type="dxa"/>
            <w:tcBorders>
              <w:top w:val="nil"/>
              <w:left w:val="nil"/>
              <w:bottom w:val="single" w:sz="4" w:space="0" w:color="auto"/>
              <w:right w:val="single" w:sz="4" w:space="0" w:color="auto"/>
            </w:tcBorders>
            <w:shd w:val="clear" w:color="000000" w:fill="FFFFFF"/>
            <w:vAlign w:val="bottom"/>
            <w:hideMark/>
          </w:tcPr>
          <w:p w:rsidR="00457303" w:rsidRPr="00BD7D6D" w:rsidRDefault="00457303" w:rsidP="00631B15">
            <w:pPr>
              <w:jc w:val="center"/>
              <w:rPr>
                <w:sz w:val="20"/>
                <w:szCs w:val="20"/>
              </w:rPr>
            </w:pPr>
            <w:r w:rsidRPr="00BD7D6D">
              <w:rPr>
                <w:sz w:val="20"/>
                <w:szCs w:val="20"/>
              </w:rPr>
              <w:t>100,1</w:t>
            </w:r>
          </w:p>
        </w:tc>
        <w:tc>
          <w:tcPr>
            <w:tcW w:w="940" w:type="dxa"/>
            <w:tcBorders>
              <w:top w:val="nil"/>
              <w:left w:val="nil"/>
              <w:bottom w:val="nil"/>
              <w:right w:val="nil"/>
            </w:tcBorders>
            <w:shd w:val="clear" w:color="000000" w:fill="FFFFFF"/>
            <w:noWrap/>
            <w:vAlign w:val="bottom"/>
            <w:hideMark/>
          </w:tcPr>
          <w:p w:rsidR="00457303" w:rsidRPr="00BD7D6D" w:rsidRDefault="00457303" w:rsidP="00631B15">
            <w:pPr>
              <w:jc w:val="center"/>
              <w:rPr>
                <w:sz w:val="20"/>
                <w:szCs w:val="20"/>
              </w:rPr>
            </w:pPr>
            <w:r w:rsidRPr="00BD7D6D">
              <w:rPr>
                <w:sz w:val="20"/>
                <w:szCs w:val="20"/>
              </w:rPr>
              <w:t>102,7</w:t>
            </w:r>
          </w:p>
        </w:tc>
        <w:tc>
          <w:tcPr>
            <w:tcW w:w="3065" w:type="dxa"/>
            <w:tcBorders>
              <w:top w:val="nil"/>
              <w:left w:val="single" w:sz="4" w:space="0" w:color="auto"/>
              <w:bottom w:val="single" w:sz="4" w:space="0" w:color="auto"/>
              <w:right w:val="single" w:sz="4" w:space="0" w:color="auto"/>
            </w:tcBorders>
            <w:shd w:val="clear" w:color="000000" w:fill="FFFFFF"/>
            <w:vAlign w:val="bottom"/>
            <w:hideMark/>
          </w:tcPr>
          <w:p w:rsidR="00457303" w:rsidRPr="00BD7D6D" w:rsidRDefault="00457303" w:rsidP="00631B15">
            <w:pPr>
              <w:jc w:val="center"/>
              <w:rPr>
                <w:sz w:val="20"/>
                <w:szCs w:val="20"/>
              </w:rPr>
            </w:pPr>
            <w:r w:rsidRPr="00BD7D6D">
              <w:rPr>
                <w:sz w:val="20"/>
                <w:szCs w:val="20"/>
              </w:rPr>
              <w:t>102,0</w:t>
            </w:r>
          </w:p>
        </w:tc>
        <w:tc>
          <w:tcPr>
            <w:tcW w:w="3685" w:type="dxa"/>
            <w:tcBorders>
              <w:top w:val="nil"/>
              <w:left w:val="nil"/>
              <w:bottom w:val="single" w:sz="4" w:space="0" w:color="auto"/>
              <w:right w:val="single" w:sz="4" w:space="0" w:color="auto"/>
            </w:tcBorders>
            <w:shd w:val="clear" w:color="000000" w:fill="FFFFFF"/>
            <w:noWrap/>
            <w:vAlign w:val="bottom"/>
            <w:hideMark/>
          </w:tcPr>
          <w:p w:rsidR="00457303" w:rsidRPr="00BD7D6D" w:rsidRDefault="00457303" w:rsidP="00631B15">
            <w:pPr>
              <w:jc w:val="center"/>
              <w:rPr>
                <w:sz w:val="20"/>
                <w:szCs w:val="20"/>
              </w:rPr>
            </w:pPr>
            <w:r w:rsidRPr="00BD7D6D">
              <w:rPr>
                <w:sz w:val="20"/>
                <w:szCs w:val="20"/>
              </w:rPr>
              <w:t>100,2</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2018 год</w:t>
            </w:r>
          </w:p>
        </w:tc>
        <w:tc>
          <w:tcPr>
            <w:tcW w:w="956" w:type="dxa"/>
            <w:tcBorders>
              <w:top w:val="nil"/>
              <w:left w:val="nil"/>
              <w:bottom w:val="single" w:sz="4" w:space="0" w:color="auto"/>
              <w:right w:val="single" w:sz="4" w:space="0" w:color="auto"/>
            </w:tcBorders>
            <w:shd w:val="clear" w:color="auto" w:fill="auto"/>
            <w:vAlign w:val="bottom"/>
            <w:hideMark/>
          </w:tcPr>
          <w:p w:rsidR="00457303" w:rsidRPr="00BD7D6D" w:rsidRDefault="00457303" w:rsidP="00631B15">
            <w:pPr>
              <w:jc w:val="center"/>
              <w:rPr>
                <w:sz w:val="20"/>
                <w:szCs w:val="20"/>
              </w:rPr>
            </w:pPr>
            <w:r w:rsidRPr="00BD7D6D">
              <w:rPr>
                <w:sz w:val="20"/>
                <w:szCs w:val="20"/>
              </w:rPr>
              <w:t>100,1</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457303" w:rsidRPr="00BD7D6D" w:rsidRDefault="00457303" w:rsidP="00631B15">
            <w:pPr>
              <w:jc w:val="center"/>
              <w:rPr>
                <w:sz w:val="20"/>
                <w:szCs w:val="20"/>
              </w:rPr>
            </w:pPr>
            <w:r w:rsidRPr="00BD7D6D">
              <w:rPr>
                <w:sz w:val="20"/>
                <w:szCs w:val="20"/>
              </w:rPr>
              <w:t>100,1</w:t>
            </w:r>
          </w:p>
        </w:tc>
        <w:tc>
          <w:tcPr>
            <w:tcW w:w="3065" w:type="dxa"/>
            <w:tcBorders>
              <w:top w:val="nil"/>
              <w:left w:val="nil"/>
              <w:bottom w:val="single" w:sz="4" w:space="0" w:color="auto"/>
              <w:right w:val="single" w:sz="4" w:space="0" w:color="auto"/>
            </w:tcBorders>
            <w:shd w:val="clear" w:color="auto" w:fill="auto"/>
            <w:vAlign w:val="bottom"/>
            <w:hideMark/>
          </w:tcPr>
          <w:p w:rsidR="00457303" w:rsidRPr="00BD7D6D" w:rsidRDefault="00457303" w:rsidP="00631B15">
            <w:pPr>
              <w:jc w:val="center"/>
              <w:rPr>
                <w:sz w:val="20"/>
                <w:szCs w:val="20"/>
              </w:rPr>
            </w:pPr>
            <w:r w:rsidRPr="00BD7D6D">
              <w:rPr>
                <w:sz w:val="20"/>
                <w:szCs w:val="20"/>
              </w:rPr>
              <w:t>102,0</w:t>
            </w:r>
          </w:p>
        </w:tc>
        <w:tc>
          <w:tcPr>
            <w:tcW w:w="3685"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631B15">
            <w:pPr>
              <w:jc w:val="center"/>
              <w:rPr>
                <w:sz w:val="20"/>
                <w:szCs w:val="20"/>
              </w:rPr>
            </w:pPr>
            <w:r w:rsidRPr="00BD7D6D">
              <w:rPr>
                <w:sz w:val="20"/>
                <w:szCs w:val="20"/>
              </w:rPr>
              <w:t>100,6</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2019 год</w:t>
            </w:r>
          </w:p>
        </w:tc>
        <w:tc>
          <w:tcPr>
            <w:tcW w:w="956" w:type="dxa"/>
            <w:tcBorders>
              <w:top w:val="nil"/>
              <w:left w:val="nil"/>
              <w:bottom w:val="single" w:sz="4" w:space="0" w:color="auto"/>
              <w:right w:val="single" w:sz="4" w:space="0" w:color="auto"/>
            </w:tcBorders>
            <w:shd w:val="clear" w:color="auto" w:fill="auto"/>
            <w:vAlign w:val="bottom"/>
            <w:hideMark/>
          </w:tcPr>
          <w:p w:rsidR="00457303" w:rsidRPr="00BD7D6D" w:rsidRDefault="00457303" w:rsidP="00631B15">
            <w:pPr>
              <w:jc w:val="center"/>
              <w:rPr>
                <w:sz w:val="20"/>
                <w:szCs w:val="20"/>
              </w:rPr>
            </w:pPr>
            <w:r w:rsidRPr="00BD7D6D">
              <w:rPr>
                <w:sz w:val="20"/>
                <w:szCs w:val="20"/>
              </w:rPr>
              <w:t>100,1</w:t>
            </w:r>
          </w:p>
        </w:tc>
        <w:tc>
          <w:tcPr>
            <w:tcW w:w="940" w:type="dxa"/>
            <w:tcBorders>
              <w:top w:val="nil"/>
              <w:left w:val="nil"/>
              <w:bottom w:val="nil"/>
              <w:right w:val="nil"/>
            </w:tcBorders>
            <w:shd w:val="clear" w:color="auto" w:fill="auto"/>
            <w:noWrap/>
            <w:vAlign w:val="bottom"/>
            <w:hideMark/>
          </w:tcPr>
          <w:p w:rsidR="00457303" w:rsidRPr="00BD7D6D" w:rsidRDefault="00457303" w:rsidP="00631B15">
            <w:pPr>
              <w:jc w:val="center"/>
              <w:rPr>
                <w:sz w:val="20"/>
                <w:szCs w:val="20"/>
              </w:rPr>
            </w:pPr>
            <w:r w:rsidRPr="00BD7D6D">
              <w:rPr>
                <w:sz w:val="20"/>
                <w:szCs w:val="20"/>
              </w:rPr>
              <w:t>100,7</w:t>
            </w:r>
          </w:p>
        </w:tc>
        <w:tc>
          <w:tcPr>
            <w:tcW w:w="3065"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631B15">
            <w:pPr>
              <w:jc w:val="center"/>
              <w:rPr>
                <w:sz w:val="20"/>
                <w:szCs w:val="20"/>
              </w:rPr>
            </w:pPr>
            <w:r w:rsidRPr="00BD7D6D">
              <w:rPr>
                <w:sz w:val="20"/>
                <w:szCs w:val="20"/>
              </w:rPr>
              <w:t>102,0</w:t>
            </w:r>
          </w:p>
        </w:tc>
        <w:tc>
          <w:tcPr>
            <w:tcW w:w="3685"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631B15">
            <w:pPr>
              <w:jc w:val="center"/>
              <w:rPr>
                <w:sz w:val="20"/>
                <w:szCs w:val="20"/>
              </w:rPr>
            </w:pPr>
            <w:r w:rsidRPr="00BD7D6D">
              <w:rPr>
                <w:sz w:val="20"/>
                <w:szCs w:val="20"/>
              </w:rPr>
              <w:t>100,6</w:t>
            </w:r>
          </w:p>
        </w:tc>
      </w:tr>
      <w:tr w:rsidR="00457303" w:rsidRPr="00133F42" w:rsidTr="002750E9">
        <w:trPr>
          <w:trHeight w:val="255"/>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2020 год</w:t>
            </w:r>
          </w:p>
        </w:tc>
        <w:tc>
          <w:tcPr>
            <w:tcW w:w="956" w:type="dxa"/>
            <w:tcBorders>
              <w:top w:val="nil"/>
              <w:left w:val="nil"/>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 </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457303" w:rsidRPr="00BD7D6D" w:rsidRDefault="00457303" w:rsidP="002750E9">
            <w:pPr>
              <w:rPr>
                <w:sz w:val="20"/>
                <w:szCs w:val="20"/>
              </w:rPr>
            </w:pPr>
            <w:r w:rsidRPr="00BD7D6D">
              <w:rPr>
                <w:sz w:val="20"/>
                <w:szCs w:val="20"/>
              </w:rPr>
              <w:t> </w:t>
            </w:r>
          </w:p>
        </w:tc>
        <w:tc>
          <w:tcPr>
            <w:tcW w:w="3065" w:type="dxa"/>
            <w:tcBorders>
              <w:top w:val="nil"/>
              <w:left w:val="nil"/>
              <w:bottom w:val="single" w:sz="4" w:space="0" w:color="auto"/>
              <w:right w:val="single" w:sz="4" w:space="0" w:color="auto"/>
            </w:tcBorders>
            <w:shd w:val="clear" w:color="auto" w:fill="auto"/>
            <w:vAlign w:val="bottom"/>
            <w:hideMark/>
          </w:tcPr>
          <w:p w:rsidR="00457303" w:rsidRPr="00BD7D6D" w:rsidRDefault="00457303" w:rsidP="00631B15">
            <w:pPr>
              <w:jc w:val="center"/>
              <w:rPr>
                <w:sz w:val="20"/>
                <w:szCs w:val="20"/>
              </w:rPr>
            </w:pPr>
            <w:r w:rsidRPr="00BD7D6D">
              <w:rPr>
                <w:sz w:val="20"/>
                <w:szCs w:val="20"/>
              </w:rPr>
              <w:t>102,0</w:t>
            </w:r>
          </w:p>
        </w:tc>
        <w:tc>
          <w:tcPr>
            <w:tcW w:w="3685" w:type="dxa"/>
            <w:tcBorders>
              <w:top w:val="nil"/>
              <w:left w:val="nil"/>
              <w:bottom w:val="single" w:sz="4" w:space="0" w:color="auto"/>
              <w:right w:val="single" w:sz="4" w:space="0" w:color="auto"/>
            </w:tcBorders>
            <w:shd w:val="clear" w:color="auto" w:fill="auto"/>
            <w:noWrap/>
            <w:vAlign w:val="bottom"/>
            <w:hideMark/>
          </w:tcPr>
          <w:p w:rsidR="00457303" w:rsidRPr="00BD7D6D" w:rsidRDefault="00457303" w:rsidP="00631B15">
            <w:pPr>
              <w:jc w:val="center"/>
              <w:rPr>
                <w:sz w:val="20"/>
                <w:szCs w:val="20"/>
              </w:rPr>
            </w:pPr>
            <w:r w:rsidRPr="00BD7D6D">
              <w:rPr>
                <w:sz w:val="20"/>
                <w:szCs w:val="20"/>
              </w:rPr>
              <w:t>100,6</w:t>
            </w:r>
          </w:p>
        </w:tc>
      </w:tr>
    </w:tbl>
    <w:p w:rsidR="00A31A18" w:rsidRPr="00A31A18" w:rsidRDefault="00A31A18" w:rsidP="00A31A18">
      <w:pPr>
        <w:pStyle w:val="a5"/>
        <w:ind w:left="708"/>
        <w:jc w:val="both"/>
        <w:outlineLvl w:val="0"/>
      </w:pPr>
    </w:p>
    <w:p w:rsidR="00221CF1" w:rsidRPr="00D07854" w:rsidRDefault="00221CF1" w:rsidP="00221CF1">
      <w:pPr>
        <w:ind w:firstLine="680"/>
        <w:jc w:val="both"/>
      </w:pPr>
      <w:r w:rsidRPr="00D07854">
        <w:rPr>
          <w:rFonts w:eastAsia="Calibri"/>
          <w:lang w:eastAsia="en-US"/>
        </w:rPr>
        <w:t xml:space="preserve">Считаем, что переход к формированию бюджетов бюджетной системы РФ с применением программно-целевого метода (бюджета в программном формате) предъявляет дополнительные требования к </w:t>
      </w:r>
      <w:r w:rsidRPr="00D07854">
        <w:rPr>
          <w:rFonts w:eastAsia="Calibri"/>
          <w:bCs/>
          <w:lang w:eastAsia="en-US"/>
        </w:rPr>
        <w:t>качеству государственной системы прогнозирования, так как</w:t>
      </w:r>
      <w:r w:rsidRPr="00D07854">
        <w:rPr>
          <w:rFonts w:eastAsia="Calibri"/>
          <w:bCs/>
          <w:i/>
          <w:lang w:eastAsia="en-US"/>
        </w:rPr>
        <w:t xml:space="preserve"> </w:t>
      </w:r>
      <w:r w:rsidRPr="00D07854">
        <w:rPr>
          <w:rFonts w:eastAsia="Calibri"/>
          <w:lang w:eastAsia="en-US"/>
        </w:rPr>
        <w:t xml:space="preserve"> планируемые бюджетные ассигнования увязываются с </w:t>
      </w:r>
      <w:r w:rsidRPr="00D07854">
        <w:rPr>
          <w:rFonts w:eastAsia="Calibri"/>
          <w:bCs/>
          <w:lang w:eastAsia="en-US"/>
        </w:rPr>
        <w:t>достижением конкретных целевых показателей (индикаторов), направленных на эффективную реализацию долгосрочных целей социально-экономического развития Волгоградской области.</w:t>
      </w:r>
      <w:r w:rsidRPr="00D07854">
        <w:rPr>
          <w:rFonts w:eastAsia="Calibri"/>
          <w:bCs/>
          <w:i/>
          <w:lang w:eastAsia="en-US"/>
        </w:rPr>
        <w:t xml:space="preserve"> </w:t>
      </w:r>
    </w:p>
    <w:p w:rsidR="00221CF1" w:rsidRPr="00D07854" w:rsidRDefault="00221CF1" w:rsidP="00221CF1">
      <w:pPr>
        <w:autoSpaceDE w:val="0"/>
        <w:autoSpaceDN w:val="0"/>
        <w:adjustRightInd w:val="0"/>
        <w:ind w:firstLine="720"/>
        <w:jc w:val="both"/>
        <w:outlineLvl w:val="0"/>
        <w:rPr>
          <w:rFonts w:eastAsiaTheme="minorHAnsi"/>
          <w:lang w:eastAsia="en-US"/>
        </w:rPr>
      </w:pPr>
      <w:r>
        <w:rPr>
          <w:bCs/>
          <w:kern w:val="36"/>
        </w:rPr>
        <w:t>По мнению КСП, в</w:t>
      </w:r>
      <w:r w:rsidRPr="00D07854">
        <w:rPr>
          <w:bCs/>
          <w:kern w:val="36"/>
        </w:rPr>
        <w:t>ышеприведенные недостатки Прогноза СЭР связаны</w:t>
      </w:r>
      <w:r>
        <w:rPr>
          <w:bCs/>
          <w:kern w:val="36"/>
        </w:rPr>
        <w:t>,</w:t>
      </w:r>
      <w:r w:rsidRPr="00D07854">
        <w:rPr>
          <w:bCs/>
          <w:kern w:val="36"/>
        </w:rPr>
        <w:t xml:space="preserve"> </w:t>
      </w:r>
      <w:r>
        <w:rPr>
          <w:bCs/>
          <w:kern w:val="36"/>
        </w:rPr>
        <w:t xml:space="preserve">в том числе </w:t>
      </w:r>
      <w:r w:rsidRPr="00D07854">
        <w:rPr>
          <w:bCs/>
          <w:kern w:val="36"/>
        </w:rPr>
        <w:t xml:space="preserve">с </w:t>
      </w:r>
      <w:r>
        <w:rPr>
          <w:bCs/>
          <w:kern w:val="36"/>
        </w:rPr>
        <w:t>непринятием</w:t>
      </w:r>
      <w:r w:rsidRPr="00D07854">
        <w:rPr>
          <w:bCs/>
          <w:kern w:val="36"/>
        </w:rPr>
        <w:t xml:space="preserve"> всех документов долгосрочного стратегического планирования</w:t>
      </w:r>
      <w:r w:rsidRPr="00D07854">
        <w:rPr>
          <w:color w:val="000000"/>
        </w:rPr>
        <w:t xml:space="preserve"> Волгоградской области. Так, Планом подготовки и корректировки документов стратегического планировани</w:t>
      </w:r>
      <w:r>
        <w:rPr>
          <w:color w:val="000000"/>
        </w:rPr>
        <w:t>я</w:t>
      </w:r>
      <w:r w:rsidRPr="00D07854">
        <w:rPr>
          <w:color w:val="000000"/>
        </w:rPr>
        <w:t xml:space="preserve"> Волгоградской области, утвержденным распоряжением Губернатора Волгоградской области от 29.12.2014 №159-р, проведение мероприятий по разработке </w:t>
      </w:r>
      <w:r w:rsidRPr="00D07854">
        <w:rPr>
          <w:rFonts w:eastAsiaTheme="minorHAnsi"/>
          <w:lang w:eastAsia="en-US"/>
        </w:rPr>
        <w:t>проекта закона Волгоградской области «О стратегии социально-экономического развития Волгоградской области до 2030 года» (далее Стратегия СЭР) первоначально было предусмотрено до 01.01.201</w:t>
      </w:r>
      <w:r>
        <w:rPr>
          <w:rFonts w:eastAsiaTheme="minorHAnsi"/>
          <w:lang w:eastAsia="en-US"/>
        </w:rPr>
        <w:t>6.</w:t>
      </w:r>
      <w:r w:rsidRPr="00D07854">
        <w:rPr>
          <w:rFonts w:eastAsiaTheme="minorHAnsi"/>
          <w:lang w:eastAsia="en-US"/>
        </w:rPr>
        <w:t xml:space="preserve"> </w:t>
      </w:r>
      <w:r>
        <w:rPr>
          <w:rFonts w:eastAsiaTheme="minorHAnsi"/>
          <w:lang w:eastAsia="en-US"/>
        </w:rPr>
        <w:t>З</w:t>
      </w:r>
      <w:r w:rsidRPr="00D07854">
        <w:rPr>
          <w:rFonts w:eastAsiaTheme="minorHAnsi"/>
          <w:lang w:eastAsia="en-US"/>
        </w:rPr>
        <w:t xml:space="preserve">атем внесенными изменениями срок подготовки Стратегии </w:t>
      </w:r>
      <w:r>
        <w:rPr>
          <w:rFonts w:eastAsiaTheme="minorHAnsi"/>
          <w:lang w:eastAsia="en-US"/>
        </w:rPr>
        <w:t xml:space="preserve">СЭР был </w:t>
      </w:r>
      <w:r w:rsidRPr="00D07854">
        <w:rPr>
          <w:rFonts w:eastAsiaTheme="minorHAnsi"/>
          <w:lang w:eastAsia="en-US"/>
        </w:rPr>
        <w:t>перенесен до 01.01.2019</w:t>
      </w:r>
      <w:r>
        <w:rPr>
          <w:rFonts w:eastAsiaTheme="minorHAnsi"/>
          <w:lang w:eastAsia="en-US"/>
        </w:rPr>
        <w:t>.</w:t>
      </w:r>
    </w:p>
    <w:p w:rsidR="00221CF1" w:rsidRPr="00D07854" w:rsidRDefault="00221CF1" w:rsidP="00221CF1">
      <w:pPr>
        <w:autoSpaceDE w:val="0"/>
        <w:autoSpaceDN w:val="0"/>
        <w:adjustRightInd w:val="0"/>
        <w:ind w:firstLine="720"/>
        <w:jc w:val="both"/>
        <w:outlineLvl w:val="0"/>
        <w:rPr>
          <w:color w:val="000000"/>
        </w:rPr>
      </w:pPr>
      <w:r w:rsidRPr="00D07854">
        <w:rPr>
          <w:color w:val="000000"/>
          <w:shd w:val="clear" w:color="auto" w:fill="FFFFFF"/>
        </w:rPr>
        <w:t>В условиях необходимости решения системных и структурных проблем при ограниченности ресурсов крайне важно определить приоритетные направления развития Волгоградской области. Наличие стратегического документа, определяющего цели и задачи развития социально-экономической системы, а также целевые показатели служило бы ориентиром в рамках деятельности органов государственной власти и позволяло бы избегать бессистемного секвестрования финансирования приоритетных отраслей региональн</w:t>
      </w:r>
      <w:r w:rsidR="00D423EA">
        <w:rPr>
          <w:color w:val="000000"/>
          <w:shd w:val="clear" w:color="auto" w:fill="FFFFFF"/>
        </w:rPr>
        <w:t>ой</w:t>
      </w:r>
      <w:r w:rsidRPr="00D07854">
        <w:rPr>
          <w:color w:val="000000"/>
          <w:shd w:val="clear" w:color="auto" w:fill="FFFFFF"/>
        </w:rPr>
        <w:t xml:space="preserve"> экономик</w:t>
      </w:r>
      <w:r w:rsidR="00D423EA">
        <w:rPr>
          <w:color w:val="000000"/>
          <w:shd w:val="clear" w:color="auto" w:fill="FFFFFF"/>
        </w:rPr>
        <w:t>и</w:t>
      </w:r>
      <w:r w:rsidRPr="00D07854">
        <w:rPr>
          <w:color w:val="000000"/>
          <w:shd w:val="clear" w:color="auto" w:fill="FFFFFF"/>
        </w:rPr>
        <w:t xml:space="preserve"> в пользу выполнения текущих социальных обязательств.</w:t>
      </w:r>
    </w:p>
    <w:p w:rsidR="00221CF1" w:rsidRDefault="00221CF1" w:rsidP="00221CF1">
      <w:pPr>
        <w:pStyle w:val="af4"/>
        <w:spacing w:before="0" w:beforeAutospacing="0" w:after="0" w:afterAutospacing="0"/>
        <w:ind w:firstLine="680"/>
        <w:jc w:val="both"/>
        <w:rPr>
          <w:highlight w:val="magenta"/>
        </w:rPr>
      </w:pPr>
    </w:p>
    <w:p w:rsidR="00221CF1" w:rsidRPr="00CA7098" w:rsidRDefault="00154142" w:rsidP="00221CF1">
      <w:pPr>
        <w:pStyle w:val="a7"/>
        <w:spacing w:after="0"/>
        <w:ind w:firstLine="567"/>
        <w:jc w:val="both"/>
      </w:pPr>
      <w:r>
        <w:rPr>
          <w:b/>
          <w:i/>
        </w:rPr>
        <w:t>С</w:t>
      </w:r>
      <w:r w:rsidR="00221CF1" w:rsidRPr="00CA7098">
        <w:rPr>
          <w:b/>
          <w:i/>
        </w:rPr>
        <w:t>равнительный анализ основных макроэкономических показателей развития Российской Федерации и Волгоградской области</w:t>
      </w:r>
      <w:r w:rsidR="00221CF1" w:rsidRPr="00CA7098">
        <w:t xml:space="preserve"> </w:t>
      </w:r>
      <w:r w:rsidR="00221CF1" w:rsidRPr="00A60581">
        <w:rPr>
          <w:b/>
          <w:i/>
        </w:rPr>
        <w:t>(</w:t>
      </w:r>
      <w:r w:rsidR="00221CF1" w:rsidRPr="00A60581">
        <w:rPr>
          <w:b/>
          <w:i/>
          <w:u w:val="single"/>
        </w:rPr>
        <w:t>приложение №1)</w:t>
      </w:r>
      <w:r w:rsidR="00221CF1" w:rsidRPr="00CA7098">
        <w:t xml:space="preserve"> показал, что по оценке 2016 год</w:t>
      </w:r>
      <w:r w:rsidR="00D53E19">
        <w:t>а</w:t>
      </w:r>
      <w:r w:rsidR="00221CF1" w:rsidRPr="00CA7098">
        <w:t xml:space="preserve"> темп роста по </w:t>
      </w:r>
      <w:r w:rsidR="00221CF1">
        <w:t>4</w:t>
      </w:r>
      <w:r w:rsidR="00221CF1" w:rsidRPr="00CA7098">
        <w:t>-м показателям (</w:t>
      </w:r>
      <w:r w:rsidR="00221CF1">
        <w:t xml:space="preserve">индекс физического объема </w:t>
      </w:r>
      <w:r w:rsidR="00221CF1" w:rsidRPr="00CA7098">
        <w:t>ВРП, объем платных услуг, инвестици</w:t>
      </w:r>
      <w:r w:rsidR="00221CF1">
        <w:t>и</w:t>
      </w:r>
      <w:r w:rsidR="00221CF1" w:rsidRPr="00CA7098">
        <w:t xml:space="preserve"> в основной капитал</w:t>
      </w:r>
      <w:r w:rsidR="00221CF1">
        <w:t>, индекс потребительских цен</w:t>
      </w:r>
      <w:r w:rsidR="00221CF1" w:rsidRPr="00CA7098">
        <w:t>) сложился ниже среднероссийского уровня</w:t>
      </w:r>
      <w:r w:rsidR="00A14655">
        <w:t>.</w:t>
      </w:r>
      <w:r w:rsidR="00D53E19">
        <w:t xml:space="preserve"> </w:t>
      </w:r>
      <w:r w:rsidR="00A14655">
        <w:t>П</w:t>
      </w:r>
      <w:r w:rsidR="00221CF1" w:rsidRPr="00CA7098">
        <w:t xml:space="preserve">о </w:t>
      </w:r>
      <w:r w:rsidR="00221CF1">
        <w:t>7</w:t>
      </w:r>
      <w:r w:rsidR="00221CF1" w:rsidRPr="00CA7098">
        <w:t>-ми показателям (индекс</w:t>
      </w:r>
      <w:r w:rsidR="00221CF1">
        <w:t>ы</w:t>
      </w:r>
      <w:r w:rsidR="00221CF1" w:rsidRPr="00CA7098">
        <w:t xml:space="preserve"> промышленного производства, продукци</w:t>
      </w:r>
      <w:r w:rsidR="00221CF1">
        <w:t>и</w:t>
      </w:r>
      <w:r w:rsidR="00221CF1" w:rsidRPr="00CA7098">
        <w:t xml:space="preserve"> сельского хозяйства, оборот</w:t>
      </w:r>
      <w:r w:rsidR="00221CF1">
        <w:t>а</w:t>
      </w:r>
      <w:r w:rsidR="00221CF1" w:rsidRPr="00CA7098">
        <w:t xml:space="preserve"> розничной торговли, </w:t>
      </w:r>
      <w:r w:rsidR="00221CF1">
        <w:t>реальные</w:t>
      </w:r>
      <w:r w:rsidR="00221CF1" w:rsidRPr="00CA7098">
        <w:t xml:space="preserve"> располагаемы</w:t>
      </w:r>
      <w:r w:rsidR="00221CF1">
        <w:t>е</w:t>
      </w:r>
      <w:r w:rsidR="00221CF1" w:rsidRPr="00CA7098">
        <w:t xml:space="preserve"> доход</w:t>
      </w:r>
      <w:r w:rsidR="00221CF1">
        <w:t>ы</w:t>
      </w:r>
      <w:r w:rsidR="00221CF1" w:rsidRPr="00CA7098">
        <w:t xml:space="preserve"> населения, фонд заработной платы, прибыл</w:t>
      </w:r>
      <w:r w:rsidR="00221CF1">
        <w:t>ь</w:t>
      </w:r>
      <w:r w:rsidR="00221CF1" w:rsidRPr="00CA7098">
        <w:t xml:space="preserve"> прибыльных организаций</w:t>
      </w:r>
      <w:r w:rsidR="00221CF1">
        <w:t>,</w:t>
      </w:r>
      <w:r w:rsidR="00221CF1" w:rsidRPr="0054645F">
        <w:t xml:space="preserve"> </w:t>
      </w:r>
      <w:r w:rsidR="00221CF1" w:rsidRPr="00CA7098">
        <w:t>уровень безработицы) – выше уровня РФ.</w:t>
      </w:r>
    </w:p>
    <w:p w:rsidR="00221CF1" w:rsidRPr="00CA7098" w:rsidRDefault="00221CF1" w:rsidP="00221CF1">
      <w:pPr>
        <w:pStyle w:val="a7"/>
        <w:spacing w:after="0"/>
        <w:ind w:firstLine="567"/>
        <w:jc w:val="both"/>
      </w:pPr>
      <w:r w:rsidRPr="00CA7098">
        <w:t xml:space="preserve">На 2017 год по </w:t>
      </w:r>
      <w:r>
        <w:t>5-ти</w:t>
      </w:r>
      <w:r w:rsidRPr="00CA7098">
        <w:t xml:space="preserve"> основным показателям развития области темпы роста прогнозируются выше уровня РФ. Превышение регионального уровня над среднероссийским запланировано в пределах от 0,4 (ВРП и индекс промышленного производства) до 11,5 процентных пункта (инвестиции в основной капитал). По </w:t>
      </w:r>
      <w:r>
        <w:t>6-ти</w:t>
      </w:r>
      <w:r w:rsidRPr="00CA7098">
        <w:t xml:space="preserve"> показателям темп роста </w:t>
      </w:r>
      <w:r w:rsidR="00D53E19">
        <w:t>прогнозируется н</w:t>
      </w:r>
      <w:r w:rsidRPr="00CA7098">
        <w:t xml:space="preserve">иже уровня РФ: объем платных услуг - </w:t>
      </w:r>
      <w:r>
        <w:t>на</w:t>
      </w:r>
      <w:r w:rsidRPr="00CA7098">
        <w:t xml:space="preserve"> 0,1 п</w:t>
      </w:r>
      <w:r w:rsidR="00D53E19">
        <w:t>роцентных пункта</w:t>
      </w:r>
      <w:r w:rsidRPr="00CA7098">
        <w:t>., оборот розничной торговли – на 0,6., реальные распола</w:t>
      </w:r>
      <w:r w:rsidR="00D53E19">
        <w:t>гаемы доходы населения – на 1,3</w:t>
      </w:r>
      <w:r w:rsidRPr="00CA7098">
        <w:t>., продукция сельского хозяйства – на 5,3</w:t>
      </w:r>
      <w:r>
        <w:t xml:space="preserve">, уровень безработицы и индекс потребительских цен выше </w:t>
      </w:r>
      <w:proofErr w:type="gramStart"/>
      <w:r>
        <w:t>на</w:t>
      </w:r>
      <w:proofErr w:type="gramEnd"/>
      <w:r>
        <w:t xml:space="preserve"> 1,3 и 0,8 </w:t>
      </w:r>
      <w:r w:rsidRPr="00CA7098">
        <w:t>пункта</w:t>
      </w:r>
      <w:r w:rsidR="00D53E19">
        <w:t xml:space="preserve"> соответственно</w:t>
      </w:r>
      <w:r w:rsidRPr="00CA7098">
        <w:t>.</w:t>
      </w:r>
    </w:p>
    <w:p w:rsidR="00CD60AB" w:rsidRDefault="00221CF1" w:rsidP="00CD60AB">
      <w:pPr>
        <w:pStyle w:val="a7"/>
        <w:spacing w:after="0"/>
        <w:ind w:firstLine="567"/>
        <w:jc w:val="both"/>
      </w:pPr>
      <w:r w:rsidRPr="00D53E19">
        <w:t>На плановый период 2018-2019 годов по многим макроэкономическим</w:t>
      </w:r>
      <w:r w:rsidR="00CD60AB">
        <w:t xml:space="preserve"> </w:t>
      </w:r>
      <w:r w:rsidR="00CD60AB" w:rsidRPr="00CA7098">
        <w:t>показател</w:t>
      </w:r>
      <w:r w:rsidR="00CD60AB">
        <w:t>ям</w:t>
      </w:r>
      <w:r w:rsidR="00CD60AB" w:rsidRPr="00CA7098">
        <w:t xml:space="preserve"> </w:t>
      </w:r>
      <w:r w:rsidR="00CD60AB">
        <w:t xml:space="preserve">наблюдается </w:t>
      </w:r>
      <w:r w:rsidR="00CD60AB" w:rsidRPr="00CA7098">
        <w:t>превыш</w:t>
      </w:r>
      <w:r w:rsidR="00CD60AB">
        <w:t xml:space="preserve">ение </w:t>
      </w:r>
      <w:r w:rsidR="00CD60AB" w:rsidRPr="00CA7098">
        <w:t>среднероссийск</w:t>
      </w:r>
      <w:r w:rsidR="00CD60AB">
        <w:t xml:space="preserve">ого </w:t>
      </w:r>
      <w:r w:rsidR="00CD60AB" w:rsidRPr="00CA7098">
        <w:t>уров</w:t>
      </w:r>
      <w:r w:rsidR="00CD60AB">
        <w:t>ня</w:t>
      </w:r>
      <w:r w:rsidR="00CD60AB" w:rsidRPr="00CA7098">
        <w:t>, за исключением показател</w:t>
      </w:r>
      <w:r w:rsidR="00CD60AB">
        <w:t>ей</w:t>
      </w:r>
      <w:r w:rsidR="00CD60AB" w:rsidRPr="00CA7098">
        <w:t xml:space="preserve"> </w:t>
      </w:r>
      <w:r w:rsidR="00CD60AB" w:rsidRPr="00CA7098">
        <w:lastRenderedPageBreak/>
        <w:t>продукции сельского хозяйства</w:t>
      </w:r>
      <w:r w:rsidR="00CD60AB">
        <w:t>, прибыли прибыльных организаций</w:t>
      </w:r>
      <w:r w:rsidR="0044519B">
        <w:t>,</w:t>
      </w:r>
      <w:r w:rsidR="00CD60AB">
        <w:t xml:space="preserve"> показателей уровня безработицы и </w:t>
      </w:r>
      <w:r w:rsidR="00CD60AB" w:rsidRPr="00CA7098">
        <w:t xml:space="preserve"> </w:t>
      </w:r>
      <w:r w:rsidR="00CD60AB">
        <w:t xml:space="preserve">индекса потребительских цен, по которым </w:t>
      </w:r>
      <w:proofErr w:type="spellStart"/>
      <w:r w:rsidR="00CD60AB">
        <w:t>среднероссийский</w:t>
      </w:r>
      <w:proofErr w:type="spellEnd"/>
      <w:r w:rsidR="00CD60AB">
        <w:t xml:space="preserve"> уровень ниже.</w:t>
      </w:r>
    </w:p>
    <w:p w:rsidR="002F1C1B" w:rsidRDefault="002F1C1B" w:rsidP="002F1C1B">
      <w:pPr>
        <w:ind w:firstLine="680"/>
        <w:jc w:val="both"/>
      </w:pPr>
      <w:r w:rsidRPr="00EB4E89">
        <w:t xml:space="preserve">Следует </w:t>
      </w:r>
      <w:r>
        <w:t xml:space="preserve">также </w:t>
      </w:r>
      <w:r w:rsidRPr="00EB4E89">
        <w:t xml:space="preserve">отметить, </w:t>
      </w:r>
      <w:r w:rsidRPr="00690B16">
        <w:t>что Волгоградская область не занимает лидирующее положение по экономическому развитию среди субъектов РФ. Согласно рейтингу социально-экономического положения субъектов РФ по итогам 2015</w:t>
      </w:r>
      <w:r w:rsidRPr="00B00FF9">
        <w:t xml:space="preserve"> года Волгоградская область зан</w:t>
      </w:r>
      <w:r>
        <w:t>имала</w:t>
      </w:r>
      <w:r w:rsidRPr="00B00FF9">
        <w:t xml:space="preserve"> 3</w:t>
      </w:r>
      <w:r>
        <w:t>4-е место среди 85 субъектов РФ, при этом позиция нашего региона улучшилась (</w:t>
      </w:r>
      <w:r w:rsidRPr="00B00FF9">
        <w:t xml:space="preserve">по итогам 2014 года </w:t>
      </w:r>
      <w:r>
        <w:t xml:space="preserve">регион занимал </w:t>
      </w:r>
      <w:r w:rsidRPr="00B00FF9">
        <w:t>36 место</w:t>
      </w:r>
      <w:r>
        <w:t>)</w:t>
      </w:r>
      <w:r w:rsidRPr="00B00FF9">
        <w:t>.</w:t>
      </w:r>
      <w:r>
        <w:t xml:space="preserve"> </w:t>
      </w:r>
      <w:r w:rsidRPr="00EB4E89">
        <w:t>При проведении указанного рейтинга оценивались показатели, характеризующие</w:t>
      </w:r>
      <w:r>
        <w:t>:</w:t>
      </w:r>
    </w:p>
    <w:p w:rsidR="002F1C1B" w:rsidRDefault="002F1C1B" w:rsidP="002F1C1B">
      <w:pPr>
        <w:ind w:firstLine="680"/>
        <w:jc w:val="both"/>
      </w:pPr>
      <w:r>
        <w:t>-</w:t>
      </w:r>
      <w:r w:rsidRPr="00EB4E89">
        <w:t>масштаб экономики (объем производства товаров и услуг, объем доходов консолидированного бюджета, численность занятых в экономике)</w:t>
      </w:r>
      <w:r>
        <w:t>;</w:t>
      </w:r>
    </w:p>
    <w:p w:rsidR="002F1C1B" w:rsidRDefault="002F1C1B" w:rsidP="002F1C1B">
      <w:pPr>
        <w:ind w:firstLine="680"/>
        <w:jc w:val="both"/>
      </w:pPr>
      <w:r>
        <w:t>-</w:t>
      </w:r>
      <w:r w:rsidRPr="00EB4E89">
        <w:t>эффективность экономики (объем производства товаров и услуг на душу населения, объем инвестиций на душу населения, доля прибыльных предприятий, доля задолженности по налогам в суммарном объеме налоговых платежей)</w:t>
      </w:r>
      <w:r>
        <w:t>;</w:t>
      </w:r>
    </w:p>
    <w:p w:rsidR="002F1C1B" w:rsidRDefault="002F1C1B" w:rsidP="002F1C1B">
      <w:pPr>
        <w:ind w:firstLine="680"/>
        <w:jc w:val="both"/>
      </w:pPr>
      <w:r>
        <w:t>-</w:t>
      </w:r>
      <w:r w:rsidRPr="00EB4E89">
        <w:t xml:space="preserve"> бюджетн</w:t>
      </w:r>
      <w:r>
        <w:t>ая</w:t>
      </w:r>
      <w:r w:rsidRPr="00EB4E89">
        <w:t xml:space="preserve"> сфер</w:t>
      </w:r>
      <w:r>
        <w:t>а</w:t>
      </w:r>
      <w:r w:rsidRPr="00EB4E89">
        <w:t xml:space="preserve"> (объем доходов консолидированного бюджета на одного жителя, доля налоговых и неналоговых доходов в общем объеме доходов консолидированного бюджета, отношение </w:t>
      </w:r>
      <w:proofErr w:type="spellStart"/>
      <w:r w:rsidRPr="00EB4E89">
        <w:t>профицита</w:t>
      </w:r>
      <w:proofErr w:type="spellEnd"/>
      <w:r w:rsidRPr="00EB4E89">
        <w:t>/дефицита консолидированного бюджета к объему налоговых и неналоговых доходов, отношение государственного и муниципального долга к объему налоговых и неналоговых доходов консолидированного бюджета)</w:t>
      </w:r>
      <w:r>
        <w:t>;</w:t>
      </w:r>
    </w:p>
    <w:p w:rsidR="002F1C1B" w:rsidRDefault="002F1C1B" w:rsidP="002F1C1B">
      <w:pPr>
        <w:ind w:firstLine="680"/>
        <w:jc w:val="both"/>
      </w:pPr>
      <w:r>
        <w:t>-</w:t>
      </w:r>
      <w:r w:rsidRPr="00EB4E89">
        <w:t>социальн</w:t>
      </w:r>
      <w:r>
        <w:t>ая</w:t>
      </w:r>
      <w:r w:rsidRPr="00EB4E89">
        <w:t xml:space="preserve"> сфер</w:t>
      </w:r>
      <w:r>
        <w:t>а</w:t>
      </w:r>
      <w:r w:rsidRPr="00EB4E89">
        <w:t xml:space="preserve"> (отношение денежных доходов населения к стоимости фиксированного набора товаров и услуг, уровень безработицы, ожидаемая продолжительность жизни при рождении, уровень младенческой смерти). </w:t>
      </w:r>
    </w:p>
    <w:p w:rsidR="002F1C1B" w:rsidRPr="00EB4E89" w:rsidRDefault="002F1C1B" w:rsidP="002F1C1B">
      <w:pPr>
        <w:ind w:firstLine="680"/>
        <w:jc w:val="both"/>
      </w:pPr>
      <w:proofErr w:type="gramStart"/>
      <w:r w:rsidRPr="00EB4E89">
        <w:t>Ведущие позиции в рейтинге занимают г</w:t>
      </w:r>
      <w:r>
        <w:t>орода</w:t>
      </w:r>
      <w:r w:rsidRPr="00EB4E89">
        <w:t xml:space="preserve"> Москва, Санкт-Петербург, Ханты-Мансийский авт</w:t>
      </w:r>
      <w:r>
        <w:t>ономный</w:t>
      </w:r>
      <w:r w:rsidRPr="00EB4E89">
        <w:t xml:space="preserve"> округ </w:t>
      </w:r>
      <w:r>
        <w:t>-</w:t>
      </w:r>
      <w:r w:rsidRPr="00EB4E89">
        <w:t xml:space="preserve"> </w:t>
      </w:r>
      <w:proofErr w:type="spellStart"/>
      <w:r w:rsidRPr="00EB4E89">
        <w:t>Югра</w:t>
      </w:r>
      <w:proofErr w:type="spellEnd"/>
      <w:r w:rsidRPr="00EB4E89">
        <w:t>, Московская область, Республика Татарстан, Ямало-Ненецкий автономный округ</w:t>
      </w:r>
      <w:r>
        <w:rPr>
          <w:sz w:val="20"/>
          <w:szCs w:val="20"/>
        </w:rPr>
        <w:t>,</w:t>
      </w:r>
      <w:r w:rsidRPr="00EB4E89">
        <w:t xml:space="preserve"> Сахалинская, </w:t>
      </w:r>
      <w:r>
        <w:t>Тюменская, Свердловская</w:t>
      </w:r>
      <w:r w:rsidRPr="00EB4E89">
        <w:t xml:space="preserve"> области, Республика Башкортостан.</w:t>
      </w:r>
      <w:proofErr w:type="gramEnd"/>
    </w:p>
    <w:p w:rsidR="002F1C1B" w:rsidRPr="00AE58B7" w:rsidRDefault="002F1C1B" w:rsidP="002F1C1B">
      <w:pPr>
        <w:ind w:firstLine="680"/>
        <w:jc w:val="both"/>
        <w:rPr>
          <w:bCs/>
        </w:rPr>
      </w:pPr>
      <w:r>
        <w:rPr>
          <w:bCs/>
        </w:rPr>
        <w:t>По инвестиционной привлекательности Волгоградская область</w:t>
      </w:r>
      <w:r w:rsidRPr="00FD168D">
        <w:rPr>
          <w:bCs/>
        </w:rPr>
        <w:t xml:space="preserve"> </w:t>
      </w:r>
      <w:r w:rsidRPr="00AE58B7">
        <w:rPr>
          <w:bCs/>
        </w:rPr>
        <w:t xml:space="preserve">оказалась в числе регионов с наименьшей привлекательностью для инвесторов, заняв 75-е место, тем самым ухудшив свои позиции по сравнению с прошлым годом (в 2015 году </w:t>
      </w:r>
      <w:r>
        <w:rPr>
          <w:bCs/>
        </w:rPr>
        <w:t>-</w:t>
      </w:r>
      <w:r w:rsidRPr="00AE58B7">
        <w:rPr>
          <w:bCs/>
        </w:rPr>
        <w:t xml:space="preserve"> 63-е место).</w:t>
      </w:r>
      <w:r>
        <w:rPr>
          <w:bCs/>
        </w:rPr>
        <w:t xml:space="preserve"> Р</w:t>
      </w:r>
      <w:r w:rsidRPr="00AE58B7">
        <w:rPr>
          <w:bCs/>
        </w:rPr>
        <w:t xml:space="preserve">езультаты </w:t>
      </w:r>
      <w:r>
        <w:rPr>
          <w:bCs/>
        </w:rPr>
        <w:t>н</w:t>
      </w:r>
      <w:r w:rsidRPr="00AE58B7">
        <w:rPr>
          <w:bCs/>
        </w:rPr>
        <w:t>ационального инвестиционного рейтинга регионов России, составленного Агентством стратегических инициатив</w:t>
      </w:r>
      <w:r>
        <w:rPr>
          <w:bCs/>
        </w:rPr>
        <w:t xml:space="preserve">, были представлены в </w:t>
      </w:r>
      <w:r w:rsidRPr="00AE58B7">
        <w:rPr>
          <w:bCs/>
        </w:rPr>
        <w:t>2016 году на Петербургском международном экономическом форуме</w:t>
      </w:r>
      <w:r>
        <w:rPr>
          <w:bCs/>
        </w:rPr>
        <w:t>.</w:t>
      </w:r>
      <w:r w:rsidRPr="00AE58B7">
        <w:rPr>
          <w:bCs/>
        </w:rPr>
        <w:t xml:space="preserve"> </w:t>
      </w:r>
      <w:r>
        <w:rPr>
          <w:bCs/>
        </w:rPr>
        <w:t>В рейтинг вошел 81 регион</w:t>
      </w:r>
      <w:r w:rsidRPr="00AE58B7">
        <w:rPr>
          <w:bCs/>
        </w:rPr>
        <w:t>, 4 региона оценивались вне рейтинга, при участии 400 тыс.</w:t>
      </w:r>
      <w:r>
        <w:rPr>
          <w:bCs/>
        </w:rPr>
        <w:t xml:space="preserve"> </w:t>
      </w:r>
      <w:r w:rsidRPr="00AE58B7">
        <w:rPr>
          <w:bCs/>
        </w:rPr>
        <w:t>предпринимателей.</w:t>
      </w:r>
    </w:p>
    <w:p w:rsidR="009D7071" w:rsidRDefault="009D7071" w:rsidP="00D45F41">
      <w:pPr>
        <w:pStyle w:val="11"/>
        <w:ind w:firstLine="708"/>
        <w:jc w:val="center"/>
        <w:rPr>
          <w:b/>
          <w:i/>
          <w:sz w:val="24"/>
          <w:szCs w:val="24"/>
        </w:rPr>
      </w:pPr>
    </w:p>
    <w:p w:rsidR="00EF3CC9" w:rsidRPr="00A27310" w:rsidRDefault="00387CD9" w:rsidP="00D45F41">
      <w:pPr>
        <w:pStyle w:val="11"/>
        <w:ind w:firstLine="708"/>
        <w:jc w:val="center"/>
        <w:rPr>
          <w:b/>
          <w:i/>
          <w:sz w:val="24"/>
          <w:szCs w:val="24"/>
        </w:rPr>
      </w:pPr>
      <w:r w:rsidRPr="00A27310">
        <w:rPr>
          <w:b/>
          <w:i/>
          <w:sz w:val="24"/>
          <w:szCs w:val="24"/>
        </w:rPr>
        <w:t>3. Основные характеристики областного бюджета</w:t>
      </w:r>
      <w:r w:rsidR="00EF3334" w:rsidRPr="00A27310">
        <w:rPr>
          <w:b/>
          <w:i/>
          <w:sz w:val="24"/>
          <w:szCs w:val="24"/>
        </w:rPr>
        <w:t xml:space="preserve"> </w:t>
      </w:r>
      <w:r w:rsidRPr="00A27310">
        <w:rPr>
          <w:b/>
          <w:i/>
          <w:sz w:val="24"/>
          <w:szCs w:val="24"/>
        </w:rPr>
        <w:t>на 20</w:t>
      </w:r>
      <w:r w:rsidR="00EF3334" w:rsidRPr="00A27310">
        <w:rPr>
          <w:b/>
          <w:i/>
          <w:sz w:val="24"/>
          <w:szCs w:val="24"/>
        </w:rPr>
        <w:t>1</w:t>
      </w:r>
      <w:r w:rsidR="00C807ED">
        <w:rPr>
          <w:b/>
          <w:i/>
          <w:sz w:val="24"/>
          <w:szCs w:val="24"/>
        </w:rPr>
        <w:t>7</w:t>
      </w:r>
      <w:r w:rsidRPr="00A27310">
        <w:rPr>
          <w:b/>
          <w:i/>
          <w:sz w:val="24"/>
          <w:szCs w:val="24"/>
        </w:rPr>
        <w:t xml:space="preserve"> год</w:t>
      </w:r>
    </w:p>
    <w:p w:rsidR="00387CD9" w:rsidRPr="00A27310" w:rsidRDefault="00387CD9" w:rsidP="00D45F41">
      <w:pPr>
        <w:pStyle w:val="11"/>
        <w:ind w:firstLine="708"/>
        <w:jc w:val="center"/>
        <w:rPr>
          <w:b/>
          <w:i/>
          <w:sz w:val="24"/>
          <w:szCs w:val="24"/>
        </w:rPr>
      </w:pPr>
      <w:r w:rsidRPr="00A27310">
        <w:rPr>
          <w:b/>
          <w:i/>
          <w:sz w:val="24"/>
          <w:szCs w:val="24"/>
        </w:rPr>
        <w:t xml:space="preserve">и на </w:t>
      </w:r>
      <w:r w:rsidR="00BA6704" w:rsidRPr="00A27310">
        <w:rPr>
          <w:b/>
          <w:i/>
          <w:sz w:val="24"/>
          <w:szCs w:val="24"/>
        </w:rPr>
        <w:t xml:space="preserve">плановый </w:t>
      </w:r>
      <w:r w:rsidRPr="00A27310">
        <w:rPr>
          <w:b/>
          <w:i/>
          <w:sz w:val="24"/>
          <w:szCs w:val="24"/>
        </w:rPr>
        <w:t xml:space="preserve">период </w:t>
      </w:r>
      <w:r w:rsidR="00BA6704" w:rsidRPr="00A27310">
        <w:rPr>
          <w:b/>
          <w:i/>
          <w:sz w:val="24"/>
          <w:szCs w:val="24"/>
        </w:rPr>
        <w:t>20</w:t>
      </w:r>
      <w:r w:rsidR="0022739A">
        <w:rPr>
          <w:b/>
          <w:i/>
          <w:sz w:val="24"/>
          <w:szCs w:val="24"/>
        </w:rPr>
        <w:t>1</w:t>
      </w:r>
      <w:r w:rsidR="00C807ED">
        <w:rPr>
          <w:b/>
          <w:i/>
          <w:sz w:val="24"/>
          <w:szCs w:val="24"/>
        </w:rPr>
        <w:t>8</w:t>
      </w:r>
      <w:r w:rsidR="00BA6704" w:rsidRPr="00A27310">
        <w:rPr>
          <w:b/>
          <w:i/>
          <w:sz w:val="24"/>
          <w:szCs w:val="24"/>
        </w:rPr>
        <w:t xml:space="preserve"> и</w:t>
      </w:r>
      <w:r w:rsidRPr="00A27310">
        <w:rPr>
          <w:b/>
          <w:i/>
          <w:sz w:val="24"/>
          <w:szCs w:val="24"/>
        </w:rPr>
        <w:t xml:space="preserve"> 201</w:t>
      </w:r>
      <w:r w:rsidR="00C807ED">
        <w:rPr>
          <w:b/>
          <w:i/>
          <w:sz w:val="24"/>
          <w:szCs w:val="24"/>
        </w:rPr>
        <w:t>9</w:t>
      </w:r>
      <w:r w:rsidRPr="00A27310">
        <w:rPr>
          <w:b/>
          <w:i/>
          <w:sz w:val="24"/>
          <w:szCs w:val="24"/>
        </w:rPr>
        <w:t xml:space="preserve"> год</w:t>
      </w:r>
      <w:r w:rsidR="00BA6704" w:rsidRPr="00A27310">
        <w:rPr>
          <w:b/>
          <w:i/>
          <w:sz w:val="24"/>
          <w:szCs w:val="24"/>
        </w:rPr>
        <w:t>ов</w:t>
      </w:r>
      <w:r w:rsidRPr="00A27310">
        <w:rPr>
          <w:b/>
          <w:i/>
          <w:sz w:val="24"/>
          <w:szCs w:val="24"/>
        </w:rPr>
        <w:t>.</w:t>
      </w:r>
    </w:p>
    <w:p w:rsidR="00387CD9" w:rsidRDefault="00387CD9"/>
    <w:p w:rsidR="00BB3EAE" w:rsidRPr="00A27310" w:rsidRDefault="00BB3EAE" w:rsidP="00BB3EAE">
      <w:pPr>
        <w:pStyle w:val="11"/>
        <w:ind w:firstLine="708"/>
        <w:jc w:val="both"/>
        <w:rPr>
          <w:sz w:val="24"/>
          <w:szCs w:val="24"/>
        </w:rPr>
      </w:pPr>
      <w:r w:rsidRPr="00A27310">
        <w:rPr>
          <w:sz w:val="24"/>
          <w:szCs w:val="24"/>
        </w:rPr>
        <w:t>Предметом рассмотрения проекта закона об областном бюджете на очередной финансовый год и плановый период в первом чтении являются основные характеристики областного бюджета, к которым относятся:</w:t>
      </w:r>
    </w:p>
    <w:p w:rsidR="00BB3EAE" w:rsidRPr="00A27310" w:rsidRDefault="00BB3EAE" w:rsidP="00BB3EAE">
      <w:pPr>
        <w:pStyle w:val="11"/>
        <w:ind w:firstLine="708"/>
        <w:jc w:val="both"/>
        <w:rPr>
          <w:sz w:val="24"/>
          <w:szCs w:val="24"/>
        </w:rPr>
      </w:pPr>
      <w:r w:rsidRPr="00A27310">
        <w:rPr>
          <w:sz w:val="24"/>
          <w:szCs w:val="24"/>
        </w:rPr>
        <w:t>-прогнозируемый общий объем доходов с указанием поступлений из других бюджетов бюджетной системы РФ;</w:t>
      </w:r>
    </w:p>
    <w:p w:rsidR="00BB3EAE" w:rsidRPr="00A27310" w:rsidRDefault="00BB3EAE" w:rsidP="00BB3EAE">
      <w:pPr>
        <w:ind w:firstLine="708"/>
        <w:jc w:val="both"/>
      </w:pPr>
      <w:r w:rsidRPr="00A27310">
        <w:t>-общий объем расходов;</w:t>
      </w:r>
    </w:p>
    <w:p w:rsidR="00BB3EAE" w:rsidRPr="00A27310" w:rsidRDefault="00BB3EAE" w:rsidP="00BB3EAE">
      <w:pPr>
        <w:ind w:firstLine="708"/>
        <w:jc w:val="both"/>
      </w:pPr>
      <w:r w:rsidRPr="00A27310">
        <w:t>-дефицит (профицит) областного бюджета;</w:t>
      </w:r>
    </w:p>
    <w:p w:rsidR="00BB3EAE" w:rsidRPr="00A27310" w:rsidRDefault="00BB3EAE" w:rsidP="00BB3EAE">
      <w:pPr>
        <w:ind w:firstLine="708"/>
        <w:jc w:val="both"/>
      </w:pPr>
      <w:r w:rsidRPr="00A27310">
        <w:t>а также:</w:t>
      </w:r>
    </w:p>
    <w:p w:rsidR="00BB3EAE" w:rsidRPr="00A27310" w:rsidRDefault="00BB3EAE" w:rsidP="00BB3EAE">
      <w:pPr>
        <w:ind w:firstLine="708"/>
        <w:jc w:val="both"/>
      </w:pPr>
      <w:proofErr w:type="gramStart"/>
      <w:r w:rsidRPr="00A27310">
        <w:t>-приложение к закону об областном бюджете, устанавливающее нормативы распределения доходов между областным и местными бюджетами, не утвержденные бюджетным законодательством РФ;</w:t>
      </w:r>
      <w:proofErr w:type="gramEnd"/>
    </w:p>
    <w:p w:rsidR="00BB3EAE" w:rsidRPr="00A27310" w:rsidRDefault="00BB3EAE" w:rsidP="00BB3EAE">
      <w:pPr>
        <w:ind w:firstLine="708"/>
        <w:jc w:val="both"/>
      </w:pPr>
      <w:r w:rsidRPr="00A27310">
        <w:t>-приложение к закону об областном бюджете, устанавливающее дополнительные нормативы отчислений от налога на доходы физических лиц в местные бюджеты;</w:t>
      </w:r>
    </w:p>
    <w:p w:rsidR="00BB3EAE" w:rsidRPr="00A27310" w:rsidRDefault="00BB3EAE" w:rsidP="00BB3EAE">
      <w:pPr>
        <w:ind w:firstLine="708"/>
        <w:jc w:val="both"/>
      </w:pPr>
      <w:r w:rsidRPr="00A27310">
        <w:t>-условно утверждаемые расходы в объеме не менее 2,5% общего объема расходов областного бюджета на первый год планового периода и не менее 5% общего объема расходов областного бюджета на второй год планового периода;</w:t>
      </w:r>
    </w:p>
    <w:p w:rsidR="00BB3EAE" w:rsidRPr="00A27310" w:rsidRDefault="00BB3EAE" w:rsidP="00BB3EAE">
      <w:pPr>
        <w:ind w:firstLine="708"/>
        <w:jc w:val="both"/>
      </w:pPr>
      <w:r w:rsidRPr="00A27310">
        <w:t>-объем межбюджетных трансфертов;</w:t>
      </w:r>
    </w:p>
    <w:p w:rsidR="00BB3EAE" w:rsidRPr="00A27310" w:rsidRDefault="00BB3EAE" w:rsidP="00BB3EAE">
      <w:pPr>
        <w:ind w:firstLine="708"/>
        <w:jc w:val="both"/>
      </w:pPr>
      <w:proofErr w:type="gramStart"/>
      <w:r w:rsidRPr="00A27310">
        <w:lastRenderedPageBreak/>
        <w:t>-коэффициенты индексации, применяемые при расчетах объемов областного фонда финансовой поддержки поселений и областного фонда финансовой поддержки муниципальных районов (городских округов); размеры областного фонда финансовой поддержки поселений, областного фонда финансовой поддержки муниципальных районов (городских округов), областного фонда компенсаций, областного фонда софинансирования расходов, иных дотаций и субсидий;</w:t>
      </w:r>
      <w:proofErr w:type="gramEnd"/>
    </w:p>
    <w:p w:rsidR="00BB3EAE" w:rsidRDefault="00BB3EAE" w:rsidP="00BB3EAE">
      <w:pPr>
        <w:ind w:firstLine="708"/>
        <w:jc w:val="both"/>
      </w:pPr>
      <w:r w:rsidRPr="00A27310">
        <w:t>-верхний предел государственного внутреннего долга по состоянию на первое января года, следующего за очередным финансовым годом и каждым годом планового периода, в том числе с указанием верхнего предела по государственным гарантиям</w:t>
      </w:r>
      <w:r>
        <w:t>;</w:t>
      </w:r>
    </w:p>
    <w:p w:rsidR="00BB3EAE" w:rsidRDefault="00BB3EAE" w:rsidP="00BB3EAE">
      <w:pPr>
        <w:ind w:firstLine="708"/>
        <w:jc w:val="both"/>
      </w:pPr>
      <w:r>
        <w:t>-</w:t>
      </w:r>
      <w:r w:rsidRPr="00A27310">
        <w:t>приложение к закону об областном бюджете, устанавливающее</w:t>
      </w:r>
      <w:r>
        <w:t xml:space="preserve"> прогноз поступлений по налогам, сборам, платежам и поступлений из других бюджетов бюджетной системы РФ.</w:t>
      </w:r>
    </w:p>
    <w:p w:rsidR="00BB3EAE" w:rsidRDefault="00BB3EAE" w:rsidP="00BB3EAE">
      <w:pPr>
        <w:ind w:firstLine="708"/>
        <w:jc w:val="both"/>
      </w:pPr>
    </w:p>
    <w:p w:rsidR="003F443D" w:rsidRPr="00A27310" w:rsidRDefault="003F443D" w:rsidP="003F443D">
      <w:pPr>
        <w:pStyle w:val="11"/>
        <w:ind w:firstLine="708"/>
        <w:jc w:val="center"/>
        <w:rPr>
          <w:b/>
          <w:i/>
          <w:sz w:val="24"/>
          <w:szCs w:val="24"/>
        </w:rPr>
      </w:pPr>
      <w:r w:rsidRPr="00A27310">
        <w:rPr>
          <w:b/>
          <w:i/>
          <w:sz w:val="24"/>
          <w:szCs w:val="24"/>
        </w:rPr>
        <w:t>3.1. Прогнозируемый общий объем доходов</w:t>
      </w:r>
    </w:p>
    <w:p w:rsidR="003F443D" w:rsidRPr="00A27310" w:rsidRDefault="003F443D" w:rsidP="003F443D">
      <w:pPr>
        <w:pStyle w:val="11"/>
        <w:ind w:firstLine="708"/>
        <w:jc w:val="center"/>
        <w:rPr>
          <w:b/>
          <w:i/>
          <w:sz w:val="24"/>
          <w:szCs w:val="24"/>
        </w:rPr>
      </w:pPr>
      <w:r w:rsidRPr="00A27310">
        <w:rPr>
          <w:b/>
          <w:i/>
          <w:sz w:val="24"/>
          <w:szCs w:val="24"/>
        </w:rPr>
        <w:t xml:space="preserve"> с указанием поступлений из других бюджетов бюджетной системы РФ.</w:t>
      </w:r>
    </w:p>
    <w:p w:rsidR="00255FCA" w:rsidRDefault="00255FCA" w:rsidP="006C4F6B">
      <w:pPr>
        <w:pStyle w:val="11"/>
        <w:ind w:firstLine="708"/>
        <w:jc w:val="both"/>
        <w:rPr>
          <w:sz w:val="24"/>
          <w:szCs w:val="24"/>
        </w:rPr>
      </w:pPr>
    </w:p>
    <w:p w:rsidR="002750E9" w:rsidRPr="00A729D8" w:rsidRDefault="002750E9" w:rsidP="002750E9">
      <w:pPr>
        <w:pStyle w:val="a5"/>
        <w:tabs>
          <w:tab w:val="num" w:pos="0"/>
        </w:tabs>
        <w:ind w:firstLine="709"/>
        <w:jc w:val="both"/>
        <w:outlineLvl w:val="0"/>
      </w:pPr>
      <w:r w:rsidRPr="00233407">
        <w:t>Доходы областного бюджета на 201</w:t>
      </w:r>
      <w:r>
        <w:t>7</w:t>
      </w:r>
      <w:r w:rsidRPr="00233407">
        <w:t xml:space="preserve"> год прогнозируются в сумме </w:t>
      </w:r>
      <w:r>
        <w:t>73124</w:t>
      </w:r>
      <w:r w:rsidRPr="00233407">
        <w:t>,</w:t>
      </w:r>
      <w:r>
        <w:t>3</w:t>
      </w:r>
      <w:r w:rsidRPr="00233407">
        <w:t xml:space="preserve"> млн. </w:t>
      </w:r>
      <w:r w:rsidRPr="003A687D">
        <w:t xml:space="preserve">руб., что ниже плана 2016 года на 7437,3 млн. руб., или на 9,2%, на 2018 год – </w:t>
      </w:r>
      <w:r>
        <w:t>75</w:t>
      </w:r>
      <w:r w:rsidRPr="003A687D">
        <w:t>1</w:t>
      </w:r>
      <w:r>
        <w:t>45</w:t>
      </w:r>
      <w:r w:rsidRPr="003A687D">
        <w:t>,</w:t>
      </w:r>
      <w:r>
        <w:t>3 млн. руб.</w:t>
      </w:r>
      <w:r w:rsidRPr="00A729D8">
        <w:t>, на 201</w:t>
      </w:r>
      <w:r>
        <w:t>9</w:t>
      </w:r>
      <w:r w:rsidRPr="00A729D8">
        <w:t xml:space="preserve"> год – </w:t>
      </w:r>
      <w:r>
        <w:t>77691,2</w:t>
      </w:r>
      <w:r w:rsidRPr="00A729D8">
        <w:t xml:space="preserve"> млн. руб</w:t>
      </w:r>
      <w:r>
        <w:t>лей</w:t>
      </w:r>
      <w:r w:rsidRPr="00A729D8">
        <w:t xml:space="preserve">. </w:t>
      </w:r>
    </w:p>
    <w:p w:rsidR="002750E9" w:rsidRPr="00A729D8" w:rsidRDefault="002750E9" w:rsidP="002750E9">
      <w:pPr>
        <w:pStyle w:val="a5"/>
        <w:tabs>
          <w:tab w:val="num" w:pos="0"/>
        </w:tabs>
        <w:ind w:firstLine="709"/>
        <w:jc w:val="both"/>
        <w:outlineLvl w:val="0"/>
      </w:pPr>
      <w:r w:rsidRPr="00A729D8">
        <w:t>В общем объеме доходов консолидированного бюджета на 201</w:t>
      </w:r>
      <w:r>
        <w:t>7</w:t>
      </w:r>
      <w:r w:rsidRPr="00A729D8">
        <w:t xml:space="preserve"> год доля доходов областного бюджета составит 7</w:t>
      </w:r>
      <w:r>
        <w:t>7</w:t>
      </w:r>
      <w:r w:rsidRPr="00A729D8">
        <w:t>,</w:t>
      </w:r>
      <w:r>
        <w:t>3</w:t>
      </w:r>
      <w:r w:rsidRPr="00A729D8">
        <w:t>%, на 201</w:t>
      </w:r>
      <w:r>
        <w:t>8</w:t>
      </w:r>
      <w:r w:rsidRPr="00A729D8">
        <w:t xml:space="preserve"> год – 7</w:t>
      </w:r>
      <w:r>
        <w:t>7,3</w:t>
      </w:r>
      <w:r w:rsidRPr="00A729D8">
        <w:t>%, на 201</w:t>
      </w:r>
      <w:r>
        <w:t>9</w:t>
      </w:r>
      <w:r w:rsidRPr="00A729D8">
        <w:t xml:space="preserve"> год – </w:t>
      </w:r>
      <w:r>
        <w:t>77,5</w:t>
      </w:r>
      <w:r w:rsidRPr="00A729D8">
        <w:t xml:space="preserve"> процент</w:t>
      </w:r>
      <w:r>
        <w:t>а</w:t>
      </w:r>
      <w:r w:rsidRPr="00A729D8">
        <w:t>.</w:t>
      </w:r>
    </w:p>
    <w:p w:rsidR="002750E9" w:rsidRPr="00A729D8" w:rsidRDefault="002750E9" w:rsidP="002750E9">
      <w:pPr>
        <w:ind w:firstLine="720"/>
        <w:jc w:val="both"/>
      </w:pPr>
      <w:r w:rsidRPr="005A4001">
        <w:t xml:space="preserve">По оценке </w:t>
      </w:r>
      <w:r>
        <w:t>Администрации</w:t>
      </w:r>
      <w:r w:rsidRPr="005A4001">
        <w:t xml:space="preserve"> Волгоградской </w:t>
      </w:r>
      <w:proofErr w:type="gramStart"/>
      <w:r w:rsidRPr="005A4001">
        <w:t>области</w:t>
      </w:r>
      <w:proofErr w:type="gramEnd"/>
      <w:r w:rsidRPr="005A4001">
        <w:t xml:space="preserve"> утвержденные назначения по налоговым и неналоговым доходам текущего года не будут выполнены ориентировочно на</w:t>
      </w:r>
      <w:r>
        <w:t xml:space="preserve"> 2,7</w:t>
      </w:r>
      <w:r w:rsidRPr="005A4001">
        <w:t xml:space="preserve"> млрд. рублей. </w:t>
      </w:r>
      <w:r w:rsidRPr="00A41724">
        <w:t>В связи с этим в настоящем заключении приводится изменение структуры доходной части областного бюджета на 201</w:t>
      </w:r>
      <w:r>
        <w:t>7</w:t>
      </w:r>
      <w:r w:rsidRPr="00A41724">
        <w:t>-201</w:t>
      </w:r>
      <w:r>
        <w:t>9</w:t>
      </w:r>
      <w:r w:rsidRPr="00A41724">
        <w:t xml:space="preserve"> годы относительно оценки выполнения доходной части за 201</w:t>
      </w:r>
      <w:r>
        <w:t>6</w:t>
      </w:r>
      <w:r w:rsidRPr="00A41724">
        <w:t xml:space="preserve"> год</w:t>
      </w:r>
      <w:r w:rsidRPr="00A729D8">
        <w:t xml:space="preserve"> </w:t>
      </w:r>
      <w:r>
        <w:t>Администрации</w:t>
      </w:r>
      <w:r w:rsidRPr="00A729D8">
        <w:t xml:space="preserve"> Волгоградской области.</w:t>
      </w:r>
    </w:p>
    <w:p w:rsidR="002750E9" w:rsidRPr="00A729D8" w:rsidRDefault="002750E9" w:rsidP="002750E9">
      <w:pPr>
        <w:pStyle w:val="a5"/>
        <w:tabs>
          <w:tab w:val="num" w:pos="0"/>
        </w:tabs>
        <w:ind w:firstLine="709"/>
        <w:jc w:val="both"/>
        <w:outlineLvl w:val="0"/>
      </w:pPr>
      <w:r w:rsidRPr="00A729D8">
        <w:t>Структура доходной части областного бюджета на 201</w:t>
      </w:r>
      <w:r>
        <w:t>7</w:t>
      </w:r>
      <w:r w:rsidRPr="00A729D8">
        <w:t>-201</w:t>
      </w:r>
      <w:r>
        <w:t>9</w:t>
      </w:r>
      <w:r w:rsidRPr="00A729D8">
        <w:t xml:space="preserve"> годы выглядит следующим образом:</w:t>
      </w:r>
    </w:p>
    <w:p w:rsidR="002750E9" w:rsidRPr="00124143" w:rsidRDefault="002750E9" w:rsidP="002750E9">
      <w:pPr>
        <w:pStyle w:val="a5"/>
        <w:tabs>
          <w:tab w:val="num" w:pos="0"/>
        </w:tabs>
        <w:ind w:firstLine="709"/>
        <w:jc w:val="right"/>
        <w:outlineLvl w:val="0"/>
        <w:rPr>
          <w:sz w:val="20"/>
          <w:szCs w:val="20"/>
        </w:rPr>
      </w:pPr>
      <w:r w:rsidRPr="00124143">
        <w:rPr>
          <w:sz w:val="20"/>
          <w:szCs w:val="20"/>
        </w:rPr>
        <w:t>млн. руб.</w:t>
      </w: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1"/>
        <w:gridCol w:w="1209"/>
        <w:gridCol w:w="900"/>
        <w:gridCol w:w="1080"/>
        <w:gridCol w:w="813"/>
        <w:gridCol w:w="1012"/>
        <w:gridCol w:w="814"/>
        <w:gridCol w:w="1012"/>
        <w:gridCol w:w="824"/>
      </w:tblGrid>
      <w:tr w:rsidR="002750E9" w:rsidRPr="00124143" w:rsidTr="002750E9">
        <w:tc>
          <w:tcPr>
            <w:tcW w:w="1851" w:type="dxa"/>
            <w:vMerge w:val="restart"/>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sidRPr="00124143">
              <w:rPr>
                <w:b/>
                <w:sz w:val="20"/>
                <w:szCs w:val="20"/>
              </w:rPr>
              <w:t>Показатели</w:t>
            </w:r>
          </w:p>
        </w:tc>
        <w:tc>
          <w:tcPr>
            <w:tcW w:w="2109" w:type="dxa"/>
            <w:gridSpan w:val="2"/>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sidRPr="00124143">
              <w:rPr>
                <w:b/>
                <w:sz w:val="20"/>
                <w:szCs w:val="20"/>
              </w:rPr>
              <w:t>201</w:t>
            </w:r>
            <w:r>
              <w:rPr>
                <w:b/>
                <w:sz w:val="20"/>
                <w:szCs w:val="20"/>
              </w:rPr>
              <w:t>6</w:t>
            </w:r>
            <w:r w:rsidRPr="00124143">
              <w:rPr>
                <w:b/>
                <w:sz w:val="20"/>
                <w:szCs w:val="20"/>
              </w:rPr>
              <w:t xml:space="preserve"> год (оценка </w:t>
            </w:r>
            <w:r w:rsidRPr="00233407">
              <w:rPr>
                <w:b/>
                <w:sz w:val="20"/>
                <w:szCs w:val="20"/>
              </w:rPr>
              <w:t xml:space="preserve">Администрации </w:t>
            </w:r>
            <w:proofErr w:type="gramStart"/>
            <w:r w:rsidRPr="00233407">
              <w:rPr>
                <w:b/>
                <w:sz w:val="20"/>
                <w:szCs w:val="20"/>
              </w:rPr>
              <w:t>ВО</w:t>
            </w:r>
            <w:proofErr w:type="gramEnd"/>
            <w:r w:rsidRPr="00233407">
              <w:rPr>
                <w:b/>
                <w:sz w:val="20"/>
                <w:szCs w:val="20"/>
              </w:rPr>
              <w:t>)</w:t>
            </w:r>
          </w:p>
        </w:tc>
        <w:tc>
          <w:tcPr>
            <w:tcW w:w="1893" w:type="dxa"/>
            <w:gridSpan w:val="2"/>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sidRPr="00124143">
              <w:rPr>
                <w:b/>
                <w:sz w:val="20"/>
                <w:szCs w:val="20"/>
              </w:rPr>
              <w:t>201</w:t>
            </w:r>
            <w:r>
              <w:rPr>
                <w:b/>
                <w:sz w:val="20"/>
                <w:szCs w:val="20"/>
              </w:rPr>
              <w:t>7</w:t>
            </w:r>
            <w:r w:rsidRPr="00124143">
              <w:rPr>
                <w:b/>
                <w:sz w:val="20"/>
                <w:szCs w:val="20"/>
              </w:rPr>
              <w:t xml:space="preserve"> год</w:t>
            </w:r>
          </w:p>
        </w:tc>
        <w:tc>
          <w:tcPr>
            <w:tcW w:w="1826" w:type="dxa"/>
            <w:gridSpan w:val="2"/>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sidRPr="00124143">
              <w:rPr>
                <w:b/>
                <w:sz w:val="20"/>
                <w:szCs w:val="20"/>
              </w:rPr>
              <w:t>201</w:t>
            </w:r>
            <w:r>
              <w:rPr>
                <w:b/>
                <w:sz w:val="20"/>
                <w:szCs w:val="20"/>
              </w:rPr>
              <w:t>8</w:t>
            </w:r>
            <w:r w:rsidRPr="00124143">
              <w:rPr>
                <w:b/>
                <w:sz w:val="20"/>
                <w:szCs w:val="20"/>
              </w:rPr>
              <w:t xml:space="preserve"> год</w:t>
            </w:r>
          </w:p>
        </w:tc>
        <w:tc>
          <w:tcPr>
            <w:tcW w:w="1836" w:type="dxa"/>
            <w:gridSpan w:val="2"/>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sidRPr="00124143">
              <w:rPr>
                <w:b/>
                <w:sz w:val="20"/>
                <w:szCs w:val="20"/>
              </w:rPr>
              <w:t>201</w:t>
            </w:r>
            <w:r>
              <w:rPr>
                <w:b/>
                <w:sz w:val="20"/>
                <w:szCs w:val="20"/>
              </w:rPr>
              <w:t>9</w:t>
            </w:r>
            <w:r w:rsidRPr="00124143">
              <w:rPr>
                <w:b/>
                <w:sz w:val="20"/>
                <w:szCs w:val="20"/>
              </w:rPr>
              <w:t xml:space="preserve"> год</w:t>
            </w:r>
          </w:p>
        </w:tc>
      </w:tr>
      <w:tr w:rsidR="002750E9" w:rsidRPr="00124143" w:rsidTr="002750E9">
        <w:tc>
          <w:tcPr>
            <w:tcW w:w="1851" w:type="dxa"/>
            <w:vMerge/>
            <w:tcBorders>
              <w:top w:val="single" w:sz="4" w:space="0" w:color="auto"/>
              <w:left w:val="single" w:sz="4" w:space="0" w:color="auto"/>
              <w:bottom w:val="single" w:sz="4" w:space="0" w:color="auto"/>
              <w:right w:val="single" w:sz="4" w:space="0" w:color="auto"/>
            </w:tcBorders>
            <w:vAlign w:val="center"/>
          </w:tcPr>
          <w:p w:rsidR="002750E9" w:rsidRPr="00124143" w:rsidRDefault="002750E9" w:rsidP="002750E9">
            <w:pPr>
              <w:rPr>
                <w:b/>
                <w:sz w:val="20"/>
                <w:szCs w:val="20"/>
              </w:rPr>
            </w:pPr>
          </w:p>
        </w:tc>
        <w:tc>
          <w:tcPr>
            <w:tcW w:w="1209"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Pr>
                <w:b/>
                <w:sz w:val="20"/>
                <w:szCs w:val="20"/>
              </w:rPr>
              <w:t>с</w:t>
            </w:r>
            <w:r w:rsidRPr="00124143">
              <w:rPr>
                <w:b/>
                <w:sz w:val="20"/>
                <w:szCs w:val="20"/>
              </w:rPr>
              <w:t>умма</w:t>
            </w:r>
          </w:p>
        </w:tc>
        <w:tc>
          <w:tcPr>
            <w:tcW w:w="900"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sidRPr="00124143">
              <w:rPr>
                <w:b/>
                <w:sz w:val="20"/>
                <w:szCs w:val="20"/>
              </w:rPr>
              <w:t>доля, %</w:t>
            </w:r>
          </w:p>
        </w:tc>
        <w:tc>
          <w:tcPr>
            <w:tcW w:w="1080"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sidRPr="00124143">
              <w:rPr>
                <w:b/>
                <w:sz w:val="20"/>
                <w:szCs w:val="20"/>
              </w:rPr>
              <w:t>сумма</w:t>
            </w:r>
          </w:p>
        </w:tc>
        <w:tc>
          <w:tcPr>
            <w:tcW w:w="813"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sidRPr="00124143">
              <w:rPr>
                <w:b/>
                <w:sz w:val="20"/>
                <w:szCs w:val="20"/>
              </w:rPr>
              <w:t>доля, %</w:t>
            </w:r>
          </w:p>
        </w:tc>
        <w:tc>
          <w:tcPr>
            <w:tcW w:w="1012"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sidRPr="00124143">
              <w:rPr>
                <w:b/>
                <w:sz w:val="20"/>
                <w:szCs w:val="20"/>
              </w:rPr>
              <w:t>сумма</w:t>
            </w:r>
          </w:p>
        </w:tc>
        <w:tc>
          <w:tcPr>
            <w:tcW w:w="814"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sidRPr="00124143">
              <w:rPr>
                <w:b/>
                <w:sz w:val="20"/>
                <w:szCs w:val="20"/>
              </w:rPr>
              <w:t>доля, %</w:t>
            </w:r>
          </w:p>
        </w:tc>
        <w:tc>
          <w:tcPr>
            <w:tcW w:w="1012"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sidRPr="00124143">
              <w:rPr>
                <w:b/>
                <w:sz w:val="20"/>
                <w:szCs w:val="20"/>
              </w:rPr>
              <w:t>сумма</w:t>
            </w:r>
          </w:p>
        </w:tc>
        <w:tc>
          <w:tcPr>
            <w:tcW w:w="824"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sidRPr="00124143">
              <w:rPr>
                <w:b/>
                <w:sz w:val="20"/>
                <w:szCs w:val="20"/>
              </w:rPr>
              <w:t>доля, %</w:t>
            </w:r>
          </w:p>
        </w:tc>
      </w:tr>
      <w:tr w:rsidR="002750E9" w:rsidRPr="00124143" w:rsidTr="002750E9">
        <w:tc>
          <w:tcPr>
            <w:tcW w:w="1851"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sidRPr="00124143">
              <w:rPr>
                <w:sz w:val="20"/>
                <w:szCs w:val="20"/>
              </w:rPr>
              <w:t>Налоговые доходы</w:t>
            </w:r>
          </w:p>
        </w:tc>
        <w:tc>
          <w:tcPr>
            <w:tcW w:w="1209" w:type="dxa"/>
            <w:tcBorders>
              <w:top w:val="single" w:sz="4" w:space="0" w:color="auto"/>
              <w:left w:val="single" w:sz="4" w:space="0" w:color="auto"/>
              <w:bottom w:val="single" w:sz="4" w:space="0" w:color="auto"/>
              <w:right w:val="single" w:sz="4" w:space="0" w:color="auto"/>
            </w:tcBorders>
          </w:tcPr>
          <w:p w:rsidR="002750E9" w:rsidRPr="0003123F" w:rsidRDefault="002750E9" w:rsidP="002750E9">
            <w:pPr>
              <w:jc w:val="center"/>
              <w:rPr>
                <w:sz w:val="20"/>
                <w:szCs w:val="20"/>
              </w:rPr>
            </w:pPr>
            <w:r w:rsidRPr="0003123F">
              <w:rPr>
                <w:bCs/>
                <w:color w:val="000000"/>
                <w:sz w:val="20"/>
                <w:szCs w:val="20"/>
              </w:rPr>
              <w:t>5</w:t>
            </w:r>
            <w:r>
              <w:rPr>
                <w:bCs/>
                <w:color w:val="000000"/>
                <w:sz w:val="20"/>
                <w:szCs w:val="20"/>
              </w:rPr>
              <w:t>5 630,7</w:t>
            </w:r>
          </w:p>
        </w:tc>
        <w:tc>
          <w:tcPr>
            <w:tcW w:w="900"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71,5</w:t>
            </w:r>
          </w:p>
        </w:tc>
        <w:tc>
          <w:tcPr>
            <w:tcW w:w="1080"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57 925,3</w:t>
            </w:r>
          </w:p>
        </w:tc>
        <w:tc>
          <w:tcPr>
            <w:tcW w:w="813"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79,2</w:t>
            </w:r>
          </w:p>
        </w:tc>
        <w:tc>
          <w:tcPr>
            <w:tcW w:w="1012"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60 792,6</w:t>
            </w:r>
          </w:p>
        </w:tc>
        <w:tc>
          <w:tcPr>
            <w:tcW w:w="814"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80,9</w:t>
            </w:r>
          </w:p>
        </w:tc>
        <w:tc>
          <w:tcPr>
            <w:tcW w:w="1012"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63 806,7</w:t>
            </w:r>
          </w:p>
        </w:tc>
        <w:tc>
          <w:tcPr>
            <w:tcW w:w="824"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82,1</w:t>
            </w:r>
          </w:p>
        </w:tc>
      </w:tr>
      <w:tr w:rsidR="002750E9" w:rsidRPr="00124143" w:rsidTr="002750E9">
        <w:tc>
          <w:tcPr>
            <w:tcW w:w="1851"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sidRPr="00124143">
              <w:rPr>
                <w:sz w:val="20"/>
                <w:szCs w:val="20"/>
              </w:rPr>
              <w:t>Неналоговые доходы</w:t>
            </w:r>
          </w:p>
        </w:tc>
        <w:tc>
          <w:tcPr>
            <w:tcW w:w="1209" w:type="dxa"/>
            <w:tcBorders>
              <w:top w:val="single" w:sz="4" w:space="0" w:color="auto"/>
              <w:left w:val="single" w:sz="4" w:space="0" w:color="auto"/>
              <w:bottom w:val="single" w:sz="4" w:space="0" w:color="auto"/>
              <w:right w:val="single" w:sz="4" w:space="0" w:color="auto"/>
            </w:tcBorders>
          </w:tcPr>
          <w:p w:rsidR="002750E9" w:rsidRPr="0003123F" w:rsidRDefault="002750E9" w:rsidP="002750E9">
            <w:pPr>
              <w:pStyle w:val="a5"/>
              <w:tabs>
                <w:tab w:val="num" w:pos="0"/>
              </w:tabs>
              <w:outlineLvl w:val="0"/>
              <w:rPr>
                <w:sz w:val="20"/>
                <w:szCs w:val="20"/>
              </w:rPr>
            </w:pPr>
            <w:r w:rsidRPr="0003123F">
              <w:rPr>
                <w:sz w:val="20"/>
                <w:szCs w:val="20"/>
              </w:rPr>
              <w:t>1</w:t>
            </w:r>
            <w:r>
              <w:rPr>
                <w:sz w:val="20"/>
                <w:szCs w:val="20"/>
              </w:rPr>
              <w:t> 215,7</w:t>
            </w:r>
          </w:p>
        </w:tc>
        <w:tc>
          <w:tcPr>
            <w:tcW w:w="900"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sidRPr="00124143">
              <w:rPr>
                <w:sz w:val="20"/>
                <w:szCs w:val="20"/>
              </w:rPr>
              <w:t>1,</w:t>
            </w:r>
            <w:r>
              <w:rPr>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1 994,0</w:t>
            </w:r>
          </w:p>
        </w:tc>
        <w:tc>
          <w:tcPr>
            <w:tcW w:w="813"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2,7</w:t>
            </w:r>
          </w:p>
        </w:tc>
        <w:tc>
          <w:tcPr>
            <w:tcW w:w="1012"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2 686,4</w:t>
            </w:r>
          </w:p>
        </w:tc>
        <w:tc>
          <w:tcPr>
            <w:tcW w:w="814"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3,6</w:t>
            </w:r>
          </w:p>
        </w:tc>
        <w:tc>
          <w:tcPr>
            <w:tcW w:w="1012"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2 255,0</w:t>
            </w:r>
          </w:p>
        </w:tc>
        <w:tc>
          <w:tcPr>
            <w:tcW w:w="824"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2,9</w:t>
            </w:r>
          </w:p>
        </w:tc>
      </w:tr>
      <w:tr w:rsidR="002750E9" w:rsidRPr="00124143" w:rsidTr="002750E9">
        <w:tc>
          <w:tcPr>
            <w:tcW w:w="1851" w:type="dxa"/>
            <w:tcBorders>
              <w:top w:val="single" w:sz="4" w:space="0" w:color="auto"/>
              <w:left w:val="single" w:sz="4" w:space="0" w:color="auto"/>
              <w:bottom w:val="single" w:sz="4" w:space="0" w:color="auto"/>
              <w:right w:val="single" w:sz="4" w:space="0" w:color="auto"/>
            </w:tcBorders>
          </w:tcPr>
          <w:p w:rsidR="002750E9" w:rsidRPr="00FF65C0" w:rsidRDefault="002750E9" w:rsidP="002750E9">
            <w:pPr>
              <w:pStyle w:val="a5"/>
              <w:tabs>
                <w:tab w:val="num" w:pos="0"/>
              </w:tabs>
              <w:outlineLvl w:val="0"/>
              <w:rPr>
                <w:b/>
                <w:sz w:val="20"/>
                <w:szCs w:val="20"/>
              </w:rPr>
            </w:pPr>
            <w:r w:rsidRPr="00FF65C0">
              <w:rPr>
                <w:b/>
                <w:sz w:val="20"/>
                <w:szCs w:val="20"/>
              </w:rPr>
              <w:t>Итого:</w:t>
            </w:r>
          </w:p>
        </w:tc>
        <w:tc>
          <w:tcPr>
            <w:tcW w:w="1209" w:type="dxa"/>
            <w:tcBorders>
              <w:top w:val="single" w:sz="4" w:space="0" w:color="auto"/>
              <w:left w:val="single" w:sz="4" w:space="0" w:color="auto"/>
              <w:bottom w:val="single" w:sz="4" w:space="0" w:color="auto"/>
              <w:right w:val="single" w:sz="4" w:space="0" w:color="auto"/>
            </w:tcBorders>
          </w:tcPr>
          <w:p w:rsidR="002750E9" w:rsidRPr="00FF65C0" w:rsidRDefault="002750E9" w:rsidP="002750E9">
            <w:pPr>
              <w:pStyle w:val="a5"/>
              <w:tabs>
                <w:tab w:val="num" w:pos="0"/>
              </w:tabs>
              <w:outlineLvl w:val="0"/>
              <w:rPr>
                <w:b/>
                <w:sz w:val="20"/>
                <w:szCs w:val="20"/>
              </w:rPr>
            </w:pPr>
            <w:r w:rsidRPr="00FF65C0">
              <w:rPr>
                <w:b/>
                <w:sz w:val="20"/>
                <w:szCs w:val="20"/>
              </w:rPr>
              <w:t>5</w:t>
            </w:r>
            <w:r>
              <w:rPr>
                <w:b/>
                <w:sz w:val="20"/>
                <w:szCs w:val="20"/>
              </w:rPr>
              <w:t>6 846</w:t>
            </w:r>
            <w:r w:rsidRPr="00FF65C0">
              <w:rPr>
                <w:b/>
                <w:sz w:val="20"/>
                <w:szCs w:val="20"/>
              </w:rPr>
              <w:t>,</w:t>
            </w:r>
            <w:r>
              <w:rPr>
                <w:b/>
                <w:sz w:val="20"/>
                <w:szCs w:val="20"/>
              </w:rPr>
              <w:t>5</w:t>
            </w:r>
          </w:p>
        </w:tc>
        <w:tc>
          <w:tcPr>
            <w:tcW w:w="900" w:type="dxa"/>
            <w:tcBorders>
              <w:top w:val="single" w:sz="4" w:space="0" w:color="auto"/>
              <w:left w:val="single" w:sz="4" w:space="0" w:color="auto"/>
              <w:bottom w:val="single" w:sz="4" w:space="0" w:color="auto"/>
              <w:right w:val="single" w:sz="4" w:space="0" w:color="auto"/>
            </w:tcBorders>
          </w:tcPr>
          <w:p w:rsidR="002750E9" w:rsidRPr="00FF65C0" w:rsidRDefault="002750E9" w:rsidP="002750E9">
            <w:pPr>
              <w:pStyle w:val="a5"/>
              <w:tabs>
                <w:tab w:val="num" w:pos="0"/>
              </w:tabs>
              <w:outlineLvl w:val="0"/>
              <w:rPr>
                <w:b/>
                <w:sz w:val="20"/>
                <w:szCs w:val="20"/>
              </w:rPr>
            </w:pPr>
            <w:r w:rsidRPr="00FF65C0">
              <w:rPr>
                <w:b/>
                <w:sz w:val="20"/>
                <w:szCs w:val="20"/>
              </w:rPr>
              <w:t>73,</w:t>
            </w:r>
            <w:r>
              <w:rPr>
                <w:b/>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2750E9" w:rsidRPr="00FF65C0" w:rsidRDefault="002750E9" w:rsidP="002750E9">
            <w:pPr>
              <w:pStyle w:val="a5"/>
              <w:tabs>
                <w:tab w:val="num" w:pos="0"/>
              </w:tabs>
              <w:outlineLvl w:val="0"/>
              <w:rPr>
                <w:b/>
                <w:sz w:val="20"/>
                <w:szCs w:val="20"/>
              </w:rPr>
            </w:pPr>
            <w:r>
              <w:rPr>
                <w:b/>
                <w:sz w:val="20"/>
                <w:szCs w:val="20"/>
              </w:rPr>
              <w:t>59 919,3</w:t>
            </w:r>
          </w:p>
        </w:tc>
        <w:tc>
          <w:tcPr>
            <w:tcW w:w="813" w:type="dxa"/>
            <w:tcBorders>
              <w:top w:val="single" w:sz="4" w:space="0" w:color="auto"/>
              <w:left w:val="single" w:sz="4" w:space="0" w:color="auto"/>
              <w:bottom w:val="single" w:sz="4" w:space="0" w:color="auto"/>
              <w:right w:val="single" w:sz="4" w:space="0" w:color="auto"/>
            </w:tcBorders>
          </w:tcPr>
          <w:p w:rsidR="002750E9" w:rsidRPr="00FF65C0" w:rsidRDefault="002750E9" w:rsidP="002750E9">
            <w:pPr>
              <w:pStyle w:val="a5"/>
              <w:tabs>
                <w:tab w:val="num" w:pos="0"/>
              </w:tabs>
              <w:outlineLvl w:val="0"/>
              <w:rPr>
                <w:b/>
                <w:sz w:val="20"/>
                <w:szCs w:val="20"/>
              </w:rPr>
            </w:pPr>
            <w:r w:rsidRPr="00FF65C0">
              <w:rPr>
                <w:b/>
                <w:sz w:val="20"/>
                <w:szCs w:val="20"/>
              </w:rPr>
              <w:t>8</w:t>
            </w:r>
            <w:r>
              <w:rPr>
                <w:b/>
                <w:sz w:val="20"/>
                <w:szCs w:val="20"/>
              </w:rPr>
              <w:t>1,9</w:t>
            </w:r>
          </w:p>
        </w:tc>
        <w:tc>
          <w:tcPr>
            <w:tcW w:w="1012"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Pr>
                <w:b/>
                <w:sz w:val="20"/>
                <w:szCs w:val="20"/>
              </w:rPr>
              <w:t>63 479,0</w:t>
            </w:r>
          </w:p>
        </w:tc>
        <w:tc>
          <w:tcPr>
            <w:tcW w:w="814"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Pr>
                <w:b/>
                <w:sz w:val="20"/>
                <w:szCs w:val="20"/>
              </w:rPr>
              <w:t>84,5</w:t>
            </w:r>
          </w:p>
        </w:tc>
        <w:tc>
          <w:tcPr>
            <w:tcW w:w="1012"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Pr>
                <w:b/>
                <w:sz w:val="20"/>
                <w:szCs w:val="20"/>
              </w:rPr>
              <w:t>66 061,7</w:t>
            </w:r>
          </w:p>
        </w:tc>
        <w:tc>
          <w:tcPr>
            <w:tcW w:w="824"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Pr>
                <w:b/>
                <w:sz w:val="20"/>
                <w:szCs w:val="20"/>
              </w:rPr>
              <w:t>85</w:t>
            </w:r>
            <w:r w:rsidRPr="00124143">
              <w:rPr>
                <w:b/>
                <w:sz w:val="20"/>
                <w:szCs w:val="20"/>
              </w:rPr>
              <w:t>,0</w:t>
            </w:r>
          </w:p>
        </w:tc>
      </w:tr>
      <w:tr w:rsidR="002750E9" w:rsidRPr="00124143" w:rsidTr="002750E9">
        <w:tc>
          <w:tcPr>
            <w:tcW w:w="1851"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sidRPr="00124143">
              <w:rPr>
                <w:sz w:val="20"/>
                <w:szCs w:val="20"/>
              </w:rPr>
              <w:t>Безвозмездные поступления</w:t>
            </w:r>
          </w:p>
        </w:tc>
        <w:tc>
          <w:tcPr>
            <w:tcW w:w="1209" w:type="dxa"/>
            <w:tcBorders>
              <w:top w:val="single" w:sz="4" w:space="0" w:color="auto"/>
              <w:left w:val="single" w:sz="4" w:space="0" w:color="auto"/>
              <w:bottom w:val="single" w:sz="4" w:space="0" w:color="auto"/>
              <w:right w:val="single" w:sz="4" w:space="0" w:color="auto"/>
            </w:tcBorders>
          </w:tcPr>
          <w:p w:rsidR="002750E9" w:rsidRPr="0003123F" w:rsidRDefault="002750E9" w:rsidP="002750E9">
            <w:pPr>
              <w:jc w:val="center"/>
              <w:rPr>
                <w:sz w:val="20"/>
                <w:szCs w:val="20"/>
              </w:rPr>
            </w:pPr>
            <w:r w:rsidRPr="0003123F">
              <w:rPr>
                <w:bCs/>
                <w:iCs/>
                <w:color w:val="000000"/>
                <w:sz w:val="20"/>
                <w:szCs w:val="20"/>
              </w:rPr>
              <w:t>2</w:t>
            </w:r>
            <w:r>
              <w:rPr>
                <w:bCs/>
                <w:iCs/>
                <w:color w:val="000000"/>
                <w:sz w:val="20"/>
                <w:szCs w:val="20"/>
              </w:rPr>
              <w:t>1 007,4</w:t>
            </w:r>
          </w:p>
        </w:tc>
        <w:tc>
          <w:tcPr>
            <w:tcW w:w="900"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27,0</w:t>
            </w:r>
          </w:p>
        </w:tc>
        <w:tc>
          <w:tcPr>
            <w:tcW w:w="1080"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13 205,0</w:t>
            </w:r>
          </w:p>
        </w:tc>
        <w:tc>
          <w:tcPr>
            <w:tcW w:w="813"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18,1</w:t>
            </w:r>
          </w:p>
          <w:p w:rsidR="002750E9" w:rsidRPr="00124143" w:rsidRDefault="002750E9" w:rsidP="002750E9">
            <w:pPr>
              <w:pStyle w:val="a5"/>
              <w:tabs>
                <w:tab w:val="num" w:pos="0"/>
              </w:tabs>
              <w:outlineLvl w:val="0"/>
              <w:rPr>
                <w:sz w:val="20"/>
                <w:szCs w:val="20"/>
              </w:rPr>
            </w:pPr>
          </w:p>
        </w:tc>
        <w:tc>
          <w:tcPr>
            <w:tcW w:w="1012"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11 666,3</w:t>
            </w:r>
          </w:p>
        </w:tc>
        <w:tc>
          <w:tcPr>
            <w:tcW w:w="814"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15,5</w:t>
            </w:r>
          </w:p>
        </w:tc>
        <w:tc>
          <w:tcPr>
            <w:tcW w:w="1012"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11 629,5</w:t>
            </w:r>
          </w:p>
        </w:tc>
        <w:tc>
          <w:tcPr>
            <w:tcW w:w="824"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sz w:val="20"/>
                <w:szCs w:val="20"/>
              </w:rPr>
            </w:pPr>
            <w:r>
              <w:rPr>
                <w:sz w:val="20"/>
                <w:szCs w:val="20"/>
              </w:rPr>
              <w:t>15,0</w:t>
            </w:r>
          </w:p>
        </w:tc>
      </w:tr>
      <w:tr w:rsidR="002750E9" w:rsidRPr="00124143" w:rsidTr="002750E9">
        <w:tc>
          <w:tcPr>
            <w:tcW w:w="1851"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Pr>
                <w:b/>
                <w:sz w:val="20"/>
                <w:szCs w:val="20"/>
              </w:rPr>
              <w:t>Все</w:t>
            </w:r>
            <w:r w:rsidRPr="00124143">
              <w:rPr>
                <w:b/>
                <w:sz w:val="20"/>
                <w:szCs w:val="20"/>
              </w:rPr>
              <w:t>го:</w:t>
            </w:r>
          </w:p>
        </w:tc>
        <w:tc>
          <w:tcPr>
            <w:tcW w:w="1209" w:type="dxa"/>
            <w:tcBorders>
              <w:top w:val="single" w:sz="4" w:space="0" w:color="auto"/>
              <w:left w:val="single" w:sz="4" w:space="0" w:color="auto"/>
              <w:bottom w:val="single" w:sz="4" w:space="0" w:color="auto"/>
              <w:right w:val="single" w:sz="4" w:space="0" w:color="auto"/>
            </w:tcBorders>
          </w:tcPr>
          <w:p w:rsidR="002750E9" w:rsidRPr="00E27595" w:rsidRDefault="002750E9" w:rsidP="002750E9">
            <w:pPr>
              <w:jc w:val="center"/>
              <w:rPr>
                <w:b/>
                <w:sz w:val="20"/>
                <w:szCs w:val="20"/>
              </w:rPr>
            </w:pPr>
            <w:r>
              <w:rPr>
                <w:b/>
                <w:sz w:val="20"/>
                <w:szCs w:val="20"/>
              </w:rPr>
              <w:t>77 853,9</w:t>
            </w:r>
          </w:p>
        </w:tc>
        <w:tc>
          <w:tcPr>
            <w:tcW w:w="900"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sidRPr="00124143">
              <w:rPr>
                <w:b/>
                <w:sz w:val="20"/>
                <w:szCs w:val="20"/>
              </w:rPr>
              <w:t>100,0</w:t>
            </w:r>
          </w:p>
        </w:tc>
        <w:tc>
          <w:tcPr>
            <w:tcW w:w="1080"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Pr>
                <w:b/>
                <w:sz w:val="20"/>
                <w:szCs w:val="20"/>
              </w:rPr>
              <w:t>73 124,3</w:t>
            </w:r>
          </w:p>
        </w:tc>
        <w:tc>
          <w:tcPr>
            <w:tcW w:w="813"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sidRPr="00124143">
              <w:rPr>
                <w:b/>
                <w:sz w:val="20"/>
                <w:szCs w:val="20"/>
              </w:rPr>
              <w:t>100,0</w:t>
            </w:r>
          </w:p>
        </w:tc>
        <w:tc>
          <w:tcPr>
            <w:tcW w:w="1012"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Pr>
                <w:b/>
                <w:sz w:val="20"/>
                <w:szCs w:val="20"/>
              </w:rPr>
              <w:t>75 145,3</w:t>
            </w:r>
          </w:p>
        </w:tc>
        <w:tc>
          <w:tcPr>
            <w:tcW w:w="814"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sidRPr="00124143">
              <w:rPr>
                <w:b/>
                <w:sz w:val="20"/>
                <w:szCs w:val="20"/>
              </w:rPr>
              <w:t>100,0</w:t>
            </w:r>
          </w:p>
        </w:tc>
        <w:tc>
          <w:tcPr>
            <w:tcW w:w="1012"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Pr>
                <w:b/>
                <w:sz w:val="20"/>
                <w:szCs w:val="20"/>
              </w:rPr>
              <w:t>77 691,2</w:t>
            </w:r>
          </w:p>
        </w:tc>
        <w:tc>
          <w:tcPr>
            <w:tcW w:w="824" w:type="dxa"/>
            <w:tcBorders>
              <w:top w:val="single" w:sz="4" w:space="0" w:color="auto"/>
              <w:left w:val="single" w:sz="4" w:space="0" w:color="auto"/>
              <w:bottom w:val="single" w:sz="4" w:space="0" w:color="auto"/>
              <w:right w:val="single" w:sz="4" w:space="0" w:color="auto"/>
            </w:tcBorders>
          </w:tcPr>
          <w:p w:rsidR="002750E9" w:rsidRPr="00124143" w:rsidRDefault="002750E9" w:rsidP="002750E9">
            <w:pPr>
              <w:pStyle w:val="a5"/>
              <w:tabs>
                <w:tab w:val="num" w:pos="0"/>
              </w:tabs>
              <w:outlineLvl w:val="0"/>
              <w:rPr>
                <w:b/>
                <w:sz w:val="20"/>
                <w:szCs w:val="20"/>
              </w:rPr>
            </w:pPr>
            <w:r w:rsidRPr="00124143">
              <w:rPr>
                <w:b/>
                <w:sz w:val="20"/>
                <w:szCs w:val="20"/>
              </w:rPr>
              <w:t>100,0</w:t>
            </w:r>
          </w:p>
        </w:tc>
      </w:tr>
    </w:tbl>
    <w:p w:rsidR="002750E9" w:rsidRDefault="002750E9" w:rsidP="002750E9">
      <w:pPr>
        <w:ind w:firstLine="720"/>
        <w:jc w:val="both"/>
      </w:pPr>
    </w:p>
    <w:p w:rsidR="002750E9" w:rsidRPr="00575551" w:rsidRDefault="002750E9" w:rsidP="002750E9">
      <w:pPr>
        <w:ind w:firstLine="720"/>
        <w:jc w:val="both"/>
      </w:pPr>
      <w:proofErr w:type="gramStart"/>
      <w:r w:rsidRPr="000C6104">
        <w:t>Согласно приведенным в таблице данным относительно оценки 201</w:t>
      </w:r>
      <w:r>
        <w:t>6</w:t>
      </w:r>
      <w:r w:rsidRPr="000C6104">
        <w:t xml:space="preserve"> года в 201</w:t>
      </w:r>
      <w:r>
        <w:t>7</w:t>
      </w:r>
      <w:r w:rsidRPr="000C6104">
        <w:t xml:space="preserve"> году прогнозируется снижение доходной части областного бюджета на общую сумму </w:t>
      </w:r>
      <w:r>
        <w:t>4729,6</w:t>
      </w:r>
      <w:r w:rsidRPr="000C6104">
        <w:t xml:space="preserve"> млн. руб. (-</w:t>
      </w:r>
      <w:r>
        <w:t>6,1</w:t>
      </w:r>
      <w:r w:rsidRPr="000C6104">
        <w:t>%)</w:t>
      </w:r>
      <w:r>
        <w:t xml:space="preserve"> При этом</w:t>
      </w:r>
      <w:r w:rsidRPr="000C6104">
        <w:t xml:space="preserve"> </w:t>
      </w:r>
      <w:r>
        <w:t xml:space="preserve">увеличение </w:t>
      </w:r>
      <w:r w:rsidRPr="000C6104">
        <w:t xml:space="preserve">по налоговым доходам составляет </w:t>
      </w:r>
      <w:r>
        <w:t>2294,6</w:t>
      </w:r>
      <w:r w:rsidRPr="000C6104">
        <w:t xml:space="preserve"> </w:t>
      </w:r>
      <w:r w:rsidRPr="00575551">
        <w:t>млн. руб. (+</w:t>
      </w:r>
      <w:r>
        <w:t>4</w:t>
      </w:r>
      <w:r w:rsidRPr="00575551">
        <w:t>,</w:t>
      </w:r>
      <w:r>
        <w:t>1</w:t>
      </w:r>
      <w:r w:rsidRPr="00575551">
        <w:t xml:space="preserve">%), </w:t>
      </w:r>
      <w:r>
        <w:t xml:space="preserve">по </w:t>
      </w:r>
      <w:r w:rsidRPr="00575551">
        <w:t>неналоговы</w:t>
      </w:r>
      <w:r>
        <w:t>м</w:t>
      </w:r>
      <w:r w:rsidRPr="00575551">
        <w:t xml:space="preserve"> доход</w:t>
      </w:r>
      <w:r w:rsidR="002A797A">
        <w:t>ам – 778,3 млн. руб. (+64,0%</w:t>
      </w:r>
      <w:r>
        <w:t>),</w:t>
      </w:r>
      <w:r w:rsidRPr="00575551">
        <w:t xml:space="preserve"> безвозмездные поступления снижены на </w:t>
      </w:r>
      <w:r>
        <w:t>7802,4</w:t>
      </w:r>
      <w:r w:rsidRPr="00575551">
        <w:t xml:space="preserve"> млн. руб. (-3</w:t>
      </w:r>
      <w:r>
        <w:t>7,1</w:t>
      </w:r>
      <w:r w:rsidRPr="00575551">
        <w:t>%).</w:t>
      </w:r>
      <w:proofErr w:type="gramEnd"/>
    </w:p>
    <w:p w:rsidR="002750E9" w:rsidRPr="000C6104" w:rsidRDefault="002750E9" w:rsidP="002750E9">
      <w:pPr>
        <w:ind w:firstLine="720"/>
        <w:jc w:val="both"/>
      </w:pPr>
      <w:r>
        <w:t>По</w:t>
      </w:r>
      <w:r w:rsidRPr="00575551">
        <w:t xml:space="preserve"> налоговы</w:t>
      </w:r>
      <w:r>
        <w:t>м и</w:t>
      </w:r>
      <w:r w:rsidRPr="00575551">
        <w:t xml:space="preserve"> неналоговы</w:t>
      </w:r>
      <w:r>
        <w:t>м</w:t>
      </w:r>
      <w:r w:rsidRPr="00575551">
        <w:t xml:space="preserve"> доход</w:t>
      </w:r>
      <w:r>
        <w:t>ам</w:t>
      </w:r>
      <w:r w:rsidRPr="00575551">
        <w:t xml:space="preserve"> на 201</w:t>
      </w:r>
      <w:r>
        <w:t>8</w:t>
      </w:r>
      <w:r w:rsidRPr="00575551">
        <w:t xml:space="preserve"> год </w:t>
      </w:r>
      <w:r>
        <w:t xml:space="preserve">относительно 2017 года </w:t>
      </w:r>
      <w:r w:rsidRPr="00575551">
        <w:t xml:space="preserve">прогнозируется увеличение </w:t>
      </w:r>
      <w:r>
        <w:t xml:space="preserve">на 2021,0 млн. руб. (+2,8%) </w:t>
      </w:r>
      <w:r w:rsidRPr="00575551">
        <w:t xml:space="preserve">при </w:t>
      </w:r>
      <w:r>
        <w:t xml:space="preserve">росте </w:t>
      </w:r>
      <w:r w:rsidRPr="00575551">
        <w:t xml:space="preserve">налоговых доходов на </w:t>
      </w:r>
      <w:r>
        <w:t>4,9</w:t>
      </w:r>
      <w:r w:rsidRPr="00575551">
        <w:t xml:space="preserve">%, неналоговых - на </w:t>
      </w:r>
      <w:r>
        <w:t>34,7</w:t>
      </w:r>
      <w:r w:rsidRPr="00575551">
        <w:t xml:space="preserve"> процента. На 201</w:t>
      </w:r>
      <w:r>
        <w:t>9</w:t>
      </w:r>
      <w:r w:rsidRPr="00575551">
        <w:t xml:space="preserve"> год </w:t>
      </w:r>
      <w:r w:rsidRPr="000C6104">
        <w:t>относительно 201</w:t>
      </w:r>
      <w:r>
        <w:t>8</w:t>
      </w:r>
      <w:r w:rsidRPr="000C6104">
        <w:t xml:space="preserve"> года </w:t>
      </w:r>
      <w:r w:rsidRPr="00575551">
        <w:t>прогнозируется увеличение</w:t>
      </w:r>
      <w:r w:rsidRPr="000C6104">
        <w:t xml:space="preserve"> </w:t>
      </w:r>
      <w:r>
        <w:t xml:space="preserve">налоговых и неналоговых доходов на 2582,7 млн. руб. (+4,1%) </w:t>
      </w:r>
      <w:r w:rsidRPr="000C6104">
        <w:t xml:space="preserve">за счет </w:t>
      </w:r>
      <w:r>
        <w:t>роста</w:t>
      </w:r>
      <w:r w:rsidRPr="000C6104">
        <w:t xml:space="preserve"> налоговых доходов </w:t>
      </w:r>
      <w:r>
        <w:t>на 5</w:t>
      </w:r>
      <w:r w:rsidRPr="000C6104">
        <w:t>%</w:t>
      </w:r>
      <w:r>
        <w:t xml:space="preserve"> (по неналоговым доходам прогнозируется снижение </w:t>
      </w:r>
      <w:r w:rsidR="002A797A">
        <w:t>на</w:t>
      </w:r>
      <w:r>
        <w:t xml:space="preserve"> 16%)</w:t>
      </w:r>
      <w:r w:rsidRPr="000C6104">
        <w:t xml:space="preserve">. </w:t>
      </w:r>
    </w:p>
    <w:p w:rsidR="002750E9" w:rsidRDefault="002750E9" w:rsidP="002750E9">
      <w:pPr>
        <w:pStyle w:val="a5"/>
        <w:tabs>
          <w:tab w:val="num" w:pos="0"/>
        </w:tabs>
        <w:ind w:firstLine="708"/>
        <w:jc w:val="both"/>
        <w:outlineLvl w:val="0"/>
      </w:pPr>
      <w:r w:rsidRPr="00946FF3">
        <w:t xml:space="preserve">Проанализировав представленные расчеты по налоговым доходам и планируемые поступления неналоговых доходов, </w:t>
      </w:r>
      <w:r w:rsidR="00187EAA">
        <w:t xml:space="preserve"> </w:t>
      </w:r>
      <w:proofErr w:type="gramStart"/>
      <w:r w:rsidRPr="00946FF3">
        <w:rPr>
          <w:b/>
          <w:i/>
        </w:rPr>
        <w:t>КСП</w:t>
      </w:r>
      <w:proofErr w:type="gramEnd"/>
      <w:r w:rsidRPr="00946FF3">
        <w:rPr>
          <w:b/>
          <w:i/>
        </w:rPr>
        <w:t xml:space="preserve"> пришла к выводу, что в основном прогноз доходов составлен обоснованно. </w:t>
      </w:r>
      <w:r w:rsidRPr="00946FF3">
        <w:t>Вместе с тем считаем необходимым по отдельным доходным источникам отметить следующее.</w:t>
      </w:r>
    </w:p>
    <w:p w:rsidR="002750E9" w:rsidRPr="00502DD3" w:rsidRDefault="002750E9" w:rsidP="002750E9">
      <w:pPr>
        <w:ind w:firstLine="709"/>
        <w:jc w:val="both"/>
        <w:rPr>
          <w:b/>
          <w:i/>
          <w:color w:val="000000"/>
          <w:u w:val="single"/>
          <w:shd w:val="clear" w:color="auto" w:fill="FFFFFF"/>
        </w:rPr>
      </w:pPr>
      <w:r w:rsidRPr="00502DD3">
        <w:rPr>
          <w:b/>
          <w:i/>
          <w:color w:val="000000"/>
          <w:u w:val="single"/>
          <w:shd w:val="clear" w:color="auto" w:fill="FFFFFF"/>
        </w:rPr>
        <w:lastRenderedPageBreak/>
        <w:t>Налог на прибыль организаций</w:t>
      </w:r>
    </w:p>
    <w:p w:rsidR="00502DD3" w:rsidRDefault="00502DD3" w:rsidP="002750E9">
      <w:pPr>
        <w:tabs>
          <w:tab w:val="num" w:pos="0"/>
        </w:tabs>
        <w:ind w:firstLine="708"/>
        <w:jc w:val="both"/>
        <w:outlineLvl w:val="0"/>
      </w:pPr>
    </w:p>
    <w:p w:rsidR="002750E9" w:rsidRPr="004A3417" w:rsidRDefault="002750E9" w:rsidP="002750E9">
      <w:pPr>
        <w:tabs>
          <w:tab w:val="num" w:pos="0"/>
        </w:tabs>
        <w:ind w:firstLine="708"/>
        <w:jc w:val="both"/>
        <w:outlineLvl w:val="0"/>
      </w:pPr>
      <w:r w:rsidRPr="004A3417">
        <w:t>Законопроектом предусматриваются п</w:t>
      </w:r>
      <w:r>
        <w:t>рогнозн</w:t>
      </w:r>
      <w:r w:rsidRPr="004A3417">
        <w:t>ые назначения по налогу на прибыль организаций на 201</w:t>
      </w:r>
      <w:r>
        <w:t>7</w:t>
      </w:r>
      <w:r w:rsidRPr="004A3417">
        <w:t xml:space="preserve"> год в размере </w:t>
      </w:r>
      <w:r>
        <w:t>18965</w:t>
      </w:r>
      <w:r w:rsidRPr="004A3417">
        <w:t xml:space="preserve">,8 млн. руб. </w:t>
      </w:r>
      <w:r w:rsidRPr="00400395">
        <w:t>(+7,1% к оценке 2016 года</w:t>
      </w:r>
      <w:r>
        <w:t xml:space="preserve"> и -11,6% к утвержденным прогнозным назначениям 2016 года</w:t>
      </w:r>
      <w:r w:rsidRPr="00400395">
        <w:t>),</w:t>
      </w:r>
      <w:r w:rsidRPr="004A3417">
        <w:t xml:space="preserve"> на 201</w:t>
      </w:r>
      <w:r>
        <w:t>8</w:t>
      </w:r>
      <w:r w:rsidRPr="004A3417">
        <w:t xml:space="preserve"> год</w:t>
      </w:r>
      <w:r>
        <w:t xml:space="preserve"> </w:t>
      </w:r>
      <w:r w:rsidRPr="004A3417">
        <w:t xml:space="preserve">– </w:t>
      </w:r>
      <w:r>
        <w:t>19971</w:t>
      </w:r>
      <w:r w:rsidRPr="004A3417">
        <w:t xml:space="preserve"> млн. руб. (+</w:t>
      </w:r>
      <w:r>
        <w:t>5</w:t>
      </w:r>
      <w:r w:rsidRPr="004A3417">
        <w:t>,3% к 201</w:t>
      </w:r>
      <w:r>
        <w:t>7</w:t>
      </w:r>
      <w:r w:rsidRPr="004A3417">
        <w:t xml:space="preserve"> году), на 201</w:t>
      </w:r>
      <w:r>
        <w:t>9</w:t>
      </w:r>
      <w:r w:rsidRPr="004A3417">
        <w:t xml:space="preserve"> год – 2</w:t>
      </w:r>
      <w:r>
        <w:t>0969,5</w:t>
      </w:r>
      <w:r w:rsidRPr="004A3417">
        <w:t xml:space="preserve"> млн. руб. (+</w:t>
      </w:r>
      <w:r>
        <w:t>5</w:t>
      </w:r>
      <w:r w:rsidRPr="004A3417">
        <w:t>% к 201</w:t>
      </w:r>
      <w:r>
        <w:t>8</w:t>
      </w:r>
      <w:r w:rsidRPr="004A3417">
        <w:t xml:space="preserve"> году).</w:t>
      </w:r>
      <w:r>
        <w:t xml:space="preserve">  </w:t>
      </w:r>
    </w:p>
    <w:p w:rsidR="002750E9" w:rsidRDefault="002750E9" w:rsidP="002750E9">
      <w:pPr>
        <w:tabs>
          <w:tab w:val="num" w:pos="0"/>
        </w:tabs>
        <w:ind w:firstLine="708"/>
        <w:jc w:val="both"/>
        <w:outlineLvl w:val="0"/>
      </w:pPr>
      <w:r w:rsidRPr="004A3417">
        <w:t>Ожидаемые поступления 201</w:t>
      </w:r>
      <w:r>
        <w:t>6</w:t>
      </w:r>
      <w:r w:rsidRPr="004A3417">
        <w:t xml:space="preserve"> года рассчитаны </w:t>
      </w:r>
      <w:r w:rsidR="002E4A60">
        <w:t>к</w:t>
      </w:r>
      <w:r>
        <w:t xml:space="preserve">омитетом </w:t>
      </w:r>
      <w:r w:rsidRPr="004A3417">
        <w:t>фин</w:t>
      </w:r>
      <w:r>
        <w:t>анс</w:t>
      </w:r>
      <w:r w:rsidRPr="004A3417">
        <w:t>о</w:t>
      </w:r>
      <w:r>
        <w:t>в</w:t>
      </w:r>
      <w:r w:rsidRPr="004A3417">
        <w:t xml:space="preserve"> в сумме </w:t>
      </w:r>
      <w:r>
        <w:t>17714,3</w:t>
      </w:r>
      <w:r w:rsidRPr="004A3417">
        <w:t xml:space="preserve"> млн. руб., </w:t>
      </w:r>
      <w:r w:rsidR="002E4A60">
        <w:t>что</w:t>
      </w:r>
      <w:r w:rsidRPr="004A3417">
        <w:t xml:space="preserve"> ниже </w:t>
      </w:r>
      <w:r w:rsidR="002E4A60" w:rsidRPr="004A3417">
        <w:t>прогнозных назначений</w:t>
      </w:r>
      <w:r w:rsidRPr="004A3417">
        <w:t xml:space="preserve">, утвержденных в законе об областном бюджете </w:t>
      </w:r>
      <w:r w:rsidR="002E4A60">
        <w:t>(</w:t>
      </w:r>
      <w:r w:rsidRPr="004A3417">
        <w:t>2</w:t>
      </w:r>
      <w:r>
        <w:t>14</w:t>
      </w:r>
      <w:r w:rsidRPr="004A3417">
        <w:t>6</w:t>
      </w:r>
      <w:r>
        <w:t>6</w:t>
      </w:r>
      <w:r w:rsidRPr="004A3417">
        <w:t>,</w:t>
      </w:r>
      <w:r>
        <w:t>3</w:t>
      </w:r>
      <w:r w:rsidRPr="004A3417">
        <w:t xml:space="preserve"> млн. руб.</w:t>
      </w:r>
      <w:r w:rsidR="002E4A60">
        <w:t xml:space="preserve">), </w:t>
      </w:r>
      <w:r w:rsidR="002E4A60" w:rsidRPr="004A3417">
        <w:t xml:space="preserve">на </w:t>
      </w:r>
      <w:r w:rsidR="002E4A60">
        <w:t>3752</w:t>
      </w:r>
      <w:r w:rsidR="002E4A60" w:rsidRPr="004A3417">
        <w:t xml:space="preserve"> млн. руб.</w:t>
      </w:r>
      <w:r w:rsidR="002E4A60">
        <w:t xml:space="preserve"> (-17,5%).</w:t>
      </w:r>
      <w:r w:rsidRPr="004A3417">
        <w:t xml:space="preserve"> </w:t>
      </w:r>
    </w:p>
    <w:p w:rsidR="002750E9" w:rsidRDefault="002750E9" w:rsidP="002750E9">
      <w:pPr>
        <w:tabs>
          <w:tab w:val="num" w:pos="0"/>
        </w:tabs>
        <w:ind w:firstLine="708"/>
        <w:jc w:val="both"/>
        <w:outlineLvl w:val="0"/>
      </w:pPr>
      <w:r w:rsidRPr="004A3417">
        <w:t xml:space="preserve">Прогнозный показатель налога на прибыль организаций </w:t>
      </w:r>
      <w:r>
        <w:t xml:space="preserve">на 2017 год </w:t>
      </w:r>
      <w:r w:rsidRPr="004A3417">
        <w:t>планируется с ростом</w:t>
      </w:r>
      <w:r>
        <w:t xml:space="preserve"> к оценке ожидаемого поступления 2016 года на 1251,5 млн. руб. (+7,1%).</w:t>
      </w:r>
    </w:p>
    <w:p w:rsidR="002750E9" w:rsidRDefault="002750E9" w:rsidP="002750E9">
      <w:pPr>
        <w:ind w:firstLine="720"/>
        <w:jc w:val="both"/>
      </w:pPr>
      <w:proofErr w:type="gramStart"/>
      <w:r>
        <w:t xml:space="preserve">Согласно пояснительной записке к </w:t>
      </w:r>
      <w:r w:rsidR="002E4A60">
        <w:t>з</w:t>
      </w:r>
      <w:r>
        <w:t>аконопроекту и расчету налога на прибыль организаций в областной бюджет п</w:t>
      </w:r>
      <w:r w:rsidRPr="005B7CB2">
        <w:t>рогноз поступлени</w:t>
      </w:r>
      <w:r>
        <w:t>й</w:t>
      </w:r>
      <w:r w:rsidRPr="005B7CB2">
        <w:t xml:space="preserve"> налога на прибыль в 2017</w:t>
      </w:r>
      <w:r>
        <w:t xml:space="preserve"> </w:t>
      </w:r>
      <w:r w:rsidRPr="005B7CB2">
        <w:t>год</w:t>
      </w:r>
      <w:r>
        <w:t>у</w:t>
      </w:r>
      <w:r w:rsidRPr="005B7CB2">
        <w:t xml:space="preserve"> осуществлен</w:t>
      </w:r>
      <w:r>
        <w:t>,</w:t>
      </w:r>
      <w:r w:rsidRPr="005B7CB2">
        <w:t xml:space="preserve"> исходя из прогноза прибыли прибыльных организаций с учетом индекса роста прибыли 105%, налогооблагаемой базы, ставки налога</w:t>
      </w:r>
      <w:r>
        <w:t xml:space="preserve"> 17%, которая  в соответствии с изменениями в Б</w:t>
      </w:r>
      <w:r w:rsidR="002E4A60">
        <w:t>К</w:t>
      </w:r>
      <w:r>
        <w:t xml:space="preserve"> РФ </w:t>
      </w:r>
      <w:r w:rsidR="002E4A60">
        <w:t xml:space="preserve">с 01.01.2017 </w:t>
      </w:r>
      <w:r>
        <w:t xml:space="preserve">снижена </w:t>
      </w:r>
      <w:r w:rsidR="002E4A60">
        <w:t>н</w:t>
      </w:r>
      <w:r>
        <w:t>а 1 процент</w:t>
      </w:r>
      <w:r w:rsidRPr="005B7CB2">
        <w:t>.</w:t>
      </w:r>
      <w:proofErr w:type="gramEnd"/>
      <w:r>
        <w:t xml:space="preserve"> </w:t>
      </w:r>
      <w:proofErr w:type="gramStart"/>
      <w:r>
        <w:t xml:space="preserve">Также в расчете </w:t>
      </w:r>
      <w:r w:rsidRPr="005B7CB2">
        <w:t>учт</w:t>
      </w:r>
      <w:r>
        <w:t>ен</w:t>
      </w:r>
      <w:r w:rsidRPr="005B7CB2">
        <w:t xml:space="preserve"> прогнозируем</w:t>
      </w:r>
      <w:r>
        <w:t>ый</w:t>
      </w:r>
      <w:r w:rsidRPr="005B7CB2">
        <w:t xml:space="preserve"> объем возвратов </w:t>
      </w:r>
      <w:r>
        <w:t xml:space="preserve">в сумме 1261,7 млн. руб. </w:t>
      </w:r>
      <w:r w:rsidRPr="005B7CB2">
        <w:t>излишне уплаченного налога в результате предоставления налогоплательщиками уточненных н</w:t>
      </w:r>
      <w:r>
        <w:t>алоговых деклараций «</w:t>
      </w:r>
      <w:r w:rsidRPr="005B7CB2">
        <w:t>к уменьшению</w:t>
      </w:r>
      <w:r>
        <w:t>»</w:t>
      </w:r>
      <w:r w:rsidRPr="005B7CB2">
        <w:t xml:space="preserve"> и </w:t>
      </w:r>
      <w:r>
        <w:t xml:space="preserve">объем </w:t>
      </w:r>
      <w:r w:rsidRPr="005B7CB2">
        <w:t xml:space="preserve">дополнительных поступлений налога </w:t>
      </w:r>
      <w:r>
        <w:t xml:space="preserve">в сумме 1323,3 млн. руб. </w:t>
      </w:r>
      <w:r w:rsidRPr="005B7CB2">
        <w:t>в результате ограничения переноса суммы убытка, полученного в предыдущие налоговые периоды, в размере не более 30</w:t>
      </w:r>
      <w:r w:rsidR="009E7572">
        <w:t>%</w:t>
      </w:r>
      <w:r w:rsidRPr="005B7CB2">
        <w:t xml:space="preserve"> налоговой базы</w:t>
      </w:r>
      <w:r>
        <w:t xml:space="preserve"> в соответствии с </w:t>
      </w:r>
      <w:r w:rsidRPr="005B7CB2">
        <w:t>положениями главы 25 части второй</w:t>
      </w:r>
      <w:proofErr w:type="gramEnd"/>
      <w:r w:rsidRPr="005B7CB2">
        <w:t xml:space="preserve"> Налогового кодекса РФ</w:t>
      </w:r>
      <w:r>
        <w:t>. Следует отметить, что согласно принятому в третьем чтении Проекту №11078-7 о внесении изменений в Н</w:t>
      </w:r>
      <w:r w:rsidR="009E7572">
        <w:t>К</w:t>
      </w:r>
      <w:r>
        <w:t xml:space="preserve"> РФ  от 18.11.2016 размер ограничения вышеуказанных убытков составляет 50% </w:t>
      </w:r>
      <w:r w:rsidR="009E7572">
        <w:t>вместо</w:t>
      </w:r>
      <w:r>
        <w:t xml:space="preserve"> 30%, которые были предусмотрены в Проекте. </w:t>
      </w:r>
      <w:r w:rsidRPr="002F0E6D">
        <w:rPr>
          <w:u w:val="single"/>
        </w:rPr>
        <w:t xml:space="preserve">Таким образом, с учетом этих изменений объем дополнительных поступлений налога </w:t>
      </w:r>
      <w:r w:rsidR="002F0E6D">
        <w:rPr>
          <w:u w:val="single"/>
        </w:rPr>
        <w:t xml:space="preserve">в 2017 году </w:t>
      </w:r>
      <w:r w:rsidRPr="002F0E6D">
        <w:rPr>
          <w:u w:val="single"/>
        </w:rPr>
        <w:t>составит 945,2 млн. руб.</w:t>
      </w:r>
      <w:r w:rsidR="00EB2E56">
        <w:rPr>
          <w:u w:val="single"/>
        </w:rPr>
        <w:t>, а не</w:t>
      </w:r>
      <w:r w:rsidRPr="002F0E6D">
        <w:rPr>
          <w:u w:val="single"/>
        </w:rPr>
        <w:t xml:space="preserve"> 1323,3 млн. руб., отраженны</w:t>
      </w:r>
      <w:r w:rsidR="00CA7B0C">
        <w:rPr>
          <w:u w:val="single"/>
        </w:rPr>
        <w:t>х</w:t>
      </w:r>
      <w:r w:rsidRPr="002F0E6D">
        <w:rPr>
          <w:u w:val="single"/>
        </w:rPr>
        <w:t xml:space="preserve"> в расчете</w:t>
      </w:r>
      <w:r w:rsidR="002F0E6D" w:rsidRPr="002F0E6D">
        <w:rPr>
          <w:u w:val="single"/>
        </w:rPr>
        <w:t xml:space="preserve"> комитета финансов</w:t>
      </w:r>
      <w:r w:rsidRPr="002F0E6D">
        <w:rPr>
          <w:u w:val="single"/>
        </w:rPr>
        <w:t xml:space="preserve">, </w:t>
      </w:r>
      <w:r w:rsidR="002F0E6D" w:rsidRPr="002F0E6D">
        <w:rPr>
          <w:u w:val="single"/>
        </w:rPr>
        <w:t>т. е. на</w:t>
      </w:r>
      <w:r w:rsidRPr="002F0E6D">
        <w:rPr>
          <w:u w:val="single"/>
        </w:rPr>
        <w:t xml:space="preserve"> 378,1 млн. руб.</w:t>
      </w:r>
      <w:r w:rsidR="002F0E6D" w:rsidRPr="002F0E6D">
        <w:rPr>
          <w:u w:val="single"/>
        </w:rPr>
        <w:t xml:space="preserve"> меньше</w:t>
      </w:r>
      <w:r w:rsidR="002F0E6D">
        <w:rPr>
          <w:u w:val="single"/>
        </w:rPr>
        <w:t xml:space="preserve">,  </w:t>
      </w:r>
      <w:r w:rsidR="00EB2E56">
        <w:rPr>
          <w:u w:val="single"/>
        </w:rPr>
        <w:t>соответственно</w:t>
      </w:r>
      <w:r w:rsidRPr="002F0E6D">
        <w:rPr>
          <w:u w:val="single"/>
        </w:rPr>
        <w:t xml:space="preserve"> общий объем налога на прибыль организаций </w:t>
      </w:r>
      <w:r w:rsidR="002F0E6D" w:rsidRPr="002F0E6D">
        <w:rPr>
          <w:u w:val="single"/>
        </w:rPr>
        <w:t>-</w:t>
      </w:r>
      <w:r w:rsidRPr="002F0E6D">
        <w:rPr>
          <w:u w:val="single"/>
        </w:rPr>
        <w:t>18587,7 млн. руб.</w:t>
      </w:r>
      <w:r w:rsidR="002F0E6D" w:rsidRPr="002F0E6D">
        <w:rPr>
          <w:u w:val="single"/>
        </w:rPr>
        <w:t xml:space="preserve"> вместо</w:t>
      </w:r>
      <w:r w:rsidRPr="002F0E6D">
        <w:rPr>
          <w:u w:val="single"/>
        </w:rPr>
        <w:t xml:space="preserve"> 18965,8 млн. рублей.</w:t>
      </w:r>
      <w:r>
        <w:t xml:space="preserve">  </w:t>
      </w:r>
    </w:p>
    <w:p w:rsidR="002750E9" w:rsidRDefault="002F0E6D" w:rsidP="002750E9">
      <w:pPr>
        <w:ind w:firstLine="720"/>
        <w:jc w:val="both"/>
      </w:pPr>
      <w:r>
        <w:t>Кроме того, в</w:t>
      </w:r>
      <w:r w:rsidR="002750E9">
        <w:t xml:space="preserve"> отношении объема </w:t>
      </w:r>
      <w:r w:rsidR="002750E9" w:rsidRPr="005B7CB2">
        <w:t>дополнительных поступлений</w:t>
      </w:r>
      <w:r w:rsidR="002750E9">
        <w:t xml:space="preserve"> налога </w:t>
      </w:r>
      <w:r w:rsidR="002750E9" w:rsidRPr="005B7CB2">
        <w:t>в результате ограничения переноса суммы убытка</w:t>
      </w:r>
      <w:r w:rsidR="002750E9">
        <w:t xml:space="preserve"> необходимо отметить следующее.</w:t>
      </w:r>
    </w:p>
    <w:p w:rsidR="002750E9" w:rsidRDefault="002750E9" w:rsidP="002750E9">
      <w:pPr>
        <w:ind w:firstLine="720"/>
        <w:jc w:val="both"/>
      </w:pPr>
      <w:proofErr w:type="gramStart"/>
      <w:r>
        <w:t xml:space="preserve">Исходя из анализа налоговой отчетности (форма 5-П) на начало 2016 года, остаток </w:t>
      </w:r>
      <w:proofErr w:type="spellStart"/>
      <w:r>
        <w:t>неперенесенного</w:t>
      </w:r>
      <w:proofErr w:type="spellEnd"/>
      <w:r>
        <w:t xml:space="preserve"> убытка на начало 2016 года составлял 9181,4 млн. руб.</w:t>
      </w:r>
      <w:r w:rsidRPr="00F9184D">
        <w:t xml:space="preserve"> </w:t>
      </w:r>
      <w:r>
        <w:t>(без КГН, поскольку по КГН такая информация в отчетности не предусмотрена),</w:t>
      </w:r>
      <w:r w:rsidRPr="005F2331">
        <w:t xml:space="preserve"> </w:t>
      </w:r>
      <w:r>
        <w:t>на 01.07.2016  сумма убытка (части убытка), уменьшающего налоговую базу прибыльных организаций, составила 9457 млн. руб., т</w:t>
      </w:r>
      <w:r w:rsidR="00EB2E56">
        <w:t>.</w:t>
      </w:r>
      <w:r>
        <w:t xml:space="preserve"> е</w:t>
      </w:r>
      <w:r w:rsidR="00EB2E56">
        <w:t>.</w:t>
      </w:r>
      <w:r>
        <w:t xml:space="preserve"> практически всю сумму остатка</w:t>
      </w:r>
      <w:r w:rsidRPr="005F2331">
        <w:t xml:space="preserve"> </w:t>
      </w:r>
      <w:proofErr w:type="spellStart"/>
      <w:r>
        <w:t>неперенесенного</w:t>
      </w:r>
      <w:proofErr w:type="spellEnd"/>
      <w:r>
        <w:t xml:space="preserve"> убытка прибыльные организации уже использовали</w:t>
      </w:r>
      <w:proofErr w:type="gramEnd"/>
      <w:r>
        <w:t xml:space="preserve"> в 2016 году</w:t>
      </w:r>
      <w:r w:rsidR="00EB2E56">
        <w:t>. Э</w:t>
      </w:r>
      <w:r>
        <w:t xml:space="preserve">то отразится на существенном снижении поступлений налога на прибыль </w:t>
      </w:r>
      <w:r w:rsidR="00437778">
        <w:t>в</w:t>
      </w:r>
      <w:r>
        <w:t xml:space="preserve"> 2016 год</w:t>
      </w:r>
      <w:r w:rsidR="00437778">
        <w:t>у</w:t>
      </w:r>
      <w:r>
        <w:t xml:space="preserve"> относительно 2015 года, исходя из оценк</w:t>
      </w:r>
      <w:r w:rsidR="00437778">
        <w:t>и</w:t>
      </w:r>
      <w:r>
        <w:t xml:space="preserve"> поступлений, приложенных в материалах к </w:t>
      </w:r>
      <w:r w:rsidR="00437778">
        <w:t>з</w:t>
      </w:r>
      <w:r>
        <w:t>аконопроекту (-1773,7 млн. руб.). Для информации сообщаем, что сумма убытков, используемых в расчетах для уменьшения налогооблагаемой базы в 2015, 2014 и 2013 годах, была значительно меньше, чем в 2016 году (соответственно 2724,4 млн. руб., 2124,6 млн. руб. и 3066,9 млн. руб.).</w:t>
      </w:r>
    </w:p>
    <w:p w:rsidR="002750E9" w:rsidRDefault="002750E9" w:rsidP="002750E9">
      <w:pPr>
        <w:ind w:firstLine="720"/>
        <w:jc w:val="both"/>
      </w:pPr>
      <w:r>
        <w:t xml:space="preserve">Таким образом, на начало 2017 года остаток </w:t>
      </w:r>
      <w:proofErr w:type="spellStart"/>
      <w:r>
        <w:t>неперенесенного</w:t>
      </w:r>
      <w:proofErr w:type="spellEnd"/>
      <w:r>
        <w:t xml:space="preserve"> убытка в основном может сложиться от финансово-хозяйственной деятельности организаций за 2016 год, либо по ранее убыточным организациям, </w:t>
      </w:r>
      <w:r w:rsidR="00502DD3">
        <w:t>н</w:t>
      </w:r>
      <w:r>
        <w:t>о получившим прибыль</w:t>
      </w:r>
      <w:r w:rsidR="00502DD3">
        <w:t xml:space="preserve"> в 2016 году</w:t>
      </w:r>
      <w:r>
        <w:t xml:space="preserve">, о чем информация будет отражена в отчетности УФНС за 2016 год после сдачи налогоплательщиками годовой отчетности. </w:t>
      </w:r>
    </w:p>
    <w:p w:rsidR="002750E9" w:rsidRPr="00FE6D08" w:rsidRDefault="002750E9" w:rsidP="002750E9">
      <w:pPr>
        <w:ind w:firstLine="720"/>
        <w:jc w:val="both"/>
        <w:rPr>
          <w:b/>
          <w:i/>
        </w:rPr>
      </w:pPr>
      <w:r>
        <w:t>По оценке КСП с учетом изменения  размера ограничения убытка, уменьшающего налоговую базу с 30% до 50%</w:t>
      </w:r>
      <w:r w:rsidR="00502DD3">
        <w:t>,</w:t>
      </w:r>
      <w:r>
        <w:t xml:space="preserve"> и то</w:t>
      </w:r>
      <w:r w:rsidR="00502DD3">
        <w:t>го обстоятельства</w:t>
      </w:r>
      <w:r>
        <w:t>, что основная сумма</w:t>
      </w:r>
      <w:r w:rsidRPr="00F03001">
        <w:t xml:space="preserve"> </w:t>
      </w:r>
      <w:r>
        <w:t>остатка</w:t>
      </w:r>
      <w:r w:rsidRPr="00942DB7">
        <w:t xml:space="preserve"> </w:t>
      </w:r>
      <w:proofErr w:type="spellStart"/>
      <w:r>
        <w:t>неперенесенного</w:t>
      </w:r>
      <w:proofErr w:type="spellEnd"/>
      <w:r>
        <w:t xml:space="preserve"> убытка уже использована в 2016 году, </w:t>
      </w:r>
      <w:r w:rsidRPr="00D260C0">
        <w:rPr>
          <w:b/>
          <w:i/>
        </w:rPr>
        <w:t xml:space="preserve">риски </w:t>
      </w:r>
      <w:proofErr w:type="spellStart"/>
      <w:r w:rsidRPr="00FE6D08">
        <w:rPr>
          <w:b/>
          <w:i/>
        </w:rPr>
        <w:t>недопоступлений</w:t>
      </w:r>
      <w:proofErr w:type="spellEnd"/>
      <w:r w:rsidRPr="00FE6D08">
        <w:rPr>
          <w:b/>
          <w:i/>
        </w:rPr>
        <w:t xml:space="preserve"> налога на прибыль </w:t>
      </w:r>
      <w:r w:rsidR="00D260C0">
        <w:rPr>
          <w:b/>
          <w:i/>
        </w:rPr>
        <w:t xml:space="preserve">организаций </w:t>
      </w:r>
      <w:r w:rsidRPr="00FE6D08">
        <w:rPr>
          <w:b/>
          <w:i/>
        </w:rPr>
        <w:t>в 2017 году</w:t>
      </w:r>
      <w:r>
        <w:rPr>
          <w:b/>
          <w:i/>
        </w:rPr>
        <w:t xml:space="preserve"> могут составить порядка 1000 млн. рублей</w:t>
      </w:r>
      <w:r w:rsidRPr="00FE6D08">
        <w:rPr>
          <w:b/>
          <w:i/>
        </w:rPr>
        <w:t>.</w:t>
      </w:r>
    </w:p>
    <w:p w:rsidR="002750E9" w:rsidRPr="007C358B" w:rsidRDefault="007C358B" w:rsidP="002750E9">
      <w:pPr>
        <w:ind w:firstLine="720"/>
        <w:jc w:val="both"/>
        <w:rPr>
          <w:b/>
          <w:i/>
          <w:u w:val="single"/>
        </w:rPr>
      </w:pPr>
      <w:r>
        <w:t xml:space="preserve">Сравнительный расчет прогноза поступлений по налогу на прибыль организаций на 2017 год по данным комитета финансов Волгоградской области и по данным КСП приведен </w:t>
      </w:r>
      <w:r w:rsidRPr="007C358B">
        <w:rPr>
          <w:b/>
          <w:i/>
          <w:u w:val="single"/>
        </w:rPr>
        <w:t>в приложении №2.</w:t>
      </w:r>
    </w:p>
    <w:p w:rsidR="002750E9" w:rsidRPr="004A3417" w:rsidRDefault="002750E9" w:rsidP="002750E9">
      <w:pPr>
        <w:ind w:firstLine="709"/>
        <w:jc w:val="both"/>
        <w:rPr>
          <w:b/>
          <w:i/>
          <w:u w:val="single"/>
        </w:rPr>
      </w:pPr>
      <w:r w:rsidRPr="004A3417">
        <w:rPr>
          <w:b/>
          <w:i/>
          <w:u w:val="single"/>
        </w:rPr>
        <w:lastRenderedPageBreak/>
        <w:t>Доходы от уплаты акцизов на дизельное топливо, моторные масла, автомобильный и прямогонный бензин, подлежащие распределению между  бюджетами субъектов РФ и местными бюджетами</w:t>
      </w:r>
    </w:p>
    <w:p w:rsidR="001B6442" w:rsidRDefault="001B6442" w:rsidP="002750E9">
      <w:pPr>
        <w:ind w:right="-138" w:firstLine="709"/>
        <w:jc w:val="both"/>
      </w:pPr>
    </w:p>
    <w:p w:rsidR="002750E9" w:rsidRDefault="002750E9" w:rsidP="002750E9">
      <w:pPr>
        <w:ind w:right="-138" w:firstLine="709"/>
        <w:jc w:val="both"/>
      </w:pPr>
      <w:proofErr w:type="gramStart"/>
      <w:r w:rsidRPr="004A3417">
        <w:t>Законопроектом предусматриваются п</w:t>
      </w:r>
      <w:r>
        <w:t>рогнозн</w:t>
      </w:r>
      <w:r w:rsidRPr="004A3417">
        <w:t>ые назначения по доходам от акцизов на дизельное топливо, моторные масла, автомобильный и прямогонный бензин, подлежащие распределению между бюджетами субъектов РФ и местными бюджетами</w:t>
      </w:r>
      <w:r w:rsidR="001B6442">
        <w:t>,</w:t>
      </w:r>
      <w:r w:rsidRPr="004A3417">
        <w:t xml:space="preserve"> на 201</w:t>
      </w:r>
      <w:r>
        <w:t>7</w:t>
      </w:r>
      <w:r w:rsidRPr="004A3417">
        <w:t xml:space="preserve"> год в размере </w:t>
      </w:r>
      <w:r>
        <w:t>4263,4</w:t>
      </w:r>
      <w:r w:rsidRPr="004A3417">
        <w:t xml:space="preserve"> млн. руб. (</w:t>
      </w:r>
      <w:r>
        <w:t>+0,4</w:t>
      </w:r>
      <w:r w:rsidRPr="004A3417">
        <w:t>% к назначениям 201</w:t>
      </w:r>
      <w:r>
        <w:t>6</w:t>
      </w:r>
      <w:r w:rsidRPr="004A3417">
        <w:t xml:space="preserve"> года</w:t>
      </w:r>
      <w:r w:rsidRPr="00EE7C5B">
        <w:t xml:space="preserve">), на 2018 год – 4203,7 млн. руб. (-1,4% к 2017 году), на 2019 год – 4301,7 млн. руб. (+2,3% к 2018 году). </w:t>
      </w:r>
      <w:proofErr w:type="gramEnd"/>
    </w:p>
    <w:p w:rsidR="002750E9" w:rsidRDefault="002750E9" w:rsidP="002750E9">
      <w:pPr>
        <w:ind w:firstLine="709"/>
        <w:jc w:val="both"/>
      </w:pPr>
      <w:r>
        <w:t xml:space="preserve">Следует отметить, что прогнозные назначения на 2017 год запланированы ниже фактических поступлений </w:t>
      </w:r>
      <w:r w:rsidRPr="00EE7C5B">
        <w:t>9 месяцев 2016 года на 81,1 млн. рублей.</w:t>
      </w:r>
    </w:p>
    <w:p w:rsidR="002750E9" w:rsidRDefault="002750E9" w:rsidP="002750E9">
      <w:pPr>
        <w:autoSpaceDE w:val="0"/>
        <w:autoSpaceDN w:val="0"/>
        <w:adjustRightInd w:val="0"/>
        <w:ind w:firstLine="709"/>
        <w:jc w:val="both"/>
      </w:pPr>
      <w:r w:rsidRPr="00BA6D7C">
        <w:t>На прогнозные показатели 2017 год</w:t>
      </w:r>
      <w:r>
        <w:t>а</w:t>
      </w:r>
      <w:r w:rsidRPr="00BA6D7C">
        <w:t xml:space="preserve"> повлия</w:t>
      </w:r>
      <w:r>
        <w:t>ли</w:t>
      </w:r>
      <w:r w:rsidRPr="00BA6D7C">
        <w:t xml:space="preserve"> изменения нормативов распределения акцизов на нефтепродукты</w:t>
      </w:r>
      <w:r>
        <w:t xml:space="preserve"> в сторону уменьшения</w:t>
      </w:r>
      <w:r w:rsidRPr="00BA6D7C">
        <w:t xml:space="preserve">. </w:t>
      </w:r>
      <w:r>
        <w:t>Так, в</w:t>
      </w:r>
      <w:r w:rsidRPr="00BA6D7C">
        <w:t xml:space="preserve"> 2017 году норматив зачисления акцизов на нефтепродукты в областной бюджет уменьшится до 61,7% (88% с 1 июня 2016 года), в 2018 году составит 57,4%, а в 2019 году – 60,2 процента. </w:t>
      </w:r>
    </w:p>
    <w:p w:rsidR="002750E9" w:rsidRDefault="002750E9" w:rsidP="002750E9">
      <w:pPr>
        <w:autoSpaceDE w:val="0"/>
        <w:autoSpaceDN w:val="0"/>
        <w:adjustRightInd w:val="0"/>
        <w:ind w:firstLine="709"/>
        <w:jc w:val="both"/>
      </w:pPr>
      <w:r>
        <w:t xml:space="preserve">Положительное влияние </w:t>
      </w:r>
      <w:r w:rsidR="00507CD3">
        <w:t xml:space="preserve">на поступления акцизов </w:t>
      </w:r>
      <w:r>
        <w:t>в 2017 году окажут:</w:t>
      </w:r>
    </w:p>
    <w:p w:rsidR="002750E9" w:rsidRPr="00BA6D7C" w:rsidRDefault="002750E9" w:rsidP="002750E9">
      <w:pPr>
        <w:autoSpaceDE w:val="0"/>
        <w:autoSpaceDN w:val="0"/>
        <w:adjustRightInd w:val="0"/>
        <w:ind w:firstLine="709"/>
        <w:jc w:val="both"/>
      </w:pPr>
      <w:proofErr w:type="gramStart"/>
      <w:r>
        <w:t>-</w:t>
      </w:r>
      <w:r w:rsidRPr="00BA6D7C">
        <w:t xml:space="preserve"> </w:t>
      </w:r>
      <w:r w:rsidRPr="0014521A">
        <w:t xml:space="preserve">индексация ставок акцизов на </w:t>
      </w:r>
      <w:r>
        <w:t xml:space="preserve">отдельные виды </w:t>
      </w:r>
      <w:r w:rsidRPr="0014521A">
        <w:t>нефтепродукт</w:t>
      </w:r>
      <w:r>
        <w:t>ов, предусмотренная п</w:t>
      </w:r>
      <w:r w:rsidRPr="0014521A">
        <w:t>роектом федерального закона «О внесении изменений в Налоговый кодекс Российской Федерации и отдельные законодательные акты Российской Федерации»</w:t>
      </w:r>
      <w:r>
        <w:t>,</w:t>
      </w:r>
      <w:r w:rsidRPr="0014521A">
        <w:t xml:space="preserve"> </w:t>
      </w:r>
      <w:r>
        <w:t xml:space="preserve">в результате чего относительно действующих в 2016 году ставок с </w:t>
      </w:r>
      <w:r w:rsidRPr="0014521A">
        <w:t>1 января 2017 года</w:t>
      </w:r>
      <w:r>
        <w:t xml:space="preserve"> увеличиваются ставки на </w:t>
      </w:r>
      <w:r w:rsidRPr="0014521A">
        <w:t xml:space="preserve">дизельное топливо </w:t>
      </w:r>
      <w:r>
        <w:t xml:space="preserve">с 5293 руб. до </w:t>
      </w:r>
      <w:r w:rsidRPr="0014521A">
        <w:t>6800 руб</w:t>
      </w:r>
      <w:r>
        <w:t xml:space="preserve">. </w:t>
      </w:r>
      <w:r w:rsidRPr="0014521A">
        <w:t>за 1 тонну (</w:t>
      </w:r>
      <w:r>
        <w:t>+</w:t>
      </w:r>
      <w:r w:rsidRPr="0014521A">
        <w:t xml:space="preserve"> 1</w:t>
      </w:r>
      <w:r>
        <w:t>5</w:t>
      </w:r>
      <w:r w:rsidRPr="0014521A">
        <w:t>07 рублей)</w:t>
      </w:r>
      <w:r>
        <w:t>, доля доходов от уплаты акцизов</w:t>
      </w:r>
      <w:proofErr w:type="gramEnd"/>
      <w:r>
        <w:t xml:space="preserve"> по которому </w:t>
      </w:r>
      <w:proofErr w:type="gramStart"/>
      <w:r>
        <w:t>существенна</w:t>
      </w:r>
      <w:proofErr w:type="gramEnd"/>
      <w:r>
        <w:t xml:space="preserve"> и составляет порядка 33,6% в общем объеме доходов от уплаты акцизов на нефтепродукты, исходя из поступлений за 9 месяцев 2016 года. При этом уменьшение ставок предусматрива</w:t>
      </w:r>
      <w:r w:rsidR="00507CD3">
        <w:t>е</w:t>
      </w:r>
      <w:r>
        <w:t xml:space="preserve">тся на моторные масла </w:t>
      </w:r>
      <w:r w:rsidR="00507CD3">
        <w:t xml:space="preserve">- </w:t>
      </w:r>
      <w:r>
        <w:t>с 6000 руб. до 5400 руб. за 1 тонну (-600 руб.), доля доходов от уплаты акцизов на которые незначительна и составляет порядка 0,5% в общем объеме доходов от уплаты акцизов на нефтепродукты</w:t>
      </w:r>
      <w:r w:rsidR="00507CD3">
        <w:t>;</w:t>
      </w:r>
    </w:p>
    <w:p w:rsidR="002750E9" w:rsidRDefault="002750E9" w:rsidP="002750E9">
      <w:pPr>
        <w:ind w:firstLine="709"/>
        <w:jc w:val="both"/>
      </w:pPr>
      <w:r>
        <w:t xml:space="preserve">- увеличение </w:t>
      </w:r>
      <w:r w:rsidRPr="004A3417">
        <w:t>норматив</w:t>
      </w:r>
      <w:r>
        <w:t>а</w:t>
      </w:r>
      <w:r w:rsidRPr="004A3417">
        <w:t xml:space="preserve"> распределения доходов в бюджет Волгоградской области </w:t>
      </w:r>
      <w:r>
        <w:t>с</w:t>
      </w:r>
      <w:r w:rsidRPr="004A3417">
        <w:t xml:space="preserve"> 1,5778%</w:t>
      </w:r>
      <w:r>
        <w:t xml:space="preserve"> до 1,6541% (+4,8%).</w:t>
      </w:r>
    </w:p>
    <w:p w:rsidR="002750E9" w:rsidRDefault="002750E9" w:rsidP="002750E9">
      <w:pPr>
        <w:ind w:firstLine="720"/>
        <w:jc w:val="both"/>
      </w:pPr>
      <w:proofErr w:type="gramStart"/>
      <w:r w:rsidRPr="006D4BCA">
        <w:t xml:space="preserve">Согласно пояснительной записке к </w:t>
      </w:r>
      <w:r w:rsidR="00507CD3">
        <w:t>з</w:t>
      </w:r>
      <w:r w:rsidRPr="006D4BCA">
        <w:t>аконопроекту расчеты произведены на основе прогнозных поступлений акцизов на нефтепродукты в целом по Российской Федерации и нормативов распределения доходов от акцизов на автомобильный и прямогонный бензин, дизельное топливо, моторные масла для дизельных и (или) карбюраторных (</w:t>
      </w:r>
      <w:proofErr w:type="spellStart"/>
      <w:r w:rsidRPr="006D4BCA">
        <w:t>инжекторных</w:t>
      </w:r>
      <w:proofErr w:type="spellEnd"/>
      <w:r w:rsidRPr="006D4BCA">
        <w:t>) двигателей в бюджеты субъектов Российской Федерации на 2017 год и на плановый период 2018 и 2019 годов, а также с</w:t>
      </w:r>
      <w:proofErr w:type="gramEnd"/>
      <w:r w:rsidRPr="006D4BCA">
        <w:t xml:space="preserve"> учетом уровня собираемости.</w:t>
      </w:r>
    </w:p>
    <w:p w:rsidR="002750E9" w:rsidRPr="004A3417" w:rsidRDefault="002750E9" w:rsidP="002750E9">
      <w:pPr>
        <w:ind w:firstLine="709"/>
        <w:jc w:val="both"/>
      </w:pPr>
      <w:r>
        <w:t xml:space="preserve">Проанализировав представленные к </w:t>
      </w:r>
      <w:r w:rsidR="00507CD3">
        <w:t>з</w:t>
      </w:r>
      <w:r>
        <w:t xml:space="preserve">аконопроекту </w:t>
      </w:r>
      <w:r w:rsidR="00507CD3">
        <w:t xml:space="preserve">расчеты </w:t>
      </w:r>
      <w:r>
        <w:t xml:space="preserve">и расчеты к прогнозным </w:t>
      </w:r>
      <w:r w:rsidRPr="006D4BCA">
        <w:t>поступлени</w:t>
      </w:r>
      <w:r>
        <w:t>ям</w:t>
      </w:r>
      <w:r w:rsidRPr="006D4BCA">
        <w:t xml:space="preserve"> акцизов на нефтепродукты в целом по Российской Федерации</w:t>
      </w:r>
      <w:r>
        <w:t xml:space="preserve"> с учетом уровня собираемости, </w:t>
      </w:r>
      <w:proofErr w:type="gramStart"/>
      <w:r w:rsidR="00507CD3">
        <w:t>КСП</w:t>
      </w:r>
      <w:proofErr w:type="gramEnd"/>
      <w:r w:rsidR="00507CD3">
        <w:t xml:space="preserve"> пришла к выводу</w:t>
      </w:r>
      <w:r>
        <w:t>, что в</w:t>
      </w:r>
      <w:r w:rsidRPr="004A3417">
        <w:t xml:space="preserve"> представленных </w:t>
      </w:r>
      <w:r w:rsidR="00507CD3">
        <w:t>к</w:t>
      </w:r>
      <w:r>
        <w:t>омитетом финансов</w:t>
      </w:r>
      <w:r w:rsidRPr="004A3417">
        <w:t xml:space="preserve"> расчетах занижен прогнозный показатель поступлений акцизов на нефтепродукты, производимые на территории РФ и подлежащие зачислению в бюджеты субъектов РФ.</w:t>
      </w:r>
    </w:p>
    <w:p w:rsidR="002750E9" w:rsidRDefault="002750E9" w:rsidP="002750E9">
      <w:pPr>
        <w:ind w:firstLine="709"/>
        <w:jc w:val="both"/>
      </w:pPr>
      <w:r w:rsidRPr="004A3417">
        <w:t>Данные о расхождениях в прогнозных показателях приведены в таблице.</w:t>
      </w:r>
    </w:p>
    <w:p w:rsidR="002750E9" w:rsidRPr="00D260C0" w:rsidRDefault="002750E9" w:rsidP="002750E9">
      <w:pPr>
        <w:ind w:firstLine="709"/>
        <w:jc w:val="right"/>
        <w:rPr>
          <w:sz w:val="20"/>
          <w:szCs w:val="20"/>
        </w:rPr>
      </w:pPr>
      <w:r w:rsidRPr="00D260C0">
        <w:rPr>
          <w:sz w:val="20"/>
          <w:szCs w:val="20"/>
        </w:rPr>
        <w:t>тыс. руб.</w:t>
      </w:r>
    </w:p>
    <w:tbl>
      <w:tblPr>
        <w:tblW w:w="10080" w:type="dxa"/>
        <w:tblInd w:w="93" w:type="dxa"/>
        <w:tblLayout w:type="fixed"/>
        <w:tblLook w:val="04A0"/>
      </w:tblPr>
      <w:tblGrid>
        <w:gridCol w:w="1291"/>
        <w:gridCol w:w="1081"/>
        <w:gridCol w:w="1134"/>
        <w:gridCol w:w="1045"/>
        <w:gridCol w:w="907"/>
        <w:gridCol w:w="1078"/>
        <w:gridCol w:w="842"/>
        <w:gridCol w:w="960"/>
        <w:gridCol w:w="838"/>
        <w:gridCol w:w="904"/>
      </w:tblGrid>
      <w:tr w:rsidR="002750E9" w:rsidRPr="005B40D2" w:rsidTr="000E1B05">
        <w:trPr>
          <w:trHeight w:val="480"/>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50E9" w:rsidRPr="00507CD3" w:rsidRDefault="002750E9" w:rsidP="002750E9">
            <w:pPr>
              <w:jc w:val="center"/>
              <w:rPr>
                <w:sz w:val="20"/>
                <w:szCs w:val="20"/>
              </w:rPr>
            </w:pPr>
            <w:r w:rsidRPr="00507CD3">
              <w:rPr>
                <w:sz w:val="20"/>
                <w:szCs w:val="20"/>
              </w:rPr>
              <w:t xml:space="preserve">   </w:t>
            </w:r>
            <w:r w:rsidRPr="00507CD3">
              <w:rPr>
                <w:color w:val="000000"/>
                <w:sz w:val="20"/>
                <w:szCs w:val="20"/>
              </w:rPr>
              <w:t>Доходы от уплаты акцизов</w:t>
            </w:r>
          </w:p>
        </w:tc>
        <w:tc>
          <w:tcPr>
            <w:tcW w:w="2215" w:type="dxa"/>
            <w:gridSpan w:val="2"/>
            <w:tcBorders>
              <w:top w:val="single" w:sz="4" w:space="0" w:color="auto"/>
              <w:left w:val="nil"/>
              <w:bottom w:val="single" w:sz="4" w:space="0" w:color="auto"/>
              <w:right w:val="single" w:sz="4" w:space="0" w:color="auto"/>
            </w:tcBorders>
            <w:shd w:val="clear" w:color="auto" w:fill="auto"/>
            <w:vAlign w:val="center"/>
            <w:hideMark/>
          </w:tcPr>
          <w:p w:rsidR="002750E9" w:rsidRPr="00507CD3" w:rsidRDefault="002750E9" w:rsidP="002750E9">
            <w:pPr>
              <w:jc w:val="center"/>
              <w:rPr>
                <w:color w:val="000000"/>
                <w:sz w:val="20"/>
                <w:szCs w:val="20"/>
              </w:rPr>
            </w:pPr>
            <w:r w:rsidRPr="00507CD3">
              <w:rPr>
                <w:color w:val="000000"/>
                <w:sz w:val="20"/>
                <w:szCs w:val="20"/>
              </w:rPr>
              <w:t>Данные в расчете РФ (100%)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2750E9" w:rsidRPr="00507CD3" w:rsidRDefault="000E1B05" w:rsidP="000E1B05">
            <w:pPr>
              <w:jc w:val="center"/>
              <w:rPr>
                <w:color w:val="000000"/>
                <w:sz w:val="20"/>
                <w:szCs w:val="20"/>
              </w:rPr>
            </w:pPr>
            <w:r>
              <w:rPr>
                <w:color w:val="000000"/>
                <w:sz w:val="20"/>
                <w:szCs w:val="20"/>
              </w:rPr>
              <w:t>Д</w:t>
            </w:r>
            <w:r w:rsidR="002750E9" w:rsidRPr="00507CD3">
              <w:rPr>
                <w:color w:val="000000"/>
                <w:sz w:val="20"/>
                <w:szCs w:val="20"/>
              </w:rPr>
              <w:t xml:space="preserve">анные </w:t>
            </w:r>
            <w:r>
              <w:rPr>
                <w:color w:val="000000"/>
                <w:sz w:val="20"/>
                <w:szCs w:val="20"/>
              </w:rPr>
              <w:t>к</w:t>
            </w:r>
            <w:r w:rsidR="002750E9" w:rsidRPr="00507CD3">
              <w:rPr>
                <w:color w:val="000000"/>
                <w:sz w:val="20"/>
                <w:szCs w:val="20"/>
              </w:rPr>
              <w:t xml:space="preserve">омитета финансов </w:t>
            </w:r>
          </w:p>
        </w:tc>
        <w:tc>
          <w:tcPr>
            <w:tcW w:w="5529" w:type="dxa"/>
            <w:gridSpan w:val="6"/>
            <w:tcBorders>
              <w:top w:val="single" w:sz="4" w:space="0" w:color="auto"/>
              <w:left w:val="nil"/>
              <w:bottom w:val="single" w:sz="4" w:space="0" w:color="auto"/>
              <w:right w:val="single" w:sz="4" w:space="0" w:color="auto"/>
            </w:tcBorders>
            <w:shd w:val="clear" w:color="auto" w:fill="auto"/>
            <w:vAlign w:val="center"/>
            <w:hideMark/>
          </w:tcPr>
          <w:p w:rsidR="002750E9" w:rsidRPr="00507CD3" w:rsidRDefault="002750E9" w:rsidP="000E1B05">
            <w:pPr>
              <w:jc w:val="center"/>
              <w:rPr>
                <w:color w:val="000000"/>
                <w:sz w:val="20"/>
                <w:szCs w:val="20"/>
              </w:rPr>
            </w:pPr>
            <w:r w:rsidRPr="00507CD3">
              <w:rPr>
                <w:color w:val="000000"/>
                <w:sz w:val="20"/>
                <w:szCs w:val="20"/>
              </w:rPr>
              <w:t>Прогноз поступлений в бюджет Волг</w:t>
            </w:r>
            <w:proofErr w:type="gramStart"/>
            <w:r w:rsidRPr="00507CD3">
              <w:rPr>
                <w:color w:val="000000"/>
                <w:sz w:val="20"/>
                <w:szCs w:val="20"/>
              </w:rPr>
              <w:t>.</w:t>
            </w:r>
            <w:proofErr w:type="gramEnd"/>
            <w:r w:rsidRPr="00507CD3">
              <w:rPr>
                <w:color w:val="000000"/>
                <w:sz w:val="20"/>
                <w:szCs w:val="20"/>
              </w:rPr>
              <w:t xml:space="preserve"> </w:t>
            </w:r>
            <w:proofErr w:type="gramStart"/>
            <w:r w:rsidRPr="00507CD3">
              <w:rPr>
                <w:color w:val="000000"/>
                <w:sz w:val="20"/>
                <w:szCs w:val="20"/>
              </w:rPr>
              <w:t>о</w:t>
            </w:r>
            <w:proofErr w:type="gramEnd"/>
            <w:r w:rsidRPr="00507CD3">
              <w:rPr>
                <w:color w:val="000000"/>
                <w:sz w:val="20"/>
                <w:szCs w:val="20"/>
              </w:rPr>
              <w:t>бл</w:t>
            </w:r>
            <w:r w:rsidR="000E1B05">
              <w:rPr>
                <w:color w:val="000000"/>
                <w:sz w:val="20"/>
                <w:szCs w:val="20"/>
              </w:rPr>
              <w:t>асти</w:t>
            </w:r>
            <w:r w:rsidRPr="00507CD3">
              <w:rPr>
                <w:color w:val="000000"/>
                <w:sz w:val="20"/>
                <w:szCs w:val="20"/>
              </w:rPr>
              <w:t xml:space="preserve"> на 2017 год (норматив 1,6541%)</w:t>
            </w:r>
          </w:p>
        </w:tc>
      </w:tr>
      <w:tr w:rsidR="002750E9" w:rsidRPr="005B40D2" w:rsidTr="00D260C0">
        <w:trPr>
          <w:trHeight w:val="505"/>
        </w:trPr>
        <w:tc>
          <w:tcPr>
            <w:tcW w:w="1291" w:type="dxa"/>
            <w:vMerge/>
            <w:tcBorders>
              <w:top w:val="single" w:sz="4" w:space="0" w:color="auto"/>
              <w:left w:val="single" w:sz="4" w:space="0" w:color="auto"/>
              <w:bottom w:val="single" w:sz="4" w:space="0" w:color="auto"/>
              <w:right w:val="single" w:sz="4" w:space="0" w:color="auto"/>
            </w:tcBorders>
            <w:vAlign w:val="center"/>
            <w:hideMark/>
          </w:tcPr>
          <w:p w:rsidR="002750E9" w:rsidRPr="00507CD3" w:rsidRDefault="002750E9" w:rsidP="002750E9">
            <w:pPr>
              <w:rPr>
                <w:sz w:val="20"/>
                <w:szCs w:val="20"/>
              </w:rPr>
            </w:pPr>
          </w:p>
        </w:tc>
        <w:tc>
          <w:tcPr>
            <w:tcW w:w="1081" w:type="dxa"/>
            <w:vMerge w:val="restart"/>
            <w:tcBorders>
              <w:top w:val="nil"/>
              <w:left w:val="single" w:sz="4" w:space="0" w:color="auto"/>
              <w:bottom w:val="single" w:sz="4" w:space="0" w:color="auto"/>
              <w:right w:val="single" w:sz="4" w:space="0" w:color="auto"/>
            </w:tcBorders>
            <w:shd w:val="clear" w:color="auto" w:fill="auto"/>
            <w:vAlign w:val="center"/>
            <w:hideMark/>
          </w:tcPr>
          <w:p w:rsidR="002750E9" w:rsidRPr="00507CD3" w:rsidRDefault="002750E9" w:rsidP="002750E9">
            <w:pPr>
              <w:jc w:val="center"/>
              <w:rPr>
                <w:color w:val="000000"/>
                <w:sz w:val="20"/>
                <w:szCs w:val="20"/>
              </w:rPr>
            </w:pPr>
            <w:r w:rsidRPr="00507CD3">
              <w:rPr>
                <w:color w:val="000000"/>
                <w:sz w:val="20"/>
                <w:szCs w:val="20"/>
              </w:rPr>
              <w:t>поступления акцизов по РФ в целом (100%)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750E9" w:rsidRPr="00507CD3" w:rsidRDefault="002750E9" w:rsidP="002750E9">
            <w:pPr>
              <w:jc w:val="center"/>
              <w:rPr>
                <w:color w:val="000000"/>
                <w:sz w:val="20"/>
                <w:szCs w:val="20"/>
              </w:rPr>
            </w:pPr>
            <w:r w:rsidRPr="00507CD3">
              <w:rPr>
                <w:color w:val="000000"/>
                <w:sz w:val="20"/>
                <w:szCs w:val="20"/>
              </w:rPr>
              <w:t>к распределению в  субъекты РФ (61,7%)</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rsidR="002750E9" w:rsidRPr="00507CD3" w:rsidRDefault="002750E9" w:rsidP="002750E9">
            <w:pPr>
              <w:jc w:val="center"/>
              <w:rPr>
                <w:color w:val="000000"/>
                <w:sz w:val="20"/>
                <w:szCs w:val="20"/>
              </w:rPr>
            </w:pPr>
            <w:r w:rsidRPr="00507CD3">
              <w:rPr>
                <w:color w:val="000000"/>
                <w:sz w:val="20"/>
                <w:szCs w:val="20"/>
              </w:rPr>
              <w:t>к распределению в субъекты РФ (61,7%)</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750E9" w:rsidRPr="00507CD3" w:rsidRDefault="002750E9" w:rsidP="000E1B05">
            <w:pPr>
              <w:jc w:val="center"/>
              <w:rPr>
                <w:color w:val="000000"/>
                <w:sz w:val="20"/>
                <w:szCs w:val="20"/>
              </w:rPr>
            </w:pPr>
            <w:r w:rsidRPr="00507CD3">
              <w:rPr>
                <w:color w:val="000000"/>
                <w:sz w:val="20"/>
                <w:szCs w:val="20"/>
              </w:rPr>
              <w:t xml:space="preserve">по оценке </w:t>
            </w:r>
            <w:r w:rsidR="000E1B05">
              <w:rPr>
                <w:color w:val="000000"/>
                <w:sz w:val="20"/>
                <w:szCs w:val="20"/>
              </w:rPr>
              <w:t>к</w:t>
            </w:r>
            <w:r w:rsidRPr="00507CD3">
              <w:rPr>
                <w:color w:val="000000"/>
                <w:sz w:val="20"/>
                <w:szCs w:val="20"/>
              </w:rPr>
              <w:t>омитета финансов</w:t>
            </w:r>
          </w:p>
        </w:tc>
        <w:tc>
          <w:tcPr>
            <w:tcW w:w="1802" w:type="dxa"/>
            <w:gridSpan w:val="2"/>
            <w:tcBorders>
              <w:top w:val="single" w:sz="4" w:space="0" w:color="auto"/>
              <w:left w:val="nil"/>
              <w:bottom w:val="single" w:sz="4" w:space="0" w:color="auto"/>
              <w:right w:val="single" w:sz="4" w:space="0" w:color="auto"/>
            </w:tcBorders>
            <w:shd w:val="clear" w:color="auto" w:fill="auto"/>
            <w:vAlign w:val="center"/>
            <w:hideMark/>
          </w:tcPr>
          <w:p w:rsidR="002750E9" w:rsidRPr="00507CD3" w:rsidRDefault="002750E9" w:rsidP="002750E9">
            <w:pPr>
              <w:jc w:val="center"/>
              <w:rPr>
                <w:color w:val="000000"/>
                <w:sz w:val="20"/>
                <w:szCs w:val="20"/>
              </w:rPr>
            </w:pPr>
            <w:r w:rsidRPr="00507CD3">
              <w:rPr>
                <w:color w:val="000000"/>
                <w:sz w:val="20"/>
                <w:szCs w:val="20"/>
              </w:rPr>
              <w:t>по оценке КСП</w:t>
            </w:r>
          </w:p>
        </w:tc>
        <w:tc>
          <w:tcPr>
            <w:tcW w:w="1742" w:type="dxa"/>
            <w:gridSpan w:val="2"/>
            <w:tcBorders>
              <w:top w:val="single" w:sz="4" w:space="0" w:color="auto"/>
              <w:left w:val="nil"/>
              <w:bottom w:val="single" w:sz="4" w:space="0" w:color="auto"/>
              <w:right w:val="single" w:sz="4" w:space="0" w:color="auto"/>
            </w:tcBorders>
            <w:shd w:val="clear" w:color="auto" w:fill="auto"/>
            <w:vAlign w:val="center"/>
            <w:hideMark/>
          </w:tcPr>
          <w:p w:rsidR="002750E9" w:rsidRPr="00507CD3" w:rsidRDefault="00A203DB" w:rsidP="002750E9">
            <w:pPr>
              <w:jc w:val="center"/>
              <w:rPr>
                <w:color w:val="000000"/>
                <w:sz w:val="20"/>
                <w:szCs w:val="20"/>
              </w:rPr>
            </w:pPr>
            <w:r w:rsidRPr="00507CD3">
              <w:rPr>
                <w:color w:val="000000"/>
                <w:sz w:val="20"/>
                <w:szCs w:val="20"/>
              </w:rPr>
              <w:t>О</w:t>
            </w:r>
            <w:r w:rsidR="002750E9" w:rsidRPr="00507CD3">
              <w:rPr>
                <w:color w:val="000000"/>
                <w:sz w:val="20"/>
                <w:szCs w:val="20"/>
              </w:rPr>
              <w:t>тклонение</w:t>
            </w:r>
          </w:p>
        </w:tc>
      </w:tr>
      <w:tr w:rsidR="002750E9" w:rsidRPr="005B40D2" w:rsidTr="00D260C0">
        <w:trPr>
          <w:trHeight w:val="692"/>
        </w:trPr>
        <w:tc>
          <w:tcPr>
            <w:tcW w:w="1291" w:type="dxa"/>
            <w:vMerge/>
            <w:tcBorders>
              <w:top w:val="single" w:sz="4" w:space="0" w:color="auto"/>
              <w:left w:val="single" w:sz="4" w:space="0" w:color="auto"/>
              <w:bottom w:val="single" w:sz="4" w:space="0" w:color="auto"/>
              <w:right w:val="single" w:sz="4" w:space="0" w:color="auto"/>
            </w:tcBorders>
            <w:vAlign w:val="center"/>
            <w:hideMark/>
          </w:tcPr>
          <w:p w:rsidR="002750E9" w:rsidRPr="00507CD3" w:rsidRDefault="002750E9" w:rsidP="002750E9">
            <w:pPr>
              <w:rPr>
                <w:sz w:val="20"/>
                <w:szCs w:val="20"/>
              </w:rPr>
            </w:pPr>
          </w:p>
        </w:tc>
        <w:tc>
          <w:tcPr>
            <w:tcW w:w="1081" w:type="dxa"/>
            <w:vMerge/>
            <w:tcBorders>
              <w:top w:val="nil"/>
              <w:left w:val="single" w:sz="4" w:space="0" w:color="auto"/>
              <w:bottom w:val="single" w:sz="4" w:space="0" w:color="auto"/>
              <w:right w:val="single" w:sz="4" w:space="0" w:color="auto"/>
            </w:tcBorders>
            <w:vAlign w:val="center"/>
            <w:hideMark/>
          </w:tcPr>
          <w:p w:rsidR="002750E9" w:rsidRPr="00507CD3" w:rsidRDefault="002750E9" w:rsidP="002750E9">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2750E9" w:rsidRPr="00507CD3" w:rsidRDefault="002750E9" w:rsidP="002750E9">
            <w:pPr>
              <w:rPr>
                <w:color w:val="000000"/>
                <w:sz w:val="20"/>
                <w:szCs w:val="20"/>
              </w:rPr>
            </w:pPr>
          </w:p>
        </w:tc>
        <w:tc>
          <w:tcPr>
            <w:tcW w:w="1045" w:type="dxa"/>
            <w:vMerge/>
            <w:tcBorders>
              <w:top w:val="nil"/>
              <w:left w:val="single" w:sz="4" w:space="0" w:color="auto"/>
              <w:bottom w:val="single" w:sz="4" w:space="0" w:color="auto"/>
              <w:right w:val="single" w:sz="4" w:space="0" w:color="auto"/>
            </w:tcBorders>
            <w:vAlign w:val="center"/>
            <w:hideMark/>
          </w:tcPr>
          <w:p w:rsidR="002750E9" w:rsidRPr="00507CD3" w:rsidRDefault="002750E9" w:rsidP="002750E9">
            <w:pPr>
              <w:rPr>
                <w:color w:val="000000"/>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2750E9" w:rsidRPr="00507CD3" w:rsidRDefault="002750E9" w:rsidP="002750E9">
            <w:pPr>
              <w:jc w:val="center"/>
              <w:rPr>
                <w:color w:val="000000"/>
                <w:sz w:val="20"/>
                <w:szCs w:val="20"/>
              </w:rPr>
            </w:pPr>
            <w:r w:rsidRPr="00507CD3">
              <w:rPr>
                <w:color w:val="000000"/>
                <w:sz w:val="20"/>
                <w:szCs w:val="20"/>
              </w:rPr>
              <w:t>всего</w:t>
            </w:r>
          </w:p>
        </w:tc>
        <w:tc>
          <w:tcPr>
            <w:tcW w:w="1078" w:type="dxa"/>
            <w:tcBorders>
              <w:top w:val="nil"/>
              <w:left w:val="nil"/>
              <w:bottom w:val="single" w:sz="4" w:space="0" w:color="auto"/>
              <w:right w:val="single" w:sz="4" w:space="0" w:color="auto"/>
            </w:tcBorders>
            <w:shd w:val="clear" w:color="auto" w:fill="auto"/>
            <w:vAlign w:val="center"/>
            <w:hideMark/>
          </w:tcPr>
          <w:p w:rsidR="002750E9" w:rsidRPr="00507CD3" w:rsidRDefault="002750E9" w:rsidP="002750E9">
            <w:pPr>
              <w:jc w:val="center"/>
              <w:rPr>
                <w:color w:val="000000"/>
                <w:sz w:val="20"/>
                <w:szCs w:val="20"/>
              </w:rPr>
            </w:pPr>
            <w:r w:rsidRPr="00507CD3">
              <w:rPr>
                <w:color w:val="000000"/>
                <w:sz w:val="20"/>
                <w:szCs w:val="20"/>
              </w:rPr>
              <w:t>90% в обл. бюджет</w:t>
            </w:r>
          </w:p>
        </w:tc>
        <w:tc>
          <w:tcPr>
            <w:tcW w:w="842" w:type="dxa"/>
            <w:tcBorders>
              <w:top w:val="nil"/>
              <w:left w:val="nil"/>
              <w:bottom w:val="single" w:sz="4" w:space="0" w:color="auto"/>
              <w:right w:val="single" w:sz="4" w:space="0" w:color="auto"/>
            </w:tcBorders>
            <w:shd w:val="clear" w:color="auto" w:fill="auto"/>
            <w:vAlign w:val="center"/>
            <w:hideMark/>
          </w:tcPr>
          <w:p w:rsidR="002750E9" w:rsidRPr="00507CD3" w:rsidRDefault="002750E9" w:rsidP="002750E9">
            <w:pPr>
              <w:jc w:val="center"/>
              <w:rPr>
                <w:color w:val="000000"/>
                <w:sz w:val="20"/>
                <w:szCs w:val="20"/>
              </w:rPr>
            </w:pPr>
            <w:r w:rsidRPr="00507CD3">
              <w:rPr>
                <w:color w:val="000000"/>
                <w:sz w:val="20"/>
                <w:szCs w:val="20"/>
              </w:rPr>
              <w:t>всего</w:t>
            </w:r>
          </w:p>
        </w:tc>
        <w:tc>
          <w:tcPr>
            <w:tcW w:w="960" w:type="dxa"/>
            <w:tcBorders>
              <w:top w:val="nil"/>
              <w:left w:val="nil"/>
              <w:bottom w:val="single" w:sz="4" w:space="0" w:color="auto"/>
              <w:right w:val="single" w:sz="4" w:space="0" w:color="auto"/>
            </w:tcBorders>
            <w:shd w:val="clear" w:color="auto" w:fill="auto"/>
            <w:vAlign w:val="center"/>
            <w:hideMark/>
          </w:tcPr>
          <w:p w:rsidR="002750E9" w:rsidRPr="00507CD3" w:rsidRDefault="002750E9" w:rsidP="002750E9">
            <w:pPr>
              <w:jc w:val="center"/>
              <w:rPr>
                <w:color w:val="000000"/>
                <w:sz w:val="20"/>
                <w:szCs w:val="20"/>
              </w:rPr>
            </w:pPr>
            <w:r w:rsidRPr="00507CD3">
              <w:rPr>
                <w:color w:val="000000"/>
                <w:sz w:val="20"/>
                <w:szCs w:val="20"/>
              </w:rPr>
              <w:t>90% в обл. бюджет</w:t>
            </w:r>
          </w:p>
        </w:tc>
        <w:tc>
          <w:tcPr>
            <w:tcW w:w="838" w:type="dxa"/>
            <w:tcBorders>
              <w:top w:val="nil"/>
              <w:left w:val="nil"/>
              <w:bottom w:val="single" w:sz="4" w:space="0" w:color="auto"/>
              <w:right w:val="single" w:sz="4" w:space="0" w:color="auto"/>
            </w:tcBorders>
            <w:shd w:val="clear" w:color="auto" w:fill="auto"/>
            <w:vAlign w:val="center"/>
            <w:hideMark/>
          </w:tcPr>
          <w:p w:rsidR="002750E9" w:rsidRPr="00507CD3" w:rsidRDefault="002750E9" w:rsidP="002750E9">
            <w:pPr>
              <w:jc w:val="center"/>
              <w:rPr>
                <w:color w:val="000000"/>
                <w:sz w:val="20"/>
                <w:szCs w:val="20"/>
              </w:rPr>
            </w:pPr>
            <w:r w:rsidRPr="00507CD3">
              <w:rPr>
                <w:color w:val="000000"/>
                <w:sz w:val="20"/>
                <w:szCs w:val="20"/>
              </w:rPr>
              <w:t>всего</w:t>
            </w:r>
          </w:p>
        </w:tc>
        <w:tc>
          <w:tcPr>
            <w:tcW w:w="904" w:type="dxa"/>
            <w:tcBorders>
              <w:top w:val="nil"/>
              <w:left w:val="nil"/>
              <w:bottom w:val="single" w:sz="4" w:space="0" w:color="auto"/>
              <w:right w:val="single" w:sz="4" w:space="0" w:color="auto"/>
            </w:tcBorders>
            <w:shd w:val="clear" w:color="auto" w:fill="auto"/>
            <w:vAlign w:val="center"/>
            <w:hideMark/>
          </w:tcPr>
          <w:p w:rsidR="002750E9" w:rsidRPr="00507CD3" w:rsidRDefault="002750E9" w:rsidP="002750E9">
            <w:pPr>
              <w:jc w:val="center"/>
              <w:rPr>
                <w:color w:val="000000"/>
                <w:sz w:val="20"/>
                <w:szCs w:val="20"/>
              </w:rPr>
            </w:pPr>
            <w:r w:rsidRPr="00507CD3">
              <w:rPr>
                <w:color w:val="000000"/>
                <w:sz w:val="20"/>
                <w:szCs w:val="20"/>
              </w:rPr>
              <w:t>90% в обл. бюджет</w:t>
            </w:r>
          </w:p>
        </w:tc>
      </w:tr>
      <w:tr w:rsidR="002750E9" w:rsidRPr="005B40D2" w:rsidTr="00D260C0">
        <w:trPr>
          <w:trHeight w:val="520"/>
        </w:trPr>
        <w:tc>
          <w:tcPr>
            <w:tcW w:w="1291" w:type="dxa"/>
            <w:tcBorders>
              <w:top w:val="nil"/>
              <w:left w:val="single" w:sz="4" w:space="0" w:color="auto"/>
              <w:bottom w:val="single" w:sz="4" w:space="0" w:color="auto"/>
              <w:right w:val="single" w:sz="4" w:space="0" w:color="auto"/>
            </w:tcBorders>
            <w:shd w:val="clear" w:color="auto" w:fill="auto"/>
            <w:vAlign w:val="bottom"/>
            <w:hideMark/>
          </w:tcPr>
          <w:p w:rsidR="002750E9" w:rsidRPr="00507CD3" w:rsidRDefault="002750E9" w:rsidP="002750E9">
            <w:pPr>
              <w:rPr>
                <w:color w:val="000000"/>
                <w:sz w:val="20"/>
                <w:szCs w:val="20"/>
              </w:rPr>
            </w:pPr>
            <w:r w:rsidRPr="00507CD3">
              <w:rPr>
                <w:color w:val="000000"/>
                <w:sz w:val="20"/>
                <w:szCs w:val="20"/>
              </w:rPr>
              <w:t>на дизельное топливо</w:t>
            </w:r>
          </w:p>
        </w:tc>
        <w:tc>
          <w:tcPr>
            <w:tcW w:w="1081" w:type="dxa"/>
            <w:tcBorders>
              <w:top w:val="nil"/>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169 799 883</w:t>
            </w:r>
          </w:p>
        </w:tc>
        <w:tc>
          <w:tcPr>
            <w:tcW w:w="1134" w:type="dxa"/>
            <w:tcBorders>
              <w:top w:val="nil"/>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104 766 528</w:t>
            </w:r>
          </w:p>
        </w:tc>
        <w:tc>
          <w:tcPr>
            <w:tcW w:w="1045" w:type="dxa"/>
            <w:tcBorders>
              <w:top w:val="nil"/>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97 799 528</w:t>
            </w:r>
          </w:p>
        </w:tc>
        <w:tc>
          <w:tcPr>
            <w:tcW w:w="907" w:type="dxa"/>
            <w:tcBorders>
              <w:top w:val="nil"/>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1 617 702</w:t>
            </w:r>
          </w:p>
        </w:tc>
        <w:tc>
          <w:tcPr>
            <w:tcW w:w="1078" w:type="dxa"/>
            <w:tcBorders>
              <w:top w:val="nil"/>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1 455 932</w:t>
            </w:r>
          </w:p>
        </w:tc>
        <w:tc>
          <w:tcPr>
            <w:tcW w:w="842" w:type="dxa"/>
            <w:tcBorders>
              <w:top w:val="nil"/>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1 732 943</w:t>
            </w:r>
          </w:p>
        </w:tc>
        <w:tc>
          <w:tcPr>
            <w:tcW w:w="960" w:type="dxa"/>
            <w:tcBorders>
              <w:top w:val="nil"/>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1 559 649</w:t>
            </w:r>
          </w:p>
        </w:tc>
        <w:tc>
          <w:tcPr>
            <w:tcW w:w="838" w:type="dxa"/>
            <w:tcBorders>
              <w:top w:val="nil"/>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115 241</w:t>
            </w:r>
          </w:p>
        </w:tc>
        <w:tc>
          <w:tcPr>
            <w:tcW w:w="904" w:type="dxa"/>
            <w:tcBorders>
              <w:top w:val="nil"/>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103 717</w:t>
            </w:r>
          </w:p>
        </w:tc>
      </w:tr>
      <w:tr w:rsidR="002750E9" w:rsidRPr="005B40D2" w:rsidTr="00D260C0">
        <w:trPr>
          <w:trHeight w:val="255"/>
        </w:trPr>
        <w:tc>
          <w:tcPr>
            <w:tcW w:w="1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50E9" w:rsidRPr="00507CD3" w:rsidRDefault="002750E9" w:rsidP="002750E9">
            <w:pPr>
              <w:rPr>
                <w:color w:val="000000"/>
                <w:sz w:val="20"/>
                <w:szCs w:val="20"/>
              </w:rPr>
            </w:pPr>
            <w:r w:rsidRPr="00507CD3">
              <w:rPr>
                <w:color w:val="000000"/>
                <w:sz w:val="20"/>
                <w:szCs w:val="20"/>
              </w:rPr>
              <w:t xml:space="preserve">на моторные </w:t>
            </w:r>
            <w:r w:rsidRPr="00507CD3">
              <w:rPr>
                <w:color w:val="000000"/>
                <w:sz w:val="20"/>
                <w:szCs w:val="20"/>
              </w:rPr>
              <w:lastRenderedPageBreak/>
              <w:t>масла</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lastRenderedPageBreak/>
              <w:t>1 691 340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1 043 557</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974 125</w:t>
            </w:r>
          </w:p>
        </w:tc>
        <w:tc>
          <w:tcPr>
            <w:tcW w:w="907" w:type="dxa"/>
            <w:tcBorders>
              <w:top w:val="single" w:sz="4" w:space="0" w:color="auto"/>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16 113</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14 502</w:t>
            </w:r>
          </w:p>
        </w:tc>
        <w:tc>
          <w:tcPr>
            <w:tcW w:w="842" w:type="dxa"/>
            <w:tcBorders>
              <w:top w:val="single" w:sz="4" w:space="0" w:color="auto"/>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17 261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15 535</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1 148</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rsidR="002750E9" w:rsidRPr="00507CD3" w:rsidRDefault="002750E9" w:rsidP="002750E9">
            <w:pPr>
              <w:jc w:val="center"/>
              <w:rPr>
                <w:color w:val="000000"/>
                <w:sz w:val="16"/>
                <w:szCs w:val="16"/>
              </w:rPr>
            </w:pPr>
            <w:r w:rsidRPr="00507CD3">
              <w:rPr>
                <w:color w:val="000000"/>
                <w:sz w:val="16"/>
                <w:szCs w:val="16"/>
              </w:rPr>
              <w:t>1 034</w:t>
            </w:r>
          </w:p>
        </w:tc>
      </w:tr>
      <w:tr w:rsidR="002750E9" w:rsidRPr="005B40D2" w:rsidTr="00D260C0">
        <w:trPr>
          <w:trHeight w:val="480"/>
        </w:trPr>
        <w:tc>
          <w:tcPr>
            <w:tcW w:w="1291" w:type="dxa"/>
            <w:tcBorders>
              <w:top w:val="nil"/>
              <w:left w:val="single" w:sz="4" w:space="0" w:color="auto"/>
              <w:bottom w:val="single" w:sz="4" w:space="0" w:color="auto"/>
              <w:right w:val="single" w:sz="4" w:space="0" w:color="auto"/>
            </w:tcBorders>
            <w:shd w:val="clear" w:color="auto" w:fill="auto"/>
            <w:vAlign w:val="bottom"/>
            <w:hideMark/>
          </w:tcPr>
          <w:p w:rsidR="00D260C0" w:rsidRDefault="002750E9" w:rsidP="002750E9">
            <w:pPr>
              <w:rPr>
                <w:color w:val="000000"/>
                <w:sz w:val="18"/>
                <w:szCs w:val="18"/>
              </w:rPr>
            </w:pPr>
            <w:r w:rsidRPr="005B40D2">
              <w:rPr>
                <w:color w:val="000000"/>
                <w:sz w:val="18"/>
                <w:szCs w:val="18"/>
              </w:rPr>
              <w:lastRenderedPageBreak/>
              <w:t>на автомобиль</w:t>
            </w:r>
          </w:p>
          <w:p w:rsidR="002750E9" w:rsidRPr="005B40D2" w:rsidRDefault="002750E9" w:rsidP="002750E9">
            <w:pPr>
              <w:rPr>
                <w:color w:val="000000"/>
                <w:sz w:val="18"/>
                <w:szCs w:val="18"/>
              </w:rPr>
            </w:pPr>
            <w:proofErr w:type="spellStart"/>
            <w:r w:rsidRPr="005B40D2">
              <w:rPr>
                <w:color w:val="000000"/>
                <w:sz w:val="18"/>
                <w:szCs w:val="18"/>
              </w:rPr>
              <w:t>ный</w:t>
            </w:r>
            <w:proofErr w:type="spellEnd"/>
            <w:r w:rsidRPr="005B40D2">
              <w:rPr>
                <w:color w:val="000000"/>
                <w:sz w:val="18"/>
                <w:szCs w:val="18"/>
              </w:rPr>
              <w:t xml:space="preserve"> бензин</w:t>
            </w:r>
          </w:p>
        </w:tc>
        <w:tc>
          <w:tcPr>
            <w:tcW w:w="1081"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359 701 130</w:t>
            </w:r>
          </w:p>
        </w:tc>
        <w:tc>
          <w:tcPr>
            <w:tcW w:w="1134"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221 935 597</w:t>
            </w:r>
          </w:p>
        </w:tc>
        <w:tc>
          <w:tcPr>
            <w:tcW w:w="1045"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507CD3">
            <w:pPr>
              <w:jc w:val="center"/>
              <w:rPr>
                <w:color w:val="000000"/>
                <w:sz w:val="16"/>
                <w:szCs w:val="16"/>
              </w:rPr>
            </w:pPr>
            <w:r w:rsidRPr="005B40D2">
              <w:rPr>
                <w:color w:val="000000"/>
                <w:sz w:val="16"/>
                <w:szCs w:val="16"/>
              </w:rPr>
              <w:t>207 176 894</w:t>
            </w:r>
          </w:p>
        </w:tc>
        <w:tc>
          <w:tcPr>
            <w:tcW w:w="907"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3 426 913</w:t>
            </w:r>
          </w:p>
        </w:tc>
        <w:tc>
          <w:tcPr>
            <w:tcW w:w="1078"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3 084 222</w:t>
            </w:r>
          </w:p>
        </w:tc>
        <w:tc>
          <w:tcPr>
            <w:tcW w:w="842"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3 671 037</w:t>
            </w:r>
          </w:p>
        </w:tc>
        <w:tc>
          <w:tcPr>
            <w:tcW w:w="960"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3 303 933</w:t>
            </w:r>
          </w:p>
        </w:tc>
        <w:tc>
          <w:tcPr>
            <w:tcW w:w="838"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244 124</w:t>
            </w:r>
          </w:p>
        </w:tc>
        <w:tc>
          <w:tcPr>
            <w:tcW w:w="904"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219 711</w:t>
            </w:r>
          </w:p>
        </w:tc>
      </w:tr>
      <w:tr w:rsidR="002750E9" w:rsidRPr="005B40D2" w:rsidTr="00D260C0">
        <w:trPr>
          <w:trHeight w:val="480"/>
        </w:trPr>
        <w:tc>
          <w:tcPr>
            <w:tcW w:w="1291" w:type="dxa"/>
            <w:tcBorders>
              <w:top w:val="nil"/>
              <w:left w:val="single" w:sz="4" w:space="0" w:color="auto"/>
              <w:bottom w:val="single" w:sz="4" w:space="0" w:color="auto"/>
              <w:right w:val="single" w:sz="4" w:space="0" w:color="auto"/>
            </w:tcBorders>
            <w:shd w:val="clear" w:color="auto" w:fill="auto"/>
            <w:vAlign w:val="bottom"/>
            <w:hideMark/>
          </w:tcPr>
          <w:p w:rsidR="002750E9" w:rsidRPr="005B40D2" w:rsidRDefault="002750E9" w:rsidP="002750E9">
            <w:pPr>
              <w:rPr>
                <w:color w:val="000000"/>
                <w:sz w:val="18"/>
                <w:szCs w:val="18"/>
              </w:rPr>
            </w:pPr>
            <w:r w:rsidRPr="005B40D2">
              <w:rPr>
                <w:color w:val="000000"/>
                <w:sz w:val="18"/>
                <w:szCs w:val="18"/>
              </w:rPr>
              <w:t>на прямогонный бензин</w:t>
            </w:r>
          </w:p>
        </w:tc>
        <w:tc>
          <w:tcPr>
            <w:tcW w:w="1081"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-33 962 340</w:t>
            </w:r>
          </w:p>
        </w:tc>
        <w:tc>
          <w:tcPr>
            <w:tcW w:w="1134"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-20 954 764</w:t>
            </w:r>
          </w:p>
        </w:tc>
        <w:tc>
          <w:tcPr>
            <w:tcW w:w="1045"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-19 561 272</w:t>
            </w:r>
          </w:p>
        </w:tc>
        <w:tc>
          <w:tcPr>
            <w:tcW w:w="907"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-323 563</w:t>
            </w:r>
          </w:p>
        </w:tc>
        <w:tc>
          <w:tcPr>
            <w:tcW w:w="1078"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-291 207</w:t>
            </w:r>
          </w:p>
        </w:tc>
        <w:tc>
          <w:tcPr>
            <w:tcW w:w="842"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-346 613</w:t>
            </w:r>
          </w:p>
        </w:tc>
        <w:tc>
          <w:tcPr>
            <w:tcW w:w="960"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-311 951</w:t>
            </w:r>
          </w:p>
        </w:tc>
        <w:tc>
          <w:tcPr>
            <w:tcW w:w="838"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-23 050</w:t>
            </w:r>
          </w:p>
        </w:tc>
        <w:tc>
          <w:tcPr>
            <w:tcW w:w="904"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color w:val="000000"/>
                <w:sz w:val="16"/>
                <w:szCs w:val="16"/>
              </w:rPr>
            </w:pPr>
            <w:r w:rsidRPr="005B40D2">
              <w:rPr>
                <w:color w:val="000000"/>
                <w:sz w:val="16"/>
                <w:szCs w:val="16"/>
              </w:rPr>
              <w:t>-20 745</w:t>
            </w:r>
          </w:p>
        </w:tc>
      </w:tr>
      <w:tr w:rsidR="002750E9" w:rsidRPr="005B40D2" w:rsidTr="00D260C0">
        <w:trPr>
          <w:trHeight w:val="255"/>
        </w:trPr>
        <w:tc>
          <w:tcPr>
            <w:tcW w:w="1291" w:type="dxa"/>
            <w:tcBorders>
              <w:top w:val="nil"/>
              <w:left w:val="single" w:sz="4" w:space="0" w:color="auto"/>
              <w:bottom w:val="single" w:sz="4" w:space="0" w:color="auto"/>
              <w:right w:val="single" w:sz="4" w:space="0" w:color="auto"/>
            </w:tcBorders>
            <w:shd w:val="clear" w:color="auto" w:fill="auto"/>
            <w:vAlign w:val="bottom"/>
            <w:hideMark/>
          </w:tcPr>
          <w:p w:rsidR="002750E9" w:rsidRPr="005B40D2" w:rsidRDefault="002750E9" w:rsidP="002750E9">
            <w:pPr>
              <w:jc w:val="center"/>
              <w:rPr>
                <w:b/>
                <w:bCs/>
                <w:color w:val="000000"/>
                <w:sz w:val="20"/>
                <w:szCs w:val="20"/>
              </w:rPr>
            </w:pPr>
            <w:r w:rsidRPr="005B40D2">
              <w:rPr>
                <w:b/>
                <w:bCs/>
                <w:color w:val="000000"/>
                <w:sz w:val="20"/>
                <w:szCs w:val="20"/>
              </w:rPr>
              <w:t>Итого</w:t>
            </w:r>
          </w:p>
        </w:tc>
        <w:tc>
          <w:tcPr>
            <w:tcW w:w="1081"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b/>
                <w:bCs/>
                <w:color w:val="000000"/>
                <w:sz w:val="16"/>
                <w:szCs w:val="16"/>
              </w:rPr>
            </w:pPr>
            <w:r w:rsidRPr="005B40D2">
              <w:rPr>
                <w:b/>
                <w:bCs/>
                <w:color w:val="000000"/>
                <w:sz w:val="16"/>
                <w:szCs w:val="16"/>
              </w:rPr>
              <w:t>497 230 013</w:t>
            </w:r>
          </w:p>
        </w:tc>
        <w:tc>
          <w:tcPr>
            <w:tcW w:w="1134"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b/>
                <w:bCs/>
                <w:color w:val="000000"/>
                <w:sz w:val="16"/>
                <w:szCs w:val="16"/>
              </w:rPr>
            </w:pPr>
            <w:r w:rsidRPr="005B40D2">
              <w:rPr>
                <w:b/>
                <w:bCs/>
                <w:color w:val="000000"/>
                <w:sz w:val="16"/>
                <w:szCs w:val="16"/>
              </w:rPr>
              <w:t>306 790 918</w:t>
            </w:r>
          </w:p>
        </w:tc>
        <w:tc>
          <w:tcPr>
            <w:tcW w:w="1045"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ind w:left="-108" w:right="-108"/>
              <w:jc w:val="center"/>
              <w:rPr>
                <w:b/>
                <w:bCs/>
                <w:color w:val="000000"/>
                <w:sz w:val="16"/>
                <w:szCs w:val="16"/>
              </w:rPr>
            </w:pPr>
            <w:r w:rsidRPr="005B40D2">
              <w:rPr>
                <w:b/>
                <w:bCs/>
                <w:color w:val="000000"/>
                <w:sz w:val="16"/>
                <w:szCs w:val="16"/>
              </w:rPr>
              <w:t>286 389 275</w:t>
            </w:r>
          </w:p>
        </w:tc>
        <w:tc>
          <w:tcPr>
            <w:tcW w:w="907"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b/>
                <w:bCs/>
                <w:color w:val="000000"/>
                <w:sz w:val="16"/>
                <w:szCs w:val="16"/>
              </w:rPr>
            </w:pPr>
            <w:r w:rsidRPr="005B40D2">
              <w:rPr>
                <w:b/>
                <w:bCs/>
                <w:color w:val="000000"/>
                <w:sz w:val="16"/>
                <w:szCs w:val="16"/>
              </w:rPr>
              <w:t>4 737 165</w:t>
            </w:r>
          </w:p>
        </w:tc>
        <w:tc>
          <w:tcPr>
            <w:tcW w:w="1078"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b/>
                <w:bCs/>
                <w:color w:val="000000"/>
                <w:sz w:val="16"/>
                <w:szCs w:val="16"/>
              </w:rPr>
            </w:pPr>
            <w:r w:rsidRPr="005B40D2">
              <w:rPr>
                <w:b/>
                <w:bCs/>
                <w:color w:val="000000"/>
                <w:sz w:val="16"/>
                <w:szCs w:val="16"/>
              </w:rPr>
              <w:t>4 263 448</w:t>
            </w:r>
          </w:p>
        </w:tc>
        <w:tc>
          <w:tcPr>
            <w:tcW w:w="842"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b/>
                <w:bCs/>
                <w:color w:val="000000"/>
                <w:sz w:val="16"/>
                <w:szCs w:val="16"/>
              </w:rPr>
            </w:pPr>
            <w:r w:rsidRPr="005B40D2">
              <w:rPr>
                <w:b/>
                <w:bCs/>
                <w:color w:val="000000"/>
                <w:sz w:val="16"/>
                <w:szCs w:val="16"/>
              </w:rPr>
              <w:t>5 074 629</w:t>
            </w:r>
          </w:p>
        </w:tc>
        <w:tc>
          <w:tcPr>
            <w:tcW w:w="960"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b/>
                <w:bCs/>
                <w:color w:val="000000"/>
                <w:sz w:val="16"/>
                <w:szCs w:val="16"/>
              </w:rPr>
            </w:pPr>
            <w:r w:rsidRPr="005B40D2">
              <w:rPr>
                <w:b/>
                <w:bCs/>
                <w:color w:val="000000"/>
                <w:sz w:val="16"/>
                <w:szCs w:val="16"/>
              </w:rPr>
              <w:t>4 567 166</w:t>
            </w:r>
          </w:p>
        </w:tc>
        <w:tc>
          <w:tcPr>
            <w:tcW w:w="838"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b/>
                <w:bCs/>
                <w:color w:val="000000"/>
                <w:sz w:val="16"/>
                <w:szCs w:val="16"/>
              </w:rPr>
            </w:pPr>
            <w:r w:rsidRPr="005B40D2">
              <w:rPr>
                <w:b/>
                <w:bCs/>
                <w:color w:val="000000"/>
                <w:sz w:val="16"/>
                <w:szCs w:val="16"/>
              </w:rPr>
              <w:t>337 464</w:t>
            </w:r>
          </w:p>
        </w:tc>
        <w:tc>
          <w:tcPr>
            <w:tcW w:w="904" w:type="dxa"/>
            <w:tcBorders>
              <w:top w:val="nil"/>
              <w:left w:val="nil"/>
              <w:bottom w:val="single" w:sz="4" w:space="0" w:color="auto"/>
              <w:right w:val="single" w:sz="4" w:space="0" w:color="auto"/>
            </w:tcBorders>
            <w:shd w:val="clear" w:color="auto" w:fill="auto"/>
            <w:noWrap/>
            <w:vAlign w:val="bottom"/>
            <w:hideMark/>
          </w:tcPr>
          <w:p w:rsidR="002750E9" w:rsidRPr="005B40D2" w:rsidRDefault="002750E9" w:rsidP="002750E9">
            <w:pPr>
              <w:jc w:val="center"/>
              <w:rPr>
                <w:b/>
                <w:bCs/>
                <w:color w:val="000000"/>
                <w:sz w:val="16"/>
                <w:szCs w:val="16"/>
              </w:rPr>
            </w:pPr>
            <w:r w:rsidRPr="005B40D2">
              <w:rPr>
                <w:b/>
                <w:bCs/>
                <w:color w:val="000000"/>
                <w:sz w:val="16"/>
                <w:szCs w:val="16"/>
              </w:rPr>
              <w:t>303 717</w:t>
            </w:r>
          </w:p>
        </w:tc>
      </w:tr>
    </w:tbl>
    <w:p w:rsidR="002750E9" w:rsidRDefault="002750E9" w:rsidP="002750E9">
      <w:pPr>
        <w:ind w:firstLine="709"/>
        <w:jc w:val="both"/>
      </w:pPr>
    </w:p>
    <w:p w:rsidR="002750E9" w:rsidRPr="00D260C0" w:rsidRDefault="002750E9" w:rsidP="002750E9">
      <w:pPr>
        <w:autoSpaceDE w:val="0"/>
        <w:autoSpaceDN w:val="0"/>
        <w:adjustRightInd w:val="0"/>
        <w:ind w:firstLine="709"/>
        <w:jc w:val="both"/>
        <w:outlineLvl w:val="0"/>
        <w:rPr>
          <w:b/>
          <w:i/>
          <w:color w:val="FF0000"/>
        </w:rPr>
      </w:pPr>
      <w:r>
        <w:t xml:space="preserve">Как видно из таблицы, </w:t>
      </w:r>
      <w:r w:rsidRPr="00D260C0">
        <w:rPr>
          <w:b/>
          <w:i/>
        </w:rPr>
        <w:t xml:space="preserve">расчетные показатели по доходам от уплаты акцизов на нефтепродукты на 2017 год в целом в консолидированный бюджет Волгоградской области занижены на 337,5 млн. руб., из них в областной бюджет (при нормативе 90%) – на 303,7 млн. рублей. </w:t>
      </w:r>
    </w:p>
    <w:p w:rsidR="002750E9" w:rsidRPr="0045522B" w:rsidRDefault="002750E9" w:rsidP="002750E9">
      <w:pPr>
        <w:pStyle w:val="af1"/>
        <w:ind w:firstLine="567"/>
        <w:jc w:val="both"/>
        <w:rPr>
          <w:rFonts w:ascii="Times New Roman" w:hAnsi="Times New Roman"/>
        </w:rPr>
      </w:pPr>
      <w:proofErr w:type="gramStart"/>
      <w:r w:rsidRPr="0045522B">
        <w:rPr>
          <w:rFonts w:ascii="Times New Roman" w:hAnsi="Times New Roman"/>
          <w:color w:val="000000"/>
        </w:rPr>
        <w:t xml:space="preserve">Также следует обратить внимание, что </w:t>
      </w:r>
      <w:r>
        <w:rPr>
          <w:rFonts w:ascii="Times New Roman" w:hAnsi="Times New Roman"/>
          <w:color w:val="000000"/>
        </w:rPr>
        <w:t xml:space="preserve">с 1 июня 2016 года </w:t>
      </w:r>
      <w:r w:rsidRPr="0045522B">
        <w:rPr>
          <w:rFonts w:ascii="Times New Roman" w:hAnsi="Times New Roman"/>
          <w:color w:val="000000"/>
        </w:rPr>
        <w:t xml:space="preserve">в соответствии с </w:t>
      </w:r>
      <w:r w:rsidRPr="0045522B">
        <w:rPr>
          <w:rFonts w:ascii="Times New Roman" w:hAnsi="Times New Roman"/>
        </w:rPr>
        <w:t xml:space="preserve">Федеральным законом от 23 мая 2016 г. </w:t>
      </w:r>
      <w:r w:rsidR="000E1B05">
        <w:rPr>
          <w:rFonts w:ascii="Times New Roman" w:hAnsi="Times New Roman"/>
        </w:rPr>
        <w:t>№</w:t>
      </w:r>
      <w:r w:rsidRPr="0045522B">
        <w:rPr>
          <w:rFonts w:ascii="Times New Roman" w:hAnsi="Times New Roman"/>
        </w:rPr>
        <w:t>145</w:t>
      </w:r>
      <w:r>
        <w:rPr>
          <w:rFonts w:ascii="Times New Roman" w:hAnsi="Times New Roman"/>
        </w:rPr>
        <w:t>-ФЗ «</w:t>
      </w:r>
      <w:r w:rsidRPr="0045522B">
        <w:rPr>
          <w:rFonts w:ascii="Times New Roman" w:hAnsi="Times New Roman"/>
        </w:rPr>
        <w:t xml:space="preserve">О внесении изменений в Бюджетный кодекс Российской Федерации и статью 6 Федерального закона </w:t>
      </w:r>
      <w:r w:rsidR="000E1B05">
        <w:rPr>
          <w:rFonts w:ascii="Times New Roman" w:hAnsi="Times New Roman"/>
        </w:rPr>
        <w:t>«</w:t>
      </w:r>
      <w:r w:rsidRPr="0045522B">
        <w:rPr>
          <w:rFonts w:ascii="Times New Roman" w:hAnsi="Times New Roman"/>
        </w:rPr>
        <w:t xml:space="preserve">О внесении изменений в Бюджетный кодекс Российской Федерации и статью 30 Федерального закона </w:t>
      </w:r>
      <w:r w:rsidR="000E1B05">
        <w:rPr>
          <w:rFonts w:ascii="Times New Roman" w:hAnsi="Times New Roman"/>
        </w:rPr>
        <w:t>«</w:t>
      </w:r>
      <w:r w:rsidRPr="0045522B">
        <w:rPr>
          <w:rFonts w:ascii="Times New Roman" w:hAnsi="Times New Roman"/>
        </w:rPr>
        <w:t>О внесении изменений в отдельные законодательные акты Российской Федерации в связи с совершенствованием</w:t>
      </w:r>
      <w:proofErr w:type="gramEnd"/>
      <w:r w:rsidRPr="0045522B">
        <w:rPr>
          <w:rFonts w:ascii="Times New Roman" w:hAnsi="Times New Roman"/>
        </w:rPr>
        <w:t xml:space="preserve"> правового положения государственных (муниципальных) учреждений</w:t>
      </w:r>
      <w:r>
        <w:rPr>
          <w:rFonts w:ascii="Times New Roman" w:hAnsi="Times New Roman"/>
        </w:rPr>
        <w:t>»</w:t>
      </w:r>
      <w:r w:rsidRPr="0045522B">
        <w:rPr>
          <w:rFonts w:ascii="Times New Roman" w:hAnsi="Times New Roman"/>
        </w:rPr>
        <w:t xml:space="preserve"> </w:t>
      </w:r>
      <w:bookmarkStart w:id="1" w:name="sub_179449"/>
      <w:r w:rsidRPr="0045522B">
        <w:rPr>
          <w:rFonts w:ascii="Times New Roman" w:hAnsi="Times New Roman"/>
        </w:rPr>
        <w:t>объем бюджетных ассигнований дорожного фонда субъекта РФ:</w:t>
      </w:r>
    </w:p>
    <w:bookmarkEnd w:id="1"/>
    <w:p w:rsidR="002750E9" w:rsidRPr="0045522B" w:rsidRDefault="002750E9" w:rsidP="002750E9">
      <w:pPr>
        <w:autoSpaceDE w:val="0"/>
        <w:autoSpaceDN w:val="0"/>
        <w:adjustRightInd w:val="0"/>
        <w:ind w:firstLine="720"/>
        <w:jc w:val="both"/>
      </w:pPr>
      <w:r w:rsidRPr="0045522B">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РФ, учитываемых при формировании дорожного фонда субъекта Российской Федерации;</w:t>
      </w:r>
    </w:p>
    <w:p w:rsidR="002750E9" w:rsidRDefault="002750E9" w:rsidP="002750E9">
      <w:pPr>
        <w:autoSpaceDE w:val="0"/>
        <w:autoSpaceDN w:val="0"/>
        <w:adjustRightInd w:val="0"/>
        <w:ind w:firstLine="720"/>
        <w:jc w:val="both"/>
      </w:pPr>
      <w:r w:rsidRPr="0045522B">
        <w:t xml:space="preserve">может быть </w:t>
      </w:r>
      <w:proofErr w:type="gramStart"/>
      <w:r w:rsidRPr="0045522B">
        <w:t>уменьшен</w:t>
      </w:r>
      <w:proofErr w:type="gramEnd"/>
      <w:r w:rsidRPr="0045522B">
        <w:t xml:space="preserve">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РФ, учитываемых при формировании дорожного фонда субъекта РФ.</w:t>
      </w:r>
    </w:p>
    <w:p w:rsidR="002750E9" w:rsidRDefault="002750E9" w:rsidP="002750E9">
      <w:pPr>
        <w:autoSpaceDE w:val="0"/>
        <w:autoSpaceDN w:val="0"/>
        <w:adjustRightInd w:val="0"/>
        <w:ind w:firstLine="720"/>
        <w:jc w:val="both"/>
      </w:pPr>
    </w:p>
    <w:p w:rsidR="002750E9" w:rsidRDefault="002750E9" w:rsidP="002750E9">
      <w:pPr>
        <w:tabs>
          <w:tab w:val="num" w:pos="0"/>
        </w:tabs>
        <w:ind w:firstLine="708"/>
        <w:jc w:val="both"/>
        <w:outlineLvl w:val="0"/>
      </w:pPr>
      <w:r>
        <w:t xml:space="preserve">В части </w:t>
      </w:r>
      <w:r w:rsidRPr="000E1B05">
        <w:rPr>
          <w:b/>
          <w:i/>
          <w:u w:val="single"/>
        </w:rPr>
        <w:t>неналоговых доходов</w:t>
      </w:r>
      <w:r>
        <w:t xml:space="preserve"> по виду «Штрафы, санкции, возмещение ущерба» </w:t>
      </w:r>
      <w:r w:rsidR="000E1B05">
        <w:t>з</w:t>
      </w:r>
      <w:r>
        <w:t>аконопроектом предусматриваются прогнозные назначения на 2017 год в размере 1591,95 млн. руб. (+864,1 млн. руб., или на 118,8% больше по сравнению с оценкой 2016 года – 727,4 млн. руб.).</w:t>
      </w:r>
    </w:p>
    <w:p w:rsidR="002750E9" w:rsidRDefault="002750E9" w:rsidP="002750E9">
      <w:pPr>
        <w:tabs>
          <w:tab w:val="num" w:pos="0"/>
        </w:tabs>
        <w:ind w:firstLine="708"/>
        <w:jc w:val="both"/>
        <w:outlineLvl w:val="0"/>
        <w:rPr>
          <w:rFonts w:eastAsia="Calibri"/>
          <w:lang w:eastAsia="en-US"/>
        </w:rPr>
      </w:pPr>
      <w:r>
        <w:t xml:space="preserve">Объемы поступлений этих доходов за 2014, 2015 и 9 мес.2016 года составили – 608,4 млн. руб., 709,3 млн. руб., 519,8 млн.  руб. соответственно. </w:t>
      </w:r>
    </w:p>
    <w:p w:rsidR="002750E9" w:rsidRDefault="002750E9" w:rsidP="002750E9">
      <w:pPr>
        <w:tabs>
          <w:tab w:val="num" w:pos="0"/>
        </w:tabs>
        <w:ind w:firstLine="708"/>
        <w:jc w:val="both"/>
        <w:outlineLvl w:val="0"/>
      </w:pPr>
      <w:r>
        <w:t xml:space="preserve">Согласно пояснительной записке поступление штрафов, санкций, возмещения ущерба в бюджет Волгоградской области на 2017 год спрогнозировано на основании прогнозных показателей, представленных главными администраторами доходов бюджета Волгоградской области. </w:t>
      </w:r>
    </w:p>
    <w:p w:rsidR="002750E9" w:rsidRDefault="002750E9" w:rsidP="002750E9">
      <w:pPr>
        <w:tabs>
          <w:tab w:val="num" w:pos="0"/>
        </w:tabs>
        <w:ind w:firstLine="708"/>
        <w:jc w:val="both"/>
        <w:outlineLvl w:val="0"/>
      </w:pPr>
      <w:r>
        <w:t>Наибольший удельный вес в этих доходах приходится на денежные взыскания (штрафы) за нарушение законодательства РФ о безопасности дорожного движения: в 2014 году – 90,5%, в 2015 году – 93%, по итогам 9-ти мес.2016 года – 93,9 процента.</w:t>
      </w:r>
    </w:p>
    <w:p w:rsidR="002750E9" w:rsidRDefault="002750E9" w:rsidP="002750E9">
      <w:pPr>
        <w:tabs>
          <w:tab w:val="num" w:pos="0"/>
        </w:tabs>
        <w:ind w:firstLine="708"/>
        <w:jc w:val="both"/>
        <w:outlineLvl w:val="0"/>
      </w:pPr>
      <w:r>
        <w:t>По данным администратора – Главного Управления МВД России по Волгоградской области прогноз поступления этих доходов на 2017 год составил 1570 млн. рублей. Увеличение в 2017 году поступлений рассчитано администратором с учетом запланированных мероприятий по реализации подпрограммы «Построение (развитие) аппаратно</w:t>
      </w:r>
      <w:r w:rsidR="000E1B05">
        <w:t>-</w:t>
      </w:r>
      <w:r>
        <w:t xml:space="preserve">программного комплекса «Безопасный город» на территории Волгоградской области» государственной программы «Защита населения и территории от чрезвычайных ситуаций, обеспечение пожарной безопасности» на 2014-2017 годы. В частности, планируется установить на условиях лизинга 120 </w:t>
      </w:r>
      <w:r w:rsidR="000E1B05">
        <w:t xml:space="preserve">дополнительных </w:t>
      </w:r>
      <w:r>
        <w:t xml:space="preserve">комплексов </w:t>
      </w:r>
      <w:proofErr w:type="spellStart"/>
      <w:r>
        <w:t>фотовидеофиксации</w:t>
      </w:r>
      <w:proofErr w:type="spellEnd"/>
      <w:r>
        <w:t xml:space="preserve"> по нарушению правил дорожного движения и создать 50 зон контроля средней скорости. Необходимо отметить, что проект указанной подпрограммы на экспертизу в КСП не поступал, сроки реализации н</w:t>
      </w:r>
      <w:r w:rsidR="000E1B05">
        <w:t>а</w:t>
      </w:r>
      <w:r>
        <w:t>званых мероприятий не</w:t>
      </w:r>
      <w:r w:rsidR="000E1B05">
        <w:t xml:space="preserve"> </w:t>
      </w:r>
      <w:r>
        <w:t xml:space="preserve">известны, в </w:t>
      </w:r>
      <w:proofErr w:type="gramStart"/>
      <w:r>
        <w:t>связи</w:t>
      </w:r>
      <w:proofErr w:type="gramEnd"/>
      <w:r>
        <w:t xml:space="preserve"> с чем оценка реалистичности прогноза по доходам не производилась. С учетом </w:t>
      </w:r>
      <w:r>
        <w:lastRenderedPageBreak/>
        <w:t>необходимости существенных временных затрат на разработку технического задания и проведение конкурсных процедур срок начала исполнения работ может выйти за пределы 1 полугодия 2017 года, что с большой долей вероятности негативно скажется на достижении запланированного показателя по доходам.</w:t>
      </w:r>
    </w:p>
    <w:p w:rsidR="002750E9" w:rsidRDefault="002750E9" w:rsidP="002750E9">
      <w:pPr>
        <w:autoSpaceDE w:val="0"/>
        <w:autoSpaceDN w:val="0"/>
        <w:adjustRightInd w:val="0"/>
        <w:ind w:firstLine="709"/>
        <w:jc w:val="both"/>
        <w:outlineLvl w:val="0"/>
      </w:pPr>
    </w:p>
    <w:p w:rsidR="002750E9" w:rsidRPr="000807AD" w:rsidRDefault="002750E9" w:rsidP="002750E9">
      <w:pPr>
        <w:ind w:firstLine="708"/>
        <w:jc w:val="both"/>
      </w:pPr>
      <w:r w:rsidRPr="000E1B05">
        <w:t xml:space="preserve"> Таким образом, по оценке КСП</w:t>
      </w:r>
      <w:r w:rsidRPr="00946FF3">
        <w:rPr>
          <w:b/>
          <w:i/>
        </w:rPr>
        <w:t xml:space="preserve"> имеются риски завышения налоговых доходов областного бюджета </w:t>
      </w:r>
      <w:r w:rsidR="000E1B05">
        <w:rPr>
          <w:b/>
          <w:i/>
        </w:rPr>
        <w:t>на</w:t>
      </w:r>
      <w:r w:rsidRPr="00946FF3">
        <w:rPr>
          <w:b/>
          <w:i/>
        </w:rPr>
        <w:t xml:space="preserve"> 2017 год </w:t>
      </w:r>
      <w:r>
        <w:rPr>
          <w:b/>
          <w:i/>
        </w:rPr>
        <w:t xml:space="preserve">на сумму </w:t>
      </w:r>
      <w:r w:rsidRPr="00946FF3">
        <w:rPr>
          <w:b/>
          <w:i/>
        </w:rPr>
        <w:t xml:space="preserve">порядка </w:t>
      </w:r>
      <w:r w:rsidR="002528DD">
        <w:rPr>
          <w:b/>
          <w:i/>
        </w:rPr>
        <w:t>7</w:t>
      </w:r>
      <w:r w:rsidRPr="002528DD">
        <w:rPr>
          <w:b/>
          <w:i/>
        </w:rPr>
        <w:t>00 млн. рублей.</w:t>
      </w:r>
      <w:r>
        <w:rPr>
          <w:b/>
          <w:i/>
        </w:rPr>
        <w:t xml:space="preserve"> </w:t>
      </w:r>
      <w:r w:rsidRPr="005A6E23">
        <w:t xml:space="preserve">В части неналоговых доходов по виду «Штрафы, санкции, возмещение ущерба» </w:t>
      </w:r>
      <w:r w:rsidRPr="000E317F">
        <w:rPr>
          <w:b/>
          <w:i/>
        </w:rPr>
        <w:t>имеются значительные риски по неисполнению повышенных обязательств по поступлению доходов в полном объеме (+864,1 млн. руб. к оценке 2016 года)</w:t>
      </w:r>
      <w:r w:rsidR="000E317F" w:rsidRPr="000E317F">
        <w:rPr>
          <w:b/>
          <w:i/>
        </w:rPr>
        <w:t>.</w:t>
      </w:r>
      <w:r w:rsidRPr="000807AD">
        <w:t xml:space="preserve"> </w:t>
      </w:r>
      <w:r w:rsidR="000E317F">
        <w:t>О</w:t>
      </w:r>
      <w:r w:rsidRPr="000807AD">
        <w:t xml:space="preserve">ценку </w:t>
      </w:r>
      <w:r w:rsidR="000E1B05">
        <w:t>последних</w:t>
      </w:r>
      <w:r w:rsidRPr="000807AD">
        <w:t xml:space="preserve"> </w:t>
      </w:r>
      <w:r w:rsidR="000E1B05">
        <w:t xml:space="preserve">в настоящее время </w:t>
      </w:r>
      <w:r w:rsidRPr="000807AD">
        <w:t>произвести невозможно из</w:t>
      </w:r>
      <w:r w:rsidR="000807AD">
        <w:t>-</w:t>
      </w:r>
      <w:r w:rsidRPr="000807AD">
        <w:t xml:space="preserve">за </w:t>
      </w:r>
      <w:proofErr w:type="spellStart"/>
      <w:r w:rsidRPr="000807AD">
        <w:t>непоступления</w:t>
      </w:r>
      <w:proofErr w:type="spellEnd"/>
      <w:r w:rsidRPr="000807AD">
        <w:t xml:space="preserve"> на экспертизу в КСП подпрограммы «Построение (развитие) аппаратн</w:t>
      </w:r>
      <w:proofErr w:type="gramStart"/>
      <w:r w:rsidRPr="000807AD">
        <w:t>о</w:t>
      </w:r>
      <w:r w:rsidR="000807AD">
        <w:t>-</w:t>
      </w:r>
      <w:proofErr w:type="gramEnd"/>
      <w:r w:rsidRPr="000807AD">
        <w:t xml:space="preserve"> программного комплекса «Безопасный город» на территории Волгоградской области» и существующи</w:t>
      </w:r>
      <w:r w:rsidR="00B3730E">
        <w:t>х</w:t>
      </w:r>
      <w:r w:rsidRPr="000807AD">
        <w:t xml:space="preserve"> временны</w:t>
      </w:r>
      <w:r w:rsidR="00B3730E">
        <w:t>х</w:t>
      </w:r>
      <w:r w:rsidRPr="000807AD">
        <w:t xml:space="preserve"> затрат на проведение конкурсных процедур.</w:t>
      </w:r>
    </w:p>
    <w:p w:rsidR="002750E9" w:rsidRPr="00946FF3" w:rsidRDefault="002750E9" w:rsidP="002750E9">
      <w:pPr>
        <w:ind w:firstLine="708"/>
        <w:jc w:val="both"/>
        <w:rPr>
          <w:b/>
          <w:i/>
        </w:rPr>
      </w:pPr>
    </w:p>
    <w:p w:rsidR="002750E9" w:rsidRDefault="002750E9" w:rsidP="002750E9">
      <w:pPr>
        <w:shd w:val="clear" w:color="auto" w:fill="FFFFFF"/>
        <w:ind w:left="11" w:right="11" w:firstLine="680"/>
        <w:jc w:val="both"/>
        <w:rPr>
          <w:b/>
          <w:i/>
          <w:u w:val="single"/>
        </w:rPr>
      </w:pPr>
      <w:r w:rsidRPr="00AB44EA">
        <w:rPr>
          <w:b/>
          <w:i/>
          <w:u w:val="single"/>
        </w:rPr>
        <w:t>Безвозмездные поступления</w:t>
      </w:r>
    </w:p>
    <w:p w:rsidR="002750E9" w:rsidRDefault="002750E9" w:rsidP="002750E9">
      <w:pPr>
        <w:shd w:val="clear" w:color="auto" w:fill="FFFFFF"/>
        <w:ind w:left="11" w:right="11" w:firstLine="680"/>
        <w:jc w:val="both"/>
      </w:pPr>
      <w:r>
        <w:t xml:space="preserve">Согласно </w:t>
      </w:r>
      <w:r w:rsidR="00B3730E">
        <w:t>з</w:t>
      </w:r>
      <w:r w:rsidRPr="000D5AFA">
        <w:t>аконопроект</w:t>
      </w:r>
      <w:r>
        <w:t>у безвозмездны</w:t>
      </w:r>
      <w:r w:rsidR="00B3730E">
        <w:t>е</w:t>
      </w:r>
      <w:r>
        <w:t xml:space="preserve"> поступлени</w:t>
      </w:r>
      <w:r w:rsidR="00B3730E">
        <w:t>я</w:t>
      </w:r>
      <w:r>
        <w:t xml:space="preserve"> на 2017 год </w:t>
      </w:r>
      <w:r w:rsidR="00B3730E">
        <w:t xml:space="preserve">составят </w:t>
      </w:r>
      <w:r>
        <w:t>13205 млн. руб., что на 37,1% меньше оценки 2016 года (21007,4 млн. руб.), из них:</w:t>
      </w:r>
    </w:p>
    <w:p w:rsidR="002750E9" w:rsidRDefault="002750E9" w:rsidP="002750E9">
      <w:pPr>
        <w:shd w:val="clear" w:color="auto" w:fill="FFFFFF"/>
        <w:ind w:left="11" w:right="11" w:firstLine="680"/>
        <w:jc w:val="both"/>
      </w:pPr>
      <w:r>
        <w:t>- дотации бюджетам субъектам РФ – 5710,7 млн. руб., что на 15,5% ниже оценки 2016 года (6758,8 млн. руб.);</w:t>
      </w:r>
    </w:p>
    <w:p w:rsidR="002750E9" w:rsidRDefault="002750E9" w:rsidP="002750E9">
      <w:pPr>
        <w:shd w:val="clear" w:color="auto" w:fill="FFFFFF"/>
        <w:ind w:left="11" w:right="11" w:firstLine="680"/>
        <w:jc w:val="both"/>
        <w:rPr>
          <w:lang w:eastAsia="en-US"/>
        </w:rPr>
      </w:pPr>
      <w:r>
        <w:t xml:space="preserve">- </w:t>
      </w:r>
      <w:r>
        <w:rPr>
          <w:lang w:eastAsia="en-US"/>
        </w:rPr>
        <w:t>субсидии бюджетам субъектам РФ – 2907,2 млн. руб., что на 54,1% меньше оценки 2016 года (6335,9 млн. руб.);</w:t>
      </w:r>
    </w:p>
    <w:p w:rsidR="002750E9" w:rsidRDefault="002750E9" w:rsidP="002750E9">
      <w:pPr>
        <w:shd w:val="clear" w:color="auto" w:fill="FFFFFF"/>
        <w:ind w:left="11" w:right="11" w:firstLine="680"/>
        <w:jc w:val="both"/>
        <w:rPr>
          <w:lang w:eastAsia="en-US"/>
        </w:rPr>
      </w:pPr>
      <w:r>
        <w:rPr>
          <w:lang w:eastAsia="en-US"/>
        </w:rPr>
        <w:t>- субвенции бюджетам субъектов РФ – 4228,8 млн. руб., что на 15,1% меньше оценки 2016 года (4983,6 млн. руб.);</w:t>
      </w:r>
    </w:p>
    <w:p w:rsidR="002750E9" w:rsidRDefault="002750E9" w:rsidP="002750E9">
      <w:pPr>
        <w:shd w:val="clear" w:color="auto" w:fill="FFFFFF"/>
        <w:ind w:left="11" w:right="11" w:firstLine="680"/>
        <w:jc w:val="both"/>
        <w:rPr>
          <w:lang w:eastAsia="en-US"/>
        </w:rPr>
      </w:pPr>
      <w:r>
        <w:rPr>
          <w:lang w:eastAsia="en-US"/>
        </w:rPr>
        <w:t>- иные межбюджетные трансферты – 137,3 млн. руб., что на 93,6% меньше оценки 2016 года (2140,3 млн. руб.);</w:t>
      </w:r>
    </w:p>
    <w:p w:rsidR="002750E9" w:rsidRDefault="002750E9" w:rsidP="002750E9">
      <w:pPr>
        <w:shd w:val="clear" w:color="auto" w:fill="FFFFFF"/>
        <w:ind w:left="11" w:right="11" w:firstLine="680"/>
        <w:jc w:val="both"/>
        <w:rPr>
          <w:lang w:eastAsia="en-US"/>
        </w:rPr>
      </w:pPr>
      <w:r>
        <w:rPr>
          <w:lang w:eastAsia="en-US"/>
        </w:rPr>
        <w:t>- безвозмездные поступления от государственных (муниципальных) организаций – 21,1 млн. руб., что на 93,7% меньше оценки 2016 года (336,8 млн. руб.);</w:t>
      </w:r>
    </w:p>
    <w:p w:rsidR="002750E9" w:rsidRPr="000D5AFA" w:rsidRDefault="002750E9" w:rsidP="002750E9">
      <w:pPr>
        <w:shd w:val="clear" w:color="auto" w:fill="FFFFFF"/>
        <w:ind w:left="11" w:right="11" w:firstLine="680"/>
        <w:jc w:val="both"/>
      </w:pPr>
      <w:r>
        <w:rPr>
          <w:lang w:eastAsia="en-US"/>
        </w:rPr>
        <w:t>- д</w:t>
      </w:r>
      <w:r w:rsidRPr="003E2029">
        <w:rPr>
          <w:lang w:eastAsia="en-US"/>
        </w:rPr>
        <w:t xml:space="preserve">оходы от возврата остатков субсидий, субвенций и иных межбюджетных трансфертов </w:t>
      </w:r>
      <w:r>
        <w:rPr>
          <w:lang w:eastAsia="en-US"/>
        </w:rPr>
        <w:t>– 200 млн. руб., что на 53,2% меньше оценки 2016 года (427,3 млн. руб.).</w:t>
      </w:r>
    </w:p>
    <w:p w:rsidR="002750E9" w:rsidRDefault="002750E9" w:rsidP="002750E9">
      <w:pPr>
        <w:jc w:val="both"/>
        <w:rPr>
          <w:color w:val="000000"/>
        </w:rPr>
      </w:pPr>
      <w:r>
        <w:tab/>
        <w:t xml:space="preserve">Необходимо отметить, </w:t>
      </w:r>
      <w:r w:rsidRPr="00A075B8">
        <w:t xml:space="preserve">что </w:t>
      </w:r>
      <w:r w:rsidRPr="00B3730E">
        <w:rPr>
          <w:u w:val="single"/>
        </w:rPr>
        <w:t xml:space="preserve">по виду безвозмездных поступлений «возврат остатков субсидий, субвенций и иных межбюджетных трансфертов» прогнозные назначения в </w:t>
      </w:r>
      <w:r w:rsidR="00B3730E" w:rsidRPr="00B3730E">
        <w:rPr>
          <w:u w:val="single"/>
        </w:rPr>
        <w:t>з</w:t>
      </w:r>
      <w:r w:rsidRPr="00B3730E">
        <w:rPr>
          <w:u w:val="single"/>
        </w:rPr>
        <w:t xml:space="preserve">аконопроекте не предусмотрены, что свидетельствует о </w:t>
      </w:r>
      <w:r w:rsidRPr="00B3730E">
        <w:rPr>
          <w:bCs/>
          <w:u w:val="single"/>
        </w:rPr>
        <w:t>несоблюдении принципа полноты отражения доходов бюджета, определенного ст</w:t>
      </w:r>
      <w:r w:rsidR="00B3730E" w:rsidRPr="00B3730E">
        <w:rPr>
          <w:bCs/>
          <w:u w:val="single"/>
        </w:rPr>
        <w:t>атьей</w:t>
      </w:r>
      <w:r w:rsidRPr="00B3730E">
        <w:rPr>
          <w:bCs/>
          <w:u w:val="single"/>
        </w:rPr>
        <w:t xml:space="preserve"> 32 БК РФ.</w:t>
      </w:r>
      <w:r>
        <w:rPr>
          <w:bCs/>
        </w:rPr>
        <w:t xml:space="preserve"> </w:t>
      </w:r>
      <w:r>
        <w:t>З</w:t>
      </w:r>
      <w:r>
        <w:rPr>
          <w:bCs/>
        </w:rPr>
        <w:t xml:space="preserve">а 9 месяцев 2016 года поступления по данному виду доходов составили </w:t>
      </w:r>
      <w:r>
        <w:rPr>
          <w:color w:val="000000"/>
        </w:rPr>
        <w:t>(-)244,6 млн. рублей. За 2015 год они составили (-639,6 млн. руб.), за 2014 год – (-848,1 млн. руб.).</w:t>
      </w:r>
    </w:p>
    <w:p w:rsidR="002750E9" w:rsidRDefault="002750E9" w:rsidP="002750E9">
      <w:pPr>
        <w:jc w:val="both"/>
        <w:rPr>
          <w:color w:val="000000"/>
        </w:rPr>
      </w:pPr>
    </w:p>
    <w:p w:rsidR="00A203DB" w:rsidRDefault="00A203DB" w:rsidP="00A203DB">
      <w:pPr>
        <w:jc w:val="center"/>
        <w:rPr>
          <w:b/>
          <w:u w:val="single"/>
        </w:rPr>
      </w:pPr>
      <w:r>
        <w:rPr>
          <w:b/>
          <w:u w:val="single"/>
        </w:rPr>
        <w:t>Оценка налоговых льгот</w:t>
      </w:r>
    </w:p>
    <w:p w:rsidR="00A203DB" w:rsidRDefault="00A203DB" w:rsidP="00A203DB">
      <w:pPr>
        <w:spacing w:line="240" w:lineRule="atLeast"/>
        <w:ind w:firstLine="567"/>
        <w:jc w:val="both"/>
      </w:pPr>
      <w:r>
        <w:tab/>
        <w:t xml:space="preserve">Налоговые льготы, предоставляемые отдельным категориям налогоплательщиков, как федеральным, так и областным законодательством, оказывают существенное влияние на доходную часть областного бюджета. </w:t>
      </w:r>
    </w:p>
    <w:p w:rsidR="00A203DB" w:rsidRDefault="00A203DB" w:rsidP="00A203DB">
      <w:pPr>
        <w:spacing w:line="240" w:lineRule="atLeast"/>
        <w:ind w:firstLine="567"/>
        <w:jc w:val="both"/>
      </w:pPr>
      <w:r>
        <w:tab/>
        <w:t xml:space="preserve">По оценке Администрации Волгоградской </w:t>
      </w:r>
      <w:proofErr w:type="gramStart"/>
      <w:r>
        <w:t>области</w:t>
      </w:r>
      <w:proofErr w:type="gramEnd"/>
      <w:r>
        <w:t xml:space="preserve"> выпадающие доходы областного бюджета от предоставления налоговых льгот в 2017 году составят 4442,8 млн. руб., </w:t>
      </w:r>
      <w:r w:rsidR="00B3730E">
        <w:t>в том числе</w:t>
      </w:r>
      <w:r>
        <w:t xml:space="preserve"> в соответствии с федеральным законодательством – 2836,7 млн. руб., или 63,9% общей суммы льгот. В 2018 году общая сумма налоговых льгот прогнозируется в размере 6144,5 млн. руб. (в том числе по федеральному законодательству – 3086,9 млн. руб., или 50,2%), в 2019 году – 6598,1 млн. руб. (в том числе по федеральному законодательству – 3350,9 млн. руб., или 50,8%).</w:t>
      </w:r>
    </w:p>
    <w:p w:rsidR="00A203DB" w:rsidRDefault="00A203DB" w:rsidP="00A203DB">
      <w:pPr>
        <w:spacing w:line="240" w:lineRule="atLeast"/>
        <w:ind w:firstLine="567"/>
        <w:jc w:val="both"/>
      </w:pPr>
      <w:r>
        <w:t xml:space="preserve">Наибольшую долю в объеме федеральных льгот занимают льготы по НДФЛ: в 2017 году – 1374,5 млн. руб. (48,5%), в 2018 году – 1655 млн. руб. (49,8%), в 2019 году – 1718,1 млн. руб. (51,3%). </w:t>
      </w:r>
    </w:p>
    <w:p w:rsidR="00A203DB" w:rsidRDefault="00A203DB" w:rsidP="00A203DB">
      <w:pPr>
        <w:autoSpaceDE w:val="0"/>
        <w:autoSpaceDN w:val="0"/>
        <w:adjustRightInd w:val="0"/>
        <w:spacing w:line="240" w:lineRule="atLeast"/>
        <w:ind w:firstLine="567"/>
        <w:jc w:val="both"/>
      </w:pPr>
      <w:r>
        <w:tab/>
        <w:t xml:space="preserve">Объем налоговых льгот, предоставленных законодательством Волгоградской области, на 2017 год прогнозируется в сумме 1606,1 млн. руб., на 2018 год – 3057,6 млн. </w:t>
      </w:r>
      <w:r>
        <w:lastRenderedPageBreak/>
        <w:t>руб., на 2019 год – 3247,2 млн. руб., или соответственно 2,8%, 5,0% и 5,1% от налоговых доходов областного бюджета.</w:t>
      </w:r>
    </w:p>
    <w:p w:rsidR="00A203DB" w:rsidRDefault="00A203DB" w:rsidP="00A203DB">
      <w:pPr>
        <w:ind w:firstLine="708"/>
        <w:jc w:val="both"/>
      </w:pPr>
      <w:r>
        <w:t>В целом при сравнении прогнозных показателей 2016-2019 годов наблюдается увеличение выпадающих доходов бюджета от предоставления льгот относительно предыдущих периодов: в 2017 году - на 1059 млн. руб. (+31,3%), в 2018 и 2019 годах – на 1701,4 млн. руб. (+38,3%) и на 453,6 млн. руб. (+7,4%) соответственно. Основная доля потерь бюджета прогнозируются от предоставления льготы по налогу на имущество. Объем налоговых льгот по налогу на имущество, предоставленных законодательством Волгоградской области, на 2017 год прогнозируется в сумме 1473,1 млн. руб., на 2018 год – 2959,3 млн. руб., в 2019 году – 3146,7 млн. руб., или соответственно 91,7, 96,8 и 96,9% от общей суммы льгот, предоставленных региональным законодательством.</w:t>
      </w:r>
    </w:p>
    <w:p w:rsidR="00A203DB" w:rsidRDefault="00A203DB" w:rsidP="00A203DB">
      <w:pPr>
        <w:ind w:firstLine="708"/>
        <w:jc w:val="both"/>
      </w:pPr>
      <w:proofErr w:type="gramStart"/>
      <w:r>
        <w:t xml:space="preserve">Как следует из оценки эффективности налоговых льгот, предоставленных законодательством Волгоградской области за 2015 год, основная сумма льгот приходится на организации, реализующие инвестиционные проекты на территории области в соответствии с </w:t>
      </w:r>
      <w:hyperlink r:id="rId8" w:history="1">
        <w:r w:rsidRPr="00A203DB">
          <w:rPr>
            <w:rStyle w:val="afa"/>
            <w:color w:val="auto"/>
            <w:u w:val="none"/>
          </w:rPr>
          <w:t>Законом</w:t>
        </w:r>
      </w:hyperlink>
      <w:r w:rsidRPr="00A203DB">
        <w:t xml:space="preserve"> </w:t>
      </w:r>
      <w:r>
        <w:t>Волгоградской области от 02.03.2010 № 2010-ОД «О государственной поддержке инвестиционной деятельности на те</w:t>
      </w:r>
      <w:r w:rsidR="00B3730E">
        <w:t>рритории Волгоградской области»</w:t>
      </w:r>
      <w:r>
        <w:t>, в отношении имущества, созданного в процессе реализации проекта.</w:t>
      </w:r>
      <w:proofErr w:type="gramEnd"/>
    </w:p>
    <w:p w:rsidR="00A203DB" w:rsidRDefault="00A203DB" w:rsidP="00A203DB">
      <w:pPr>
        <w:ind w:firstLine="709"/>
        <w:jc w:val="both"/>
        <w:rPr>
          <w:rFonts w:eastAsiaTheme="minorHAnsi"/>
          <w:lang w:eastAsia="en-US"/>
        </w:rPr>
      </w:pPr>
      <w:r>
        <w:t xml:space="preserve">Таким образом, на 2017-2019 годы прогнозируется значительное увеличение потерь бюджета от предоставления льгот по налогу на имущество организациям, реализующим инвестиционные проекты. Вместе с тем в документах, вносимых одновременно с </w:t>
      </w:r>
      <w:r w:rsidR="00B16F12">
        <w:t>з</w:t>
      </w:r>
      <w:r>
        <w:t xml:space="preserve">аконопроектом (Прогноз СЭР, расчеты или обоснования по статьям </w:t>
      </w:r>
      <w:hyperlink r:id="rId9" w:history="1">
        <w:r w:rsidRPr="00A203DB">
          <w:rPr>
            <w:rStyle w:val="afa"/>
            <w:color w:val="auto"/>
            <w:u w:val="none"/>
          </w:rPr>
          <w:t>классификации</w:t>
        </w:r>
      </w:hyperlink>
      <w:r w:rsidRPr="00A203DB">
        <w:t xml:space="preserve"> </w:t>
      </w:r>
      <w:r>
        <w:t xml:space="preserve">доходов областного бюджета, </w:t>
      </w:r>
      <w:r w:rsidR="00B16F12">
        <w:t>п</w:t>
      </w:r>
      <w:r>
        <w:t xml:space="preserve">ояснительная записка) не приведены сведения о реализации инвесторами, заключившими инвестиционные соглашения с Администрацией Волгоградской области, инвестиционных проектов на 2017-2019 годы с указанием предполагаемых сроков и </w:t>
      </w:r>
      <w:proofErr w:type="gramStart"/>
      <w:r>
        <w:t>объемов</w:t>
      </w:r>
      <w:proofErr w:type="gramEnd"/>
      <w:r>
        <w:t xml:space="preserve"> вводимых в действие мощностей, в связи с чем невозможно оценить обоснованность прогнозируемых потерь от предоставления льгот.</w:t>
      </w:r>
    </w:p>
    <w:p w:rsidR="00A203DB" w:rsidRPr="00A203DB" w:rsidRDefault="00A203DB" w:rsidP="00A203DB">
      <w:pPr>
        <w:ind w:firstLine="708"/>
        <w:jc w:val="both"/>
        <w:rPr>
          <w:b/>
          <w:highlight w:val="green"/>
        </w:rPr>
      </w:pPr>
      <w:r>
        <w:t xml:space="preserve">Данные о выпадающих доходах бюджета Волгоградской области в результате предоставления налоговых льгот на 2016-2019 годы в разрезе конкретных видов налогов представлены в </w:t>
      </w:r>
      <w:r w:rsidRPr="00A203DB">
        <w:rPr>
          <w:b/>
          <w:i/>
          <w:u w:val="single"/>
        </w:rPr>
        <w:t>приложении №</w:t>
      </w:r>
      <w:r w:rsidR="00EC371D">
        <w:rPr>
          <w:b/>
          <w:i/>
          <w:u w:val="single"/>
        </w:rPr>
        <w:t>3</w:t>
      </w:r>
      <w:r w:rsidRPr="00A203DB">
        <w:rPr>
          <w:b/>
          <w:i/>
          <w:u w:val="single"/>
        </w:rPr>
        <w:t xml:space="preserve">. </w:t>
      </w:r>
    </w:p>
    <w:p w:rsidR="00A203DB" w:rsidRDefault="00A203DB" w:rsidP="00A203DB">
      <w:pPr>
        <w:rPr>
          <w:rFonts w:eastAsiaTheme="minorHAnsi"/>
          <w:lang w:eastAsia="en-US"/>
        </w:rPr>
      </w:pPr>
    </w:p>
    <w:p w:rsidR="002143F6" w:rsidRDefault="00514C8C" w:rsidP="00514C8C">
      <w:pPr>
        <w:ind w:firstLine="708"/>
        <w:jc w:val="center"/>
        <w:rPr>
          <w:b/>
          <w:i/>
        </w:rPr>
      </w:pPr>
      <w:r w:rsidRPr="00A27310">
        <w:rPr>
          <w:b/>
          <w:i/>
        </w:rPr>
        <w:t>3.2. Общий объем расходов областного бюджета</w:t>
      </w:r>
      <w:r w:rsidR="002143F6">
        <w:rPr>
          <w:b/>
          <w:i/>
        </w:rPr>
        <w:t xml:space="preserve"> на 2017 год</w:t>
      </w:r>
    </w:p>
    <w:p w:rsidR="00514C8C" w:rsidRPr="00A27310" w:rsidRDefault="002143F6" w:rsidP="00514C8C">
      <w:pPr>
        <w:ind w:firstLine="708"/>
        <w:jc w:val="center"/>
        <w:rPr>
          <w:b/>
          <w:i/>
        </w:rPr>
      </w:pPr>
      <w:r>
        <w:rPr>
          <w:b/>
          <w:i/>
        </w:rPr>
        <w:t>и плановый период 2018 и 2019 годов</w:t>
      </w:r>
      <w:r w:rsidR="005B12E1" w:rsidRPr="00A27310">
        <w:rPr>
          <w:b/>
          <w:i/>
        </w:rPr>
        <w:t>.</w:t>
      </w:r>
    </w:p>
    <w:p w:rsidR="00387CD9" w:rsidRDefault="00387CD9" w:rsidP="00514C8C">
      <w:pPr>
        <w:jc w:val="center"/>
      </w:pPr>
    </w:p>
    <w:p w:rsidR="002143F6" w:rsidRDefault="002143F6" w:rsidP="002143F6">
      <w:pPr>
        <w:ind w:firstLine="709"/>
        <w:jc w:val="both"/>
      </w:pPr>
      <w:r>
        <w:t>В соответствии с частью 4 статьи 87 БК РФ реестр расходных обязательств субъекта РФ ведется в порядке, установленном высшим исполнительным органом государственной власти субъекта РФ. В Волгоградской области такой порядок установлен постановлением Администрации Волгоградской области от 22.12.20</w:t>
      </w:r>
      <w:r w:rsidR="00C51127">
        <w:t>0</w:t>
      </w:r>
      <w:r>
        <w:t xml:space="preserve">8 №204-п (с изменениями и дополнениями). Указанным порядком установлено, что реестр расходных обязательств Волгоградской области (далее Реестр) - это свод </w:t>
      </w:r>
      <w:proofErr w:type="gramStart"/>
      <w:r>
        <w:t>реестров расходных обязательств главных распорядителей средств областного бюджета</w:t>
      </w:r>
      <w:proofErr w:type="gramEnd"/>
      <w:r>
        <w:t xml:space="preserve">. </w:t>
      </w:r>
    </w:p>
    <w:p w:rsidR="002143F6" w:rsidRDefault="002143F6" w:rsidP="002143F6">
      <w:pPr>
        <w:autoSpaceDE w:val="0"/>
        <w:autoSpaceDN w:val="0"/>
        <w:adjustRightInd w:val="0"/>
        <w:ind w:firstLine="720"/>
        <w:jc w:val="both"/>
      </w:pPr>
      <w:r>
        <w:t>Реестр ведется с целью учета расходных обязательств Волгоградской области и определения объема бюджетных ассигнований, необходимых для исполнения</w:t>
      </w:r>
      <w:r w:rsidR="00C51127">
        <w:t>.</w:t>
      </w:r>
      <w:r>
        <w:t xml:space="preserve"> </w:t>
      </w:r>
      <w:r w:rsidR="00C51127">
        <w:t>Д</w:t>
      </w:r>
      <w:r>
        <w:t>анные Реестра используются при разработке проекта закона об областном бюджете на очередной финансовый год и плановый период.</w:t>
      </w:r>
    </w:p>
    <w:p w:rsidR="002143F6" w:rsidRDefault="002143F6" w:rsidP="002143F6">
      <w:pPr>
        <w:ind w:firstLine="709"/>
        <w:jc w:val="both"/>
      </w:pPr>
      <w:proofErr w:type="gramStart"/>
      <w:r>
        <w:t>В соответствии со статьей 13 закона о бюджетном процессе в Волгоградской области одновременно с законопроектом о бюджете представлен Реестр, сформированный в соответствии с Порядком предоставления реестров расходных обязательств субъектов РФ</w:t>
      </w:r>
      <w:r w:rsidR="00C51127">
        <w:t xml:space="preserve"> </w:t>
      </w:r>
      <w:r>
        <w:t xml:space="preserve">и сводов реестров расходных обязательств муниципальных образований, входящих в состав субъекта РФ, утвержденным </w:t>
      </w:r>
      <w:r w:rsidR="00C51127">
        <w:t>п</w:t>
      </w:r>
      <w:r>
        <w:t>риказом Минфина России от 01.07.2015 №103Н, в котором выделены 7 основных групп расходных обязательств (кодов):</w:t>
      </w:r>
      <w:proofErr w:type="gramEnd"/>
    </w:p>
    <w:p w:rsidR="002143F6" w:rsidRDefault="002143F6" w:rsidP="002143F6">
      <w:pPr>
        <w:ind w:firstLine="709"/>
        <w:jc w:val="both"/>
      </w:pPr>
      <w:r>
        <w:t xml:space="preserve">- 1000 – расходные обязательства, возникшие в результате принятия НПА субъекта РФ, заключения договоров (соглашений) </w:t>
      </w:r>
      <w:r>
        <w:rPr>
          <w:i/>
          <w:u w:val="single"/>
        </w:rPr>
        <w:t>по предметам совместного ведения</w:t>
      </w:r>
      <w:r>
        <w:t xml:space="preserve"> РФ и субъектов РФ;</w:t>
      </w:r>
    </w:p>
    <w:p w:rsidR="002143F6" w:rsidRDefault="002143F6" w:rsidP="002143F6">
      <w:pPr>
        <w:ind w:firstLine="709"/>
        <w:jc w:val="both"/>
      </w:pPr>
      <w:r>
        <w:lastRenderedPageBreak/>
        <w:t xml:space="preserve">- 2000 - расходные обязательства, возникшие в результате принятия НПА субъекта РФ, </w:t>
      </w:r>
      <w:r>
        <w:rPr>
          <w:i/>
          <w:u w:val="single"/>
        </w:rPr>
        <w:t>по предметам ведения субъекта</w:t>
      </w:r>
      <w:r>
        <w:t xml:space="preserve"> РФ;</w:t>
      </w:r>
    </w:p>
    <w:p w:rsidR="002143F6" w:rsidRDefault="002143F6" w:rsidP="002143F6">
      <w:pPr>
        <w:ind w:firstLine="709"/>
        <w:jc w:val="both"/>
      </w:pPr>
      <w:r>
        <w:t xml:space="preserve">- 3000 - расходные обязательства, возникшие в результате принятия НПА субъекта РФ, </w:t>
      </w:r>
      <w:r>
        <w:rPr>
          <w:i/>
          <w:u w:val="single"/>
        </w:rPr>
        <w:t>предусматривающих предоставление из бюджета субъекта РФ межбюджетных трансфертов</w:t>
      </w:r>
      <w:r>
        <w:t>;</w:t>
      </w:r>
    </w:p>
    <w:p w:rsidR="002143F6" w:rsidRDefault="002143F6" w:rsidP="002143F6">
      <w:pPr>
        <w:ind w:firstLine="709"/>
        <w:jc w:val="both"/>
        <w:rPr>
          <w:u w:val="single"/>
        </w:rPr>
      </w:pPr>
      <w:r>
        <w:t xml:space="preserve">- 4000 - расходные обязательства, возникшие в результате принятия НПА субъекта РФ, </w:t>
      </w:r>
      <w:r>
        <w:rPr>
          <w:i/>
          <w:u w:val="single"/>
        </w:rPr>
        <w:t>предусматривающих реализацию субъектом РФ переданных полномочий за счет субвенций из федерального бюджета</w:t>
      </w:r>
      <w:r>
        <w:rPr>
          <w:u w:val="single"/>
        </w:rPr>
        <w:t>;</w:t>
      </w:r>
    </w:p>
    <w:p w:rsidR="002143F6" w:rsidRDefault="002143F6" w:rsidP="002143F6">
      <w:pPr>
        <w:ind w:firstLine="709"/>
        <w:jc w:val="both"/>
      </w:pPr>
      <w:proofErr w:type="gramStart"/>
      <w:r>
        <w:t xml:space="preserve">- 5000 – полномочия </w:t>
      </w:r>
      <w:r>
        <w:rPr>
          <w:i/>
          <w:u w:val="single"/>
        </w:rPr>
        <w:t>по предметам ведения РФ, а также совместного ведения</w:t>
      </w:r>
      <w:r>
        <w:rPr>
          <w:i/>
        </w:rPr>
        <w:t xml:space="preserve"> </w:t>
      </w:r>
      <w:r>
        <w:rPr>
          <w:i/>
          <w:u w:val="single"/>
        </w:rPr>
        <w:t>по реше</w:t>
      </w:r>
      <w:r w:rsidR="00A66831">
        <w:rPr>
          <w:i/>
          <w:u w:val="single"/>
        </w:rPr>
        <w:t xml:space="preserve">нию вопросов, не указанных  в пункте </w:t>
      </w:r>
      <w:r>
        <w:rPr>
          <w:i/>
          <w:u w:val="single"/>
        </w:rPr>
        <w:t>2 ст</w:t>
      </w:r>
      <w:r w:rsidR="00A66831">
        <w:rPr>
          <w:i/>
          <w:u w:val="single"/>
        </w:rPr>
        <w:t>атьи</w:t>
      </w:r>
      <w:r>
        <w:rPr>
          <w:i/>
          <w:u w:val="single"/>
        </w:rPr>
        <w:t xml:space="preserve"> 26.3</w:t>
      </w:r>
      <w:r>
        <w:t xml:space="preserve"> Федерального закона от 06.10.1999 №184-ФЗ «Об общих принципах организации законодательных (представительных) и исполнительных органов государственной власти субъектов РФ», </w:t>
      </w:r>
      <w:r w:rsidRPr="00F52D62">
        <w:rPr>
          <w:u w:val="single"/>
        </w:rPr>
        <w:t>если возможность осуществления расходов субъектов РФ  на реализацию этих полномочий предусмотрена федеральными законами</w:t>
      </w:r>
      <w:r>
        <w:t xml:space="preserve"> (полномочия этого кода делятся по источникам: за счет средств</w:t>
      </w:r>
      <w:proofErr w:type="gramEnd"/>
      <w:r>
        <w:t xml:space="preserve"> субъекта </w:t>
      </w:r>
      <w:r w:rsidR="00A66831">
        <w:t xml:space="preserve">РФ </w:t>
      </w:r>
      <w:r>
        <w:t xml:space="preserve">и за счет </w:t>
      </w:r>
      <w:r w:rsidR="00A66831">
        <w:t xml:space="preserve">средств </w:t>
      </w:r>
      <w:r>
        <w:t>федерального бюджета);</w:t>
      </w:r>
    </w:p>
    <w:p w:rsidR="002143F6" w:rsidRDefault="002143F6" w:rsidP="002143F6">
      <w:pPr>
        <w:ind w:firstLine="709"/>
        <w:jc w:val="both"/>
      </w:pPr>
      <w:r>
        <w:t xml:space="preserve">- 6000 – </w:t>
      </w:r>
      <w:r>
        <w:rPr>
          <w:i/>
          <w:u w:val="single"/>
        </w:rPr>
        <w:t>установление дополнительных мер социальной поддержки и социальной помощи</w:t>
      </w:r>
      <w:r>
        <w:t xml:space="preserve"> для отдельных категорий граждан, </w:t>
      </w:r>
      <w:r w:rsidRPr="00A66831">
        <w:t>не предусмотренные федеральными законами</w:t>
      </w:r>
      <w:r>
        <w:t>;</w:t>
      </w:r>
    </w:p>
    <w:p w:rsidR="002143F6" w:rsidRDefault="002143F6" w:rsidP="002143F6">
      <w:pPr>
        <w:ind w:firstLine="709"/>
        <w:jc w:val="both"/>
      </w:pPr>
      <w:r>
        <w:t xml:space="preserve">- 7000 – расходные обязательства, возникшие в результате принятия законов субъекта РФ </w:t>
      </w:r>
      <w:r>
        <w:rPr>
          <w:i/>
          <w:u w:val="single"/>
        </w:rPr>
        <w:t>по перераспределенным полномочиям между органами местного самоуправления  и органами государственной власти субъекта</w:t>
      </w:r>
      <w:r>
        <w:t xml:space="preserve"> РФ в соответствии с п</w:t>
      </w:r>
      <w:r w:rsidR="00A66831">
        <w:t>унктом</w:t>
      </w:r>
      <w:r>
        <w:t xml:space="preserve"> 6.1 ст</w:t>
      </w:r>
      <w:r w:rsidR="00A66831">
        <w:t>атьи</w:t>
      </w:r>
      <w:r>
        <w:t xml:space="preserve"> 26.3 Федерального закона от 06.10.1999 №184-ФЗ «Об общих принципах организации законодательных (представительных) и исполнительных органов государственной власти субъектов РФ».</w:t>
      </w:r>
    </w:p>
    <w:p w:rsidR="002143F6" w:rsidRDefault="002143F6" w:rsidP="002143F6">
      <w:pPr>
        <w:ind w:firstLine="708"/>
        <w:jc w:val="both"/>
      </w:pPr>
      <w:r>
        <w:t>В целях оценки общего объема расходов областного бюджета на 2017-2019 годы палатой проведен анализ представленного Реестра.</w:t>
      </w:r>
    </w:p>
    <w:p w:rsidR="002143F6" w:rsidRDefault="002143F6" w:rsidP="002143F6">
      <w:pPr>
        <w:ind w:firstLine="709"/>
        <w:jc w:val="both"/>
        <w:outlineLvl w:val="1"/>
        <w:rPr>
          <w:b/>
        </w:rPr>
      </w:pPr>
    </w:p>
    <w:tbl>
      <w:tblPr>
        <w:tblW w:w="9510" w:type="dxa"/>
        <w:tblInd w:w="96" w:type="dxa"/>
        <w:tblLook w:val="04A0"/>
      </w:tblPr>
      <w:tblGrid>
        <w:gridCol w:w="2076"/>
        <w:gridCol w:w="1338"/>
        <w:gridCol w:w="1134"/>
        <w:gridCol w:w="1134"/>
        <w:gridCol w:w="1418"/>
        <w:gridCol w:w="1276"/>
        <w:gridCol w:w="1134"/>
      </w:tblGrid>
      <w:tr w:rsidR="002143F6" w:rsidTr="004676A2">
        <w:trPr>
          <w:trHeight w:val="612"/>
        </w:trPr>
        <w:tc>
          <w:tcPr>
            <w:tcW w:w="2076" w:type="dxa"/>
            <w:vMerge w:val="restart"/>
            <w:tcBorders>
              <w:top w:val="single" w:sz="8" w:space="0" w:color="auto"/>
              <w:left w:val="single" w:sz="8" w:space="0" w:color="auto"/>
              <w:bottom w:val="single" w:sz="8" w:space="0" w:color="000000"/>
              <w:right w:val="single" w:sz="8" w:space="0" w:color="auto"/>
            </w:tcBorders>
            <w:hideMark/>
          </w:tcPr>
          <w:p w:rsidR="002143F6" w:rsidRDefault="002143F6">
            <w:pPr>
              <w:jc w:val="center"/>
              <w:rPr>
                <w:b/>
                <w:bCs/>
                <w:color w:val="000000"/>
                <w:sz w:val="20"/>
                <w:szCs w:val="20"/>
              </w:rPr>
            </w:pPr>
            <w:r>
              <w:rPr>
                <w:b/>
                <w:bCs/>
                <w:color w:val="000000"/>
                <w:sz w:val="20"/>
                <w:szCs w:val="20"/>
              </w:rPr>
              <w:t>Код группы расходных обязательств</w:t>
            </w:r>
          </w:p>
        </w:tc>
        <w:tc>
          <w:tcPr>
            <w:tcW w:w="5024" w:type="dxa"/>
            <w:gridSpan w:val="4"/>
            <w:tcBorders>
              <w:top w:val="single" w:sz="8" w:space="0" w:color="auto"/>
              <w:left w:val="nil"/>
              <w:bottom w:val="single" w:sz="8" w:space="0" w:color="auto"/>
              <w:right w:val="single" w:sz="8" w:space="0" w:color="000000"/>
            </w:tcBorders>
            <w:hideMark/>
          </w:tcPr>
          <w:p w:rsidR="002143F6" w:rsidRDefault="002143F6">
            <w:pPr>
              <w:jc w:val="center"/>
              <w:rPr>
                <w:b/>
                <w:bCs/>
                <w:color w:val="000000"/>
                <w:sz w:val="20"/>
                <w:szCs w:val="20"/>
              </w:rPr>
            </w:pPr>
            <w:r>
              <w:rPr>
                <w:b/>
                <w:bCs/>
                <w:color w:val="000000"/>
                <w:sz w:val="20"/>
                <w:szCs w:val="20"/>
              </w:rPr>
              <w:t>Объем и структура средств на исполнение расходных обязательств (млн. рублей)</w:t>
            </w:r>
          </w:p>
        </w:tc>
        <w:tc>
          <w:tcPr>
            <w:tcW w:w="2410" w:type="dxa"/>
            <w:gridSpan w:val="2"/>
            <w:tcBorders>
              <w:top w:val="single" w:sz="8" w:space="0" w:color="auto"/>
              <w:left w:val="nil"/>
              <w:bottom w:val="single" w:sz="8" w:space="0" w:color="auto"/>
              <w:right w:val="single" w:sz="4" w:space="0" w:color="000000"/>
            </w:tcBorders>
            <w:hideMark/>
          </w:tcPr>
          <w:p w:rsidR="002143F6" w:rsidRDefault="002143F6">
            <w:pPr>
              <w:jc w:val="center"/>
              <w:rPr>
                <w:b/>
                <w:bCs/>
                <w:color w:val="000000"/>
                <w:sz w:val="20"/>
                <w:szCs w:val="20"/>
              </w:rPr>
            </w:pPr>
            <w:r>
              <w:rPr>
                <w:b/>
                <w:bCs/>
                <w:color w:val="000000"/>
                <w:sz w:val="20"/>
                <w:szCs w:val="20"/>
              </w:rPr>
              <w:t>Темпы роста, %</w:t>
            </w:r>
          </w:p>
        </w:tc>
      </w:tr>
      <w:tr w:rsidR="002143F6" w:rsidTr="004676A2">
        <w:trPr>
          <w:trHeight w:val="484"/>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2143F6" w:rsidRDefault="002143F6">
            <w:pPr>
              <w:rPr>
                <w:b/>
                <w:bCs/>
                <w:color w:val="000000"/>
                <w:sz w:val="20"/>
                <w:szCs w:val="20"/>
              </w:rPr>
            </w:pPr>
          </w:p>
        </w:tc>
        <w:tc>
          <w:tcPr>
            <w:tcW w:w="1338" w:type="dxa"/>
            <w:tcBorders>
              <w:top w:val="nil"/>
              <w:left w:val="nil"/>
              <w:bottom w:val="single" w:sz="8" w:space="0" w:color="auto"/>
              <w:right w:val="single" w:sz="8" w:space="0" w:color="auto"/>
            </w:tcBorders>
            <w:hideMark/>
          </w:tcPr>
          <w:p w:rsidR="002143F6" w:rsidRDefault="002143F6">
            <w:pPr>
              <w:jc w:val="center"/>
              <w:rPr>
                <w:b/>
                <w:bCs/>
                <w:color w:val="000000"/>
                <w:sz w:val="20"/>
                <w:szCs w:val="20"/>
              </w:rPr>
            </w:pPr>
            <w:r>
              <w:rPr>
                <w:b/>
                <w:bCs/>
                <w:color w:val="000000"/>
                <w:sz w:val="20"/>
                <w:szCs w:val="20"/>
              </w:rPr>
              <w:t xml:space="preserve">2016 год </w:t>
            </w:r>
            <w:r>
              <w:rPr>
                <w:color w:val="000000"/>
                <w:sz w:val="18"/>
                <w:szCs w:val="18"/>
              </w:rPr>
              <w:t>(</w:t>
            </w:r>
            <w:proofErr w:type="spellStart"/>
            <w:r>
              <w:rPr>
                <w:color w:val="000000"/>
                <w:sz w:val="18"/>
                <w:szCs w:val="18"/>
              </w:rPr>
              <w:t>справочно</w:t>
            </w:r>
            <w:proofErr w:type="spellEnd"/>
            <w:r>
              <w:rPr>
                <w:color w:val="000000"/>
                <w:sz w:val="18"/>
                <w:szCs w:val="18"/>
              </w:rPr>
              <w:t>)</w:t>
            </w:r>
          </w:p>
        </w:tc>
        <w:tc>
          <w:tcPr>
            <w:tcW w:w="1134" w:type="dxa"/>
            <w:tcBorders>
              <w:top w:val="nil"/>
              <w:left w:val="nil"/>
              <w:bottom w:val="single" w:sz="8" w:space="0" w:color="auto"/>
              <w:right w:val="single" w:sz="8" w:space="0" w:color="auto"/>
            </w:tcBorders>
            <w:hideMark/>
          </w:tcPr>
          <w:p w:rsidR="002143F6" w:rsidRDefault="002143F6">
            <w:pPr>
              <w:jc w:val="center"/>
              <w:rPr>
                <w:b/>
                <w:bCs/>
                <w:color w:val="000000"/>
                <w:sz w:val="20"/>
                <w:szCs w:val="20"/>
              </w:rPr>
            </w:pPr>
            <w:r>
              <w:rPr>
                <w:b/>
                <w:bCs/>
                <w:color w:val="000000"/>
                <w:sz w:val="20"/>
                <w:szCs w:val="20"/>
              </w:rPr>
              <w:t>2017 год</w:t>
            </w:r>
          </w:p>
        </w:tc>
        <w:tc>
          <w:tcPr>
            <w:tcW w:w="1134" w:type="dxa"/>
            <w:tcBorders>
              <w:top w:val="nil"/>
              <w:left w:val="nil"/>
              <w:bottom w:val="single" w:sz="8" w:space="0" w:color="auto"/>
              <w:right w:val="single" w:sz="8" w:space="0" w:color="auto"/>
            </w:tcBorders>
            <w:hideMark/>
          </w:tcPr>
          <w:p w:rsidR="002143F6" w:rsidRDefault="002143F6">
            <w:pPr>
              <w:jc w:val="center"/>
              <w:rPr>
                <w:b/>
                <w:bCs/>
                <w:color w:val="000000"/>
                <w:sz w:val="20"/>
                <w:szCs w:val="20"/>
              </w:rPr>
            </w:pPr>
            <w:r>
              <w:rPr>
                <w:b/>
                <w:bCs/>
                <w:color w:val="000000"/>
                <w:sz w:val="20"/>
                <w:szCs w:val="20"/>
              </w:rPr>
              <w:t>2018 год</w:t>
            </w:r>
          </w:p>
        </w:tc>
        <w:tc>
          <w:tcPr>
            <w:tcW w:w="1418" w:type="dxa"/>
            <w:tcBorders>
              <w:top w:val="nil"/>
              <w:left w:val="nil"/>
              <w:bottom w:val="single" w:sz="8" w:space="0" w:color="auto"/>
              <w:right w:val="single" w:sz="8" w:space="0" w:color="auto"/>
            </w:tcBorders>
            <w:hideMark/>
          </w:tcPr>
          <w:p w:rsidR="002143F6" w:rsidRDefault="002143F6">
            <w:pPr>
              <w:jc w:val="center"/>
              <w:rPr>
                <w:b/>
                <w:bCs/>
                <w:color w:val="000000"/>
                <w:sz w:val="20"/>
                <w:szCs w:val="20"/>
              </w:rPr>
            </w:pPr>
            <w:r>
              <w:rPr>
                <w:b/>
                <w:bCs/>
                <w:color w:val="000000"/>
                <w:sz w:val="20"/>
                <w:szCs w:val="20"/>
              </w:rPr>
              <w:t>2019 год</w:t>
            </w:r>
          </w:p>
        </w:tc>
        <w:tc>
          <w:tcPr>
            <w:tcW w:w="1276" w:type="dxa"/>
            <w:tcBorders>
              <w:top w:val="nil"/>
              <w:left w:val="nil"/>
              <w:bottom w:val="single" w:sz="8" w:space="0" w:color="auto"/>
              <w:right w:val="single" w:sz="8" w:space="0" w:color="auto"/>
            </w:tcBorders>
            <w:hideMark/>
          </w:tcPr>
          <w:p w:rsidR="002143F6" w:rsidRDefault="002143F6">
            <w:pPr>
              <w:jc w:val="center"/>
              <w:rPr>
                <w:b/>
                <w:bCs/>
                <w:color w:val="000000"/>
                <w:sz w:val="20"/>
                <w:szCs w:val="20"/>
              </w:rPr>
            </w:pPr>
            <w:r>
              <w:rPr>
                <w:b/>
                <w:bCs/>
                <w:color w:val="000000"/>
                <w:sz w:val="20"/>
                <w:szCs w:val="20"/>
              </w:rPr>
              <w:t>гр. 4/гр.3*100</w:t>
            </w:r>
          </w:p>
        </w:tc>
        <w:tc>
          <w:tcPr>
            <w:tcW w:w="1134" w:type="dxa"/>
            <w:tcBorders>
              <w:top w:val="nil"/>
              <w:left w:val="nil"/>
              <w:bottom w:val="single" w:sz="8" w:space="0" w:color="auto"/>
              <w:right w:val="single" w:sz="8" w:space="0" w:color="auto"/>
            </w:tcBorders>
            <w:hideMark/>
          </w:tcPr>
          <w:p w:rsidR="002143F6" w:rsidRDefault="002143F6">
            <w:pPr>
              <w:jc w:val="center"/>
              <w:rPr>
                <w:b/>
                <w:bCs/>
                <w:color w:val="000000"/>
                <w:sz w:val="20"/>
                <w:szCs w:val="20"/>
              </w:rPr>
            </w:pPr>
            <w:r>
              <w:rPr>
                <w:b/>
                <w:bCs/>
                <w:color w:val="000000"/>
                <w:sz w:val="20"/>
                <w:szCs w:val="20"/>
              </w:rPr>
              <w:t>гр. 5/гр.3*100</w:t>
            </w:r>
          </w:p>
        </w:tc>
      </w:tr>
      <w:tr w:rsidR="002143F6" w:rsidTr="004676A2">
        <w:trPr>
          <w:trHeight w:val="191"/>
        </w:trPr>
        <w:tc>
          <w:tcPr>
            <w:tcW w:w="2076" w:type="dxa"/>
            <w:tcBorders>
              <w:top w:val="nil"/>
              <w:left w:val="single" w:sz="8" w:space="0" w:color="auto"/>
              <w:bottom w:val="single" w:sz="8" w:space="0" w:color="auto"/>
              <w:right w:val="single" w:sz="8" w:space="0" w:color="auto"/>
            </w:tcBorders>
            <w:hideMark/>
          </w:tcPr>
          <w:p w:rsidR="002143F6" w:rsidRDefault="002143F6">
            <w:pPr>
              <w:jc w:val="center"/>
              <w:rPr>
                <w:bCs/>
                <w:i/>
                <w:color w:val="000000"/>
                <w:sz w:val="20"/>
                <w:szCs w:val="20"/>
              </w:rPr>
            </w:pPr>
            <w:r>
              <w:rPr>
                <w:bCs/>
                <w:i/>
                <w:color w:val="000000"/>
                <w:sz w:val="20"/>
                <w:szCs w:val="20"/>
              </w:rPr>
              <w:t>1</w:t>
            </w:r>
          </w:p>
        </w:tc>
        <w:tc>
          <w:tcPr>
            <w:tcW w:w="1338" w:type="dxa"/>
            <w:tcBorders>
              <w:top w:val="nil"/>
              <w:left w:val="nil"/>
              <w:bottom w:val="single" w:sz="8" w:space="0" w:color="auto"/>
              <w:right w:val="single" w:sz="8" w:space="0" w:color="auto"/>
            </w:tcBorders>
            <w:hideMark/>
          </w:tcPr>
          <w:p w:rsidR="002143F6" w:rsidRDefault="002143F6">
            <w:pPr>
              <w:jc w:val="center"/>
              <w:rPr>
                <w:i/>
                <w:color w:val="000000"/>
                <w:sz w:val="20"/>
                <w:szCs w:val="20"/>
              </w:rPr>
            </w:pPr>
            <w:r>
              <w:rPr>
                <w:i/>
                <w:color w:val="000000"/>
                <w:sz w:val="20"/>
                <w:szCs w:val="20"/>
              </w:rPr>
              <w:t>2</w:t>
            </w:r>
          </w:p>
        </w:tc>
        <w:tc>
          <w:tcPr>
            <w:tcW w:w="1134" w:type="dxa"/>
            <w:tcBorders>
              <w:top w:val="nil"/>
              <w:left w:val="nil"/>
              <w:bottom w:val="single" w:sz="8" w:space="0" w:color="auto"/>
              <w:right w:val="single" w:sz="8" w:space="0" w:color="auto"/>
            </w:tcBorders>
            <w:hideMark/>
          </w:tcPr>
          <w:p w:rsidR="002143F6" w:rsidRDefault="002143F6">
            <w:pPr>
              <w:jc w:val="center"/>
              <w:rPr>
                <w:i/>
                <w:color w:val="000000"/>
                <w:sz w:val="20"/>
                <w:szCs w:val="20"/>
              </w:rPr>
            </w:pPr>
            <w:r>
              <w:rPr>
                <w:i/>
                <w:color w:val="000000"/>
                <w:sz w:val="20"/>
                <w:szCs w:val="20"/>
              </w:rPr>
              <w:t>3</w:t>
            </w:r>
          </w:p>
        </w:tc>
        <w:tc>
          <w:tcPr>
            <w:tcW w:w="1134" w:type="dxa"/>
            <w:tcBorders>
              <w:top w:val="nil"/>
              <w:left w:val="nil"/>
              <w:bottom w:val="single" w:sz="8" w:space="0" w:color="auto"/>
              <w:right w:val="single" w:sz="8" w:space="0" w:color="auto"/>
            </w:tcBorders>
            <w:hideMark/>
          </w:tcPr>
          <w:p w:rsidR="002143F6" w:rsidRDefault="002143F6">
            <w:pPr>
              <w:jc w:val="center"/>
              <w:rPr>
                <w:i/>
                <w:color w:val="000000"/>
                <w:sz w:val="20"/>
                <w:szCs w:val="20"/>
              </w:rPr>
            </w:pPr>
            <w:r>
              <w:rPr>
                <w:i/>
                <w:color w:val="000000"/>
                <w:sz w:val="20"/>
                <w:szCs w:val="20"/>
              </w:rPr>
              <w:t>4</w:t>
            </w:r>
          </w:p>
        </w:tc>
        <w:tc>
          <w:tcPr>
            <w:tcW w:w="1418" w:type="dxa"/>
            <w:tcBorders>
              <w:top w:val="nil"/>
              <w:left w:val="nil"/>
              <w:bottom w:val="single" w:sz="8" w:space="0" w:color="auto"/>
              <w:right w:val="single" w:sz="8" w:space="0" w:color="auto"/>
            </w:tcBorders>
            <w:hideMark/>
          </w:tcPr>
          <w:p w:rsidR="002143F6" w:rsidRDefault="002143F6">
            <w:pPr>
              <w:jc w:val="center"/>
              <w:rPr>
                <w:i/>
                <w:color w:val="000000"/>
                <w:sz w:val="20"/>
                <w:szCs w:val="20"/>
              </w:rPr>
            </w:pPr>
            <w:r>
              <w:rPr>
                <w:i/>
                <w:color w:val="000000"/>
                <w:sz w:val="20"/>
                <w:szCs w:val="20"/>
              </w:rPr>
              <w:t>5</w:t>
            </w:r>
          </w:p>
        </w:tc>
        <w:tc>
          <w:tcPr>
            <w:tcW w:w="1276" w:type="dxa"/>
            <w:tcBorders>
              <w:top w:val="nil"/>
              <w:left w:val="nil"/>
              <w:bottom w:val="single" w:sz="8" w:space="0" w:color="auto"/>
              <w:right w:val="single" w:sz="8" w:space="0" w:color="auto"/>
            </w:tcBorders>
            <w:hideMark/>
          </w:tcPr>
          <w:p w:rsidR="002143F6" w:rsidRDefault="002143F6">
            <w:pPr>
              <w:jc w:val="center"/>
              <w:rPr>
                <w:i/>
                <w:color w:val="000000"/>
                <w:sz w:val="20"/>
                <w:szCs w:val="20"/>
              </w:rPr>
            </w:pPr>
            <w:r>
              <w:rPr>
                <w:i/>
                <w:color w:val="000000"/>
                <w:sz w:val="20"/>
                <w:szCs w:val="20"/>
              </w:rPr>
              <w:t>6</w:t>
            </w:r>
          </w:p>
        </w:tc>
        <w:tc>
          <w:tcPr>
            <w:tcW w:w="1134" w:type="dxa"/>
            <w:tcBorders>
              <w:top w:val="nil"/>
              <w:left w:val="nil"/>
              <w:bottom w:val="single" w:sz="8" w:space="0" w:color="auto"/>
              <w:right w:val="single" w:sz="8" w:space="0" w:color="auto"/>
            </w:tcBorders>
            <w:hideMark/>
          </w:tcPr>
          <w:p w:rsidR="002143F6" w:rsidRDefault="002143F6">
            <w:pPr>
              <w:jc w:val="center"/>
              <w:rPr>
                <w:i/>
                <w:color w:val="000000"/>
                <w:sz w:val="20"/>
                <w:szCs w:val="20"/>
              </w:rPr>
            </w:pPr>
            <w:r>
              <w:rPr>
                <w:i/>
                <w:color w:val="000000"/>
                <w:sz w:val="20"/>
                <w:szCs w:val="20"/>
              </w:rPr>
              <w:t>7</w:t>
            </w:r>
          </w:p>
        </w:tc>
      </w:tr>
      <w:tr w:rsidR="002143F6" w:rsidTr="004676A2">
        <w:trPr>
          <w:trHeight w:val="51"/>
        </w:trPr>
        <w:tc>
          <w:tcPr>
            <w:tcW w:w="2076" w:type="dxa"/>
            <w:tcBorders>
              <w:top w:val="nil"/>
              <w:left w:val="single" w:sz="8" w:space="0" w:color="auto"/>
              <w:bottom w:val="single" w:sz="8" w:space="0" w:color="auto"/>
              <w:right w:val="single" w:sz="8" w:space="0" w:color="auto"/>
            </w:tcBorders>
            <w:hideMark/>
          </w:tcPr>
          <w:p w:rsidR="002143F6" w:rsidRDefault="002143F6">
            <w:pPr>
              <w:rPr>
                <w:b/>
                <w:bCs/>
                <w:color w:val="000000"/>
                <w:sz w:val="20"/>
                <w:szCs w:val="20"/>
              </w:rPr>
            </w:pPr>
            <w:r>
              <w:rPr>
                <w:b/>
                <w:bCs/>
                <w:color w:val="000000"/>
                <w:sz w:val="20"/>
                <w:szCs w:val="20"/>
              </w:rPr>
              <w:t>1000</w:t>
            </w:r>
          </w:p>
        </w:tc>
        <w:tc>
          <w:tcPr>
            <w:tcW w:w="1338"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65 354,49</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57 420,27</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60 500,42</w:t>
            </w:r>
          </w:p>
        </w:tc>
        <w:tc>
          <w:tcPr>
            <w:tcW w:w="1418"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59 533,40</w:t>
            </w:r>
          </w:p>
        </w:tc>
        <w:tc>
          <w:tcPr>
            <w:tcW w:w="1276"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105,4</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103,7</w:t>
            </w:r>
          </w:p>
        </w:tc>
      </w:tr>
      <w:tr w:rsidR="002143F6" w:rsidTr="004676A2">
        <w:trPr>
          <w:trHeight w:val="225"/>
        </w:trPr>
        <w:tc>
          <w:tcPr>
            <w:tcW w:w="2076" w:type="dxa"/>
            <w:tcBorders>
              <w:top w:val="nil"/>
              <w:left w:val="single" w:sz="8" w:space="0" w:color="auto"/>
              <w:bottom w:val="single" w:sz="8" w:space="0" w:color="auto"/>
              <w:right w:val="single" w:sz="8" w:space="0" w:color="auto"/>
            </w:tcBorders>
            <w:hideMark/>
          </w:tcPr>
          <w:p w:rsidR="002143F6" w:rsidRDefault="002143F6">
            <w:pPr>
              <w:rPr>
                <w:color w:val="000000"/>
                <w:sz w:val="20"/>
                <w:szCs w:val="20"/>
              </w:rPr>
            </w:pPr>
            <w:proofErr w:type="gramStart"/>
            <w:r>
              <w:rPr>
                <w:color w:val="000000"/>
                <w:sz w:val="20"/>
                <w:szCs w:val="20"/>
              </w:rPr>
              <w:t>в</w:t>
            </w:r>
            <w:proofErr w:type="gramEnd"/>
            <w:r>
              <w:rPr>
                <w:color w:val="000000"/>
                <w:sz w:val="20"/>
                <w:szCs w:val="20"/>
              </w:rPr>
              <w:t xml:space="preserve"> % к общему объему</w:t>
            </w:r>
          </w:p>
        </w:tc>
        <w:tc>
          <w:tcPr>
            <w:tcW w:w="1338"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75,6</w:t>
            </w:r>
          </w:p>
        </w:tc>
        <w:tc>
          <w:tcPr>
            <w:tcW w:w="1134"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78,5</w:t>
            </w:r>
          </w:p>
        </w:tc>
        <w:tc>
          <w:tcPr>
            <w:tcW w:w="1134"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82,6</w:t>
            </w:r>
          </w:p>
        </w:tc>
        <w:tc>
          <w:tcPr>
            <w:tcW w:w="1418"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83,0</w:t>
            </w:r>
          </w:p>
        </w:tc>
        <w:tc>
          <w:tcPr>
            <w:tcW w:w="1276"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 </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 </w:t>
            </w:r>
          </w:p>
        </w:tc>
      </w:tr>
      <w:tr w:rsidR="002143F6" w:rsidTr="004676A2">
        <w:trPr>
          <w:trHeight w:val="115"/>
        </w:trPr>
        <w:tc>
          <w:tcPr>
            <w:tcW w:w="2076" w:type="dxa"/>
            <w:tcBorders>
              <w:top w:val="nil"/>
              <w:left w:val="single" w:sz="8" w:space="0" w:color="auto"/>
              <w:bottom w:val="single" w:sz="8" w:space="0" w:color="auto"/>
              <w:right w:val="single" w:sz="8" w:space="0" w:color="auto"/>
            </w:tcBorders>
            <w:hideMark/>
          </w:tcPr>
          <w:p w:rsidR="002143F6" w:rsidRDefault="002143F6">
            <w:pPr>
              <w:rPr>
                <w:b/>
                <w:bCs/>
                <w:color w:val="000000"/>
                <w:sz w:val="20"/>
                <w:szCs w:val="20"/>
              </w:rPr>
            </w:pPr>
            <w:r>
              <w:rPr>
                <w:b/>
                <w:bCs/>
                <w:color w:val="000000"/>
                <w:sz w:val="20"/>
                <w:szCs w:val="20"/>
              </w:rPr>
              <w:t>2000</w:t>
            </w:r>
          </w:p>
        </w:tc>
        <w:tc>
          <w:tcPr>
            <w:tcW w:w="1338"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2 308,36</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2 761,55</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1 414,98</w:t>
            </w:r>
          </w:p>
        </w:tc>
        <w:tc>
          <w:tcPr>
            <w:tcW w:w="1418"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1 398,10</w:t>
            </w:r>
          </w:p>
        </w:tc>
        <w:tc>
          <w:tcPr>
            <w:tcW w:w="1276"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51,2</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50,6</w:t>
            </w:r>
          </w:p>
        </w:tc>
      </w:tr>
      <w:tr w:rsidR="002143F6" w:rsidTr="004676A2">
        <w:trPr>
          <w:trHeight w:val="147"/>
        </w:trPr>
        <w:tc>
          <w:tcPr>
            <w:tcW w:w="2076" w:type="dxa"/>
            <w:tcBorders>
              <w:top w:val="nil"/>
              <w:left w:val="single" w:sz="8" w:space="0" w:color="auto"/>
              <w:bottom w:val="single" w:sz="8" w:space="0" w:color="auto"/>
              <w:right w:val="single" w:sz="8" w:space="0" w:color="auto"/>
            </w:tcBorders>
            <w:hideMark/>
          </w:tcPr>
          <w:p w:rsidR="002143F6" w:rsidRDefault="002143F6">
            <w:pPr>
              <w:rPr>
                <w:color w:val="000000"/>
                <w:sz w:val="20"/>
                <w:szCs w:val="20"/>
              </w:rPr>
            </w:pPr>
            <w:proofErr w:type="gramStart"/>
            <w:r>
              <w:rPr>
                <w:color w:val="000000"/>
                <w:sz w:val="20"/>
                <w:szCs w:val="20"/>
              </w:rPr>
              <w:t>в</w:t>
            </w:r>
            <w:proofErr w:type="gramEnd"/>
            <w:r>
              <w:rPr>
                <w:color w:val="000000"/>
                <w:sz w:val="20"/>
                <w:szCs w:val="20"/>
              </w:rPr>
              <w:t xml:space="preserve"> % к общему объему</w:t>
            </w:r>
          </w:p>
        </w:tc>
        <w:tc>
          <w:tcPr>
            <w:tcW w:w="1338"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2,7</w:t>
            </w:r>
          </w:p>
        </w:tc>
        <w:tc>
          <w:tcPr>
            <w:tcW w:w="1134"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3,8</w:t>
            </w:r>
          </w:p>
        </w:tc>
        <w:tc>
          <w:tcPr>
            <w:tcW w:w="1134"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1,9</w:t>
            </w:r>
          </w:p>
        </w:tc>
        <w:tc>
          <w:tcPr>
            <w:tcW w:w="1418"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1,9</w:t>
            </w:r>
          </w:p>
        </w:tc>
        <w:tc>
          <w:tcPr>
            <w:tcW w:w="1276"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 </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 </w:t>
            </w:r>
          </w:p>
        </w:tc>
      </w:tr>
      <w:tr w:rsidR="002143F6" w:rsidTr="004676A2">
        <w:trPr>
          <w:trHeight w:val="178"/>
        </w:trPr>
        <w:tc>
          <w:tcPr>
            <w:tcW w:w="2076" w:type="dxa"/>
            <w:tcBorders>
              <w:top w:val="nil"/>
              <w:left w:val="single" w:sz="8" w:space="0" w:color="auto"/>
              <w:bottom w:val="single" w:sz="8" w:space="0" w:color="auto"/>
              <w:right w:val="single" w:sz="8" w:space="0" w:color="auto"/>
            </w:tcBorders>
            <w:hideMark/>
          </w:tcPr>
          <w:p w:rsidR="002143F6" w:rsidRDefault="002143F6">
            <w:pPr>
              <w:rPr>
                <w:b/>
                <w:bCs/>
                <w:color w:val="000000"/>
                <w:sz w:val="20"/>
                <w:szCs w:val="20"/>
              </w:rPr>
            </w:pPr>
            <w:r>
              <w:rPr>
                <w:b/>
                <w:bCs/>
                <w:color w:val="000000"/>
                <w:sz w:val="20"/>
                <w:szCs w:val="20"/>
              </w:rPr>
              <w:t>3000</w:t>
            </w:r>
          </w:p>
        </w:tc>
        <w:tc>
          <w:tcPr>
            <w:tcW w:w="1338"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10 491,82</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7 205,80</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6 238,10</w:t>
            </w:r>
          </w:p>
        </w:tc>
        <w:tc>
          <w:tcPr>
            <w:tcW w:w="1418"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5 806,45</w:t>
            </w:r>
          </w:p>
        </w:tc>
        <w:tc>
          <w:tcPr>
            <w:tcW w:w="1276"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86,6</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80,6</w:t>
            </w:r>
          </w:p>
        </w:tc>
      </w:tr>
      <w:tr w:rsidR="002143F6" w:rsidTr="004676A2">
        <w:trPr>
          <w:trHeight w:val="225"/>
        </w:trPr>
        <w:tc>
          <w:tcPr>
            <w:tcW w:w="2076" w:type="dxa"/>
            <w:tcBorders>
              <w:top w:val="nil"/>
              <w:left w:val="single" w:sz="8" w:space="0" w:color="auto"/>
              <w:bottom w:val="single" w:sz="8" w:space="0" w:color="auto"/>
              <w:right w:val="single" w:sz="8" w:space="0" w:color="auto"/>
            </w:tcBorders>
            <w:hideMark/>
          </w:tcPr>
          <w:p w:rsidR="002143F6" w:rsidRDefault="002143F6">
            <w:pPr>
              <w:rPr>
                <w:color w:val="000000"/>
                <w:sz w:val="20"/>
                <w:szCs w:val="20"/>
              </w:rPr>
            </w:pPr>
            <w:proofErr w:type="gramStart"/>
            <w:r>
              <w:rPr>
                <w:color w:val="000000"/>
                <w:sz w:val="20"/>
                <w:szCs w:val="20"/>
              </w:rPr>
              <w:t>в</w:t>
            </w:r>
            <w:proofErr w:type="gramEnd"/>
            <w:r>
              <w:rPr>
                <w:color w:val="000000"/>
                <w:sz w:val="20"/>
                <w:szCs w:val="20"/>
              </w:rPr>
              <w:t xml:space="preserve"> % к общему объему</w:t>
            </w:r>
          </w:p>
        </w:tc>
        <w:tc>
          <w:tcPr>
            <w:tcW w:w="1338"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12,1</w:t>
            </w:r>
          </w:p>
        </w:tc>
        <w:tc>
          <w:tcPr>
            <w:tcW w:w="1134"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9,9</w:t>
            </w:r>
          </w:p>
        </w:tc>
        <w:tc>
          <w:tcPr>
            <w:tcW w:w="1134"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8,5</w:t>
            </w:r>
          </w:p>
        </w:tc>
        <w:tc>
          <w:tcPr>
            <w:tcW w:w="1418"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8,1</w:t>
            </w:r>
          </w:p>
        </w:tc>
        <w:tc>
          <w:tcPr>
            <w:tcW w:w="1276"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 </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 </w:t>
            </w:r>
          </w:p>
        </w:tc>
      </w:tr>
      <w:tr w:rsidR="002143F6" w:rsidTr="004676A2">
        <w:trPr>
          <w:trHeight w:val="114"/>
        </w:trPr>
        <w:tc>
          <w:tcPr>
            <w:tcW w:w="2076" w:type="dxa"/>
            <w:tcBorders>
              <w:top w:val="nil"/>
              <w:left w:val="single" w:sz="8" w:space="0" w:color="auto"/>
              <w:bottom w:val="single" w:sz="8" w:space="0" w:color="auto"/>
              <w:right w:val="single" w:sz="8" w:space="0" w:color="auto"/>
            </w:tcBorders>
            <w:hideMark/>
          </w:tcPr>
          <w:p w:rsidR="002143F6" w:rsidRDefault="002143F6">
            <w:pPr>
              <w:rPr>
                <w:b/>
                <w:bCs/>
                <w:color w:val="000000"/>
                <w:sz w:val="20"/>
                <w:szCs w:val="20"/>
              </w:rPr>
            </w:pPr>
            <w:r>
              <w:rPr>
                <w:b/>
                <w:bCs/>
                <w:color w:val="000000"/>
                <w:sz w:val="20"/>
                <w:szCs w:val="20"/>
              </w:rPr>
              <w:t>4000</w:t>
            </w:r>
          </w:p>
        </w:tc>
        <w:tc>
          <w:tcPr>
            <w:tcW w:w="1338"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4 985,18</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4 228,78</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4 213,61</w:t>
            </w:r>
          </w:p>
        </w:tc>
        <w:tc>
          <w:tcPr>
            <w:tcW w:w="1418"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4 216,88</w:t>
            </w:r>
          </w:p>
        </w:tc>
        <w:tc>
          <w:tcPr>
            <w:tcW w:w="1276"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99,6</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99,7</w:t>
            </w:r>
          </w:p>
        </w:tc>
      </w:tr>
      <w:tr w:rsidR="002143F6" w:rsidTr="004676A2">
        <w:trPr>
          <w:trHeight w:val="147"/>
        </w:trPr>
        <w:tc>
          <w:tcPr>
            <w:tcW w:w="2076" w:type="dxa"/>
            <w:tcBorders>
              <w:top w:val="nil"/>
              <w:left w:val="single" w:sz="8" w:space="0" w:color="auto"/>
              <w:bottom w:val="single" w:sz="8" w:space="0" w:color="auto"/>
              <w:right w:val="single" w:sz="8" w:space="0" w:color="auto"/>
            </w:tcBorders>
            <w:hideMark/>
          </w:tcPr>
          <w:p w:rsidR="002143F6" w:rsidRDefault="002143F6">
            <w:pPr>
              <w:rPr>
                <w:color w:val="000000"/>
                <w:sz w:val="20"/>
                <w:szCs w:val="20"/>
              </w:rPr>
            </w:pPr>
            <w:proofErr w:type="gramStart"/>
            <w:r>
              <w:rPr>
                <w:color w:val="000000"/>
                <w:sz w:val="20"/>
                <w:szCs w:val="20"/>
              </w:rPr>
              <w:t>в</w:t>
            </w:r>
            <w:proofErr w:type="gramEnd"/>
            <w:r>
              <w:rPr>
                <w:color w:val="000000"/>
                <w:sz w:val="20"/>
                <w:szCs w:val="20"/>
              </w:rPr>
              <w:t xml:space="preserve"> % к общему объему</w:t>
            </w:r>
          </w:p>
        </w:tc>
        <w:tc>
          <w:tcPr>
            <w:tcW w:w="1338"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5,8</w:t>
            </w:r>
          </w:p>
        </w:tc>
        <w:tc>
          <w:tcPr>
            <w:tcW w:w="1134"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5,8</w:t>
            </w:r>
          </w:p>
        </w:tc>
        <w:tc>
          <w:tcPr>
            <w:tcW w:w="1134"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5,8</w:t>
            </w:r>
          </w:p>
        </w:tc>
        <w:tc>
          <w:tcPr>
            <w:tcW w:w="1418"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5,9</w:t>
            </w:r>
          </w:p>
        </w:tc>
        <w:tc>
          <w:tcPr>
            <w:tcW w:w="1276"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 </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 </w:t>
            </w:r>
          </w:p>
        </w:tc>
      </w:tr>
      <w:tr w:rsidR="002143F6" w:rsidTr="004676A2">
        <w:trPr>
          <w:trHeight w:val="178"/>
        </w:trPr>
        <w:tc>
          <w:tcPr>
            <w:tcW w:w="2076" w:type="dxa"/>
            <w:tcBorders>
              <w:top w:val="nil"/>
              <w:left w:val="single" w:sz="8" w:space="0" w:color="auto"/>
              <w:bottom w:val="single" w:sz="8" w:space="0" w:color="auto"/>
              <w:right w:val="single" w:sz="8" w:space="0" w:color="auto"/>
            </w:tcBorders>
            <w:hideMark/>
          </w:tcPr>
          <w:p w:rsidR="002143F6" w:rsidRDefault="002143F6">
            <w:pPr>
              <w:rPr>
                <w:b/>
                <w:bCs/>
                <w:color w:val="000000"/>
                <w:sz w:val="20"/>
                <w:szCs w:val="20"/>
              </w:rPr>
            </w:pPr>
            <w:r>
              <w:rPr>
                <w:b/>
                <w:bCs/>
                <w:color w:val="000000"/>
                <w:sz w:val="20"/>
                <w:szCs w:val="20"/>
              </w:rPr>
              <w:t>5000</w:t>
            </w:r>
          </w:p>
        </w:tc>
        <w:tc>
          <w:tcPr>
            <w:tcW w:w="1338"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2 328,32</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1 024,86</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684,75</w:t>
            </w:r>
          </w:p>
        </w:tc>
        <w:tc>
          <w:tcPr>
            <w:tcW w:w="1418"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582,17</w:t>
            </w:r>
          </w:p>
        </w:tc>
        <w:tc>
          <w:tcPr>
            <w:tcW w:w="1276"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66,8</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56,8</w:t>
            </w:r>
          </w:p>
        </w:tc>
      </w:tr>
      <w:tr w:rsidR="002143F6" w:rsidTr="004676A2">
        <w:trPr>
          <w:trHeight w:val="211"/>
        </w:trPr>
        <w:tc>
          <w:tcPr>
            <w:tcW w:w="2076" w:type="dxa"/>
            <w:tcBorders>
              <w:top w:val="nil"/>
              <w:left w:val="single" w:sz="8" w:space="0" w:color="auto"/>
              <w:bottom w:val="single" w:sz="8" w:space="0" w:color="auto"/>
              <w:right w:val="single" w:sz="8" w:space="0" w:color="auto"/>
            </w:tcBorders>
            <w:hideMark/>
          </w:tcPr>
          <w:p w:rsidR="002143F6" w:rsidRDefault="002143F6">
            <w:pPr>
              <w:rPr>
                <w:color w:val="000000"/>
                <w:sz w:val="20"/>
                <w:szCs w:val="20"/>
              </w:rPr>
            </w:pPr>
            <w:proofErr w:type="gramStart"/>
            <w:r>
              <w:rPr>
                <w:color w:val="000000"/>
                <w:sz w:val="20"/>
                <w:szCs w:val="20"/>
              </w:rPr>
              <w:t>в</w:t>
            </w:r>
            <w:proofErr w:type="gramEnd"/>
            <w:r>
              <w:rPr>
                <w:color w:val="000000"/>
                <w:sz w:val="20"/>
                <w:szCs w:val="20"/>
              </w:rPr>
              <w:t xml:space="preserve"> % к общему объему</w:t>
            </w:r>
          </w:p>
        </w:tc>
        <w:tc>
          <w:tcPr>
            <w:tcW w:w="1338"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2,7</w:t>
            </w:r>
          </w:p>
        </w:tc>
        <w:tc>
          <w:tcPr>
            <w:tcW w:w="1134"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1,4</w:t>
            </w:r>
          </w:p>
        </w:tc>
        <w:tc>
          <w:tcPr>
            <w:tcW w:w="1134"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0,9</w:t>
            </w:r>
          </w:p>
        </w:tc>
        <w:tc>
          <w:tcPr>
            <w:tcW w:w="1418"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0,8</w:t>
            </w:r>
          </w:p>
        </w:tc>
        <w:tc>
          <w:tcPr>
            <w:tcW w:w="1276"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 </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 </w:t>
            </w:r>
          </w:p>
        </w:tc>
      </w:tr>
      <w:tr w:rsidR="002143F6" w:rsidTr="004676A2">
        <w:trPr>
          <w:trHeight w:val="101"/>
        </w:trPr>
        <w:tc>
          <w:tcPr>
            <w:tcW w:w="2076" w:type="dxa"/>
            <w:tcBorders>
              <w:top w:val="nil"/>
              <w:left w:val="single" w:sz="8" w:space="0" w:color="auto"/>
              <w:bottom w:val="single" w:sz="8" w:space="0" w:color="auto"/>
              <w:right w:val="single" w:sz="8" w:space="0" w:color="auto"/>
            </w:tcBorders>
            <w:hideMark/>
          </w:tcPr>
          <w:p w:rsidR="002143F6" w:rsidRDefault="002143F6">
            <w:pPr>
              <w:rPr>
                <w:b/>
                <w:bCs/>
                <w:color w:val="000000"/>
                <w:sz w:val="20"/>
                <w:szCs w:val="20"/>
              </w:rPr>
            </w:pPr>
            <w:r>
              <w:rPr>
                <w:b/>
                <w:bCs/>
                <w:color w:val="000000"/>
                <w:sz w:val="20"/>
                <w:szCs w:val="20"/>
              </w:rPr>
              <w:t>6000</w:t>
            </w:r>
          </w:p>
        </w:tc>
        <w:tc>
          <w:tcPr>
            <w:tcW w:w="1338"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990,39</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280,05</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213,71</w:t>
            </w:r>
          </w:p>
        </w:tc>
        <w:tc>
          <w:tcPr>
            <w:tcW w:w="1418"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197,99</w:t>
            </w:r>
          </w:p>
        </w:tc>
        <w:tc>
          <w:tcPr>
            <w:tcW w:w="1276"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76,3</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70,7</w:t>
            </w:r>
          </w:p>
        </w:tc>
      </w:tr>
      <w:tr w:rsidR="002143F6" w:rsidTr="004676A2">
        <w:trPr>
          <w:trHeight w:val="133"/>
        </w:trPr>
        <w:tc>
          <w:tcPr>
            <w:tcW w:w="2076" w:type="dxa"/>
            <w:tcBorders>
              <w:top w:val="nil"/>
              <w:left w:val="single" w:sz="8" w:space="0" w:color="auto"/>
              <w:bottom w:val="single" w:sz="8" w:space="0" w:color="auto"/>
              <w:right w:val="single" w:sz="8" w:space="0" w:color="auto"/>
            </w:tcBorders>
            <w:hideMark/>
          </w:tcPr>
          <w:p w:rsidR="002143F6" w:rsidRDefault="002143F6">
            <w:pPr>
              <w:rPr>
                <w:color w:val="000000"/>
                <w:sz w:val="20"/>
                <w:szCs w:val="20"/>
              </w:rPr>
            </w:pPr>
            <w:proofErr w:type="gramStart"/>
            <w:r>
              <w:rPr>
                <w:color w:val="000000"/>
                <w:sz w:val="20"/>
                <w:szCs w:val="20"/>
              </w:rPr>
              <w:t>в</w:t>
            </w:r>
            <w:proofErr w:type="gramEnd"/>
            <w:r>
              <w:rPr>
                <w:color w:val="000000"/>
                <w:sz w:val="20"/>
                <w:szCs w:val="20"/>
              </w:rPr>
              <w:t xml:space="preserve"> % к общему объему</w:t>
            </w:r>
          </w:p>
        </w:tc>
        <w:tc>
          <w:tcPr>
            <w:tcW w:w="1338"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1,1</w:t>
            </w:r>
          </w:p>
        </w:tc>
        <w:tc>
          <w:tcPr>
            <w:tcW w:w="1134"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0,4</w:t>
            </w:r>
          </w:p>
        </w:tc>
        <w:tc>
          <w:tcPr>
            <w:tcW w:w="1134"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0,3</w:t>
            </w:r>
          </w:p>
        </w:tc>
        <w:tc>
          <w:tcPr>
            <w:tcW w:w="1418"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0,3</w:t>
            </w:r>
          </w:p>
        </w:tc>
        <w:tc>
          <w:tcPr>
            <w:tcW w:w="1276"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 </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 </w:t>
            </w:r>
          </w:p>
        </w:tc>
      </w:tr>
      <w:tr w:rsidR="002143F6" w:rsidTr="004676A2">
        <w:trPr>
          <w:trHeight w:val="165"/>
        </w:trPr>
        <w:tc>
          <w:tcPr>
            <w:tcW w:w="2076" w:type="dxa"/>
            <w:tcBorders>
              <w:top w:val="nil"/>
              <w:left w:val="single" w:sz="8" w:space="0" w:color="auto"/>
              <w:bottom w:val="single" w:sz="8" w:space="0" w:color="auto"/>
              <w:right w:val="single" w:sz="8" w:space="0" w:color="auto"/>
            </w:tcBorders>
            <w:hideMark/>
          </w:tcPr>
          <w:p w:rsidR="002143F6" w:rsidRDefault="002143F6">
            <w:pPr>
              <w:rPr>
                <w:b/>
                <w:bCs/>
                <w:color w:val="000000"/>
                <w:sz w:val="20"/>
                <w:szCs w:val="20"/>
              </w:rPr>
            </w:pPr>
            <w:r>
              <w:rPr>
                <w:b/>
                <w:bCs/>
                <w:color w:val="000000"/>
                <w:sz w:val="20"/>
                <w:szCs w:val="20"/>
              </w:rPr>
              <w:t>7000</w:t>
            </w:r>
          </w:p>
        </w:tc>
        <w:tc>
          <w:tcPr>
            <w:tcW w:w="1338"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3</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203</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5</w:t>
            </w:r>
          </w:p>
        </w:tc>
        <w:tc>
          <w:tcPr>
            <w:tcW w:w="1418"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3</w:t>
            </w:r>
          </w:p>
        </w:tc>
        <w:tc>
          <w:tcPr>
            <w:tcW w:w="1276"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2,5</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1,5</w:t>
            </w:r>
          </w:p>
        </w:tc>
      </w:tr>
      <w:tr w:rsidR="002143F6" w:rsidTr="004676A2">
        <w:trPr>
          <w:trHeight w:val="196"/>
        </w:trPr>
        <w:tc>
          <w:tcPr>
            <w:tcW w:w="2076" w:type="dxa"/>
            <w:tcBorders>
              <w:top w:val="nil"/>
              <w:left w:val="single" w:sz="8" w:space="0" w:color="auto"/>
              <w:bottom w:val="single" w:sz="8" w:space="0" w:color="auto"/>
              <w:right w:val="single" w:sz="8" w:space="0" w:color="auto"/>
            </w:tcBorders>
            <w:hideMark/>
          </w:tcPr>
          <w:p w:rsidR="002143F6" w:rsidRDefault="002143F6">
            <w:pPr>
              <w:rPr>
                <w:color w:val="000000"/>
                <w:sz w:val="20"/>
                <w:szCs w:val="20"/>
              </w:rPr>
            </w:pPr>
            <w:proofErr w:type="gramStart"/>
            <w:r>
              <w:rPr>
                <w:color w:val="000000"/>
                <w:sz w:val="20"/>
                <w:szCs w:val="20"/>
              </w:rPr>
              <w:t>в</w:t>
            </w:r>
            <w:proofErr w:type="gramEnd"/>
            <w:r>
              <w:rPr>
                <w:color w:val="000000"/>
                <w:sz w:val="20"/>
                <w:szCs w:val="20"/>
              </w:rPr>
              <w:t xml:space="preserve"> % к общему объему</w:t>
            </w:r>
          </w:p>
        </w:tc>
        <w:tc>
          <w:tcPr>
            <w:tcW w:w="1338"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0,003</w:t>
            </w:r>
          </w:p>
        </w:tc>
        <w:tc>
          <w:tcPr>
            <w:tcW w:w="1134"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0,278</w:t>
            </w:r>
          </w:p>
        </w:tc>
        <w:tc>
          <w:tcPr>
            <w:tcW w:w="1134"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0,007</w:t>
            </w:r>
          </w:p>
        </w:tc>
        <w:tc>
          <w:tcPr>
            <w:tcW w:w="1418" w:type="dxa"/>
            <w:tcBorders>
              <w:top w:val="nil"/>
              <w:left w:val="nil"/>
              <w:bottom w:val="single" w:sz="8" w:space="0" w:color="auto"/>
              <w:right w:val="single" w:sz="8" w:space="0" w:color="auto"/>
            </w:tcBorders>
            <w:hideMark/>
          </w:tcPr>
          <w:p w:rsidR="002143F6" w:rsidRDefault="002143F6">
            <w:pPr>
              <w:jc w:val="center"/>
              <w:rPr>
                <w:i/>
                <w:iCs/>
                <w:color w:val="000000"/>
                <w:sz w:val="20"/>
                <w:szCs w:val="20"/>
              </w:rPr>
            </w:pPr>
            <w:r>
              <w:rPr>
                <w:i/>
                <w:iCs/>
                <w:color w:val="000000"/>
                <w:sz w:val="20"/>
                <w:szCs w:val="20"/>
              </w:rPr>
              <w:t>0,004</w:t>
            </w:r>
          </w:p>
        </w:tc>
        <w:tc>
          <w:tcPr>
            <w:tcW w:w="1276"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 </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 </w:t>
            </w:r>
          </w:p>
        </w:tc>
      </w:tr>
      <w:tr w:rsidR="002143F6" w:rsidTr="004676A2">
        <w:trPr>
          <w:trHeight w:val="229"/>
        </w:trPr>
        <w:tc>
          <w:tcPr>
            <w:tcW w:w="2076" w:type="dxa"/>
            <w:tcBorders>
              <w:top w:val="nil"/>
              <w:left w:val="single" w:sz="8" w:space="0" w:color="auto"/>
              <w:bottom w:val="single" w:sz="8" w:space="0" w:color="auto"/>
              <w:right w:val="single" w:sz="8" w:space="0" w:color="auto"/>
            </w:tcBorders>
            <w:hideMark/>
          </w:tcPr>
          <w:p w:rsidR="002143F6" w:rsidRDefault="002143F6">
            <w:pPr>
              <w:rPr>
                <w:b/>
                <w:bCs/>
                <w:color w:val="000000"/>
                <w:sz w:val="20"/>
                <w:szCs w:val="20"/>
              </w:rPr>
            </w:pPr>
            <w:r>
              <w:rPr>
                <w:b/>
                <w:bCs/>
                <w:color w:val="000000"/>
                <w:sz w:val="20"/>
                <w:szCs w:val="20"/>
              </w:rPr>
              <w:t>Итого</w:t>
            </w:r>
          </w:p>
        </w:tc>
        <w:tc>
          <w:tcPr>
            <w:tcW w:w="1338" w:type="dxa"/>
            <w:tcBorders>
              <w:top w:val="nil"/>
              <w:left w:val="nil"/>
              <w:bottom w:val="single" w:sz="8" w:space="0" w:color="auto"/>
              <w:right w:val="single" w:sz="8" w:space="0" w:color="auto"/>
            </w:tcBorders>
            <w:hideMark/>
          </w:tcPr>
          <w:p w:rsidR="002143F6" w:rsidRDefault="002143F6">
            <w:pPr>
              <w:jc w:val="center"/>
              <w:rPr>
                <w:b/>
                <w:bCs/>
                <w:color w:val="000000"/>
                <w:sz w:val="20"/>
                <w:szCs w:val="20"/>
              </w:rPr>
            </w:pPr>
            <w:r>
              <w:rPr>
                <w:b/>
                <w:bCs/>
                <w:color w:val="000000"/>
                <w:sz w:val="20"/>
                <w:szCs w:val="20"/>
              </w:rPr>
              <w:t>86 461,56</w:t>
            </w:r>
          </w:p>
        </w:tc>
        <w:tc>
          <w:tcPr>
            <w:tcW w:w="1134" w:type="dxa"/>
            <w:tcBorders>
              <w:top w:val="nil"/>
              <w:left w:val="nil"/>
              <w:bottom w:val="single" w:sz="8" w:space="0" w:color="auto"/>
              <w:right w:val="single" w:sz="8" w:space="0" w:color="auto"/>
            </w:tcBorders>
            <w:hideMark/>
          </w:tcPr>
          <w:p w:rsidR="002143F6" w:rsidRDefault="002143F6">
            <w:pPr>
              <w:jc w:val="center"/>
              <w:rPr>
                <w:b/>
                <w:bCs/>
                <w:color w:val="000000"/>
                <w:sz w:val="20"/>
                <w:szCs w:val="20"/>
              </w:rPr>
            </w:pPr>
            <w:r>
              <w:rPr>
                <w:b/>
                <w:bCs/>
                <w:color w:val="000000"/>
                <w:sz w:val="20"/>
                <w:szCs w:val="20"/>
              </w:rPr>
              <w:t>73 124,30</w:t>
            </w:r>
          </w:p>
        </w:tc>
        <w:tc>
          <w:tcPr>
            <w:tcW w:w="1134" w:type="dxa"/>
            <w:tcBorders>
              <w:top w:val="nil"/>
              <w:left w:val="nil"/>
              <w:bottom w:val="single" w:sz="8" w:space="0" w:color="auto"/>
              <w:right w:val="single" w:sz="8" w:space="0" w:color="auto"/>
            </w:tcBorders>
            <w:hideMark/>
          </w:tcPr>
          <w:p w:rsidR="002143F6" w:rsidRDefault="002143F6">
            <w:pPr>
              <w:jc w:val="center"/>
              <w:rPr>
                <w:b/>
                <w:bCs/>
                <w:color w:val="000000"/>
                <w:sz w:val="20"/>
                <w:szCs w:val="20"/>
              </w:rPr>
            </w:pPr>
            <w:r>
              <w:rPr>
                <w:b/>
                <w:bCs/>
                <w:color w:val="000000"/>
                <w:sz w:val="20"/>
                <w:szCs w:val="20"/>
              </w:rPr>
              <w:t>73 270,57</w:t>
            </w:r>
          </w:p>
        </w:tc>
        <w:tc>
          <w:tcPr>
            <w:tcW w:w="1418" w:type="dxa"/>
            <w:tcBorders>
              <w:top w:val="nil"/>
              <w:left w:val="nil"/>
              <w:bottom w:val="single" w:sz="8" w:space="0" w:color="auto"/>
              <w:right w:val="single" w:sz="8" w:space="0" w:color="auto"/>
            </w:tcBorders>
            <w:hideMark/>
          </w:tcPr>
          <w:p w:rsidR="002143F6" w:rsidRDefault="002143F6">
            <w:pPr>
              <w:jc w:val="center"/>
              <w:rPr>
                <w:b/>
                <w:bCs/>
                <w:color w:val="000000"/>
                <w:sz w:val="20"/>
                <w:szCs w:val="20"/>
              </w:rPr>
            </w:pPr>
            <w:r>
              <w:rPr>
                <w:b/>
                <w:bCs/>
                <w:color w:val="000000"/>
                <w:sz w:val="20"/>
                <w:szCs w:val="20"/>
              </w:rPr>
              <w:t>71 737,99</w:t>
            </w:r>
          </w:p>
        </w:tc>
        <w:tc>
          <w:tcPr>
            <w:tcW w:w="1276"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100,2</w:t>
            </w:r>
          </w:p>
        </w:tc>
        <w:tc>
          <w:tcPr>
            <w:tcW w:w="1134" w:type="dxa"/>
            <w:tcBorders>
              <w:top w:val="nil"/>
              <w:left w:val="nil"/>
              <w:bottom w:val="single" w:sz="8" w:space="0" w:color="auto"/>
              <w:right w:val="single" w:sz="8" w:space="0" w:color="auto"/>
            </w:tcBorders>
            <w:hideMark/>
          </w:tcPr>
          <w:p w:rsidR="002143F6" w:rsidRDefault="002143F6">
            <w:pPr>
              <w:jc w:val="center"/>
              <w:rPr>
                <w:color w:val="000000"/>
                <w:sz w:val="20"/>
                <w:szCs w:val="20"/>
              </w:rPr>
            </w:pPr>
            <w:r>
              <w:rPr>
                <w:color w:val="000000"/>
                <w:sz w:val="20"/>
                <w:szCs w:val="20"/>
              </w:rPr>
              <w:t>98,1</w:t>
            </w:r>
          </w:p>
        </w:tc>
      </w:tr>
    </w:tbl>
    <w:p w:rsidR="002143F6" w:rsidRDefault="002143F6" w:rsidP="002143F6">
      <w:pPr>
        <w:ind w:firstLine="709"/>
        <w:jc w:val="both"/>
        <w:outlineLvl w:val="1"/>
        <w:rPr>
          <w:b/>
        </w:rPr>
      </w:pPr>
    </w:p>
    <w:p w:rsidR="002143F6" w:rsidRDefault="002143F6" w:rsidP="002143F6">
      <w:pPr>
        <w:ind w:firstLine="709"/>
        <w:jc w:val="both"/>
        <w:outlineLvl w:val="1"/>
      </w:pPr>
      <w:r>
        <w:t>Проектом бюджета ассигнования на 2017 год предусмотрены в объеме</w:t>
      </w:r>
      <w:r w:rsidR="00BA2CE9">
        <w:t>,</w:t>
      </w:r>
      <w:r>
        <w:t xml:space="preserve"> равном Реестру на этот же период, на 2018 и 2019 годы объемы, предусмотренные проектом бюджета без учета условно-утвержденных расходов</w:t>
      </w:r>
      <w:r w:rsidR="00BA2CE9">
        <w:t>,</w:t>
      </w:r>
      <w:r>
        <w:t xml:space="preserve">  также соответствуют Реестру. </w:t>
      </w:r>
    </w:p>
    <w:p w:rsidR="002143F6" w:rsidRDefault="002143F6" w:rsidP="002143F6">
      <w:pPr>
        <w:ind w:firstLine="709"/>
        <w:jc w:val="both"/>
        <w:outlineLvl w:val="1"/>
      </w:pPr>
      <w:r>
        <w:t>Анализ Реестра показал, что объем расходных обязательств Волгоградской области сокращается. Так, если на текущий год расходные обязательства составляют 86,4 млрд. руб., то планируемые расходные обязательства на 2017 год меньше на 13,3 млрд. руб</w:t>
      </w:r>
      <w:r w:rsidR="00BA2CE9">
        <w:t>лей</w:t>
      </w:r>
      <w:r>
        <w:t xml:space="preserve">. </w:t>
      </w:r>
      <w:r w:rsidR="00BA2CE9">
        <w:lastRenderedPageBreak/>
        <w:t>Н</w:t>
      </w:r>
      <w:r>
        <w:t>аибольшее сокращение расходных обязатель</w:t>
      </w:r>
      <w:proofErr w:type="gramStart"/>
      <w:r>
        <w:t>ств пр</w:t>
      </w:r>
      <w:proofErr w:type="gramEnd"/>
      <w:r>
        <w:t xml:space="preserve">иходится на 2019 год, которое меньше расходных обязательств 2016 года на 14,7 млрд. рублей. </w:t>
      </w:r>
    </w:p>
    <w:p w:rsidR="002143F6" w:rsidRDefault="002143F6" w:rsidP="002143F6">
      <w:pPr>
        <w:ind w:firstLine="709"/>
        <w:jc w:val="both"/>
        <w:outlineLvl w:val="1"/>
      </w:pPr>
      <w:r>
        <w:t>Провед</w:t>
      </w:r>
      <w:r w:rsidR="00BA2CE9">
        <w:t>е</w:t>
      </w:r>
      <w:r>
        <w:t>нный анализ изменения количества обязательств по группам</w:t>
      </w:r>
      <w:r w:rsidR="00BA2CE9">
        <w:t xml:space="preserve"> </w:t>
      </w:r>
      <w:r>
        <w:t>показал их снижение по каждой группе относительно текущего года.</w:t>
      </w:r>
    </w:p>
    <w:p w:rsidR="002750E9" w:rsidRDefault="002750E9" w:rsidP="002143F6">
      <w:pPr>
        <w:ind w:firstLine="709"/>
        <w:jc w:val="both"/>
        <w:outlineLvl w:val="1"/>
      </w:pPr>
    </w:p>
    <w:tbl>
      <w:tblPr>
        <w:tblW w:w="9513"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544"/>
        <w:gridCol w:w="992"/>
        <w:gridCol w:w="992"/>
        <w:gridCol w:w="992"/>
        <w:gridCol w:w="993"/>
      </w:tblGrid>
      <w:tr w:rsidR="002143F6" w:rsidRPr="00BA2CE9" w:rsidTr="00BA2CE9">
        <w:trPr>
          <w:trHeight w:val="275"/>
        </w:trPr>
        <w:tc>
          <w:tcPr>
            <w:tcW w:w="5544"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750E9">
            <w:pPr>
              <w:jc w:val="center"/>
              <w:rPr>
                <w:b/>
                <w:sz w:val="20"/>
                <w:szCs w:val="20"/>
              </w:rPr>
            </w:pPr>
            <w:r>
              <w:rPr>
                <w:b/>
                <w:sz w:val="20"/>
                <w:szCs w:val="20"/>
              </w:rPr>
              <w:t>К</w:t>
            </w:r>
            <w:r w:rsidR="002143F6" w:rsidRPr="00BA2CE9">
              <w:rPr>
                <w:b/>
                <w:sz w:val="20"/>
                <w:szCs w:val="20"/>
              </w:rPr>
              <w:t>од группы обязательств</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b/>
                <w:sz w:val="20"/>
                <w:szCs w:val="20"/>
              </w:rPr>
            </w:pPr>
            <w:r w:rsidRPr="00BA2CE9">
              <w:rPr>
                <w:b/>
                <w:sz w:val="20"/>
                <w:szCs w:val="20"/>
              </w:rPr>
              <w:t>2016 год</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b/>
                <w:sz w:val="20"/>
                <w:szCs w:val="20"/>
              </w:rPr>
            </w:pPr>
            <w:r w:rsidRPr="00BA2CE9">
              <w:rPr>
                <w:b/>
                <w:sz w:val="20"/>
                <w:szCs w:val="20"/>
              </w:rPr>
              <w:t>2017 год</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b/>
                <w:sz w:val="20"/>
                <w:szCs w:val="20"/>
              </w:rPr>
            </w:pPr>
            <w:r w:rsidRPr="00BA2CE9">
              <w:rPr>
                <w:b/>
                <w:sz w:val="20"/>
                <w:szCs w:val="20"/>
              </w:rPr>
              <w:t>2018 год</w:t>
            </w:r>
          </w:p>
        </w:tc>
        <w:tc>
          <w:tcPr>
            <w:tcW w:w="993"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b/>
                <w:sz w:val="20"/>
                <w:szCs w:val="20"/>
              </w:rPr>
            </w:pPr>
            <w:r w:rsidRPr="00BA2CE9">
              <w:rPr>
                <w:b/>
                <w:sz w:val="20"/>
                <w:szCs w:val="20"/>
              </w:rPr>
              <w:t>2019 год</w:t>
            </w:r>
          </w:p>
        </w:tc>
      </w:tr>
      <w:tr w:rsidR="002143F6" w:rsidRPr="00BA2CE9" w:rsidTr="00BA2CE9">
        <w:trPr>
          <w:trHeight w:val="264"/>
        </w:trPr>
        <w:tc>
          <w:tcPr>
            <w:tcW w:w="5544"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rsidP="004E7949">
            <w:pPr>
              <w:jc w:val="both"/>
              <w:rPr>
                <w:sz w:val="20"/>
                <w:szCs w:val="20"/>
              </w:rPr>
            </w:pPr>
            <w:r w:rsidRPr="00BA2CE9">
              <w:rPr>
                <w:b/>
                <w:sz w:val="20"/>
                <w:szCs w:val="20"/>
              </w:rPr>
              <w:t xml:space="preserve">1000 </w:t>
            </w:r>
            <w:r w:rsidRPr="00BA2CE9">
              <w:rPr>
                <w:sz w:val="20"/>
                <w:szCs w:val="20"/>
              </w:rPr>
              <w:t xml:space="preserve">(расходные обязательства  </w:t>
            </w:r>
            <w:r w:rsidRPr="004E7949">
              <w:rPr>
                <w:i/>
                <w:sz w:val="20"/>
                <w:szCs w:val="20"/>
              </w:rPr>
              <w:t>по предметам совместного ведения</w:t>
            </w:r>
            <w:r w:rsidRPr="004E7949">
              <w:rPr>
                <w:sz w:val="20"/>
                <w:szCs w:val="20"/>
              </w:rPr>
              <w:t xml:space="preserve"> </w:t>
            </w:r>
            <w:r w:rsidRPr="00BA2CE9">
              <w:rPr>
                <w:sz w:val="20"/>
                <w:szCs w:val="20"/>
              </w:rPr>
              <w:t>РФ и субъектов РФ)</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74</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71</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70</w:t>
            </w:r>
          </w:p>
        </w:tc>
        <w:tc>
          <w:tcPr>
            <w:tcW w:w="993"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67</w:t>
            </w:r>
          </w:p>
        </w:tc>
      </w:tr>
      <w:tr w:rsidR="002143F6" w:rsidRPr="00BA2CE9" w:rsidTr="00BA2CE9">
        <w:trPr>
          <w:trHeight w:val="252"/>
        </w:trPr>
        <w:tc>
          <w:tcPr>
            <w:tcW w:w="5544"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rsidP="004E7949">
            <w:pPr>
              <w:ind w:firstLine="49"/>
              <w:jc w:val="both"/>
              <w:rPr>
                <w:sz w:val="20"/>
                <w:szCs w:val="20"/>
              </w:rPr>
            </w:pPr>
            <w:r w:rsidRPr="00BA2CE9">
              <w:rPr>
                <w:b/>
                <w:sz w:val="20"/>
                <w:szCs w:val="20"/>
              </w:rPr>
              <w:t>2000</w:t>
            </w:r>
            <w:r w:rsidRPr="00BA2CE9">
              <w:rPr>
                <w:sz w:val="20"/>
                <w:szCs w:val="20"/>
              </w:rPr>
              <w:t xml:space="preserve"> (расходные обязательства, </w:t>
            </w:r>
            <w:r w:rsidRPr="004E7949">
              <w:rPr>
                <w:i/>
                <w:sz w:val="20"/>
                <w:szCs w:val="20"/>
              </w:rPr>
              <w:t>по предметам ведения субъекта</w:t>
            </w:r>
            <w:r w:rsidRPr="004E7949">
              <w:rPr>
                <w:sz w:val="20"/>
                <w:szCs w:val="20"/>
              </w:rPr>
              <w:t xml:space="preserve"> РФ)</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24</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23</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21</w:t>
            </w:r>
          </w:p>
        </w:tc>
        <w:tc>
          <w:tcPr>
            <w:tcW w:w="993"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22</w:t>
            </w:r>
          </w:p>
        </w:tc>
      </w:tr>
      <w:tr w:rsidR="002143F6" w:rsidRPr="00BA2CE9" w:rsidTr="00BA2CE9">
        <w:trPr>
          <w:trHeight w:val="252"/>
        </w:trPr>
        <w:tc>
          <w:tcPr>
            <w:tcW w:w="5544"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rsidP="004E7949">
            <w:pPr>
              <w:jc w:val="both"/>
              <w:rPr>
                <w:sz w:val="20"/>
                <w:szCs w:val="20"/>
              </w:rPr>
            </w:pPr>
            <w:r w:rsidRPr="00BA2CE9">
              <w:rPr>
                <w:b/>
                <w:sz w:val="20"/>
                <w:szCs w:val="20"/>
              </w:rPr>
              <w:t>3000</w:t>
            </w:r>
            <w:r w:rsidRPr="00BA2CE9">
              <w:rPr>
                <w:sz w:val="20"/>
                <w:szCs w:val="20"/>
              </w:rPr>
              <w:t xml:space="preserve"> (расходные обязательства, </w:t>
            </w:r>
            <w:r w:rsidRPr="004E7949">
              <w:rPr>
                <w:i/>
                <w:sz w:val="20"/>
                <w:szCs w:val="20"/>
              </w:rPr>
              <w:t>предусматривающих предоставление из бюджета субъекта РФ межбюджетных трансфертов)</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32</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33</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26</w:t>
            </w:r>
          </w:p>
        </w:tc>
        <w:tc>
          <w:tcPr>
            <w:tcW w:w="993"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29</w:t>
            </w:r>
          </w:p>
        </w:tc>
      </w:tr>
      <w:tr w:rsidR="002143F6" w:rsidRPr="00BA2CE9" w:rsidTr="00BA2CE9">
        <w:trPr>
          <w:trHeight w:val="264"/>
        </w:trPr>
        <w:tc>
          <w:tcPr>
            <w:tcW w:w="5544"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rsidP="004E7949">
            <w:pPr>
              <w:jc w:val="both"/>
              <w:rPr>
                <w:sz w:val="20"/>
                <w:szCs w:val="20"/>
              </w:rPr>
            </w:pPr>
            <w:r w:rsidRPr="00BA2CE9">
              <w:rPr>
                <w:b/>
                <w:sz w:val="20"/>
                <w:szCs w:val="20"/>
              </w:rPr>
              <w:t>4000</w:t>
            </w:r>
            <w:r w:rsidRPr="00BA2CE9">
              <w:rPr>
                <w:sz w:val="20"/>
                <w:szCs w:val="20"/>
              </w:rPr>
              <w:t xml:space="preserve"> (расходные обязательства, </w:t>
            </w:r>
            <w:r w:rsidRPr="004E7949">
              <w:rPr>
                <w:i/>
                <w:sz w:val="20"/>
                <w:szCs w:val="20"/>
              </w:rPr>
              <w:t>предусматривающих реализацию субъектом РФ переданных полномочий за счет субвенций из федерального бюджета</w:t>
            </w:r>
            <w:r w:rsidRPr="00BA2CE9">
              <w:rPr>
                <w:i/>
                <w:sz w:val="20"/>
                <w:szCs w:val="20"/>
                <w:u w:val="single"/>
              </w:rPr>
              <w:t>)</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23</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18</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16</w:t>
            </w:r>
          </w:p>
        </w:tc>
        <w:tc>
          <w:tcPr>
            <w:tcW w:w="993"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16</w:t>
            </w:r>
          </w:p>
        </w:tc>
      </w:tr>
      <w:tr w:rsidR="002143F6" w:rsidRPr="00BA2CE9" w:rsidTr="00BA2CE9">
        <w:trPr>
          <w:trHeight w:val="264"/>
        </w:trPr>
        <w:tc>
          <w:tcPr>
            <w:tcW w:w="5544"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rsidP="004E7949">
            <w:pPr>
              <w:jc w:val="both"/>
              <w:rPr>
                <w:sz w:val="20"/>
                <w:szCs w:val="20"/>
              </w:rPr>
            </w:pPr>
            <w:proofErr w:type="gramStart"/>
            <w:r w:rsidRPr="00BA2CE9">
              <w:rPr>
                <w:b/>
                <w:sz w:val="20"/>
                <w:szCs w:val="20"/>
              </w:rPr>
              <w:t xml:space="preserve">5000 </w:t>
            </w:r>
            <w:r w:rsidRPr="00BA2CE9">
              <w:rPr>
                <w:sz w:val="20"/>
                <w:szCs w:val="20"/>
              </w:rPr>
              <w:t xml:space="preserve"> (полномочия </w:t>
            </w:r>
            <w:r w:rsidRPr="004E7949">
              <w:rPr>
                <w:i/>
                <w:sz w:val="20"/>
                <w:szCs w:val="20"/>
              </w:rPr>
              <w:t>по предметам ведения РФ, а также совместного ведения по решению вопросов, не указанных  в п.2. ст. 26.3.</w:t>
            </w:r>
            <w:r w:rsidRPr="004E7949">
              <w:rPr>
                <w:sz w:val="20"/>
                <w:szCs w:val="20"/>
              </w:rPr>
              <w:t xml:space="preserve"> </w:t>
            </w:r>
            <w:r w:rsidRPr="00BA2CE9">
              <w:rPr>
                <w:sz w:val="20"/>
                <w:szCs w:val="20"/>
              </w:rPr>
              <w:t>№ 184-ФЗ, если возможность осуществления расходов субъектов РФ  на реализацию этих полномочий предусмотрена федеральными законами</w:t>
            </w:r>
            <w:proofErr w:type="gramEnd"/>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17</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12</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11</w:t>
            </w:r>
          </w:p>
        </w:tc>
        <w:tc>
          <w:tcPr>
            <w:tcW w:w="993"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10</w:t>
            </w:r>
          </w:p>
        </w:tc>
      </w:tr>
      <w:tr w:rsidR="002143F6" w:rsidRPr="00BA2CE9" w:rsidTr="00BA2CE9">
        <w:trPr>
          <w:trHeight w:val="264"/>
        </w:trPr>
        <w:tc>
          <w:tcPr>
            <w:tcW w:w="5544"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rsidP="004E7949">
            <w:pPr>
              <w:jc w:val="both"/>
              <w:rPr>
                <w:sz w:val="20"/>
                <w:szCs w:val="20"/>
              </w:rPr>
            </w:pPr>
            <w:r w:rsidRPr="00BA2CE9">
              <w:rPr>
                <w:b/>
                <w:sz w:val="20"/>
                <w:szCs w:val="20"/>
              </w:rPr>
              <w:t xml:space="preserve">6000 </w:t>
            </w:r>
            <w:r w:rsidRPr="00BA2CE9">
              <w:rPr>
                <w:sz w:val="20"/>
                <w:szCs w:val="20"/>
              </w:rPr>
              <w:t>(</w:t>
            </w:r>
            <w:r w:rsidRPr="004E7949">
              <w:rPr>
                <w:i/>
                <w:sz w:val="20"/>
                <w:szCs w:val="20"/>
              </w:rPr>
              <w:t>установление дополнительных мер социальной поддержки и социальной помощи</w:t>
            </w:r>
            <w:r w:rsidRPr="004E7949">
              <w:rPr>
                <w:sz w:val="20"/>
                <w:szCs w:val="20"/>
              </w:rPr>
              <w:t xml:space="preserve"> для отдельных категорий граждан, не предусмотренные федеральными законами</w:t>
            </w:r>
            <w:r w:rsidRPr="00BA2CE9">
              <w:rPr>
                <w:sz w:val="20"/>
                <w:szCs w:val="20"/>
                <w:u w:val="single"/>
              </w:rPr>
              <w:t>)</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9</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7</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6</w:t>
            </w:r>
          </w:p>
        </w:tc>
        <w:tc>
          <w:tcPr>
            <w:tcW w:w="993"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6</w:t>
            </w:r>
          </w:p>
        </w:tc>
      </w:tr>
      <w:tr w:rsidR="002143F6" w:rsidRPr="00BA2CE9" w:rsidTr="00BA2CE9">
        <w:trPr>
          <w:trHeight w:val="264"/>
        </w:trPr>
        <w:tc>
          <w:tcPr>
            <w:tcW w:w="5544"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rsidP="004E7949">
            <w:pPr>
              <w:jc w:val="both"/>
              <w:rPr>
                <w:sz w:val="20"/>
                <w:szCs w:val="20"/>
              </w:rPr>
            </w:pPr>
            <w:proofErr w:type="gramStart"/>
            <w:r w:rsidRPr="00BA2CE9">
              <w:rPr>
                <w:b/>
                <w:sz w:val="20"/>
                <w:szCs w:val="20"/>
              </w:rPr>
              <w:t xml:space="preserve">7000 </w:t>
            </w:r>
            <w:r w:rsidRPr="00BA2CE9">
              <w:rPr>
                <w:sz w:val="20"/>
                <w:szCs w:val="20"/>
              </w:rPr>
              <w:t xml:space="preserve">(расходные обязательства </w:t>
            </w:r>
            <w:r w:rsidRPr="004E7949">
              <w:rPr>
                <w:i/>
                <w:sz w:val="20"/>
                <w:szCs w:val="20"/>
              </w:rPr>
              <w:t>по перераспределенным полномочиям между органами местного самоуправления  и органами государственной власти субъекта</w:t>
            </w:r>
            <w:r w:rsidRPr="00BA2CE9">
              <w:rPr>
                <w:sz w:val="20"/>
                <w:szCs w:val="20"/>
              </w:rPr>
              <w:t xml:space="preserve"> РФ </w:t>
            </w:r>
            <w:proofErr w:type="gramEnd"/>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1</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2</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1</w:t>
            </w:r>
          </w:p>
        </w:tc>
        <w:tc>
          <w:tcPr>
            <w:tcW w:w="993"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sz w:val="20"/>
                <w:szCs w:val="20"/>
              </w:rPr>
            </w:pPr>
            <w:r w:rsidRPr="00BA2CE9">
              <w:rPr>
                <w:sz w:val="20"/>
                <w:szCs w:val="20"/>
              </w:rPr>
              <w:t>1</w:t>
            </w:r>
          </w:p>
        </w:tc>
      </w:tr>
      <w:tr w:rsidR="002143F6" w:rsidRPr="00BA2CE9" w:rsidTr="00BA2CE9">
        <w:trPr>
          <w:trHeight w:val="264"/>
        </w:trPr>
        <w:tc>
          <w:tcPr>
            <w:tcW w:w="5544"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rsidP="007E5D91">
            <w:pPr>
              <w:jc w:val="center"/>
              <w:rPr>
                <w:b/>
                <w:sz w:val="20"/>
                <w:szCs w:val="20"/>
              </w:rPr>
            </w:pPr>
            <w:r w:rsidRPr="00BA2CE9">
              <w:rPr>
                <w:b/>
                <w:sz w:val="20"/>
                <w:szCs w:val="20"/>
              </w:rPr>
              <w:t>ИТОГО:</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b/>
                <w:sz w:val="20"/>
                <w:szCs w:val="20"/>
              </w:rPr>
            </w:pPr>
            <w:r w:rsidRPr="00BA2CE9">
              <w:rPr>
                <w:b/>
                <w:sz w:val="20"/>
                <w:szCs w:val="20"/>
              </w:rPr>
              <w:t>180</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b/>
                <w:sz w:val="20"/>
                <w:szCs w:val="20"/>
              </w:rPr>
            </w:pPr>
            <w:r w:rsidRPr="00BA2CE9">
              <w:rPr>
                <w:b/>
                <w:sz w:val="20"/>
                <w:szCs w:val="20"/>
              </w:rPr>
              <w:t>166</w:t>
            </w:r>
          </w:p>
        </w:tc>
        <w:tc>
          <w:tcPr>
            <w:tcW w:w="992"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b/>
                <w:sz w:val="20"/>
                <w:szCs w:val="20"/>
              </w:rPr>
            </w:pPr>
            <w:r w:rsidRPr="00BA2CE9">
              <w:rPr>
                <w:b/>
                <w:sz w:val="20"/>
                <w:szCs w:val="20"/>
              </w:rPr>
              <w:t>151</w:t>
            </w:r>
          </w:p>
        </w:tc>
        <w:tc>
          <w:tcPr>
            <w:tcW w:w="993" w:type="dxa"/>
            <w:tcBorders>
              <w:top w:val="single" w:sz="2" w:space="0" w:color="auto"/>
              <w:left w:val="single" w:sz="2" w:space="0" w:color="auto"/>
              <w:bottom w:val="single" w:sz="2" w:space="0" w:color="auto"/>
              <w:right w:val="single" w:sz="2" w:space="0" w:color="auto"/>
            </w:tcBorders>
            <w:noWrap/>
            <w:vAlign w:val="center"/>
            <w:hideMark/>
          </w:tcPr>
          <w:p w:rsidR="002143F6" w:rsidRPr="00BA2CE9" w:rsidRDefault="002143F6">
            <w:pPr>
              <w:jc w:val="center"/>
              <w:rPr>
                <w:b/>
                <w:sz w:val="20"/>
                <w:szCs w:val="20"/>
              </w:rPr>
            </w:pPr>
            <w:r w:rsidRPr="00BA2CE9">
              <w:rPr>
                <w:b/>
                <w:sz w:val="20"/>
                <w:szCs w:val="20"/>
              </w:rPr>
              <w:t>151</w:t>
            </w:r>
          </w:p>
        </w:tc>
      </w:tr>
    </w:tbl>
    <w:p w:rsidR="002143F6" w:rsidRDefault="002143F6" w:rsidP="002143F6">
      <w:pPr>
        <w:ind w:firstLine="709"/>
        <w:jc w:val="both"/>
        <w:outlineLvl w:val="1"/>
      </w:pPr>
    </w:p>
    <w:p w:rsidR="002143F6" w:rsidRDefault="002143F6" w:rsidP="002143F6">
      <w:pPr>
        <w:ind w:firstLine="709"/>
        <w:jc w:val="both"/>
        <w:outlineLvl w:val="1"/>
      </w:pPr>
      <w:r>
        <w:t>При этом планируемое снижение расходных обязательств не конкретизировано и не обоснованно ни в основных направлениях бюджетной политики</w:t>
      </w:r>
      <w:r w:rsidR="007E5D91">
        <w:t xml:space="preserve"> Волгоградской области на 2017-2019 годы</w:t>
      </w:r>
      <w:r w:rsidR="00A31A18">
        <w:t>,</w:t>
      </w:r>
      <w:r>
        <w:t xml:space="preserve"> ни в представленном проекте бюджета.</w:t>
      </w:r>
    </w:p>
    <w:p w:rsidR="002143F6" w:rsidRDefault="002143F6" w:rsidP="002143F6">
      <w:pPr>
        <w:ind w:firstLine="709"/>
        <w:jc w:val="both"/>
        <w:outlineLvl w:val="1"/>
      </w:pPr>
      <w:proofErr w:type="gramStart"/>
      <w:r>
        <w:t xml:space="preserve">Так, по коду обязательств 7000 (расходные обязательства </w:t>
      </w:r>
      <w:r>
        <w:rPr>
          <w:i/>
          <w:u w:val="single"/>
        </w:rPr>
        <w:t>по перераспределенным полномочиям между органами местного самоуправления  и органами государственной власти субъекта</w:t>
      </w:r>
      <w:r>
        <w:t xml:space="preserve"> РФ) согласно представленному Реестру только на 2017 год распространяется обязательство «мероприятия по содержанию, эксплуатации и техническому обслуживанию газораспределительных сетей Волгоградской области» в соответствии с Законом Волгоградской области от 03.12.2015 №204-ОД «О перераспределении полномочий между органами местного самоуправления муниципальных образований Волгоградской области</w:t>
      </w:r>
      <w:proofErr w:type="gramEnd"/>
      <w:r>
        <w:t xml:space="preserve"> и органами государственной власти Волгоградской области по организации в границах муниципальных образований Волгоградской области газоснабжения в пределах полномочий, установленных законодательством РФ».</w:t>
      </w:r>
    </w:p>
    <w:p w:rsidR="002143F6" w:rsidRDefault="002143F6" w:rsidP="002143F6">
      <w:pPr>
        <w:ind w:firstLine="709"/>
        <w:jc w:val="both"/>
        <w:outlineLvl w:val="1"/>
      </w:pPr>
      <w:r>
        <w:t>Объем средств на выполнение полномочия «государственная поддержка инвестиционной деятельности» по коду обязательств 2023 (предмет ведения субъекта РФ) определен только на 2016 и 2017 годы</w:t>
      </w:r>
      <w:r w:rsidR="0065464D">
        <w:t>.</w:t>
      </w:r>
      <w:r>
        <w:t xml:space="preserve"> </w:t>
      </w:r>
      <w:r w:rsidR="0065464D">
        <w:t>П</w:t>
      </w:r>
      <w:r>
        <w:t xml:space="preserve">ри этом основными направлениями бюджетной политики Волгоградской области </w:t>
      </w:r>
      <w:r w:rsidR="0065464D">
        <w:t>определено</w:t>
      </w:r>
      <w:r>
        <w:t>, что на территории Волгоградской области будет продолжена реализация инвестиционных проектов, направленных на развитие транспортной инфраструктуры региона.</w:t>
      </w:r>
    </w:p>
    <w:p w:rsidR="002143F6" w:rsidRDefault="0065464D" w:rsidP="002143F6">
      <w:pPr>
        <w:ind w:firstLine="709"/>
        <w:jc w:val="both"/>
        <w:outlineLvl w:val="1"/>
      </w:pPr>
      <w:r>
        <w:t>Необходимо отметить, что в</w:t>
      </w:r>
      <w:r w:rsidR="002143F6">
        <w:t xml:space="preserve"> представленном виде Реестр не </w:t>
      </w:r>
      <w:r>
        <w:t xml:space="preserve">в полной мере </w:t>
      </w:r>
      <w:r w:rsidR="002143F6">
        <w:t xml:space="preserve">отвечает своему основному предназначению, а именно учету расходных обязательств Волгоградской области и определению объема бюджетных ассигнований, необходимых для формирования проекта бюджета. </w:t>
      </w:r>
    </w:p>
    <w:p w:rsidR="002143F6" w:rsidRDefault="002143F6" w:rsidP="002143F6">
      <w:pPr>
        <w:ind w:firstLine="709"/>
        <w:jc w:val="both"/>
        <w:outlineLvl w:val="1"/>
        <w:rPr>
          <w:b/>
          <w:i/>
          <w:u w:val="single"/>
        </w:rPr>
      </w:pPr>
      <w:r>
        <w:t>К</w:t>
      </w:r>
      <w:proofErr w:type="gramStart"/>
      <w:r>
        <w:t>СП в св</w:t>
      </w:r>
      <w:proofErr w:type="gramEnd"/>
      <w:r>
        <w:t>оих заключениях на проекты бюджетов неоднократно указывала на невозможность оценки достоверности Реестра</w:t>
      </w:r>
      <w:r w:rsidR="0065464D">
        <w:t>.</w:t>
      </w:r>
      <w:r>
        <w:t xml:space="preserve"> </w:t>
      </w:r>
      <w:r w:rsidR="0065464D">
        <w:t>П</w:t>
      </w:r>
      <w:r>
        <w:t>ривед</w:t>
      </w:r>
      <w:r w:rsidR="0065464D">
        <w:t>е</w:t>
      </w:r>
      <w:r>
        <w:t xml:space="preserve">нные примеры в очередной раз </w:t>
      </w:r>
      <w:r w:rsidR="0065464D">
        <w:t>подтверждают</w:t>
      </w:r>
      <w:r>
        <w:t xml:space="preserve"> данный вывод. Также выбранный подход к формированию Реестра </w:t>
      </w:r>
      <w:r w:rsidR="00E77929">
        <w:t>не соответствует</w:t>
      </w:r>
      <w:r>
        <w:t xml:space="preserve"> целям и задачам, определ</w:t>
      </w:r>
      <w:r w:rsidR="00E77929">
        <w:t>е</w:t>
      </w:r>
      <w:r>
        <w:t xml:space="preserve">нным </w:t>
      </w:r>
      <w:r w:rsidR="00E77929">
        <w:t>О</w:t>
      </w:r>
      <w:r>
        <w:t xml:space="preserve">сновными направлениями бюджетной </w:t>
      </w:r>
      <w:r>
        <w:lastRenderedPageBreak/>
        <w:t xml:space="preserve">политики Волгоградской области на 2017-2019 годы, а именно </w:t>
      </w:r>
      <w:r w:rsidRPr="000E0B3E">
        <w:rPr>
          <w:b/>
          <w:i/>
          <w:u w:val="single"/>
        </w:rPr>
        <w:t>повышению открытости и прозрачности бюджета.</w:t>
      </w:r>
    </w:p>
    <w:p w:rsidR="00EF4608" w:rsidRDefault="00EF4608" w:rsidP="002143F6">
      <w:pPr>
        <w:ind w:firstLine="709"/>
        <w:jc w:val="both"/>
        <w:outlineLvl w:val="1"/>
        <w:rPr>
          <w:b/>
          <w:i/>
          <w:u w:val="single"/>
        </w:rPr>
      </w:pPr>
    </w:p>
    <w:p w:rsidR="00D002BB" w:rsidRDefault="003824C5" w:rsidP="00CC4A98">
      <w:pPr>
        <w:jc w:val="center"/>
        <w:rPr>
          <w:b/>
          <w:i/>
        </w:rPr>
      </w:pPr>
      <w:r>
        <w:rPr>
          <w:b/>
          <w:i/>
        </w:rPr>
        <w:t>4</w:t>
      </w:r>
      <w:r w:rsidR="004A2777">
        <w:rPr>
          <w:b/>
          <w:i/>
        </w:rPr>
        <w:t xml:space="preserve">. </w:t>
      </w:r>
      <w:r w:rsidR="00D002BB">
        <w:rPr>
          <w:b/>
          <w:i/>
        </w:rPr>
        <w:t xml:space="preserve"> </w:t>
      </w:r>
      <w:r w:rsidR="00BB0CDC">
        <w:rPr>
          <w:b/>
          <w:i/>
        </w:rPr>
        <w:t xml:space="preserve">Дефицит (профицит) областного бюджета, </w:t>
      </w:r>
      <w:r w:rsidR="00B34847">
        <w:rPr>
          <w:b/>
          <w:i/>
        </w:rPr>
        <w:t xml:space="preserve">программа государственных внутренних заимствований, </w:t>
      </w:r>
      <w:r w:rsidR="00BB0CDC">
        <w:rPr>
          <w:b/>
          <w:i/>
        </w:rPr>
        <w:t>в</w:t>
      </w:r>
      <w:r w:rsidR="00D002BB" w:rsidRPr="00A97C74">
        <w:rPr>
          <w:b/>
          <w:i/>
        </w:rPr>
        <w:t>ерхний предел государственного внутреннего долга Волгоградской области</w:t>
      </w:r>
      <w:r w:rsidR="00BB0CDC">
        <w:rPr>
          <w:b/>
          <w:i/>
        </w:rPr>
        <w:t xml:space="preserve">, в том числе </w:t>
      </w:r>
      <w:r w:rsidR="00D002BB" w:rsidRPr="00A97C74">
        <w:rPr>
          <w:b/>
          <w:i/>
        </w:rPr>
        <w:t xml:space="preserve"> по государственным гарантиям.</w:t>
      </w:r>
    </w:p>
    <w:p w:rsidR="004F130A" w:rsidRDefault="004F130A" w:rsidP="00CC4A98">
      <w:pPr>
        <w:jc w:val="center"/>
        <w:rPr>
          <w:b/>
          <w:i/>
        </w:rPr>
      </w:pPr>
    </w:p>
    <w:p w:rsidR="004F130A" w:rsidRPr="0020248A" w:rsidRDefault="004F130A" w:rsidP="004F130A">
      <w:pPr>
        <w:ind w:firstLine="720"/>
        <w:jc w:val="both"/>
      </w:pPr>
      <w:r w:rsidRPr="0020248A">
        <w:t xml:space="preserve">Проект областного бюджета на 2017-2019 годы сформирован с ежегодным отсутствием дефицита и </w:t>
      </w:r>
      <w:proofErr w:type="spellStart"/>
      <w:r w:rsidRPr="0020248A">
        <w:t>профицита</w:t>
      </w:r>
      <w:proofErr w:type="spellEnd"/>
      <w:r w:rsidRPr="0020248A">
        <w:t xml:space="preserve"> в связи с соответствием предусмотренных к утверждению расходов доходам.</w:t>
      </w:r>
    </w:p>
    <w:p w:rsidR="004F130A" w:rsidRPr="0020248A" w:rsidRDefault="004F130A" w:rsidP="004F130A">
      <w:pPr>
        <w:ind w:firstLine="708"/>
        <w:jc w:val="both"/>
      </w:pPr>
      <w:r w:rsidRPr="0020248A">
        <w:t>Основные параметры областного бюджета и источники финансирования дефицита на 2016-2019 годы приведены в следующей таблице.</w:t>
      </w:r>
    </w:p>
    <w:p w:rsidR="004F130A" w:rsidRDefault="004F130A" w:rsidP="004F130A">
      <w:pPr>
        <w:ind w:left="7788" w:firstLine="708"/>
        <w:jc w:val="both"/>
        <w:rPr>
          <w:sz w:val="20"/>
          <w:szCs w:val="20"/>
        </w:rPr>
      </w:pPr>
      <w:r w:rsidRPr="0020248A">
        <w:rPr>
          <w:sz w:val="20"/>
          <w:szCs w:val="20"/>
        </w:rPr>
        <w:t>млн. руб.</w:t>
      </w:r>
    </w:p>
    <w:tbl>
      <w:tblPr>
        <w:tblW w:w="9521" w:type="dxa"/>
        <w:tblInd w:w="85" w:type="dxa"/>
        <w:tblLook w:val="04A0"/>
      </w:tblPr>
      <w:tblGrid>
        <w:gridCol w:w="3709"/>
        <w:gridCol w:w="2126"/>
        <w:gridCol w:w="1276"/>
        <w:gridCol w:w="1276"/>
        <w:gridCol w:w="1134"/>
      </w:tblGrid>
      <w:tr w:rsidR="004F130A" w:rsidRPr="0020248A" w:rsidTr="009160F4">
        <w:trPr>
          <w:trHeight w:val="20"/>
        </w:trPr>
        <w:tc>
          <w:tcPr>
            <w:tcW w:w="3709" w:type="dxa"/>
            <w:vMerge w:val="restart"/>
            <w:tcBorders>
              <w:top w:val="double" w:sz="6" w:space="0" w:color="auto"/>
              <w:left w:val="double" w:sz="6" w:space="0" w:color="auto"/>
              <w:bottom w:val="double" w:sz="6" w:space="0" w:color="000000"/>
              <w:right w:val="single" w:sz="8" w:space="0" w:color="auto"/>
            </w:tcBorders>
            <w:shd w:val="clear" w:color="auto" w:fill="auto"/>
            <w:vAlign w:val="bottom"/>
            <w:hideMark/>
          </w:tcPr>
          <w:p w:rsidR="004F130A" w:rsidRPr="0020248A" w:rsidRDefault="004F130A" w:rsidP="006E17FC">
            <w:pPr>
              <w:jc w:val="center"/>
              <w:rPr>
                <w:b/>
                <w:bCs/>
                <w:color w:val="000000"/>
                <w:sz w:val="20"/>
                <w:szCs w:val="20"/>
              </w:rPr>
            </w:pPr>
            <w:r w:rsidRPr="0020248A">
              <w:rPr>
                <w:b/>
                <w:bCs/>
                <w:color w:val="000000"/>
                <w:sz w:val="20"/>
                <w:szCs w:val="20"/>
              </w:rPr>
              <w:t>Показатели</w:t>
            </w:r>
          </w:p>
        </w:tc>
        <w:tc>
          <w:tcPr>
            <w:tcW w:w="2126" w:type="dxa"/>
            <w:tcBorders>
              <w:top w:val="double" w:sz="6" w:space="0" w:color="auto"/>
              <w:left w:val="nil"/>
              <w:bottom w:val="nil"/>
              <w:right w:val="single" w:sz="8" w:space="0" w:color="auto"/>
            </w:tcBorders>
            <w:shd w:val="clear" w:color="auto" w:fill="auto"/>
            <w:vAlign w:val="bottom"/>
            <w:hideMark/>
          </w:tcPr>
          <w:p w:rsidR="004F130A" w:rsidRPr="0020248A" w:rsidRDefault="004F130A" w:rsidP="006E17FC">
            <w:pPr>
              <w:jc w:val="center"/>
              <w:rPr>
                <w:b/>
                <w:bCs/>
                <w:color w:val="000000"/>
                <w:sz w:val="20"/>
                <w:szCs w:val="20"/>
              </w:rPr>
            </w:pPr>
            <w:r w:rsidRPr="0020248A">
              <w:rPr>
                <w:b/>
                <w:bCs/>
                <w:color w:val="000000"/>
                <w:sz w:val="20"/>
                <w:szCs w:val="20"/>
              </w:rPr>
              <w:t xml:space="preserve">2016 год </w:t>
            </w:r>
          </w:p>
        </w:tc>
        <w:tc>
          <w:tcPr>
            <w:tcW w:w="3686" w:type="dxa"/>
            <w:gridSpan w:val="3"/>
            <w:tcBorders>
              <w:top w:val="double" w:sz="6" w:space="0" w:color="auto"/>
              <w:left w:val="nil"/>
              <w:bottom w:val="single" w:sz="8" w:space="0" w:color="auto"/>
              <w:right w:val="double" w:sz="6" w:space="0" w:color="000000"/>
            </w:tcBorders>
            <w:shd w:val="clear" w:color="auto" w:fill="auto"/>
            <w:vAlign w:val="bottom"/>
            <w:hideMark/>
          </w:tcPr>
          <w:p w:rsidR="004F130A" w:rsidRPr="0020248A" w:rsidRDefault="004F130A" w:rsidP="006E17FC">
            <w:pPr>
              <w:jc w:val="center"/>
              <w:rPr>
                <w:b/>
                <w:bCs/>
                <w:color w:val="000000"/>
                <w:sz w:val="20"/>
                <w:szCs w:val="20"/>
              </w:rPr>
            </w:pPr>
            <w:r w:rsidRPr="0020248A">
              <w:rPr>
                <w:b/>
                <w:bCs/>
                <w:color w:val="000000"/>
                <w:sz w:val="20"/>
                <w:szCs w:val="20"/>
              </w:rPr>
              <w:t>Проект на 2017-2019 годы</w:t>
            </w:r>
          </w:p>
        </w:tc>
      </w:tr>
      <w:tr w:rsidR="004F130A" w:rsidRPr="0020248A" w:rsidTr="009160F4">
        <w:trPr>
          <w:trHeight w:val="20"/>
        </w:trPr>
        <w:tc>
          <w:tcPr>
            <w:tcW w:w="3709" w:type="dxa"/>
            <w:vMerge/>
            <w:tcBorders>
              <w:top w:val="double" w:sz="6" w:space="0" w:color="auto"/>
              <w:left w:val="double" w:sz="6" w:space="0" w:color="auto"/>
              <w:bottom w:val="double" w:sz="6" w:space="0" w:color="auto"/>
              <w:right w:val="single" w:sz="8" w:space="0" w:color="auto"/>
            </w:tcBorders>
            <w:vAlign w:val="center"/>
            <w:hideMark/>
          </w:tcPr>
          <w:p w:rsidR="004F130A" w:rsidRPr="0020248A" w:rsidRDefault="004F130A" w:rsidP="006E17FC">
            <w:pPr>
              <w:rPr>
                <w:b/>
                <w:bCs/>
                <w:color w:val="000000"/>
                <w:sz w:val="20"/>
                <w:szCs w:val="20"/>
              </w:rPr>
            </w:pPr>
          </w:p>
        </w:tc>
        <w:tc>
          <w:tcPr>
            <w:tcW w:w="2126" w:type="dxa"/>
            <w:tcBorders>
              <w:top w:val="nil"/>
              <w:left w:val="nil"/>
              <w:bottom w:val="double" w:sz="6" w:space="0" w:color="auto"/>
              <w:right w:val="single" w:sz="8" w:space="0" w:color="auto"/>
            </w:tcBorders>
            <w:shd w:val="clear" w:color="auto" w:fill="auto"/>
            <w:vAlign w:val="bottom"/>
            <w:hideMark/>
          </w:tcPr>
          <w:p w:rsidR="004F130A" w:rsidRPr="0020248A" w:rsidRDefault="004F130A" w:rsidP="009160F4">
            <w:pPr>
              <w:jc w:val="center"/>
              <w:rPr>
                <w:b/>
                <w:bCs/>
                <w:color w:val="000000"/>
                <w:sz w:val="20"/>
                <w:szCs w:val="20"/>
              </w:rPr>
            </w:pPr>
            <w:r w:rsidRPr="0020248A">
              <w:rPr>
                <w:b/>
                <w:bCs/>
                <w:color w:val="000000"/>
                <w:sz w:val="20"/>
                <w:szCs w:val="20"/>
              </w:rPr>
              <w:t>(в ред</w:t>
            </w:r>
            <w:r w:rsidR="009160F4">
              <w:rPr>
                <w:b/>
                <w:bCs/>
                <w:color w:val="000000"/>
                <w:sz w:val="20"/>
                <w:szCs w:val="20"/>
              </w:rPr>
              <w:t>. от</w:t>
            </w:r>
            <w:r w:rsidRPr="0020248A">
              <w:rPr>
                <w:b/>
                <w:bCs/>
                <w:color w:val="000000"/>
                <w:sz w:val="20"/>
                <w:szCs w:val="20"/>
              </w:rPr>
              <w:t xml:space="preserve"> 05.10.2016)</w:t>
            </w:r>
          </w:p>
        </w:tc>
        <w:tc>
          <w:tcPr>
            <w:tcW w:w="1276" w:type="dxa"/>
            <w:tcBorders>
              <w:top w:val="nil"/>
              <w:left w:val="nil"/>
              <w:bottom w:val="double" w:sz="6" w:space="0" w:color="auto"/>
              <w:right w:val="single" w:sz="8" w:space="0" w:color="auto"/>
            </w:tcBorders>
            <w:shd w:val="clear" w:color="auto" w:fill="auto"/>
            <w:vAlign w:val="bottom"/>
            <w:hideMark/>
          </w:tcPr>
          <w:p w:rsidR="004F130A" w:rsidRPr="0020248A" w:rsidRDefault="004F130A" w:rsidP="006E17FC">
            <w:pPr>
              <w:jc w:val="center"/>
              <w:rPr>
                <w:b/>
                <w:bCs/>
                <w:color w:val="000000"/>
                <w:sz w:val="20"/>
                <w:szCs w:val="20"/>
              </w:rPr>
            </w:pPr>
            <w:r w:rsidRPr="0020248A">
              <w:rPr>
                <w:b/>
                <w:bCs/>
                <w:color w:val="000000"/>
                <w:sz w:val="20"/>
                <w:szCs w:val="20"/>
              </w:rPr>
              <w:t>2017</w:t>
            </w:r>
          </w:p>
        </w:tc>
        <w:tc>
          <w:tcPr>
            <w:tcW w:w="1276" w:type="dxa"/>
            <w:tcBorders>
              <w:top w:val="nil"/>
              <w:left w:val="nil"/>
              <w:bottom w:val="double" w:sz="6" w:space="0" w:color="auto"/>
              <w:right w:val="single" w:sz="8" w:space="0" w:color="auto"/>
            </w:tcBorders>
            <w:shd w:val="clear" w:color="auto" w:fill="auto"/>
            <w:vAlign w:val="bottom"/>
            <w:hideMark/>
          </w:tcPr>
          <w:p w:rsidR="004F130A" w:rsidRPr="0020248A" w:rsidRDefault="004F130A" w:rsidP="006E17FC">
            <w:pPr>
              <w:jc w:val="center"/>
              <w:rPr>
                <w:b/>
                <w:bCs/>
                <w:color w:val="000000"/>
                <w:sz w:val="20"/>
                <w:szCs w:val="20"/>
              </w:rPr>
            </w:pPr>
            <w:r w:rsidRPr="0020248A">
              <w:rPr>
                <w:b/>
                <w:bCs/>
                <w:color w:val="000000"/>
                <w:sz w:val="20"/>
                <w:szCs w:val="20"/>
              </w:rPr>
              <w:t>2018</w:t>
            </w:r>
          </w:p>
        </w:tc>
        <w:tc>
          <w:tcPr>
            <w:tcW w:w="1134" w:type="dxa"/>
            <w:tcBorders>
              <w:top w:val="nil"/>
              <w:left w:val="nil"/>
              <w:bottom w:val="double" w:sz="6" w:space="0" w:color="auto"/>
              <w:right w:val="double" w:sz="6" w:space="0" w:color="auto"/>
            </w:tcBorders>
            <w:shd w:val="clear" w:color="auto" w:fill="auto"/>
            <w:vAlign w:val="bottom"/>
            <w:hideMark/>
          </w:tcPr>
          <w:p w:rsidR="004F130A" w:rsidRPr="0020248A" w:rsidRDefault="004F130A" w:rsidP="006E17FC">
            <w:pPr>
              <w:jc w:val="center"/>
              <w:rPr>
                <w:b/>
                <w:bCs/>
                <w:color w:val="000000"/>
                <w:sz w:val="20"/>
                <w:szCs w:val="20"/>
              </w:rPr>
            </w:pPr>
            <w:r w:rsidRPr="0020248A">
              <w:rPr>
                <w:b/>
                <w:bCs/>
                <w:color w:val="000000"/>
                <w:sz w:val="20"/>
                <w:szCs w:val="20"/>
              </w:rPr>
              <w:t>2019</w:t>
            </w:r>
          </w:p>
        </w:tc>
      </w:tr>
      <w:tr w:rsidR="004F130A" w:rsidRPr="0020248A" w:rsidTr="009160F4">
        <w:trPr>
          <w:trHeight w:val="20"/>
        </w:trPr>
        <w:tc>
          <w:tcPr>
            <w:tcW w:w="3709" w:type="dxa"/>
            <w:tcBorders>
              <w:top w:val="double" w:sz="6" w:space="0" w:color="auto"/>
              <w:left w:val="double" w:sz="6" w:space="0" w:color="auto"/>
              <w:bottom w:val="single" w:sz="6" w:space="0" w:color="auto"/>
              <w:right w:val="single" w:sz="6" w:space="0" w:color="auto"/>
            </w:tcBorders>
            <w:shd w:val="clear" w:color="auto" w:fill="auto"/>
            <w:vAlign w:val="bottom"/>
            <w:hideMark/>
          </w:tcPr>
          <w:p w:rsidR="004F130A" w:rsidRPr="0020248A" w:rsidRDefault="004F130A" w:rsidP="006E17FC">
            <w:pPr>
              <w:rPr>
                <w:b/>
                <w:bCs/>
                <w:color w:val="000000"/>
                <w:sz w:val="20"/>
                <w:szCs w:val="20"/>
              </w:rPr>
            </w:pPr>
            <w:r w:rsidRPr="0020248A">
              <w:rPr>
                <w:b/>
                <w:bCs/>
                <w:color w:val="000000"/>
                <w:sz w:val="20"/>
                <w:szCs w:val="20"/>
              </w:rPr>
              <w:t>Доходы, всего</w:t>
            </w:r>
          </w:p>
        </w:tc>
        <w:tc>
          <w:tcPr>
            <w:tcW w:w="2126" w:type="dxa"/>
            <w:tcBorders>
              <w:top w:val="double" w:sz="6" w:space="0" w:color="auto"/>
              <w:left w:val="single" w:sz="6" w:space="0" w:color="auto"/>
              <w:bottom w:val="single" w:sz="6" w:space="0" w:color="auto"/>
              <w:right w:val="single" w:sz="6" w:space="0" w:color="auto"/>
            </w:tcBorders>
            <w:shd w:val="clear" w:color="auto" w:fill="auto"/>
            <w:vAlign w:val="bottom"/>
            <w:hideMark/>
          </w:tcPr>
          <w:p w:rsidR="004F130A" w:rsidRPr="0020248A" w:rsidRDefault="004F130A" w:rsidP="009160F4">
            <w:pPr>
              <w:jc w:val="center"/>
              <w:rPr>
                <w:b/>
                <w:bCs/>
                <w:color w:val="000000"/>
                <w:sz w:val="20"/>
                <w:szCs w:val="20"/>
              </w:rPr>
            </w:pPr>
            <w:r w:rsidRPr="0020248A">
              <w:rPr>
                <w:b/>
                <w:bCs/>
                <w:color w:val="000000"/>
                <w:sz w:val="20"/>
                <w:szCs w:val="20"/>
              </w:rPr>
              <w:t>80 561,6</w:t>
            </w:r>
          </w:p>
        </w:tc>
        <w:tc>
          <w:tcPr>
            <w:tcW w:w="1276" w:type="dxa"/>
            <w:tcBorders>
              <w:top w:val="double" w:sz="6" w:space="0" w:color="auto"/>
              <w:left w:val="single" w:sz="6" w:space="0" w:color="auto"/>
              <w:bottom w:val="single" w:sz="6" w:space="0" w:color="auto"/>
              <w:right w:val="single" w:sz="6" w:space="0" w:color="auto"/>
            </w:tcBorders>
            <w:shd w:val="clear" w:color="auto" w:fill="auto"/>
            <w:vAlign w:val="bottom"/>
            <w:hideMark/>
          </w:tcPr>
          <w:p w:rsidR="004F130A" w:rsidRPr="0020248A" w:rsidRDefault="004F130A" w:rsidP="009160F4">
            <w:pPr>
              <w:jc w:val="center"/>
              <w:rPr>
                <w:b/>
                <w:bCs/>
                <w:color w:val="000000"/>
                <w:sz w:val="20"/>
                <w:szCs w:val="20"/>
              </w:rPr>
            </w:pPr>
            <w:r w:rsidRPr="0020248A">
              <w:rPr>
                <w:b/>
                <w:bCs/>
                <w:color w:val="000000"/>
                <w:sz w:val="20"/>
                <w:szCs w:val="20"/>
              </w:rPr>
              <w:t>73 124,3</w:t>
            </w:r>
          </w:p>
        </w:tc>
        <w:tc>
          <w:tcPr>
            <w:tcW w:w="1276" w:type="dxa"/>
            <w:tcBorders>
              <w:top w:val="double" w:sz="6" w:space="0" w:color="auto"/>
              <w:left w:val="single" w:sz="6" w:space="0" w:color="auto"/>
              <w:bottom w:val="single" w:sz="6" w:space="0" w:color="auto"/>
              <w:right w:val="single" w:sz="6" w:space="0" w:color="auto"/>
            </w:tcBorders>
            <w:shd w:val="clear" w:color="auto" w:fill="auto"/>
            <w:vAlign w:val="bottom"/>
            <w:hideMark/>
          </w:tcPr>
          <w:p w:rsidR="004F130A" w:rsidRPr="0020248A" w:rsidRDefault="004F130A" w:rsidP="009160F4">
            <w:pPr>
              <w:jc w:val="center"/>
              <w:rPr>
                <w:b/>
                <w:bCs/>
                <w:color w:val="000000"/>
                <w:sz w:val="20"/>
                <w:szCs w:val="20"/>
              </w:rPr>
            </w:pPr>
            <w:r w:rsidRPr="0020248A">
              <w:rPr>
                <w:b/>
                <w:bCs/>
                <w:color w:val="000000"/>
                <w:sz w:val="20"/>
                <w:szCs w:val="20"/>
              </w:rPr>
              <w:t>75 145,4</w:t>
            </w:r>
          </w:p>
        </w:tc>
        <w:tc>
          <w:tcPr>
            <w:tcW w:w="1134" w:type="dxa"/>
            <w:tcBorders>
              <w:top w:val="double" w:sz="6" w:space="0" w:color="auto"/>
              <w:left w:val="single" w:sz="6" w:space="0" w:color="auto"/>
              <w:bottom w:val="single" w:sz="6" w:space="0" w:color="auto"/>
              <w:right w:val="double" w:sz="6" w:space="0" w:color="auto"/>
            </w:tcBorders>
            <w:shd w:val="clear" w:color="auto" w:fill="auto"/>
            <w:vAlign w:val="bottom"/>
            <w:hideMark/>
          </w:tcPr>
          <w:p w:rsidR="004F130A" w:rsidRPr="0020248A" w:rsidRDefault="004F130A" w:rsidP="009160F4">
            <w:pPr>
              <w:jc w:val="center"/>
              <w:rPr>
                <w:b/>
                <w:bCs/>
                <w:color w:val="000000"/>
                <w:sz w:val="20"/>
                <w:szCs w:val="20"/>
              </w:rPr>
            </w:pPr>
            <w:r w:rsidRPr="0020248A">
              <w:rPr>
                <w:b/>
                <w:bCs/>
                <w:color w:val="000000"/>
                <w:sz w:val="20"/>
                <w:szCs w:val="20"/>
              </w:rPr>
              <w:t>77 691,2</w:t>
            </w:r>
          </w:p>
        </w:tc>
      </w:tr>
      <w:tr w:rsidR="004F130A" w:rsidRPr="0020248A" w:rsidTr="009160F4">
        <w:trPr>
          <w:trHeight w:val="20"/>
        </w:trPr>
        <w:tc>
          <w:tcPr>
            <w:tcW w:w="3709" w:type="dxa"/>
            <w:tcBorders>
              <w:top w:val="single" w:sz="6" w:space="0" w:color="auto"/>
              <w:left w:val="double" w:sz="6" w:space="0" w:color="auto"/>
              <w:bottom w:val="single" w:sz="6" w:space="0" w:color="auto"/>
              <w:right w:val="single" w:sz="6" w:space="0" w:color="auto"/>
            </w:tcBorders>
            <w:shd w:val="clear" w:color="auto" w:fill="auto"/>
            <w:vAlign w:val="bottom"/>
            <w:hideMark/>
          </w:tcPr>
          <w:p w:rsidR="004F130A" w:rsidRPr="0020248A" w:rsidRDefault="004F130A" w:rsidP="006E17FC">
            <w:pPr>
              <w:rPr>
                <w:b/>
                <w:bCs/>
                <w:color w:val="000000"/>
                <w:sz w:val="20"/>
                <w:szCs w:val="20"/>
              </w:rPr>
            </w:pPr>
            <w:r w:rsidRPr="0020248A">
              <w:rPr>
                <w:b/>
                <w:bCs/>
                <w:color w:val="000000"/>
                <w:sz w:val="20"/>
                <w:szCs w:val="20"/>
              </w:rPr>
              <w:t>Расходы всего</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130A" w:rsidRPr="0020248A" w:rsidRDefault="004F130A" w:rsidP="009160F4">
            <w:pPr>
              <w:jc w:val="center"/>
              <w:rPr>
                <w:b/>
                <w:bCs/>
                <w:color w:val="000000"/>
                <w:sz w:val="20"/>
                <w:szCs w:val="20"/>
              </w:rPr>
            </w:pPr>
            <w:r w:rsidRPr="0020248A">
              <w:rPr>
                <w:b/>
                <w:bCs/>
                <w:color w:val="000000"/>
                <w:sz w:val="20"/>
                <w:szCs w:val="20"/>
              </w:rPr>
              <w:t>86 461,6</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130A" w:rsidRPr="0020248A" w:rsidRDefault="004F130A" w:rsidP="009160F4">
            <w:pPr>
              <w:jc w:val="center"/>
              <w:rPr>
                <w:b/>
                <w:bCs/>
                <w:color w:val="000000"/>
                <w:sz w:val="20"/>
                <w:szCs w:val="20"/>
              </w:rPr>
            </w:pPr>
            <w:r w:rsidRPr="0020248A">
              <w:rPr>
                <w:b/>
                <w:bCs/>
                <w:color w:val="000000"/>
                <w:sz w:val="20"/>
                <w:szCs w:val="20"/>
              </w:rPr>
              <w:t>73 124,3</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130A" w:rsidRPr="0020248A" w:rsidRDefault="004F130A" w:rsidP="009160F4">
            <w:pPr>
              <w:jc w:val="center"/>
              <w:rPr>
                <w:b/>
                <w:bCs/>
                <w:color w:val="000000"/>
                <w:sz w:val="20"/>
                <w:szCs w:val="20"/>
              </w:rPr>
            </w:pPr>
            <w:r w:rsidRPr="0020248A">
              <w:rPr>
                <w:b/>
                <w:bCs/>
                <w:color w:val="000000"/>
                <w:sz w:val="20"/>
                <w:szCs w:val="20"/>
              </w:rPr>
              <w:t>75 145,4</w:t>
            </w:r>
          </w:p>
        </w:tc>
        <w:tc>
          <w:tcPr>
            <w:tcW w:w="1134" w:type="dxa"/>
            <w:tcBorders>
              <w:top w:val="single" w:sz="6" w:space="0" w:color="auto"/>
              <w:left w:val="single" w:sz="6" w:space="0" w:color="auto"/>
              <w:bottom w:val="single" w:sz="6" w:space="0" w:color="auto"/>
              <w:right w:val="double" w:sz="6" w:space="0" w:color="auto"/>
            </w:tcBorders>
            <w:shd w:val="clear" w:color="auto" w:fill="auto"/>
            <w:vAlign w:val="bottom"/>
            <w:hideMark/>
          </w:tcPr>
          <w:p w:rsidR="004F130A" w:rsidRPr="0020248A" w:rsidRDefault="004F130A" w:rsidP="009160F4">
            <w:pPr>
              <w:jc w:val="center"/>
              <w:rPr>
                <w:b/>
                <w:bCs/>
                <w:color w:val="000000"/>
                <w:sz w:val="20"/>
                <w:szCs w:val="20"/>
              </w:rPr>
            </w:pPr>
            <w:r w:rsidRPr="0020248A">
              <w:rPr>
                <w:b/>
                <w:bCs/>
                <w:color w:val="000000"/>
                <w:sz w:val="20"/>
                <w:szCs w:val="20"/>
              </w:rPr>
              <w:t>77 691,2</w:t>
            </w:r>
          </w:p>
        </w:tc>
      </w:tr>
      <w:tr w:rsidR="004F130A" w:rsidRPr="0020248A" w:rsidTr="009160F4">
        <w:trPr>
          <w:trHeight w:val="20"/>
        </w:trPr>
        <w:tc>
          <w:tcPr>
            <w:tcW w:w="3709" w:type="dxa"/>
            <w:tcBorders>
              <w:top w:val="single" w:sz="6" w:space="0" w:color="auto"/>
              <w:left w:val="double" w:sz="6" w:space="0" w:color="auto"/>
              <w:bottom w:val="single" w:sz="6" w:space="0" w:color="auto"/>
              <w:right w:val="single" w:sz="6" w:space="0" w:color="auto"/>
            </w:tcBorders>
            <w:shd w:val="clear" w:color="auto" w:fill="auto"/>
            <w:vAlign w:val="bottom"/>
            <w:hideMark/>
          </w:tcPr>
          <w:p w:rsidR="004F130A" w:rsidRPr="0020248A" w:rsidRDefault="004F130A" w:rsidP="006E17FC">
            <w:pPr>
              <w:rPr>
                <w:b/>
                <w:bCs/>
                <w:color w:val="000000"/>
                <w:sz w:val="20"/>
                <w:szCs w:val="20"/>
              </w:rPr>
            </w:pPr>
            <w:r w:rsidRPr="0020248A">
              <w:rPr>
                <w:b/>
                <w:bCs/>
                <w:color w:val="000000"/>
                <w:sz w:val="20"/>
                <w:szCs w:val="20"/>
              </w:rPr>
              <w:t>Дефицит бюджета</w:t>
            </w:r>
            <w:proofErr w:type="gramStart"/>
            <w:r w:rsidRPr="0020248A">
              <w:rPr>
                <w:b/>
                <w:bCs/>
                <w:color w:val="000000"/>
                <w:sz w:val="20"/>
                <w:szCs w:val="20"/>
              </w:rPr>
              <w:t xml:space="preserve"> (</w:t>
            </w:r>
            <w:r>
              <w:rPr>
                <w:b/>
                <w:bCs/>
                <w:color w:val="000000"/>
                <w:sz w:val="20"/>
                <w:szCs w:val="20"/>
              </w:rPr>
              <w:t xml:space="preserve">-), </w:t>
            </w:r>
            <w:proofErr w:type="gramEnd"/>
            <w:r>
              <w:rPr>
                <w:b/>
                <w:bCs/>
                <w:color w:val="000000"/>
                <w:sz w:val="20"/>
                <w:szCs w:val="20"/>
              </w:rPr>
              <w:t>профицит бюджета (+</w:t>
            </w:r>
            <w:r w:rsidRPr="0020248A">
              <w:rPr>
                <w:b/>
                <w:bCs/>
                <w:color w:val="000000"/>
                <w:sz w:val="20"/>
                <w:szCs w:val="20"/>
              </w:rPr>
              <w:t>)</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0248A" w:rsidRDefault="004F130A" w:rsidP="009160F4">
            <w:pPr>
              <w:jc w:val="center"/>
              <w:rPr>
                <w:b/>
                <w:bCs/>
                <w:color w:val="000000"/>
                <w:sz w:val="20"/>
                <w:szCs w:val="20"/>
              </w:rPr>
            </w:pPr>
            <w:r w:rsidRPr="0020248A">
              <w:rPr>
                <w:b/>
                <w:bCs/>
                <w:color w:val="000000"/>
                <w:sz w:val="20"/>
                <w:szCs w:val="20"/>
              </w:rPr>
              <w:t>-5 900,0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0248A" w:rsidRDefault="004F130A" w:rsidP="009160F4">
            <w:pPr>
              <w:jc w:val="center"/>
              <w:rPr>
                <w:b/>
                <w:bCs/>
                <w:color w:val="000000"/>
                <w:sz w:val="20"/>
                <w:szCs w:val="20"/>
              </w:rPr>
            </w:pPr>
            <w:r w:rsidRPr="0020248A">
              <w:rPr>
                <w:b/>
                <w:bCs/>
                <w:color w:val="000000"/>
                <w:sz w:val="20"/>
                <w:szCs w:val="20"/>
              </w:rPr>
              <w:t>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0248A" w:rsidRDefault="004F130A" w:rsidP="009160F4">
            <w:pPr>
              <w:jc w:val="center"/>
              <w:rPr>
                <w:b/>
                <w:bCs/>
                <w:color w:val="000000"/>
                <w:sz w:val="20"/>
                <w:szCs w:val="20"/>
              </w:rPr>
            </w:pPr>
            <w:r w:rsidRPr="0020248A">
              <w:rPr>
                <w:b/>
                <w:bCs/>
                <w:color w:val="000000"/>
                <w:sz w:val="20"/>
                <w:szCs w:val="20"/>
              </w:rPr>
              <w:t>0,0</w:t>
            </w:r>
          </w:p>
        </w:tc>
        <w:tc>
          <w:tcPr>
            <w:tcW w:w="1134" w:type="dxa"/>
            <w:tcBorders>
              <w:top w:val="single" w:sz="6" w:space="0" w:color="auto"/>
              <w:left w:val="single" w:sz="6" w:space="0" w:color="auto"/>
              <w:bottom w:val="single" w:sz="6" w:space="0" w:color="auto"/>
              <w:right w:val="double" w:sz="6" w:space="0" w:color="auto"/>
            </w:tcBorders>
            <w:shd w:val="clear" w:color="auto" w:fill="auto"/>
            <w:vAlign w:val="center"/>
            <w:hideMark/>
          </w:tcPr>
          <w:p w:rsidR="004F130A" w:rsidRPr="0020248A" w:rsidRDefault="004F130A" w:rsidP="009160F4">
            <w:pPr>
              <w:jc w:val="center"/>
              <w:rPr>
                <w:b/>
                <w:bCs/>
                <w:color w:val="000000"/>
                <w:sz w:val="20"/>
                <w:szCs w:val="20"/>
              </w:rPr>
            </w:pPr>
            <w:r w:rsidRPr="0020248A">
              <w:rPr>
                <w:b/>
                <w:bCs/>
                <w:color w:val="000000"/>
                <w:sz w:val="20"/>
                <w:szCs w:val="20"/>
              </w:rPr>
              <w:t>0,0</w:t>
            </w:r>
          </w:p>
        </w:tc>
      </w:tr>
      <w:tr w:rsidR="004F130A" w:rsidRPr="0020248A" w:rsidTr="009160F4">
        <w:trPr>
          <w:trHeight w:val="20"/>
        </w:trPr>
        <w:tc>
          <w:tcPr>
            <w:tcW w:w="3709" w:type="dxa"/>
            <w:tcBorders>
              <w:top w:val="single" w:sz="6" w:space="0" w:color="auto"/>
              <w:left w:val="double" w:sz="6" w:space="0" w:color="auto"/>
              <w:bottom w:val="single" w:sz="6" w:space="0" w:color="auto"/>
              <w:right w:val="single" w:sz="6" w:space="0" w:color="auto"/>
            </w:tcBorders>
            <w:shd w:val="clear" w:color="auto" w:fill="auto"/>
            <w:vAlign w:val="bottom"/>
            <w:hideMark/>
          </w:tcPr>
          <w:p w:rsidR="004F130A" w:rsidRPr="0020248A" w:rsidRDefault="004F130A" w:rsidP="006E17FC">
            <w:pPr>
              <w:rPr>
                <w:b/>
                <w:bCs/>
                <w:color w:val="000000"/>
                <w:sz w:val="20"/>
                <w:szCs w:val="20"/>
              </w:rPr>
            </w:pPr>
            <w:r w:rsidRPr="0020248A">
              <w:rPr>
                <w:b/>
                <w:bCs/>
                <w:color w:val="000000"/>
                <w:sz w:val="20"/>
                <w:szCs w:val="20"/>
              </w:rPr>
              <w:t xml:space="preserve">Источники финансирования,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0248A" w:rsidRDefault="004F130A" w:rsidP="009160F4">
            <w:pPr>
              <w:jc w:val="center"/>
              <w:rPr>
                <w:b/>
                <w:bCs/>
                <w:color w:val="000000"/>
                <w:sz w:val="20"/>
                <w:szCs w:val="20"/>
              </w:rPr>
            </w:pPr>
            <w:r w:rsidRPr="0020248A">
              <w:rPr>
                <w:b/>
                <w:bCs/>
                <w:color w:val="000000"/>
                <w:sz w:val="20"/>
                <w:szCs w:val="20"/>
              </w:rPr>
              <w:t>5 900,0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0248A" w:rsidRDefault="004F130A" w:rsidP="009160F4">
            <w:pPr>
              <w:jc w:val="center"/>
              <w:rPr>
                <w:b/>
                <w:bCs/>
                <w:color w:val="000000"/>
                <w:sz w:val="20"/>
                <w:szCs w:val="20"/>
              </w:rPr>
            </w:pPr>
            <w:r w:rsidRPr="0020248A">
              <w:rPr>
                <w:b/>
                <w:bCs/>
                <w:color w:val="000000"/>
                <w:sz w:val="20"/>
                <w:szCs w:val="20"/>
              </w:rPr>
              <w:t>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0248A" w:rsidRDefault="004F130A" w:rsidP="009160F4">
            <w:pPr>
              <w:jc w:val="center"/>
              <w:rPr>
                <w:b/>
                <w:bCs/>
                <w:color w:val="000000"/>
                <w:sz w:val="20"/>
                <w:szCs w:val="20"/>
              </w:rPr>
            </w:pPr>
            <w:r w:rsidRPr="0020248A">
              <w:rPr>
                <w:b/>
                <w:bCs/>
                <w:color w:val="000000"/>
                <w:sz w:val="20"/>
                <w:szCs w:val="20"/>
              </w:rPr>
              <w:t>0,0</w:t>
            </w:r>
          </w:p>
        </w:tc>
        <w:tc>
          <w:tcPr>
            <w:tcW w:w="1134" w:type="dxa"/>
            <w:tcBorders>
              <w:top w:val="single" w:sz="6" w:space="0" w:color="auto"/>
              <w:left w:val="single" w:sz="6" w:space="0" w:color="auto"/>
              <w:bottom w:val="single" w:sz="6" w:space="0" w:color="auto"/>
              <w:right w:val="double" w:sz="6" w:space="0" w:color="auto"/>
            </w:tcBorders>
            <w:shd w:val="clear" w:color="auto" w:fill="auto"/>
            <w:vAlign w:val="center"/>
            <w:hideMark/>
          </w:tcPr>
          <w:p w:rsidR="004F130A" w:rsidRPr="0020248A" w:rsidRDefault="004F130A" w:rsidP="009160F4">
            <w:pPr>
              <w:jc w:val="center"/>
              <w:rPr>
                <w:b/>
                <w:bCs/>
                <w:color w:val="000000"/>
                <w:sz w:val="20"/>
                <w:szCs w:val="20"/>
              </w:rPr>
            </w:pPr>
            <w:r w:rsidRPr="0020248A">
              <w:rPr>
                <w:b/>
                <w:bCs/>
                <w:color w:val="000000"/>
                <w:sz w:val="20"/>
                <w:szCs w:val="20"/>
              </w:rPr>
              <w:t>0,0</w:t>
            </w:r>
          </w:p>
        </w:tc>
      </w:tr>
      <w:tr w:rsidR="004F130A" w:rsidRPr="0020248A" w:rsidTr="009160F4">
        <w:trPr>
          <w:trHeight w:val="20"/>
        </w:trPr>
        <w:tc>
          <w:tcPr>
            <w:tcW w:w="3709" w:type="dxa"/>
            <w:tcBorders>
              <w:top w:val="single" w:sz="6" w:space="0" w:color="auto"/>
              <w:left w:val="double" w:sz="6" w:space="0" w:color="auto"/>
              <w:bottom w:val="single" w:sz="6" w:space="0" w:color="auto"/>
              <w:right w:val="single" w:sz="6" w:space="0" w:color="auto"/>
            </w:tcBorders>
            <w:shd w:val="clear" w:color="auto" w:fill="auto"/>
            <w:vAlign w:val="bottom"/>
            <w:hideMark/>
          </w:tcPr>
          <w:p w:rsidR="004F130A" w:rsidRPr="0020248A" w:rsidRDefault="004F130A" w:rsidP="006E17FC">
            <w:pPr>
              <w:rPr>
                <w:b/>
                <w:bCs/>
                <w:color w:val="000000"/>
                <w:sz w:val="20"/>
                <w:szCs w:val="20"/>
              </w:rPr>
            </w:pPr>
            <w:r w:rsidRPr="0020248A">
              <w:rPr>
                <w:b/>
                <w:bCs/>
                <w:color w:val="000000"/>
                <w:sz w:val="20"/>
                <w:szCs w:val="20"/>
              </w:rPr>
              <w:t xml:space="preserve">в т. ч. за счет: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0248A" w:rsidRDefault="004F130A" w:rsidP="009160F4">
            <w:pPr>
              <w:jc w:val="center"/>
              <w:rPr>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0248A" w:rsidRDefault="004F130A" w:rsidP="009160F4">
            <w:pPr>
              <w:jc w:val="center"/>
              <w:rPr>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0248A" w:rsidRDefault="004F130A" w:rsidP="009160F4">
            <w:pPr>
              <w:jc w:val="center"/>
              <w:rPr>
                <w:b/>
                <w:bCs/>
                <w:color w:val="000000"/>
                <w:sz w:val="20"/>
                <w:szCs w:val="20"/>
              </w:rPr>
            </w:pPr>
          </w:p>
        </w:tc>
        <w:tc>
          <w:tcPr>
            <w:tcW w:w="1134" w:type="dxa"/>
            <w:tcBorders>
              <w:top w:val="single" w:sz="6" w:space="0" w:color="auto"/>
              <w:left w:val="single" w:sz="6" w:space="0" w:color="auto"/>
              <w:bottom w:val="single" w:sz="6" w:space="0" w:color="auto"/>
              <w:right w:val="double" w:sz="6" w:space="0" w:color="auto"/>
            </w:tcBorders>
            <w:shd w:val="clear" w:color="auto" w:fill="auto"/>
            <w:vAlign w:val="center"/>
            <w:hideMark/>
          </w:tcPr>
          <w:p w:rsidR="004F130A" w:rsidRPr="0020248A" w:rsidRDefault="004F130A" w:rsidP="009160F4">
            <w:pPr>
              <w:jc w:val="center"/>
              <w:rPr>
                <w:b/>
                <w:bCs/>
                <w:color w:val="000000"/>
                <w:sz w:val="20"/>
                <w:szCs w:val="20"/>
              </w:rPr>
            </w:pPr>
          </w:p>
        </w:tc>
      </w:tr>
      <w:tr w:rsidR="004F130A" w:rsidRPr="0020248A" w:rsidTr="009160F4">
        <w:trPr>
          <w:trHeight w:val="20"/>
        </w:trPr>
        <w:tc>
          <w:tcPr>
            <w:tcW w:w="3709" w:type="dxa"/>
            <w:tcBorders>
              <w:top w:val="single" w:sz="6" w:space="0" w:color="auto"/>
              <w:left w:val="double" w:sz="6" w:space="0" w:color="auto"/>
              <w:bottom w:val="single" w:sz="6" w:space="0" w:color="auto"/>
              <w:right w:val="single" w:sz="6" w:space="0" w:color="auto"/>
            </w:tcBorders>
            <w:shd w:val="clear" w:color="auto" w:fill="auto"/>
            <w:vAlign w:val="bottom"/>
            <w:hideMark/>
          </w:tcPr>
          <w:p w:rsidR="004F130A" w:rsidRPr="0020248A" w:rsidRDefault="004F130A" w:rsidP="006E17FC">
            <w:pPr>
              <w:rPr>
                <w:color w:val="000000"/>
                <w:sz w:val="20"/>
                <w:szCs w:val="20"/>
              </w:rPr>
            </w:pPr>
            <w:r w:rsidRPr="0020248A">
              <w:rPr>
                <w:color w:val="000000"/>
                <w:sz w:val="20"/>
                <w:szCs w:val="20"/>
              </w:rPr>
              <w:t xml:space="preserve">-заимствований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130A" w:rsidRPr="0020248A" w:rsidRDefault="004F130A" w:rsidP="009160F4">
            <w:pPr>
              <w:jc w:val="center"/>
              <w:rPr>
                <w:color w:val="000000"/>
                <w:sz w:val="20"/>
                <w:szCs w:val="20"/>
              </w:rPr>
            </w:pPr>
            <w:r w:rsidRPr="0020248A">
              <w:rPr>
                <w:color w:val="000000"/>
                <w:sz w:val="20"/>
                <w:szCs w:val="20"/>
              </w:rPr>
              <w:t>5 854,5</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130A" w:rsidRPr="0020248A" w:rsidRDefault="004F130A" w:rsidP="009160F4">
            <w:pPr>
              <w:jc w:val="center"/>
              <w:rPr>
                <w:color w:val="000000"/>
                <w:sz w:val="20"/>
                <w:szCs w:val="20"/>
              </w:rPr>
            </w:pPr>
            <w:r w:rsidRPr="0020248A">
              <w:rPr>
                <w:color w:val="000000"/>
                <w:sz w:val="20"/>
                <w:szCs w:val="20"/>
              </w:rPr>
              <w:t>-50,0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130A" w:rsidRPr="0020248A" w:rsidRDefault="004F130A" w:rsidP="009160F4">
            <w:pPr>
              <w:jc w:val="center"/>
              <w:rPr>
                <w:color w:val="000000"/>
                <w:sz w:val="20"/>
                <w:szCs w:val="20"/>
              </w:rPr>
            </w:pPr>
            <w:r w:rsidRPr="0020248A">
              <w:rPr>
                <w:color w:val="000000"/>
                <w:sz w:val="20"/>
                <w:szCs w:val="20"/>
              </w:rPr>
              <w:t>-100,0</w:t>
            </w:r>
          </w:p>
        </w:tc>
        <w:tc>
          <w:tcPr>
            <w:tcW w:w="1134" w:type="dxa"/>
            <w:tcBorders>
              <w:top w:val="single" w:sz="6" w:space="0" w:color="auto"/>
              <w:left w:val="single" w:sz="6" w:space="0" w:color="auto"/>
              <w:bottom w:val="single" w:sz="6" w:space="0" w:color="auto"/>
              <w:right w:val="double" w:sz="6" w:space="0" w:color="auto"/>
            </w:tcBorders>
            <w:shd w:val="clear" w:color="auto" w:fill="auto"/>
            <w:vAlign w:val="bottom"/>
            <w:hideMark/>
          </w:tcPr>
          <w:p w:rsidR="004F130A" w:rsidRPr="0020248A" w:rsidRDefault="004F130A" w:rsidP="009160F4">
            <w:pPr>
              <w:jc w:val="center"/>
              <w:rPr>
                <w:color w:val="000000"/>
                <w:sz w:val="20"/>
                <w:szCs w:val="20"/>
              </w:rPr>
            </w:pPr>
            <w:r w:rsidRPr="0020248A">
              <w:rPr>
                <w:color w:val="000000"/>
                <w:sz w:val="20"/>
                <w:szCs w:val="20"/>
              </w:rPr>
              <w:t>0,0</w:t>
            </w:r>
          </w:p>
        </w:tc>
      </w:tr>
      <w:tr w:rsidR="004F130A" w:rsidRPr="0020248A" w:rsidTr="009160F4">
        <w:trPr>
          <w:trHeight w:val="20"/>
        </w:trPr>
        <w:tc>
          <w:tcPr>
            <w:tcW w:w="3709" w:type="dxa"/>
            <w:tcBorders>
              <w:top w:val="single" w:sz="6" w:space="0" w:color="auto"/>
              <w:left w:val="double" w:sz="6" w:space="0" w:color="auto"/>
              <w:bottom w:val="single" w:sz="6" w:space="0" w:color="auto"/>
              <w:right w:val="single" w:sz="6" w:space="0" w:color="auto"/>
            </w:tcBorders>
            <w:shd w:val="clear" w:color="auto" w:fill="auto"/>
            <w:vAlign w:val="bottom"/>
            <w:hideMark/>
          </w:tcPr>
          <w:p w:rsidR="004F130A" w:rsidRPr="0020248A" w:rsidRDefault="004F130A" w:rsidP="006E17FC">
            <w:pPr>
              <w:rPr>
                <w:color w:val="000000"/>
                <w:sz w:val="20"/>
                <w:szCs w:val="20"/>
              </w:rPr>
            </w:pPr>
            <w:r w:rsidRPr="0020248A">
              <w:rPr>
                <w:color w:val="000000"/>
                <w:sz w:val="20"/>
                <w:szCs w:val="20"/>
              </w:rPr>
              <w:t>-прочих источников</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130A" w:rsidRPr="0020248A" w:rsidRDefault="004F130A" w:rsidP="009160F4">
            <w:pPr>
              <w:jc w:val="center"/>
              <w:rPr>
                <w:color w:val="000000"/>
                <w:sz w:val="20"/>
                <w:szCs w:val="20"/>
              </w:rPr>
            </w:pPr>
            <w:r w:rsidRPr="0020248A">
              <w:rPr>
                <w:color w:val="000000"/>
                <w:sz w:val="20"/>
                <w:szCs w:val="20"/>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130A" w:rsidRPr="0020248A" w:rsidRDefault="004F130A" w:rsidP="009160F4">
            <w:pPr>
              <w:jc w:val="center"/>
              <w:rPr>
                <w:color w:val="000000"/>
                <w:sz w:val="20"/>
                <w:szCs w:val="20"/>
              </w:rPr>
            </w:pPr>
            <w:r w:rsidRPr="0020248A">
              <w:rPr>
                <w:color w:val="000000"/>
                <w:sz w:val="20"/>
                <w:szCs w:val="20"/>
              </w:rPr>
              <w:t>-256,3</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130A" w:rsidRPr="0020248A" w:rsidRDefault="004F130A" w:rsidP="009160F4">
            <w:pPr>
              <w:jc w:val="center"/>
              <w:rPr>
                <w:color w:val="000000"/>
                <w:sz w:val="20"/>
                <w:szCs w:val="20"/>
              </w:rPr>
            </w:pPr>
            <w:r w:rsidRPr="0020248A">
              <w:rPr>
                <w:color w:val="000000"/>
                <w:sz w:val="20"/>
                <w:szCs w:val="20"/>
              </w:rPr>
              <w:t>-178,0</w:t>
            </w:r>
          </w:p>
        </w:tc>
        <w:tc>
          <w:tcPr>
            <w:tcW w:w="1134" w:type="dxa"/>
            <w:tcBorders>
              <w:top w:val="single" w:sz="6" w:space="0" w:color="auto"/>
              <w:left w:val="single" w:sz="6" w:space="0" w:color="auto"/>
              <w:bottom w:val="single" w:sz="6" w:space="0" w:color="auto"/>
              <w:right w:val="double" w:sz="6" w:space="0" w:color="auto"/>
            </w:tcBorders>
            <w:shd w:val="clear" w:color="auto" w:fill="auto"/>
            <w:vAlign w:val="bottom"/>
            <w:hideMark/>
          </w:tcPr>
          <w:p w:rsidR="004F130A" w:rsidRPr="0020248A" w:rsidRDefault="004F130A" w:rsidP="009160F4">
            <w:pPr>
              <w:jc w:val="center"/>
              <w:rPr>
                <w:color w:val="000000"/>
                <w:sz w:val="20"/>
                <w:szCs w:val="20"/>
              </w:rPr>
            </w:pPr>
            <w:r w:rsidRPr="0020248A">
              <w:rPr>
                <w:color w:val="000000"/>
                <w:sz w:val="20"/>
                <w:szCs w:val="20"/>
              </w:rPr>
              <w:t>-350,7</w:t>
            </w:r>
          </w:p>
        </w:tc>
      </w:tr>
      <w:tr w:rsidR="004F130A" w:rsidRPr="0020248A" w:rsidTr="009160F4">
        <w:trPr>
          <w:trHeight w:val="20"/>
        </w:trPr>
        <w:tc>
          <w:tcPr>
            <w:tcW w:w="3709" w:type="dxa"/>
            <w:tcBorders>
              <w:top w:val="single" w:sz="6" w:space="0" w:color="auto"/>
              <w:left w:val="double" w:sz="6" w:space="0" w:color="auto"/>
              <w:bottom w:val="double" w:sz="6" w:space="0" w:color="auto"/>
              <w:right w:val="single" w:sz="6" w:space="0" w:color="auto"/>
            </w:tcBorders>
            <w:shd w:val="clear" w:color="auto" w:fill="auto"/>
            <w:vAlign w:val="bottom"/>
            <w:hideMark/>
          </w:tcPr>
          <w:p w:rsidR="004F130A" w:rsidRPr="0020248A" w:rsidRDefault="004F130A" w:rsidP="006E17FC">
            <w:pPr>
              <w:rPr>
                <w:color w:val="000000"/>
                <w:sz w:val="20"/>
                <w:szCs w:val="20"/>
              </w:rPr>
            </w:pPr>
            <w:r w:rsidRPr="0020248A">
              <w:rPr>
                <w:color w:val="000000"/>
                <w:sz w:val="20"/>
                <w:szCs w:val="20"/>
              </w:rPr>
              <w:t>-изменения  остатков</w:t>
            </w:r>
          </w:p>
        </w:tc>
        <w:tc>
          <w:tcPr>
            <w:tcW w:w="2126" w:type="dxa"/>
            <w:tcBorders>
              <w:top w:val="single" w:sz="6" w:space="0" w:color="auto"/>
              <w:left w:val="single" w:sz="6" w:space="0" w:color="auto"/>
              <w:bottom w:val="double" w:sz="6" w:space="0" w:color="auto"/>
              <w:right w:val="single" w:sz="6" w:space="0" w:color="auto"/>
            </w:tcBorders>
            <w:shd w:val="clear" w:color="auto" w:fill="auto"/>
            <w:vAlign w:val="bottom"/>
            <w:hideMark/>
          </w:tcPr>
          <w:p w:rsidR="004F130A" w:rsidRPr="0020248A" w:rsidRDefault="004F130A" w:rsidP="009160F4">
            <w:pPr>
              <w:jc w:val="center"/>
              <w:rPr>
                <w:color w:val="000000"/>
                <w:sz w:val="20"/>
                <w:szCs w:val="20"/>
              </w:rPr>
            </w:pPr>
            <w:r w:rsidRPr="0020248A">
              <w:rPr>
                <w:color w:val="000000"/>
                <w:sz w:val="20"/>
                <w:szCs w:val="20"/>
              </w:rPr>
              <w:t>65,5</w:t>
            </w:r>
          </w:p>
        </w:tc>
        <w:tc>
          <w:tcPr>
            <w:tcW w:w="1276" w:type="dxa"/>
            <w:tcBorders>
              <w:top w:val="single" w:sz="6" w:space="0" w:color="auto"/>
              <w:left w:val="single" w:sz="6" w:space="0" w:color="auto"/>
              <w:bottom w:val="double" w:sz="6" w:space="0" w:color="auto"/>
              <w:right w:val="single" w:sz="6" w:space="0" w:color="auto"/>
            </w:tcBorders>
            <w:shd w:val="clear" w:color="auto" w:fill="auto"/>
            <w:vAlign w:val="bottom"/>
            <w:hideMark/>
          </w:tcPr>
          <w:p w:rsidR="004F130A" w:rsidRPr="0020248A" w:rsidRDefault="004F130A" w:rsidP="009160F4">
            <w:pPr>
              <w:jc w:val="center"/>
              <w:rPr>
                <w:color w:val="000000"/>
                <w:sz w:val="20"/>
                <w:szCs w:val="20"/>
              </w:rPr>
            </w:pPr>
            <w:r w:rsidRPr="0020248A">
              <w:rPr>
                <w:color w:val="000000"/>
                <w:sz w:val="20"/>
                <w:szCs w:val="20"/>
              </w:rPr>
              <w:t>306,3</w:t>
            </w:r>
          </w:p>
        </w:tc>
        <w:tc>
          <w:tcPr>
            <w:tcW w:w="1276" w:type="dxa"/>
            <w:tcBorders>
              <w:top w:val="single" w:sz="6" w:space="0" w:color="auto"/>
              <w:left w:val="single" w:sz="6" w:space="0" w:color="auto"/>
              <w:bottom w:val="double" w:sz="6" w:space="0" w:color="auto"/>
              <w:right w:val="single" w:sz="6" w:space="0" w:color="auto"/>
            </w:tcBorders>
            <w:shd w:val="clear" w:color="auto" w:fill="auto"/>
            <w:vAlign w:val="bottom"/>
            <w:hideMark/>
          </w:tcPr>
          <w:p w:rsidR="004F130A" w:rsidRPr="0020248A" w:rsidRDefault="004F130A" w:rsidP="009160F4">
            <w:pPr>
              <w:jc w:val="center"/>
              <w:rPr>
                <w:color w:val="000000"/>
                <w:sz w:val="20"/>
                <w:szCs w:val="20"/>
              </w:rPr>
            </w:pPr>
            <w:r w:rsidRPr="0020248A">
              <w:rPr>
                <w:color w:val="000000"/>
                <w:sz w:val="20"/>
                <w:szCs w:val="20"/>
              </w:rPr>
              <w:t>278,0</w:t>
            </w:r>
          </w:p>
        </w:tc>
        <w:tc>
          <w:tcPr>
            <w:tcW w:w="1134" w:type="dxa"/>
            <w:tcBorders>
              <w:top w:val="single" w:sz="6" w:space="0" w:color="auto"/>
              <w:left w:val="single" w:sz="6" w:space="0" w:color="auto"/>
              <w:bottom w:val="double" w:sz="6" w:space="0" w:color="auto"/>
              <w:right w:val="double" w:sz="6" w:space="0" w:color="auto"/>
            </w:tcBorders>
            <w:shd w:val="clear" w:color="auto" w:fill="auto"/>
            <w:vAlign w:val="bottom"/>
            <w:hideMark/>
          </w:tcPr>
          <w:p w:rsidR="004F130A" w:rsidRPr="0020248A" w:rsidRDefault="004F130A" w:rsidP="009160F4">
            <w:pPr>
              <w:jc w:val="center"/>
              <w:rPr>
                <w:color w:val="000000"/>
                <w:sz w:val="20"/>
                <w:szCs w:val="20"/>
              </w:rPr>
            </w:pPr>
            <w:r w:rsidRPr="0020248A">
              <w:rPr>
                <w:color w:val="000000"/>
                <w:sz w:val="20"/>
                <w:szCs w:val="20"/>
              </w:rPr>
              <w:t>350,7</w:t>
            </w:r>
          </w:p>
        </w:tc>
      </w:tr>
    </w:tbl>
    <w:p w:rsidR="004F130A" w:rsidRPr="0033140F" w:rsidRDefault="004F130A" w:rsidP="004F130A">
      <w:pPr>
        <w:ind w:firstLine="708"/>
        <w:jc w:val="both"/>
        <w:rPr>
          <w:b/>
          <w:bCs/>
          <w:sz w:val="20"/>
          <w:szCs w:val="20"/>
        </w:rPr>
      </w:pPr>
    </w:p>
    <w:p w:rsidR="004F130A" w:rsidRDefault="004F130A" w:rsidP="004F130A">
      <w:pPr>
        <w:ind w:firstLine="708"/>
        <w:jc w:val="both"/>
      </w:pPr>
      <w:r w:rsidRPr="0033140F">
        <w:t>Как видно из представленных данных</w:t>
      </w:r>
      <w:r>
        <w:t xml:space="preserve">, </w:t>
      </w:r>
      <w:r w:rsidRPr="0033140F">
        <w:t>расходы областного бюджета предполагается осуществлять за счет доходов</w:t>
      </w:r>
      <w:r>
        <w:t>,</w:t>
      </w:r>
      <w:r w:rsidRPr="0033140F">
        <w:t xml:space="preserve"> не привлекая на эти цели заимствования. Привлекаемые заимствования будут направлены на исполнение существующих обязательств.</w:t>
      </w:r>
    </w:p>
    <w:p w:rsidR="00705EB0" w:rsidRDefault="004F130A" w:rsidP="00705EB0">
      <w:pPr>
        <w:ind w:firstLine="708"/>
        <w:jc w:val="both"/>
      </w:pPr>
      <w:r>
        <w:t xml:space="preserve">Структура заимствований и иных источников финансирования бюджета приведена в приложениях 32-35 к </w:t>
      </w:r>
      <w:r w:rsidR="00705EB0">
        <w:t>з</w:t>
      </w:r>
      <w:r>
        <w:t>аконопроекту и представлена в следующей таблице.</w:t>
      </w:r>
    </w:p>
    <w:p w:rsidR="004F130A" w:rsidRPr="00705EB0" w:rsidRDefault="00705EB0" w:rsidP="00705EB0">
      <w:pPr>
        <w:ind w:firstLine="708"/>
        <w:jc w:val="both"/>
      </w:pPr>
      <w:r>
        <w:t xml:space="preserve">                                                                                                                    </w:t>
      </w:r>
      <w:r w:rsidR="004F130A" w:rsidRPr="00705EB0">
        <w:rPr>
          <w:sz w:val="20"/>
          <w:szCs w:val="20"/>
        </w:rPr>
        <w:t>млн. руб.</w:t>
      </w:r>
    </w:p>
    <w:tbl>
      <w:tblPr>
        <w:tblW w:w="9305" w:type="dxa"/>
        <w:tblInd w:w="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tblPr>
      <w:tblGrid>
        <w:gridCol w:w="4985"/>
        <w:gridCol w:w="1540"/>
        <w:gridCol w:w="1400"/>
        <w:gridCol w:w="1380"/>
      </w:tblGrid>
      <w:tr w:rsidR="004F130A" w:rsidRPr="00471CB7" w:rsidTr="006E17FC">
        <w:trPr>
          <w:trHeight w:val="20"/>
        </w:trPr>
        <w:tc>
          <w:tcPr>
            <w:tcW w:w="4985" w:type="dxa"/>
            <w:tcBorders>
              <w:top w:val="double" w:sz="6" w:space="0" w:color="auto"/>
              <w:bottom w:val="double" w:sz="6" w:space="0" w:color="auto"/>
            </w:tcBorders>
            <w:shd w:val="clear" w:color="auto" w:fill="auto"/>
            <w:vAlign w:val="center"/>
            <w:hideMark/>
          </w:tcPr>
          <w:p w:rsidR="004F130A" w:rsidRPr="00471CB7" w:rsidRDefault="004F130A" w:rsidP="006E17FC">
            <w:pPr>
              <w:jc w:val="center"/>
              <w:rPr>
                <w:b/>
                <w:bCs/>
                <w:color w:val="000000"/>
                <w:sz w:val="20"/>
                <w:szCs w:val="20"/>
              </w:rPr>
            </w:pPr>
            <w:r w:rsidRPr="00471CB7">
              <w:rPr>
                <w:b/>
                <w:bCs/>
                <w:color w:val="000000"/>
                <w:sz w:val="20"/>
                <w:szCs w:val="20"/>
              </w:rPr>
              <w:t>Источники финансирования дефицита</w:t>
            </w:r>
          </w:p>
        </w:tc>
        <w:tc>
          <w:tcPr>
            <w:tcW w:w="1540" w:type="dxa"/>
            <w:tcBorders>
              <w:top w:val="double" w:sz="6" w:space="0" w:color="auto"/>
              <w:bottom w:val="double" w:sz="6" w:space="0" w:color="auto"/>
            </w:tcBorders>
            <w:shd w:val="clear" w:color="auto" w:fill="auto"/>
            <w:vAlign w:val="center"/>
            <w:hideMark/>
          </w:tcPr>
          <w:p w:rsidR="004F130A" w:rsidRPr="00471CB7" w:rsidRDefault="004F130A" w:rsidP="006E17FC">
            <w:pPr>
              <w:jc w:val="center"/>
              <w:rPr>
                <w:b/>
                <w:bCs/>
                <w:color w:val="000000"/>
                <w:sz w:val="20"/>
                <w:szCs w:val="20"/>
              </w:rPr>
            </w:pPr>
            <w:r w:rsidRPr="00471CB7">
              <w:rPr>
                <w:b/>
                <w:bCs/>
                <w:color w:val="000000"/>
                <w:sz w:val="20"/>
                <w:szCs w:val="20"/>
              </w:rPr>
              <w:t>2017</w:t>
            </w:r>
          </w:p>
        </w:tc>
        <w:tc>
          <w:tcPr>
            <w:tcW w:w="1400" w:type="dxa"/>
            <w:tcBorders>
              <w:top w:val="double" w:sz="6" w:space="0" w:color="auto"/>
              <w:bottom w:val="double" w:sz="6" w:space="0" w:color="auto"/>
            </w:tcBorders>
            <w:shd w:val="clear" w:color="auto" w:fill="auto"/>
            <w:vAlign w:val="center"/>
            <w:hideMark/>
          </w:tcPr>
          <w:p w:rsidR="004F130A" w:rsidRPr="00471CB7" w:rsidRDefault="004F130A" w:rsidP="006E17FC">
            <w:pPr>
              <w:jc w:val="center"/>
              <w:rPr>
                <w:b/>
                <w:bCs/>
                <w:color w:val="000000"/>
                <w:sz w:val="20"/>
                <w:szCs w:val="20"/>
              </w:rPr>
            </w:pPr>
            <w:r w:rsidRPr="00471CB7">
              <w:rPr>
                <w:b/>
                <w:bCs/>
                <w:color w:val="000000"/>
                <w:sz w:val="20"/>
                <w:szCs w:val="20"/>
              </w:rPr>
              <w:t>2018</w:t>
            </w:r>
          </w:p>
        </w:tc>
        <w:tc>
          <w:tcPr>
            <w:tcW w:w="1380" w:type="dxa"/>
            <w:tcBorders>
              <w:top w:val="double" w:sz="6" w:space="0" w:color="auto"/>
              <w:bottom w:val="double" w:sz="6" w:space="0" w:color="auto"/>
            </w:tcBorders>
            <w:shd w:val="clear" w:color="auto" w:fill="auto"/>
            <w:vAlign w:val="center"/>
            <w:hideMark/>
          </w:tcPr>
          <w:p w:rsidR="004F130A" w:rsidRPr="00471CB7" w:rsidRDefault="004F130A" w:rsidP="006E17FC">
            <w:pPr>
              <w:jc w:val="center"/>
              <w:rPr>
                <w:b/>
                <w:bCs/>
                <w:color w:val="000000"/>
                <w:sz w:val="20"/>
                <w:szCs w:val="20"/>
              </w:rPr>
            </w:pPr>
            <w:r w:rsidRPr="00471CB7">
              <w:rPr>
                <w:b/>
                <w:bCs/>
                <w:color w:val="000000"/>
                <w:sz w:val="20"/>
                <w:szCs w:val="20"/>
              </w:rPr>
              <w:t>2019</w:t>
            </w:r>
          </w:p>
        </w:tc>
      </w:tr>
      <w:tr w:rsidR="004F130A" w:rsidRPr="00471CB7" w:rsidTr="006E17FC">
        <w:trPr>
          <w:trHeight w:val="20"/>
        </w:trPr>
        <w:tc>
          <w:tcPr>
            <w:tcW w:w="4985" w:type="dxa"/>
            <w:tcBorders>
              <w:top w:val="double" w:sz="6" w:space="0" w:color="auto"/>
            </w:tcBorders>
            <w:shd w:val="clear" w:color="000000" w:fill="DBE5F1"/>
            <w:vAlign w:val="bottom"/>
            <w:hideMark/>
          </w:tcPr>
          <w:p w:rsidR="004F130A" w:rsidRPr="00471CB7" w:rsidRDefault="004F130A" w:rsidP="006E17FC">
            <w:pPr>
              <w:rPr>
                <w:color w:val="000000"/>
                <w:sz w:val="20"/>
                <w:szCs w:val="20"/>
              </w:rPr>
            </w:pPr>
            <w:r w:rsidRPr="00471CB7">
              <w:rPr>
                <w:color w:val="000000"/>
                <w:sz w:val="20"/>
                <w:szCs w:val="20"/>
              </w:rPr>
              <w:t>Государственные ценные бумаги</w:t>
            </w:r>
          </w:p>
        </w:tc>
        <w:tc>
          <w:tcPr>
            <w:tcW w:w="1540" w:type="dxa"/>
            <w:tcBorders>
              <w:top w:val="double" w:sz="6" w:space="0" w:color="auto"/>
            </w:tcBorders>
            <w:shd w:val="clear" w:color="000000" w:fill="DBE5F1"/>
            <w:noWrap/>
            <w:vAlign w:val="bottom"/>
            <w:hideMark/>
          </w:tcPr>
          <w:p w:rsidR="004F130A" w:rsidRPr="00471CB7" w:rsidRDefault="004F130A" w:rsidP="00705EB0">
            <w:pPr>
              <w:jc w:val="center"/>
              <w:rPr>
                <w:color w:val="000000"/>
                <w:sz w:val="20"/>
                <w:szCs w:val="20"/>
              </w:rPr>
            </w:pPr>
            <w:r>
              <w:rPr>
                <w:color w:val="000000"/>
                <w:sz w:val="20"/>
                <w:szCs w:val="20"/>
              </w:rPr>
              <w:t>5 650</w:t>
            </w:r>
            <w:r w:rsidRPr="00471CB7">
              <w:rPr>
                <w:color w:val="000000"/>
                <w:sz w:val="20"/>
                <w:szCs w:val="20"/>
              </w:rPr>
              <w:t>,0</w:t>
            </w:r>
          </w:p>
        </w:tc>
        <w:tc>
          <w:tcPr>
            <w:tcW w:w="1400" w:type="dxa"/>
            <w:tcBorders>
              <w:top w:val="double" w:sz="6" w:space="0" w:color="auto"/>
            </w:tcBorders>
            <w:shd w:val="clear" w:color="000000" w:fill="DBE5F1"/>
            <w:noWrap/>
            <w:vAlign w:val="bottom"/>
            <w:hideMark/>
          </w:tcPr>
          <w:p w:rsidR="004F130A" w:rsidRPr="00471CB7" w:rsidRDefault="004F130A" w:rsidP="00705EB0">
            <w:pPr>
              <w:jc w:val="center"/>
              <w:rPr>
                <w:color w:val="000000"/>
                <w:sz w:val="20"/>
                <w:szCs w:val="20"/>
              </w:rPr>
            </w:pPr>
            <w:r>
              <w:rPr>
                <w:color w:val="000000"/>
                <w:sz w:val="20"/>
                <w:szCs w:val="20"/>
              </w:rPr>
              <w:t>-2 100</w:t>
            </w:r>
            <w:r w:rsidRPr="00471CB7">
              <w:rPr>
                <w:color w:val="000000"/>
                <w:sz w:val="20"/>
                <w:szCs w:val="20"/>
              </w:rPr>
              <w:t>,0</w:t>
            </w:r>
          </w:p>
        </w:tc>
        <w:tc>
          <w:tcPr>
            <w:tcW w:w="1380" w:type="dxa"/>
            <w:tcBorders>
              <w:top w:val="double" w:sz="6" w:space="0" w:color="auto"/>
            </w:tcBorders>
            <w:shd w:val="clear" w:color="000000" w:fill="DBE5F1"/>
            <w:noWrap/>
            <w:vAlign w:val="bottom"/>
            <w:hideMark/>
          </w:tcPr>
          <w:p w:rsidR="004F130A" w:rsidRPr="00471CB7" w:rsidRDefault="004F130A" w:rsidP="00705EB0">
            <w:pPr>
              <w:jc w:val="center"/>
              <w:rPr>
                <w:color w:val="000000"/>
                <w:sz w:val="20"/>
                <w:szCs w:val="20"/>
              </w:rPr>
            </w:pPr>
            <w:r>
              <w:rPr>
                <w:color w:val="000000"/>
                <w:sz w:val="20"/>
                <w:szCs w:val="20"/>
              </w:rPr>
              <w:t>1 000</w:t>
            </w:r>
            <w:r w:rsidRPr="00471CB7">
              <w:rPr>
                <w:color w:val="000000"/>
                <w:sz w:val="20"/>
                <w:szCs w:val="20"/>
              </w:rPr>
              <w:t>,0</w:t>
            </w:r>
          </w:p>
        </w:tc>
      </w:tr>
      <w:tr w:rsidR="004F130A" w:rsidRPr="00471CB7" w:rsidTr="006E17FC">
        <w:trPr>
          <w:trHeight w:val="20"/>
        </w:trPr>
        <w:tc>
          <w:tcPr>
            <w:tcW w:w="4985" w:type="dxa"/>
            <w:shd w:val="clear" w:color="auto" w:fill="auto"/>
            <w:vAlign w:val="bottom"/>
            <w:hideMark/>
          </w:tcPr>
          <w:p w:rsidR="004F130A" w:rsidRPr="00471CB7" w:rsidRDefault="004F130A" w:rsidP="006E17FC">
            <w:pPr>
              <w:rPr>
                <w:i/>
                <w:iCs/>
                <w:color w:val="000000"/>
                <w:sz w:val="20"/>
                <w:szCs w:val="20"/>
              </w:rPr>
            </w:pPr>
            <w:r w:rsidRPr="00471CB7">
              <w:rPr>
                <w:i/>
                <w:iCs/>
                <w:color w:val="000000"/>
                <w:sz w:val="20"/>
                <w:szCs w:val="20"/>
              </w:rPr>
              <w:t>привлечение средств</w:t>
            </w:r>
          </w:p>
        </w:tc>
        <w:tc>
          <w:tcPr>
            <w:tcW w:w="154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10 000</w:t>
            </w:r>
            <w:r w:rsidRPr="00471CB7">
              <w:rPr>
                <w:color w:val="000000"/>
                <w:sz w:val="20"/>
                <w:szCs w:val="20"/>
              </w:rPr>
              <w:t>,0</w:t>
            </w:r>
          </w:p>
        </w:tc>
        <w:tc>
          <w:tcPr>
            <w:tcW w:w="140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3 000</w:t>
            </w:r>
            <w:r w:rsidRPr="00471CB7">
              <w:rPr>
                <w:color w:val="000000"/>
                <w:sz w:val="20"/>
                <w:szCs w:val="20"/>
              </w:rPr>
              <w:t>,0</w:t>
            </w:r>
          </w:p>
        </w:tc>
        <w:tc>
          <w:tcPr>
            <w:tcW w:w="138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5 000</w:t>
            </w:r>
            <w:r w:rsidRPr="00471CB7">
              <w:rPr>
                <w:color w:val="000000"/>
                <w:sz w:val="20"/>
                <w:szCs w:val="20"/>
              </w:rPr>
              <w:t>,0</w:t>
            </w:r>
          </w:p>
        </w:tc>
      </w:tr>
      <w:tr w:rsidR="004F130A" w:rsidRPr="00471CB7" w:rsidTr="006E17FC">
        <w:trPr>
          <w:trHeight w:val="20"/>
        </w:trPr>
        <w:tc>
          <w:tcPr>
            <w:tcW w:w="4985" w:type="dxa"/>
            <w:shd w:val="clear" w:color="auto" w:fill="auto"/>
            <w:vAlign w:val="bottom"/>
            <w:hideMark/>
          </w:tcPr>
          <w:p w:rsidR="004F130A" w:rsidRPr="00471CB7" w:rsidRDefault="004F130A" w:rsidP="006E17FC">
            <w:pPr>
              <w:rPr>
                <w:i/>
                <w:iCs/>
                <w:color w:val="000000"/>
                <w:sz w:val="20"/>
                <w:szCs w:val="20"/>
              </w:rPr>
            </w:pPr>
            <w:r w:rsidRPr="00471CB7">
              <w:rPr>
                <w:i/>
                <w:iCs/>
                <w:color w:val="000000"/>
                <w:sz w:val="20"/>
                <w:szCs w:val="20"/>
              </w:rPr>
              <w:t>погашение долга</w:t>
            </w:r>
          </w:p>
        </w:tc>
        <w:tc>
          <w:tcPr>
            <w:tcW w:w="154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4 350</w:t>
            </w:r>
            <w:r w:rsidRPr="00471CB7">
              <w:rPr>
                <w:color w:val="000000"/>
                <w:sz w:val="20"/>
                <w:szCs w:val="20"/>
              </w:rPr>
              <w:t>,0</w:t>
            </w:r>
          </w:p>
        </w:tc>
        <w:tc>
          <w:tcPr>
            <w:tcW w:w="140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5 100</w:t>
            </w:r>
            <w:r w:rsidRPr="00471CB7">
              <w:rPr>
                <w:color w:val="000000"/>
                <w:sz w:val="20"/>
                <w:szCs w:val="20"/>
              </w:rPr>
              <w:t>,0</w:t>
            </w:r>
          </w:p>
        </w:tc>
        <w:tc>
          <w:tcPr>
            <w:tcW w:w="138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4 000</w:t>
            </w:r>
            <w:r w:rsidRPr="00471CB7">
              <w:rPr>
                <w:color w:val="000000"/>
                <w:sz w:val="20"/>
                <w:szCs w:val="20"/>
              </w:rPr>
              <w:t>,0</w:t>
            </w:r>
          </w:p>
        </w:tc>
      </w:tr>
      <w:tr w:rsidR="004F130A" w:rsidRPr="00471CB7" w:rsidTr="006E17FC">
        <w:trPr>
          <w:trHeight w:val="20"/>
        </w:trPr>
        <w:tc>
          <w:tcPr>
            <w:tcW w:w="4985" w:type="dxa"/>
            <w:shd w:val="clear" w:color="000000" w:fill="DBE5F1"/>
            <w:vAlign w:val="bottom"/>
            <w:hideMark/>
          </w:tcPr>
          <w:p w:rsidR="004F130A" w:rsidRPr="00471CB7" w:rsidRDefault="004F130A" w:rsidP="006E17FC">
            <w:pPr>
              <w:rPr>
                <w:color w:val="000000"/>
                <w:sz w:val="20"/>
                <w:szCs w:val="20"/>
              </w:rPr>
            </w:pPr>
            <w:r w:rsidRPr="00471CB7">
              <w:rPr>
                <w:color w:val="000000"/>
                <w:sz w:val="20"/>
                <w:szCs w:val="20"/>
              </w:rPr>
              <w:t>Кредиты кредитных организаций</w:t>
            </w:r>
          </w:p>
        </w:tc>
        <w:tc>
          <w:tcPr>
            <w:tcW w:w="1540" w:type="dxa"/>
            <w:shd w:val="clear" w:color="000000" w:fill="DBE5F1"/>
            <w:noWrap/>
            <w:vAlign w:val="bottom"/>
            <w:hideMark/>
          </w:tcPr>
          <w:p w:rsidR="004F130A" w:rsidRPr="00471CB7" w:rsidRDefault="004F130A" w:rsidP="00705EB0">
            <w:pPr>
              <w:jc w:val="center"/>
              <w:rPr>
                <w:color w:val="000000"/>
                <w:sz w:val="20"/>
                <w:szCs w:val="20"/>
              </w:rPr>
            </w:pPr>
            <w:r>
              <w:rPr>
                <w:color w:val="000000"/>
                <w:sz w:val="20"/>
                <w:szCs w:val="20"/>
              </w:rPr>
              <w:t>15 630</w:t>
            </w:r>
            <w:r w:rsidRPr="00471CB7">
              <w:rPr>
                <w:color w:val="000000"/>
                <w:sz w:val="20"/>
                <w:szCs w:val="20"/>
              </w:rPr>
              <w:t>,0</w:t>
            </w:r>
          </w:p>
        </w:tc>
        <w:tc>
          <w:tcPr>
            <w:tcW w:w="1400" w:type="dxa"/>
            <w:shd w:val="clear" w:color="000000" w:fill="DBE5F1"/>
            <w:noWrap/>
            <w:vAlign w:val="bottom"/>
            <w:hideMark/>
          </w:tcPr>
          <w:p w:rsidR="004F130A" w:rsidRPr="00471CB7" w:rsidRDefault="004F130A" w:rsidP="00705EB0">
            <w:pPr>
              <w:jc w:val="center"/>
              <w:rPr>
                <w:color w:val="000000"/>
                <w:sz w:val="20"/>
                <w:szCs w:val="20"/>
              </w:rPr>
            </w:pPr>
            <w:r>
              <w:rPr>
                <w:color w:val="000000"/>
                <w:sz w:val="20"/>
                <w:szCs w:val="20"/>
              </w:rPr>
              <w:t>2 000</w:t>
            </w:r>
            <w:r w:rsidRPr="00471CB7">
              <w:rPr>
                <w:color w:val="000000"/>
                <w:sz w:val="20"/>
                <w:szCs w:val="20"/>
              </w:rPr>
              <w:t>,0</w:t>
            </w:r>
          </w:p>
        </w:tc>
        <w:tc>
          <w:tcPr>
            <w:tcW w:w="1380" w:type="dxa"/>
            <w:shd w:val="clear" w:color="000000" w:fill="DBE5F1"/>
            <w:noWrap/>
            <w:vAlign w:val="bottom"/>
            <w:hideMark/>
          </w:tcPr>
          <w:p w:rsidR="004F130A" w:rsidRPr="00471CB7" w:rsidRDefault="004F130A" w:rsidP="00705EB0">
            <w:pPr>
              <w:jc w:val="center"/>
              <w:rPr>
                <w:color w:val="000000"/>
                <w:sz w:val="20"/>
                <w:szCs w:val="20"/>
              </w:rPr>
            </w:pPr>
            <w:r>
              <w:rPr>
                <w:color w:val="000000"/>
                <w:sz w:val="20"/>
                <w:szCs w:val="20"/>
              </w:rPr>
              <w:t>-1 000</w:t>
            </w:r>
            <w:r w:rsidRPr="00471CB7">
              <w:rPr>
                <w:color w:val="000000"/>
                <w:sz w:val="20"/>
                <w:szCs w:val="20"/>
              </w:rPr>
              <w:t>,0</w:t>
            </w:r>
          </w:p>
        </w:tc>
      </w:tr>
      <w:tr w:rsidR="004F130A" w:rsidRPr="00471CB7" w:rsidTr="006E17FC">
        <w:trPr>
          <w:trHeight w:val="20"/>
        </w:trPr>
        <w:tc>
          <w:tcPr>
            <w:tcW w:w="4985" w:type="dxa"/>
            <w:shd w:val="clear" w:color="auto" w:fill="auto"/>
            <w:vAlign w:val="bottom"/>
            <w:hideMark/>
          </w:tcPr>
          <w:p w:rsidR="004F130A" w:rsidRPr="00471CB7" w:rsidRDefault="004F130A" w:rsidP="006E17FC">
            <w:pPr>
              <w:rPr>
                <w:i/>
                <w:iCs/>
                <w:color w:val="000000"/>
                <w:sz w:val="20"/>
                <w:szCs w:val="20"/>
              </w:rPr>
            </w:pPr>
            <w:r w:rsidRPr="00471CB7">
              <w:rPr>
                <w:i/>
                <w:iCs/>
                <w:color w:val="000000"/>
                <w:sz w:val="20"/>
                <w:szCs w:val="20"/>
              </w:rPr>
              <w:t>привлечение средств</w:t>
            </w:r>
          </w:p>
        </w:tc>
        <w:tc>
          <w:tcPr>
            <w:tcW w:w="154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26 500</w:t>
            </w:r>
            <w:r w:rsidRPr="00471CB7">
              <w:rPr>
                <w:color w:val="000000"/>
                <w:sz w:val="20"/>
                <w:szCs w:val="20"/>
              </w:rPr>
              <w:t>,0</w:t>
            </w:r>
          </w:p>
        </w:tc>
        <w:tc>
          <w:tcPr>
            <w:tcW w:w="1400" w:type="dxa"/>
            <w:shd w:val="clear" w:color="auto" w:fill="auto"/>
            <w:noWrap/>
            <w:vAlign w:val="bottom"/>
            <w:hideMark/>
          </w:tcPr>
          <w:p w:rsidR="004F130A" w:rsidRPr="00471CB7" w:rsidRDefault="004F130A" w:rsidP="00705EB0">
            <w:pPr>
              <w:ind w:left="-69" w:right="-3"/>
              <w:jc w:val="center"/>
              <w:rPr>
                <w:color w:val="000000"/>
                <w:sz w:val="20"/>
                <w:szCs w:val="20"/>
              </w:rPr>
            </w:pPr>
            <w:r>
              <w:rPr>
                <w:color w:val="000000"/>
                <w:sz w:val="20"/>
                <w:szCs w:val="20"/>
              </w:rPr>
              <w:t>11 000</w:t>
            </w:r>
            <w:r w:rsidRPr="00471CB7">
              <w:rPr>
                <w:color w:val="000000"/>
                <w:sz w:val="20"/>
                <w:szCs w:val="20"/>
              </w:rPr>
              <w:t>,0</w:t>
            </w:r>
          </w:p>
        </w:tc>
        <w:tc>
          <w:tcPr>
            <w:tcW w:w="138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14 900</w:t>
            </w:r>
            <w:r w:rsidRPr="00471CB7">
              <w:rPr>
                <w:color w:val="000000"/>
                <w:sz w:val="20"/>
                <w:szCs w:val="20"/>
              </w:rPr>
              <w:t>,0</w:t>
            </w:r>
          </w:p>
        </w:tc>
      </w:tr>
      <w:tr w:rsidR="004F130A" w:rsidRPr="00471CB7" w:rsidTr="006E17FC">
        <w:trPr>
          <w:trHeight w:val="20"/>
        </w:trPr>
        <w:tc>
          <w:tcPr>
            <w:tcW w:w="4985" w:type="dxa"/>
            <w:shd w:val="clear" w:color="auto" w:fill="auto"/>
            <w:vAlign w:val="bottom"/>
            <w:hideMark/>
          </w:tcPr>
          <w:p w:rsidR="004F130A" w:rsidRPr="00471CB7" w:rsidRDefault="004F130A" w:rsidP="006E17FC">
            <w:pPr>
              <w:rPr>
                <w:i/>
                <w:iCs/>
                <w:color w:val="000000"/>
                <w:sz w:val="20"/>
                <w:szCs w:val="20"/>
              </w:rPr>
            </w:pPr>
            <w:r w:rsidRPr="00471CB7">
              <w:rPr>
                <w:i/>
                <w:iCs/>
                <w:color w:val="000000"/>
                <w:sz w:val="20"/>
                <w:szCs w:val="20"/>
              </w:rPr>
              <w:t>погашение долга</w:t>
            </w:r>
          </w:p>
        </w:tc>
        <w:tc>
          <w:tcPr>
            <w:tcW w:w="154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10 870,</w:t>
            </w:r>
            <w:r w:rsidRPr="00471CB7">
              <w:rPr>
                <w:color w:val="000000"/>
                <w:sz w:val="20"/>
                <w:szCs w:val="20"/>
              </w:rPr>
              <w:t>0</w:t>
            </w:r>
          </w:p>
        </w:tc>
        <w:tc>
          <w:tcPr>
            <w:tcW w:w="140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9 000</w:t>
            </w:r>
            <w:r w:rsidRPr="00471CB7">
              <w:rPr>
                <w:color w:val="000000"/>
                <w:sz w:val="20"/>
                <w:szCs w:val="20"/>
              </w:rPr>
              <w:t>,0</w:t>
            </w:r>
          </w:p>
        </w:tc>
        <w:tc>
          <w:tcPr>
            <w:tcW w:w="138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15 900</w:t>
            </w:r>
            <w:r w:rsidRPr="00471CB7">
              <w:rPr>
                <w:color w:val="000000"/>
                <w:sz w:val="20"/>
                <w:szCs w:val="20"/>
              </w:rPr>
              <w:t>,0</w:t>
            </w:r>
          </w:p>
        </w:tc>
      </w:tr>
      <w:tr w:rsidR="004F130A" w:rsidRPr="00471CB7" w:rsidTr="006E17FC">
        <w:trPr>
          <w:trHeight w:val="20"/>
        </w:trPr>
        <w:tc>
          <w:tcPr>
            <w:tcW w:w="4985" w:type="dxa"/>
            <w:shd w:val="clear" w:color="000000" w:fill="DBE5F1"/>
            <w:vAlign w:val="bottom"/>
            <w:hideMark/>
          </w:tcPr>
          <w:p w:rsidR="004F130A" w:rsidRPr="00471CB7" w:rsidRDefault="004F130A" w:rsidP="006E17FC">
            <w:pPr>
              <w:rPr>
                <w:color w:val="000000"/>
                <w:sz w:val="20"/>
                <w:szCs w:val="20"/>
              </w:rPr>
            </w:pPr>
            <w:r w:rsidRPr="00471CB7">
              <w:rPr>
                <w:color w:val="000000"/>
                <w:sz w:val="20"/>
                <w:szCs w:val="20"/>
              </w:rPr>
              <w:t>Бюджетные кредиты</w:t>
            </w:r>
          </w:p>
        </w:tc>
        <w:tc>
          <w:tcPr>
            <w:tcW w:w="1540" w:type="dxa"/>
            <w:shd w:val="clear" w:color="000000" w:fill="DBE5F1"/>
            <w:noWrap/>
            <w:vAlign w:val="bottom"/>
            <w:hideMark/>
          </w:tcPr>
          <w:p w:rsidR="004F130A" w:rsidRPr="00471CB7" w:rsidRDefault="004F130A" w:rsidP="00705EB0">
            <w:pPr>
              <w:ind w:left="-89"/>
              <w:jc w:val="center"/>
              <w:rPr>
                <w:color w:val="000000"/>
                <w:sz w:val="20"/>
                <w:szCs w:val="20"/>
              </w:rPr>
            </w:pPr>
            <w:r w:rsidRPr="00471CB7">
              <w:rPr>
                <w:color w:val="000000"/>
                <w:sz w:val="20"/>
                <w:szCs w:val="20"/>
              </w:rPr>
              <w:t>-21 3</w:t>
            </w:r>
            <w:r>
              <w:rPr>
                <w:color w:val="000000"/>
                <w:sz w:val="20"/>
                <w:szCs w:val="20"/>
              </w:rPr>
              <w:t>30</w:t>
            </w:r>
            <w:r w:rsidRPr="00471CB7">
              <w:rPr>
                <w:color w:val="000000"/>
                <w:sz w:val="20"/>
                <w:szCs w:val="20"/>
              </w:rPr>
              <w:t>,0</w:t>
            </w:r>
          </w:p>
        </w:tc>
        <w:tc>
          <w:tcPr>
            <w:tcW w:w="1400" w:type="dxa"/>
            <w:shd w:val="clear" w:color="000000" w:fill="DBE5F1"/>
            <w:noWrap/>
            <w:vAlign w:val="bottom"/>
            <w:hideMark/>
          </w:tcPr>
          <w:p w:rsidR="004F130A" w:rsidRPr="00471CB7" w:rsidRDefault="004F130A" w:rsidP="00705EB0">
            <w:pPr>
              <w:jc w:val="center"/>
              <w:rPr>
                <w:color w:val="000000"/>
                <w:sz w:val="20"/>
                <w:szCs w:val="20"/>
              </w:rPr>
            </w:pPr>
            <w:r w:rsidRPr="00471CB7">
              <w:rPr>
                <w:color w:val="000000"/>
                <w:sz w:val="20"/>
                <w:szCs w:val="20"/>
              </w:rPr>
              <w:t>0,0</w:t>
            </w:r>
          </w:p>
        </w:tc>
        <w:tc>
          <w:tcPr>
            <w:tcW w:w="1380" w:type="dxa"/>
            <w:shd w:val="clear" w:color="000000" w:fill="DBE5F1"/>
            <w:noWrap/>
            <w:vAlign w:val="bottom"/>
            <w:hideMark/>
          </w:tcPr>
          <w:p w:rsidR="004F130A" w:rsidRPr="00471CB7" w:rsidRDefault="004F130A" w:rsidP="00705EB0">
            <w:pPr>
              <w:jc w:val="center"/>
              <w:rPr>
                <w:color w:val="000000"/>
                <w:sz w:val="20"/>
                <w:szCs w:val="20"/>
              </w:rPr>
            </w:pPr>
            <w:r w:rsidRPr="00471CB7">
              <w:rPr>
                <w:color w:val="000000"/>
                <w:sz w:val="20"/>
                <w:szCs w:val="20"/>
              </w:rPr>
              <w:t>0,0</w:t>
            </w:r>
          </w:p>
        </w:tc>
      </w:tr>
      <w:tr w:rsidR="004F130A" w:rsidRPr="00471CB7" w:rsidTr="006E17FC">
        <w:trPr>
          <w:trHeight w:val="20"/>
        </w:trPr>
        <w:tc>
          <w:tcPr>
            <w:tcW w:w="4985" w:type="dxa"/>
            <w:shd w:val="clear" w:color="auto" w:fill="auto"/>
            <w:vAlign w:val="bottom"/>
            <w:hideMark/>
          </w:tcPr>
          <w:p w:rsidR="004F130A" w:rsidRPr="00471CB7" w:rsidRDefault="004F130A" w:rsidP="006E17FC">
            <w:pPr>
              <w:rPr>
                <w:i/>
                <w:iCs/>
                <w:color w:val="000000"/>
                <w:sz w:val="20"/>
                <w:szCs w:val="20"/>
              </w:rPr>
            </w:pPr>
            <w:r w:rsidRPr="00471CB7">
              <w:rPr>
                <w:i/>
                <w:iCs/>
                <w:color w:val="000000"/>
                <w:sz w:val="20"/>
                <w:szCs w:val="20"/>
              </w:rPr>
              <w:t>привлечение средств</w:t>
            </w:r>
          </w:p>
        </w:tc>
        <w:tc>
          <w:tcPr>
            <w:tcW w:w="154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5 000</w:t>
            </w:r>
            <w:r w:rsidRPr="00471CB7">
              <w:rPr>
                <w:color w:val="000000"/>
                <w:sz w:val="20"/>
                <w:szCs w:val="20"/>
              </w:rPr>
              <w:t>,0</w:t>
            </w:r>
          </w:p>
        </w:tc>
        <w:tc>
          <w:tcPr>
            <w:tcW w:w="140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5 000</w:t>
            </w:r>
            <w:r w:rsidRPr="00471CB7">
              <w:rPr>
                <w:color w:val="000000"/>
                <w:sz w:val="20"/>
                <w:szCs w:val="20"/>
              </w:rPr>
              <w:t>,0</w:t>
            </w:r>
          </w:p>
        </w:tc>
        <w:tc>
          <w:tcPr>
            <w:tcW w:w="138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5 000</w:t>
            </w:r>
            <w:r w:rsidRPr="00471CB7">
              <w:rPr>
                <w:color w:val="000000"/>
                <w:sz w:val="20"/>
                <w:szCs w:val="20"/>
              </w:rPr>
              <w:t>,0</w:t>
            </w:r>
          </w:p>
        </w:tc>
      </w:tr>
      <w:tr w:rsidR="004F130A" w:rsidRPr="00471CB7" w:rsidTr="006E17FC">
        <w:trPr>
          <w:trHeight w:val="20"/>
        </w:trPr>
        <w:tc>
          <w:tcPr>
            <w:tcW w:w="4985" w:type="dxa"/>
            <w:shd w:val="clear" w:color="auto" w:fill="auto"/>
            <w:vAlign w:val="bottom"/>
            <w:hideMark/>
          </w:tcPr>
          <w:p w:rsidR="004F130A" w:rsidRPr="00471CB7" w:rsidRDefault="004F130A" w:rsidP="006E17FC">
            <w:pPr>
              <w:rPr>
                <w:i/>
                <w:iCs/>
                <w:color w:val="000000"/>
                <w:sz w:val="20"/>
                <w:szCs w:val="20"/>
              </w:rPr>
            </w:pPr>
            <w:r w:rsidRPr="00471CB7">
              <w:rPr>
                <w:i/>
                <w:iCs/>
                <w:color w:val="000000"/>
                <w:sz w:val="20"/>
                <w:szCs w:val="20"/>
              </w:rPr>
              <w:t>погашение долга</w:t>
            </w:r>
          </w:p>
        </w:tc>
        <w:tc>
          <w:tcPr>
            <w:tcW w:w="1540" w:type="dxa"/>
            <w:shd w:val="clear" w:color="auto" w:fill="auto"/>
            <w:noWrap/>
            <w:vAlign w:val="bottom"/>
            <w:hideMark/>
          </w:tcPr>
          <w:p w:rsidR="004F130A" w:rsidRPr="00471CB7" w:rsidRDefault="004F130A" w:rsidP="00705EB0">
            <w:pPr>
              <w:jc w:val="center"/>
              <w:rPr>
                <w:color w:val="000000"/>
                <w:sz w:val="20"/>
                <w:szCs w:val="20"/>
              </w:rPr>
            </w:pPr>
            <w:r w:rsidRPr="00471CB7">
              <w:rPr>
                <w:color w:val="000000"/>
                <w:sz w:val="20"/>
                <w:szCs w:val="20"/>
              </w:rPr>
              <w:t>26 3</w:t>
            </w:r>
            <w:r>
              <w:rPr>
                <w:color w:val="000000"/>
                <w:sz w:val="20"/>
                <w:szCs w:val="20"/>
              </w:rPr>
              <w:t>30</w:t>
            </w:r>
            <w:r w:rsidRPr="00471CB7">
              <w:rPr>
                <w:color w:val="000000"/>
                <w:sz w:val="20"/>
                <w:szCs w:val="20"/>
              </w:rPr>
              <w:t>,0</w:t>
            </w:r>
          </w:p>
        </w:tc>
        <w:tc>
          <w:tcPr>
            <w:tcW w:w="140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5 000</w:t>
            </w:r>
            <w:r w:rsidRPr="00471CB7">
              <w:rPr>
                <w:color w:val="000000"/>
                <w:sz w:val="20"/>
                <w:szCs w:val="20"/>
              </w:rPr>
              <w:t>,0</w:t>
            </w:r>
          </w:p>
        </w:tc>
        <w:tc>
          <w:tcPr>
            <w:tcW w:w="138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5 000</w:t>
            </w:r>
            <w:r w:rsidRPr="00471CB7">
              <w:rPr>
                <w:color w:val="000000"/>
                <w:sz w:val="20"/>
                <w:szCs w:val="20"/>
              </w:rPr>
              <w:t>,0</w:t>
            </w:r>
          </w:p>
        </w:tc>
      </w:tr>
      <w:tr w:rsidR="004F130A" w:rsidRPr="00471CB7" w:rsidTr="006E17FC">
        <w:trPr>
          <w:trHeight w:val="20"/>
        </w:trPr>
        <w:tc>
          <w:tcPr>
            <w:tcW w:w="4985" w:type="dxa"/>
            <w:shd w:val="clear" w:color="auto" w:fill="auto"/>
            <w:vAlign w:val="bottom"/>
            <w:hideMark/>
          </w:tcPr>
          <w:p w:rsidR="004F130A" w:rsidRPr="00471CB7" w:rsidRDefault="004F130A" w:rsidP="006E17FC">
            <w:pPr>
              <w:rPr>
                <w:color w:val="000000"/>
                <w:sz w:val="20"/>
                <w:szCs w:val="20"/>
              </w:rPr>
            </w:pPr>
            <w:r w:rsidRPr="00471CB7">
              <w:rPr>
                <w:color w:val="000000"/>
                <w:sz w:val="20"/>
                <w:szCs w:val="20"/>
              </w:rPr>
              <w:t>Изменение остатков средств на счетах бюджета</w:t>
            </w:r>
          </w:p>
        </w:tc>
        <w:tc>
          <w:tcPr>
            <w:tcW w:w="1540" w:type="dxa"/>
            <w:shd w:val="clear" w:color="auto" w:fill="auto"/>
            <w:noWrap/>
            <w:vAlign w:val="bottom"/>
            <w:hideMark/>
          </w:tcPr>
          <w:p w:rsidR="004F130A" w:rsidRPr="00471CB7" w:rsidRDefault="004F130A" w:rsidP="00705EB0">
            <w:pPr>
              <w:jc w:val="center"/>
              <w:rPr>
                <w:color w:val="000000"/>
                <w:sz w:val="20"/>
                <w:szCs w:val="20"/>
              </w:rPr>
            </w:pPr>
            <w:r w:rsidRPr="00471CB7">
              <w:rPr>
                <w:color w:val="000000"/>
                <w:sz w:val="20"/>
                <w:szCs w:val="20"/>
              </w:rPr>
              <w:t>306</w:t>
            </w:r>
            <w:r>
              <w:rPr>
                <w:color w:val="000000"/>
                <w:sz w:val="20"/>
                <w:szCs w:val="20"/>
              </w:rPr>
              <w:t>,3</w:t>
            </w:r>
          </w:p>
        </w:tc>
        <w:tc>
          <w:tcPr>
            <w:tcW w:w="1400" w:type="dxa"/>
            <w:shd w:val="clear" w:color="auto" w:fill="auto"/>
            <w:noWrap/>
            <w:vAlign w:val="bottom"/>
            <w:hideMark/>
          </w:tcPr>
          <w:p w:rsidR="004F130A" w:rsidRPr="00471CB7" w:rsidRDefault="004F130A" w:rsidP="00705EB0">
            <w:pPr>
              <w:jc w:val="center"/>
              <w:rPr>
                <w:color w:val="000000"/>
                <w:sz w:val="20"/>
                <w:szCs w:val="20"/>
              </w:rPr>
            </w:pPr>
            <w:r w:rsidRPr="00471CB7">
              <w:rPr>
                <w:color w:val="000000"/>
                <w:sz w:val="20"/>
                <w:szCs w:val="20"/>
              </w:rPr>
              <w:t>278</w:t>
            </w:r>
            <w:r>
              <w:rPr>
                <w:color w:val="000000"/>
                <w:sz w:val="20"/>
                <w:szCs w:val="20"/>
              </w:rPr>
              <w:t>,0</w:t>
            </w:r>
          </w:p>
        </w:tc>
        <w:tc>
          <w:tcPr>
            <w:tcW w:w="1380" w:type="dxa"/>
            <w:shd w:val="clear" w:color="auto" w:fill="auto"/>
            <w:noWrap/>
            <w:vAlign w:val="bottom"/>
            <w:hideMark/>
          </w:tcPr>
          <w:p w:rsidR="004F130A" w:rsidRPr="00471CB7" w:rsidRDefault="004F130A" w:rsidP="00705EB0">
            <w:pPr>
              <w:jc w:val="center"/>
              <w:rPr>
                <w:color w:val="000000"/>
                <w:sz w:val="20"/>
                <w:szCs w:val="20"/>
              </w:rPr>
            </w:pPr>
            <w:r w:rsidRPr="00471CB7">
              <w:rPr>
                <w:color w:val="000000"/>
                <w:sz w:val="20"/>
                <w:szCs w:val="20"/>
              </w:rPr>
              <w:t>350</w:t>
            </w:r>
            <w:r>
              <w:rPr>
                <w:color w:val="000000"/>
                <w:sz w:val="20"/>
                <w:szCs w:val="20"/>
              </w:rPr>
              <w:t>,7</w:t>
            </w:r>
          </w:p>
        </w:tc>
      </w:tr>
      <w:tr w:rsidR="004F130A" w:rsidRPr="00471CB7" w:rsidTr="006E17FC">
        <w:trPr>
          <w:trHeight w:val="20"/>
        </w:trPr>
        <w:tc>
          <w:tcPr>
            <w:tcW w:w="4985" w:type="dxa"/>
            <w:shd w:val="clear" w:color="auto" w:fill="auto"/>
            <w:vAlign w:val="bottom"/>
            <w:hideMark/>
          </w:tcPr>
          <w:p w:rsidR="004F130A" w:rsidRPr="00471CB7" w:rsidRDefault="004F130A" w:rsidP="006E17FC">
            <w:pPr>
              <w:rPr>
                <w:color w:val="000000"/>
                <w:sz w:val="20"/>
                <w:szCs w:val="20"/>
              </w:rPr>
            </w:pPr>
            <w:r w:rsidRPr="00471CB7">
              <w:rPr>
                <w:color w:val="000000"/>
                <w:sz w:val="20"/>
                <w:szCs w:val="20"/>
              </w:rPr>
              <w:t>Исполнение государственных гарантий</w:t>
            </w:r>
          </w:p>
        </w:tc>
        <w:tc>
          <w:tcPr>
            <w:tcW w:w="1540" w:type="dxa"/>
            <w:shd w:val="clear" w:color="auto" w:fill="auto"/>
            <w:noWrap/>
            <w:vAlign w:val="bottom"/>
            <w:hideMark/>
          </w:tcPr>
          <w:p w:rsidR="004F130A" w:rsidRPr="00471CB7" w:rsidRDefault="004F130A" w:rsidP="00705EB0">
            <w:pPr>
              <w:jc w:val="center"/>
              <w:rPr>
                <w:color w:val="000000"/>
                <w:sz w:val="20"/>
                <w:szCs w:val="20"/>
              </w:rPr>
            </w:pPr>
            <w:r w:rsidRPr="00471CB7">
              <w:rPr>
                <w:color w:val="000000"/>
                <w:sz w:val="20"/>
                <w:szCs w:val="20"/>
              </w:rPr>
              <w:t>-256</w:t>
            </w:r>
            <w:r>
              <w:rPr>
                <w:color w:val="000000"/>
                <w:sz w:val="20"/>
                <w:szCs w:val="20"/>
              </w:rPr>
              <w:t>,</w:t>
            </w:r>
            <w:r w:rsidRPr="00471CB7">
              <w:rPr>
                <w:color w:val="000000"/>
                <w:sz w:val="20"/>
                <w:szCs w:val="20"/>
              </w:rPr>
              <w:t>36</w:t>
            </w:r>
          </w:p>
        </w:tc>
        <w:tc>
          <w:tcPr>
            <w:tcW w:w="1400" w:type="dxa"/>
            <w:shd w:val="clear" w:color="auto" w:fill="auto"/>
            <w:noWrap/>
            <w:vAlign w:val="bottom"/>
            <w:hideMark/>
          </w:tcPr>
          <w:p w:rsidR="004F130A" w:rsidRPr="00471CB7" w:rsidRDefault="004F130A" w:rsidP="00705EB0">
            <w:pPr>
              <w:jc w:val="center"/>
              <w:rPr>
                <w:color w:val="000000"/>
                <w:sz w:val="20"/>
                <w:szCs w:val="20"/>
              </w:rPr>
            </w:pPr>
            <w:r w:rsidRPr="00471CB7">
              <w:rPr>
                <w:color w:val="000000"/>
                <w:sz w:val="20"/>
                <w:szCs w:val="20"/>
              </w:rPr>
              <w:t>-178</w:t>
            </w:r>
            <w:r>
              <w:rPr>
                <w:color w:val="000000"/>
                <w:sz w:val="20"/>
                <w:szCs w:val="20"/>
              </w:rPr>
              <w:t>,0</w:t>
            </w:r>
          </w:p>
        </w:tc>
        <w:tc>
          <w:tcPr>
            <w:tcW w:w="1380" w:type="dxa"/>
            <w:shd w:val="clear" w:color="auto" w:fill="auto"/>
            <w:noWrap/>
            <w:vAlign w:val="bottom"/>
            <w:hideMark/>
          </w:tcPr>
          <w:p w:rsidR="004F130A" w:rsidRPr="00471CB7" w:rsidRDefault="004F130A" w:rsidP="00705EB0">
            <w:pPr>
              <w:jc w:val="center"/>
              <w:rPr>
                <w:color w:val="000000"/>
                <w:sz w:val="20"/>
                <w:szCs w:val="20"/>
              </w:rPr>
            </w:pPr>
            <w:r w:rsidRPr="00471CB7">
              <w:rPr>
                <w:color w:val="000000"/>
                <w:sz w:val="20"/>
                <w:szCs w:val="20"/>
              </w:rPr>
              <w:t>-350</w:t>
            </w:r>
            <w:r>
              <w:rPr>
                <w:color w:val="000000"/>
                <w:sz w:val="20"/>
                <w:szCs w:val="20"/>
              </w:rPr>
              <w:t>,7</w:t>
            </w:r>
          </w:p>
        </w:tc>
      </w:tr>
      <w:tr w:rsidR="004F130A" w:rsidRPr="00471CB7" w:rsidTr="006E17FC">
        <w:trPr>
          <w:trHeight w:val="20"/>
        </w:trPr>
        <w:tc>
          <w:tcPr>
            <w:tcW w:w="4985" w:type="dxa"/>
            <w:shd w:val="clear" w:color="auto" w:fill="auto"/>
            <w:vAlign w:val="bottom"/>
            <w:hideMark/>
          </w:tcPr>
          <w:p w:rsidR="004F130A" w:rsidRPr="00471CB7" w:rsidRDefault="004F130A" w:rsidP="006E17FC">
            <w:pPr>
              <w:rPr>
                <w:color w:val="000000"/>
                <w:sz w:val="20"/>
                <w:szCs w:val="20"/>
              </w:rPr>
            </w:pPr>
            <w:r w:rsidRPr="00471CB7">
              <w:rPr>
                <w:color w:val="000000"/>
                <w:sz w:val="20"/>
                <w:szCs w:val="20"/>
              </w:rPr>
              <w:t>Поступления от продажи акций и иных форм участия в капитале</w:t>
            </w:r>
          </w:p>
        </w:tc>
        <w:tc>
          <w:tcPr>
            <w:tcW w:w="1540" w:type="dxa"/>
            <w:shd w:val="clear" w:color="auto" w:fill="auto"/>
            <w:noWrap/>
            <w:vAlign w:val="bottom"/>
            <w:hideMark/>
          </w:tcPr>
          <w:p w:rsidR="004F130A" w:rsidRPr="00471CB7" w:rsidRDefault="004F130A" w:rsidP="00705EB0">
            <w:pPr>
              <w:jc w:val="center"/>
              <w:rPr>
                <w:color w:val="000000"/>
                <w:sz w:val="20"/>
                <w:szCs w:val="20"/>
              </w:rPr>
            </w:pPr>
            <w:r>
              <w:rPr>
                <w:color w:val="000000"/>
                <w:sz w:val="20"/>
                <w:szCs w:val="20"/>
              </w:rPr>
              <w:t>0,025</w:t>
            </w:r>
            <w:r w:rsidRPr="00471CB7">
              <w:rPr>
                <w:color w:val="000000"/>
                <w:sz w:val="20"/>
                <w:szCs w:val="20"/>
              </w:rPr>
              <w:t>1</w:t>
            </w:r>
          </w:p>
        </w:tc>
        <w:tc>
          <w:tcPr>
            <w:tcW w:w="1400" w:type="dxa"/>
            <w:shd w:val="clear" w:color="auto" w:fill="auto"/>
            <w:noWrap/>
            <w:vAlign w:val="bottom"/>
            <w:hideMark/>
          </w:tcPr>
          <w:p w:rsidR="004F130A" w:rsidRPr="00471CB7" w:rsidRDefault="004F130A" w:rsidP="00705EB0">
            <w:pPr>
              <w:jc w:val="center"/>
              <w:rPr>
                <w:color w:val="000000"/>
                <w:sz w:val="20"/>
                <w:szCs w:val="20"/>
              </w:rPr>
            </w:pPr>
            <w:r w:rsidRPr="00471CB7">
              <w:rPr>
                <w:color w:val="000000"/>
                <w:sz w:val="20"/>
                <w:szCs w:val="20"/>
              </w:rPr>
              <w:t>0,0</w:t>
            </w:r>
          </w:p>
        </w:tc>
        <w:tc>
          <w:tcPr>
            <w:tcW w:w="1380" w:type="dxa"/>
            <w:shd w:val="clear" w:color="auto" w:fill="auto"/>
            <w:noWrap/>
            <w:vAlign w:val="bottom"/>
            <w:hideMark/>
          </w:tcPr>
          <w:p w:rsidR="004F130A" w:rsidRPr="00471CB7" w:rsidRDefault="004F130A" w:rsidP="00705EB0">
            <w:pPr>
              <w:jc w:val="center"/>
              <w:rPr>
                <w:color w:val="000000"/>
                <w:sz w:val="20"/>
                <w:szCs w:val="20"/>
              </w:rPr>
            </w:pPr>
            <w:r w:rsidRPr="00471CB7">
              <w:rPr>
                <w:color w:val="000000"/>
                <w:sz w:val="20"/>
                <w:szCs w:val="20"/>
              </w:rPr>
              <w:t>0,0</w:t>
            </w:r>
          </w:p>
        </w:tc>
      </w:tr>
      <w:tr w:rsidR="004F130A" w:rsidRPr="00471CB7" w:rsidTr="006E17FC">
        <w:trPr>
          <w:trHeight w:val="20"/>
        </w:trPr>
        <w:tc>
          <w:tcPr>
            <w:tcW w:w="4985" w:type="dxa"/>
            <w:shd w:val="clear" w:color="auto" w:fill="auto"/>
            <w:vAlign w:val="bottom"/>
            <w:hideMark/>
          </w:tcPr>
          <w:p w:rsidR="004F130A" w:rsidRPr="00471CB7" w:rsidRDefault="004F130A" w:rsidP="006E17FC">
            <w:pPr>
              <w:rPr>
                <w:color w:val="000000"/>
                <w:sz w:val="20"/>
                <w:szCs w:val="20"/>
              </w:rPr>
            </w:pPr>
            <w:r w:rsidRPr="00471CB7">
              <w:rPr>
                <w:color w:val="000000"/>
                <w:sz w:val="20"/>
                <w:szCs w:val="20"/>
              </w:rPr>
              <w:t>Итого источники финансирования дефицита бюджета</w:t>
            </w:r>
          </w:p>
        </w:tc>
        <w:tc>
          <w:tcPr>
            <w:tcW w:w="1540" w:type="dxa"/>
            <w:shd w:val="clear" w:color="auto" w:fill="auto"/>
            <w:noWrap/>
            <w:vAlign w:val="bottom"/>
            <w:hideMark/>
          </w:tcPr>
          <w:p w:rsidR="004F130A" w:rsidRPr="00471CB7" w:rsidRDefault="004F130A" w:rsidP="00705EB0">
            <w:pPr>
              <w:jc w:val="center"/>
              <w:rPr>
                <w:color w:val="000000"/>
                <w:sz w:val="20"/>
                <w:szCs w:val="20"/>
              </w:rPr>
            </w:pPr>
            <w:r w:rsidRPr="00471CB7">
              <w:rPr>
                <w:color w:val="000000"/>
                <w:sz w:val="20"/>
                <w:szCs w:val="20"/>
              </w:rPr>
              <w:t>0,0</w:t>
            </w:r>
          </w:p>
        </w:tc>
        <w:tc>
          <w:tcPr>
            <w:tcW w:w="1400" w:type="dxa"/>
            <w:shd w:val="clear" w:color="auto" w:fill="auto"/>
            <w:noWrap/>
            <w:vAlign w:val="bottom"/>
            <w:hideMark/>
          </w:tcPr>
          <w:p w:rsidR="004F130A" w:rsidRPr="00471CB7" w:rsidRDefault="004F130A" w:rsidP="00705EB0">
            <w:pPr>
              <w:jc w:val="center"/>
              <w:rPr>
                <w:color w:val="000000"/>
                <w:sz w:val="20"/>
                <w:szCs w:val="20"/>
              </w:rPr>
            </w:pPr>
            <w:r w:rsidRPr="00471CB7">
              <w:rPr>
                <w:color w:val="000000"/>
                <w:sz w:val="20"/>
                <w:szCs w:val="20"/>
              </w:rPr>
              <w:t>0,0</w:t>
            </w:r>
          </w:p>
        </w:tc>
        <w:tc>
          <w:tcPr>
            <w:tcW w:w="1380" w:type="dxa"/>
            <w:shd w:val="clear" w:color="auto" w:fill="auto"/>
            <w:noWrap/>
            <w:vAlign w:val="bottom"/>
            <w:hideMark/>
          </w:tcPr>
          <w:p w:rsidR="004F130A" w:rsidRPr="00471CB7" w:rsidRDefault="004F130A" w:rsidP="00705EB0">
            <w:pPr>
              <w:jc w:val="center"/>
              <w:rPr>
                <w:color w:val="000000"/>
                <w:sz w:val="20"/>
                <w:szCs w:val="20"/>
              </w:rPr>
            </w:pPr>
            <w:r w:rsidRPr="00471CB7">
              <w:rPr>
                <w:color w:val="000000"/>
                <w:sz w:val="20"/>
                <w:szCs w:val="20"/>
              </w:rPr>
              <w:t>0,0</w:t>
            </w:r>
          </w:p>
        </w:tc>
      </w:tr>
    </w:tbl>
    <w:p w:rsidR="004F130A" w:rsidRDefault="004F130A" w:rsidP="004F130A">
      <w:pPr>
        <w:jc w:val="both"/>
      </w:pPr>
    </w:p>
    <w:p w:rsidR="004F130A" w:rsidRDefault="004F130A" w:rsidP="004F130A">
      <w:pPr>
        <w:ind w:firstLine="708"/>
        <w:jc w:val="both"/>
      </w:pPr>
      <w:r>
        <w:t>Как видно из представленных данных, основной особенностью планируемой структуры заимствований является погашение в 2017 году бюджетных кредитов 2014-2016 годов в сумме 21330 млн. рублей. При этом срок погашения по условиям соглашений в 2017 году наступает только по двум бюджетным кредитам 2014 года на сумму 7606,7 млн. рублей. Досрочное погашение бюджетных кредитов 2015</w:t>
      </w:r>
      <w:r w:rsidR="00705EB0">
        <w:t>-</w:t>
      </w:r>
      <w:r>
        <w:t>2016 годов в сумме 13723,3 млн. руб. со сроком погашения в 2018</w:t>
      </w:r>
      <w:r w:rsidR="00705EB0">
        <w:t>-</w:t>
      </w:r>
      <w:r>
        <w:t xml:space="preserve">2019 годах </w:t>
      </w:r>
      <w:r w:rsidR="00C9427A">
        <w:t>связано с</w:t>
      </w:r>
      <w:r>
        <w:t xml:space="preserve"> превышением Волгоградской областью параметров государственного долга, предусмотренных соглашениями о предоставлении бюджетных кредитов.</w:t>
      </w:r>
    </w:p>
    <w:p w:rsidR="004F130A" w:rsidRDefault="004F130A" w:rsidP="004F130A">
      <w:pPr>
        <w:ind w:firstLine="708"/>
        <w:jc w:val="both"/>
      </w:pPr>
      <w:r>
        <w:lastRenderedPageBreak/>
        <w:t xml:space="preserve">Параметры областного бюджета, прогнозируемого по итогам 2016 года и предусмотренного </w:t>
      </w:r>
      <w:r w:rsidR="00EE719B">
        <w:t>з</w:t>
      </w:r>
      <w:r>
        <w:t>аконопроектом на 2017-2019 годы, представлены в следующей таблице.</w:t>
      </w:r>
    </w:p>
    <w:p w:rsidR="004F130A" w:rsidRPr="00EE719B" w:rsidRDefault="004F130A" w:rsidP="004F130A">
      <w:pPr>
        <w:ind w:firstLine="708"/>
        <w:jc w:val="right"/>
        <w:rPr>
          <w:sz w:val="20"/>
          <w:szCs w:val="20"/>
        </w:rPr>
      </w:pPr>
      <w:r w:rsidRPr="00EE719B">
        <w:rPr>
          <w:sz w:val="20"/>
          <w:szCs w:val="20"/>
        </w:rPr>
        <w:t>млн. руб.</w:t>
      </w:r>
    </w:p>
    <w:tbl>
      <w:tblPr>
        <w:tblW w:w="9512" w:type="dxa"/>
        <w:tblInd w:w="94" w:type="dxa"/>
        <w:tblLook w:val="04A0"/>
      </w:tblPr>
      <w:tblGrid>
        <w:gridCol w:w="3983"/>
        <w:gridCol w:w="1400"/>
        <w:gridCol w:w="1400"/>
        <w:gridCol w:w="1320"/>
        <w:gridCol w:w="1409"/>
      </w:tblGrid>
      <w:tr w:rsidR="004F130A" w:rsidRPr="00EE719B" w:rsidTr="00EE719B">
        <w:trPr>
          <w:trHeight w:val="20"/>
        </w:trPr>
        <w:tc>
          <w:tcPr>
            <w:tcW w:w="3983" w:type="dxa"/>
            <w:tcBorders>
              <w:top w:val="double" w:sz="6" w:space="0" w:color="auto"/>
              <w:left w:val="double" w:sz="6" w:space="0" w:color="auto"/>
              <w:bottom w:val="single" w:sz="6" w:space="0" w:color="auto"/>
              <w:right w:val="single" w:sz="6" w:space="0" w:color="auto"/>
            </w:tcBorders>
            <w:shd w:val="clear" w:color="auto" w:fill="auto"/>
            <w:noWrap/>
            <w:hideMark/>
          </w:tcPr>
          <w:p w:rsidR="004F130A" w:rsidRPr="00EE719B" w:rsidRDefault="004F130A" w:rsidP="006E17FC">
            <w:pPr>
              <w:jc w:val="center"/>
              <w:rPr>
                <w:b/>
                <w:color w:val="000000"/>
                <w:sz w:val="20"/>
                <w:szCs w:val="20"/>
              </w:rPr>
            </w:pPr>
            <w:r w:rsidRPr="00EE719B">
              <w:rPr>
                <w:b/>
                <w:color w:val="000000"/>
                <w:sz w:val="20"/>
                <w:szCs w:val="20"/>
              </w:rPr>
              <w:t>Показатель</w:t>
            </w:r>
          </w:p>
        </w:tc>
        <w:tc>
          <w:tcPr>
            <w:tcW w:w="1400" w:type="dxa"/>
            <w:tcBorders>
              <w:top w:val="double" w:sz="6" w:space="0" w:color="auto"/>
              <w:left w:val="single" w:sz="6" w:space="0" w:color="auto"/>
              <w:bottom w:val="single" w:sz="6" w:space="0" w:color="auto"/>
              <w:right w:val="single" w:sz="6" w:space="0" w:color="auto"/>
            </w:tcBorders>
            <w:shd w:val="clear" w:color="auto" w:fill="auto"/>
            <w:noWrap/>
            <w:hideMark/>
          </w:tcPr>
          <w:p w:rsidR="004F130A" w:rsidRPr="00EE719B" w:rsidRDefault="004F130A" w:rsidP="006E17FC">
            <w:pPr>
              <w:jc w:val="center"/>
              <w:rPr>
                <w:b/>
                <w:color w:val="000000"/>
                <w:sz w:val="20"/>
                <w:szCs w:val="20"/>
              </w:rPr>
            </w:pPr>
            <w:r w:rsidRPr="00EE719B">
              <w:rPr>
                <w:b/>
                <w:color w:val="000000"/>
                <w:sz w:val="20"/>
                <w:szCs w:val="20"/>
              </w:rPr>
              <w:t>01.01.2017</w:t>
            </w:r>
          </w:p>
        </w:tc>
        <w:tc>
          <w:tcPr>
            <w:tcW w:w="1400" w:type="dxa"/>
            <w:tcBorders>
              <w:top w:val="double" w:sz="6" w:space="0" w:color="auto"/>
              <w:left w:val="single" w:sz="6" w:space="0" w:color="auto"/>
              <w:bottom w:val="single" w:sz="6" w:space="0" w:color="auto"/>
              <w:right w:val="single" w:sz="6" w:space="0" w:color="auto"/>
            </w:tcBorders>
            <w:shd w:val="clear" w:color="auto" w:fill="auto"/>
            <w:noWrap/>
            <w:hideMark/>
          </w:tcPr>
          <w:p w:rsidR="004F130A" w:rsidRPr="00EE719B" w:rsidRDefault="004F130A" w:rsidP="006E17FC">
            <w:pPr>
              <w:jc w:val="center"/>
              <w:rPr>
                <w:b/>
                <w:color w:val="000000"/>
                <w:sz w:val="20"/>
                <w:szCs w:val="20"/>
              </w:rPr>
            </w:pPr>
            <w:r w:rsidRPr="00EE719B">
              <w:rPr>
                <w:b/>
                <w:color w:val="000000"/>
                <w:sz w:val="20"/>
                <w:szCs w:val="20"/>
              </w:rPr>
              <w:t>01.01.2018</w:t>
            </w:r>
          </w:p>
        </w:tc>
        <w:tc>
          <w:tcPr>
            <w:tcW w:w="1320" w:type="dxa"/>
            <w:tcBorders>
              <w:top w:val="double" w:sz="6" w:space="0" w:color="auto"/>
              <w:left w:val="single" w:sz="6" w:space="0" w:color="auto"/>
              <w:bottom w:val="single" w:sz="6" w:space="0" w:color="auto"/>
              <w:right w:val="single" w:sz="6" w:space="0" w:color="auto"/>
            </w:tcBorders>
            <w:shd w:val="clear" w:color="auto" w:fill="auto"/>
            <w:noWrap/>
            <w:hideMark/>
          </w:tcPr>
          <w:p w:rsidR="004F130A" w:rsidRPr="00EE719B" w:rsidRDefault="004F130A" w:rsidP="006E17FC">
            <w:pPr>
              <w:jc w:val="center"/>
              <w:rPr>
                <w:b/>
                <w:color w:val="000000"/>
                <w:sz w:val="20"/>
                <w:szCs w:val="20"/>
              </w:rPr>
            </w:pPr>
            <w:r w:rsidRPr="00EE719B">
              <w:rPr>
                <w:b/>
                <w:color w:val="000000"/>
                <w:sz w:val="20"/>
                <w:szCs w:val="20"/>
              </w:rPr>
              <w:t>01.01.2019</w:t>
            </w:r>
          </w:p>
        </w:tc>
        <w:tc>
          <w:tcPr>
            <w:tcW w:w="1409" w:type="dxa"/>
            <w:tcBorders>
              <w:top w:val="double" w:sz="6" w:space="0" w:color="auto"/>
              <w:left w:val="single" w:sz="6" w:space="0" w:color="auto"/>
              <w:bottom w:val="single" w:sz="6" w:space="0" w:color="auto"/>
              <w:right w:val="double" w:sz="6" w:space="0" w:color="auto"/>
            </w:tcBorders>
            <w:shd w:val="clear" w:color="auto" w:fill="auto"/>
            <w:noWrap/>
            <w:hideMark/>
          </w:tcPr>
          <w:p w:rsidR="004F130A" w:rsidRPr="00EE719B" w:rsidRDefault="004F130A" w:rsidP="006E17FC">
            <w:pPr>
              <w:jc w:val="center"/>
              <w:rPr>
                <w:b/>
                <w:color w:val="000000"/>
                <w:sz w:val="20"/>
                <w:szCs w:val="20"/>
              </w:rPr>
            </w:pPr>
            <w:r w:rsidRPr="00EE719B">
              <w:rPr>
                <w:b/>
                <w:color w:val="000000"/>
                <w:sz w:val="20"/>
                <w:szCs w:val="20"/>
              </w:rPr>
              <w:t>01.01.2020</w:t>
            </w:r>
          </w:p>
        </w:tc>
      </w:tr>
      <w:tr w:rsidR="004F130A" w:rsidRPr="007C6422" w:rsidTr="00EE719B">
        <w:trPr>
          <w:trHeight w:val="20"/>
        </w:trPr>
        <w:tc>
          <w:tcPr>
            <w:tcW w:w="3983" w:type="dxa"/>
            <w:tcBorders>
              <w:top w:val="single" w:sz="6" w:space="0" w:color="auto"/>
              <w:left w:val="double" w:sz="6" w:space="0" w:color="auto"/>
              <w:bottom w:val="single" w:sz="6" w:space="0" w:color="auto"/>
              <w:right w:val="single" w:sz="6" w:space="0" w:color="auto"/>
            </w:tcBorders>
            <w:shd w:val="clear" w:color="auto" w:fill="auto"/>
            <w:vAlign w:val="bottom"/>
            <w:hideMark/>
          </w:tcPr>
          <w:p w:rsidR="004F130A" w:rsidRPr="007C6422" w:rsidRDefault="004F130A" w:rsidP="006E17FC">
            <w:pPr>
              <w:rPr>
                <w:color w:val="000000"/>
                <w:sz w:val="22"/>
                <w:szCs w:val="22"/>
              </w:rPr>
            </w:pPr>
            <w:r>
              <w:rPr>
                <w:color w:val="000000"/>
                <w:sz w:val="22"/>
                <w:szCs w:val="22"/>
              </w:rPr>
              <w:t>Н</w:t>
            </w:r>
            <w:r w:rsidRPr="007C6422">
              <w:rPr>
                <w:color w:val="000000"/>
                <w:sz w:val="22"/>
                <w:szCs w:val="22"/>
              </w:rPr>
              <w:t>алоговые и неналоговые доходы</w:t>
            </w:r>
          </w:p>
        </w:tc>
        <w:tc>
          <w:tcPr>
            <w:tcW w:w="14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F130A" w:rsidRPr="007C6422" w:rsidRDefault="004F130A" w:rsidP="006E17FC">
            <w:pPr>
              <w:jc w:val="right"/>
              <w:rPr>
                <w:color w:val="000000"/>
                <w:sz w:val="22"/>
                <w:szCs w:val="22"/>
              </w:rPr>
            </w:pPr>
            <w:r w:rsidRPr="007C6422">
              <w:rPr>
                <w:color w:val="000000"/>
                <w:sz w:val="22"/>
                <w:szCs w:val="22"/>
              </w:rPr>
              <w:t>59 554,1</w:t>
            </w:r>
          </w:p>
        </w:tc>
        <w:tc>
          <w:tcPr>
            <w:tcW w:w="14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F130A" w:rsidRPr="007C6422" w:rsidRDefault="004F130A" w:rsidP="006E17FC">
            <w:pPr>
              <w:jc w:val="right"/>
              <w:rPr>
                <w:color w:val="000000"/>
                <w:sz w:val="22"/>
                <w:szCs w:val="22"/>
              </w:rPr>
            </w:pPr>
            <w:r w:rsidRPr="007C6422">
              <w:rPr>
                <w:color w:val="000000"/>
                <w:sz w:val="22"/>
                <w:szCs w:val="22"/>
              </w:rPr>
              <w:t>59 919,3</w:t>
            </w:r>
          </w:p>
        </w:tc>
        <w:tc>
          <w:tcPr>
            <w:tcW w:w="13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F130A" w:rsidRPr="007C6422" w:rsidRDefault="004F130A" w:rsidP="006E17FC">
            <w:pPr>
              <w:jc w:val="right"/>
              <w:rPr>
                <w:color w:val="000000"/>
                <w:sz w:val="22"/>
                <w:szCs w:val="22"/>
              </w:rPr>
            </w:pPr>
            <w:r w:rsidRPr="007C6422">
              <w:rPr>
                <w:color w:val="000000"/>
                <w:sz w:val="22"/>
                <w:szCs w:val="22"/>
              </w:rPr>
              <w:t>63 479,0</w:t>
            </w:r>
          </w:p>
        </w:tc>
        <w:tc>
          <w:tcPr>
            <w:tcW w:w="1409" w:type="dxa"/>
            <w:tcBorders>
              <w:top w:val="single" w:sz="6" w:space="0" w:color="auto"/>
              <w:left w:val="single" w:sz="6" w:space="0" w:color="auto"/>
              <w:bottom w:val="single" w:sz="6" w:space="0" w:color="auto"/>
              <w:right w:val="double" w:sz="6" w:space="0" w:color="auto"/>
            </w:tcBorders>
            <w:shd w:val="clear" w:color="auto" w:fill="auto"/>
            <w:noWrap/>
            <w:vAlign w:val="center"/>
            <w:hideMark/>
          </w:tcPr>
          <w:p w:rsidR="004F130A" w:rsidRPr="007C6422" w:rsidRDefault="004F130A" w:rsidP="006E17FC">
            <w:pPr>
              <w:jc w:val="right"/>
              <w:rPr>
                <w:color w:val="000000"/>
                <w:sz w:val="22"/>
                <w:szCs w:val="22"/>
              </w:rPr>
            </w:pPr>
            <w:r w:rsidRPr="007C6422">
              <w:rPr>
                <w:color w:val="000000"/>
                <w:sz w:val="22"/>
                <w:szCs w:val="22"/>
              </w:rPr>
              <w:t>66 061,7</w:t>
            </w:r>
          </w:p>
        </w:tc>
      </w:tr>
      <w:tr w:rsidR="004F130A" w:rsidRPr="007C6422" w:rsidTr="00EE719B">
        <w:trPr>
          <w:trHeight w:val="20"/>
        </w:trPr>
        <w:tc>
          <w:tcPr>
            <w:tcW w:w="3983" w:type="dxa"/>
            <w:tcBorders>
              <w:top w:val="single" w:sz="6" w:space="0" w:color="auto"/>
              <w:left w:val="double" w:sz="6" w:space="0" w:color="auto"/>
              <w:bottom w:val="single" w:sz="6" w:space="0" w:color="auto"/>
              <w:right w:val="single" w:sz="6" w:space="0" w:color="auto"/>
            </w:tcBorders>
            <w:shd w:val="clear" w:color="auto" w:fill="auto"/>
            <w:vAlign w:val="bottom"/>
            <w:hideMark/>
          </w:tcPr>
          <w:p w:rsidR="004F130A" w:rsidRPr="007C6422" w:rsidRDefault="004F130A" w:rsidP="006E17FC">
            <w:pPr>
              <w:rPr>
                <w:color w:val="000000"/>
                <w:sz w:val="22"/>
                <w:szCs w:val="22"/>
              </w:rPr>
            </w:pPr>
            <w:r>
              <w:rPr>
                <w:color w:val="000000"/>
                <w:sz w:val="22"/>
                <w:szCs w:val="22"/>
              </w:rPr>
              <w:t>В</w:t>
            </w:r>
            <w:r w:rsidRPr="007C6422">
              <w:rPr>
                <w:color w:val="000000"/>
                <w:sz w:val="22"/>
                <w:szCs w:val="22"/>
              </w:rPr>
              <w:t>ерхний предел госдолга</w:t>
            </w:r>
          </w:p>
        </w:tc>
        <w:tc>
          <w:tcPr>
            <w:tcW w:w="14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F130A" w:rsidRPr="007C6422" w:rsidRDefault="004F130A" w:rsidP="006E17FC">
            <w:pPr>
              <w:jc w:val="right"/>
              <w:rPr>
                <w:color w:val="000000"/>
                <w:sz w:val="22"/>
                <w:szCs w:val="22"/>
              </w:rPr>
            </w:pPr>
            <w:r w:rsidRPr="007C6422">
              <w:rPr>
                <w:color w:val="000000"/>
                <w:sz w:val="22"/>
                <w:szCs w:val="22"/>
              </w:rPr>
              <w:t>53 609,2</w:t>
            </w:r>
          </w:p>
        </w:tc>
        <w:tc>
          <w:tcPr>
            <w:tcW w:w="14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F130A" w:rsidRPr="007C6422" w:rsidRDefault="004F130A" w:rsidP="006E17FC">
            <w:pPr>
              <w:jc w:val="right"/>
              <w:rPr>
                <w:color w:val="000000"/>
                <w:sz w:val="22"/>
                <w:szCs w:val="22"/>
              </w:rPr>
            </w:pPr>
            <w:r w:rsidRPr="007C6422">
              <w:rPr>
                <w:color w:val="000000"/>
                <w:sz w:val="22"/>
                <w:szCs w:val="22"/>
              </w:rPr>
              <w:t>53 302,8</w:t>
            </w:r>
          </w:p>
        </w:tc>
        <w:tc>
          <w:tcPr>
            <w:tcW w:w="13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F130A" w:rsidRPr="007C6422" w:rsidRDefault="004F130A" w:rsidP="006E17FC">
            <w:pPr>
              <w:jc w:val="right"/>
              <w:rPr>
                <w:color w:val="000000"/>
                <w:sz w:val="22"/>
                <w:szCs w:val="22"/>
              </w:rPr>
            </w:pPr>
            <w:r w:rsidRPr="007C6422">
              <w:rPr>
                <w:color w:val="000000"/>
                <w:sz w:val="22"/>
                <w:szCs w:val="22"/>
              </w:rPr>
              <w:t>53 024,8</w:t>
            </w:r>
          </w:p>
        </w:tc>
        <w:tc>
          <w:tcPr>
            <w:tcW w:w="1409" w:type="dxa"/>
            <w:tcBorders>
              <w:top w:val="single" w:sz="6" w:space="0" w:color="auto"/>
              <w:left w:val="single" w:sz="6" w:space="0" w:color="auto"/>
              <w:bottom w:val="single" w:sz="6" w:space="0" w:color="auto"/>
              <w:right w:val="double" w:sz="6" w:space="0" w:color="auto"/>
            </w:tcBorders>
            <w:shd w:val="clear" w:color="auto" w:fill="auto"/>
            <w:noWrap/>
            <w:vAlign w:val="center"/>
            <w:hideMark/>
          </w:tcPr>
          <w:p w:rsidR="004F130A" w:rsidRPr="007C6422" w:rsidRDefault="004F130A" w:rsidP="006E17FC">
            <w:pPr>
              <w:jc w:val="right"/>
              <w:rPr>
                <w:color w:val="000000"/>
                <w:sz w:val="22"/>
                <w:szCs w:val="22"/>
              </w:rPr>
            </w:pPr>
            <w:r w:rsidRPr="007C6422">
              <w:rPr>
                <w:color w:val="000000"/>
                <w:sz w:val="22"/>
                <w:szCs w:val="22"/>
              </w:rPr>
              <w:t>52 674,1</w:t>
            </w:r>
          </w:p>
        </w:tc>
      </w:tr>
      <w:tr w:rsidR="004F130A" w:rsidRPr="007C6422" w:rsidTr="00EE719B">
        <w:trPr>
          <w:trHeight w:val="20"/>
        </w:trPr>
        <w:tc>
          <w:tcPr>
            <w:tcW w:w="3983" w:type="dxa"/>
            <w:tcBorders>
              <w:top w:val="single" w:sz="6" w:space="0" w:color="auto"/>
              <w:left w:val="double" w:sz="6" w:space="0" w:color="auto"/>
              <w:bottom w:val="single" w:sz="6" w:space="0" w:color="auto"/>
              <w:right w:val="single" w:sz="6" w:space="0" w:color="auto"/>
            </w:tcBorders>
            <w:shd w:val="clear" w:color="auto" w:fill="auto"/>
            <w:vAlign w:val="bottom"/>
            <w:hideMark/>
          </w:tcPr>
          <w:p w:rsidR="004F130A" w:rsidRPr="007C6422" w:rsidRDefault="004F130A" w:rsidP="006E17FC">
            <w:pPr>
              <w:rPr>
                <w:color w:val="000000"/>
                <w:sz w:val="22"/>
                <w:szCs w:val="22"/>
              </w:rPr>
            </w:pPr>
            <w:r>
              <w:rPr>
                <w:color w:val="000000"/>
                <w:sz w:val="22"/>
                <w:szCs w:val="22"/>
              </w:rPr>
              <w:t>Д</w:t>
            </w:r>
            <w:r w:rsidRPr="007C6422">
              <w:rPr>
                <w:color w:val="000000"/>
                <w:sz w:val="22"/>
                <w:szCs w:val="22"/>
              </w:rPr>
              <w:t>олг к доходам без учета безвозмездных</w:t>
            </w:r>
            <w:r>
              <w:rPr>
                <w:color w:val="000000"/>
                <w:sz w:val="22"/>
                <w:szCs w:val="22"/>
              </w:rPr>
              <w:t xml:space="preserve"> поступлений</w:t>
            </w:r>
          </w:p>
        </w:tc>
        <w:tc>
          <w:tcPr>
            <w:tcW w:w="14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F130A" w:rsidRPr="007C6422" w:rsidRDefault="004F130A" w:rsidP="006E17FC">
            <w:pPr>
              <w:jc w:val="right"/>
              <w:rPr>
                <w:color w:val="000000"/>
                <w:sz w:val="22"/>
                <w:szCs w:val="22"/>
              </w:rPr>
            </w:pPr>
            <w:r w:rsidRPr="007C6422">
              <w:rPr>
                <w:color w:val="000000"/>
                <w:sz w:val="22"/>
                <w:szCs w:val="22"/>
              </w:rPr>
              <w:t>90,0%</w:t>
            </w:r>
          </w:p>
        </w:tc>
        <w:tc>
          <w:tcPr>
            <w:tcW w:w="140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F130A" w:rsidRPr="007C6422" w:rsidRDefault="004F130A" w:rsidP="006E17FC">
            <w:pPr>
              <w:jc w:val="right"/>
              <w:rPr>
                <w:color w:val="000000"/>
                <w:sz w:val="22"/>
                <w:szCs w:val="22"/>
              </w:rPr>
            </w:pPr>
            <w:r w:rsidRPr="007C6422">
              <w:rPr>
                <w:color w:val="000000"/>
                <w:sz w:val="22"/>
                <w:szCs w:val="22"/>
              </w:rPr>
              <w:t>89,0%</w:t>
            </w:r>
          </w:p>
        </w:tc>
        <w:tc>
          <w:tcPr>
            <w:tcW w:w="13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F130A" w:rsidRPr="007C6422" w:rsidRDefault="004F130A" w:rsidP="006E17FC">
            <w:pPr>
              <w:jc w:val="right"/>
              <w:rPr>
                <w:color w:val="000000"/>
                <w:sz w:val="22"/>
                <w:szCs w:val="22"/>
              </w:rPr>
            </w:pPr>
            <w:r w:rsidRPr="007C6422">
              <w:rPr>
                <w:color w:val="000000"/>
                <w:sz w:val="22"/>
                <w:szCs w:val="22"/>
              </w:rPr>
              <w:t>83,5%</w:t>
            </w:r>
          </w:p>
        </w:tc>
        <w:tc>
          <w:tcPr>
            <w:tcW w:w="1409" w:type="dxa"/>
            <w:tcBorders>
              <w:top w:val="single" w:sz="6" w:space="0" w:color="auto"/>
              <w:left w:val="single" w:sz="6" w:space="0" w:color="auto"/>
              <w:bottom w:val="single" w:sz="6" w:space="0" w:color="auto"/>
              <w:right w:val="double" w:sz="6" w:space="0" w:color="auto"/>
            </w:tcBorders>
            <w:shd w:val="clear" w:color="auto" w:fill="auto"/>
            <w:noWrap/>
            <w:vAlign w:val="center"/>
            <w:hideMark/>
          </w:tcPr>
          <w:p w:rsidR="004F130A" w:rsidRPr="007C6422" w:rsidRDefault="004F130A" w:rsidP="006E17FC">
            <w:pPr>
              <w:jc w:val="right"/>
              <w:rPr>
                <w:color w:val="000000"/>
                <w:sz w:val="22"/>
                <w:szCs w:val="22"/>
              </w:rPr>
            </w:pPr>
            <w:r w:rsidRPr="007C6422">
              <w:rPr>
                <w:color w:val="000000"/>
                <w:sz w:val="22"/>
                <w:szCs w:val="22"/>
              </w:rPr>
              <w:t>79,7%</w:t>
            </w:r>
          </w:p>
        </w:tc>
      </w:tr>
      <w:tr w:rsidR="004F130A" w:rsidRPr="007C6422" w:rsidTr="00EE719B">
        <w:trPr>
          <w:trHeight w:val="20"/>
        </w:trPr>
        <w:tc>
          <w:tcPr>
            <w:tcW w:w="3983" w:type="dxa"/>
            <w:tcBorders>
              <w:top w:val="single" w:sz="6" w:space="0" w:color="auto"/>
              <w:left w:val="double" w:sz="6" w:space="0" w:color="auto"/>
              <w:bottom w:val="double" w:sz="6" w:space="0" w:color="auto"/>
              <w:right w:val="single" w:sz="6" w:space="0" w:color="auto"/>
            </w:tcBorders>
            <w:shd w:val="clear" w:color="auto" w:fill="auto"/>
            <w:vAlign w:val="bottom"/>
            <w:hideMark/>
          </w:tcPr>
          <w:p w:rsidR="004F130A" w:rsidRPr="007C6422" w:rsidRDefault="004F130A" w:rsidP="006E17FC">
            <w:pPr>
              <w:rPr>
                <w:color w:val="000000"/>
                <w:sz w:val="22"/>
                <w:szCs w:val="22"/>
              </w:rPr>
            </w:pPr>
            <w:r>
              <w:rPr>
                <w:color w:val="000000"/>
                <w:sz w:val="22"/>
                <w:szCs w:val="22"/>
              </w:rPr>
              <w:t>К</w:t>
            </w:r>
            <w:r w:rsidRPr="007C6422">
              <w:rPr>
                <w:color w:val="000000"/>
                <w:sz w:val="22"/>
                <w:szCs w:val="22"/>
              </w:rPr>
              <w:t>оммерческие заимствования к налоговым и неналоговым</w:t>
            </w:r>
            <w:r w:rsidR="004441FB">
              <w:rPr>
                <w:color w:val="000000"/>
                <w:sz w:val="22"/>
                <w:szCs w:val="22"/>
              </w:rPr>
              <w:t xml:space="preserve"> доходам</w:t>
            </w:r>
          </w:p>
        </w:tc>
        <w:tc>
          <w:tcPr>
            <w:tcW w:w="1400" w:type="dxa"/>
            <w:tcBorders>
              <w:top w:val="single" w:sz="6" w:space="0" w:color="auto"/>
              <w:left w:val="single" w:sz="6" w:space="0" w:color="auto"/>
              <w:bottom w:val="double" w:sz="6" w:space="0" w:color="auto"/>
              <w:right w:val="single" w:sz="6" w:space="0" w:color="auto"/>
            </w:tcBorders>
            <w:shd w:val="clear" w:color="auto" w:fill="auto"/>
            <w:noWrap/>
            <w:vAlign w:val="center"/>
            <w:hideMark/>
          </w:tcPr>
          <w:p w:rsidR="004F130A" w:rsidRPr="007C6422" w:rsidRDefault="004F130A" w:rsidP="006E17FC">
            <w:pPr>
              <w:jc w:val="right"/>
              <w:rPr>
                <w:color w:val="000000"/>
                <w:sz w:val="22"/>
                <w:szCs w:val="22"/>
              </w:rPr>
            </w:pPr>
            <w:r w:rsidRPr="007C6422">
              <w:rPr>
                <w:color w:val="000000"/>
                <w:sz w:val="22"/>
                <w:szCs w:val="22"/>
              </w:rPr>
              <w:t>49,5%</w:t>
            </w:r>
          </w:p>
        </w:tc>
        <w:tc>
          <w:tcPr>
            <w:tcW w:w="1400" w:type="dxa"/>
            <w:tcBorders>
              <w:top w:val="single" w:sz="6" w:space="0" w:color="auto"/>
              <w:left w:val="single" w:sz="6" w:space="0" w:color="auto"/>
              <w:bottom w:val="double" w:sz="6" w:space="0" w:color="auto"/>
              <w:right w:val="single" w:sz="6" w:space="0" w:color="auto"/>
            </w:tcBorders>
            <w:shd w:val="clear" w:color="auto" w:fill="auto"/>
            <w:noWrap/>
            <w:vAlign w:val="center"/>
            <w:hideMark/>
          </w:tcPr>
          <w:p w:rsidR="004F130A" w:rsidRPr="007C6422" w:rsidRDefault="004F130A" w:rsidP="006E17FC">
            <w:pPr>
              <w:jc w:val="right"/>
              <w:rPr>
                <w:color w:val="000000"/>
                <w:sz w:val="22"/>
                <w:szCs w:val="22"/>
              </w:rPr>
            </w:pPr>
            <w:r w:rsidRPr="007C6422">
              <w:rPr>
                <w:color w:val="000000"/>
                <w:sz w:val="22"/>
                <w:szCs w:val="22"/>
              </w:rPr>
              <w:t>84,7%</w:t>
            </w:r>
          </w:p>
        </w:tc>
        <w:tc>
          <w:tcPr>
            <w:tcW w:w="1320" w:type="dxa"/>
            <w:tcBorders>
              <w:top w:val="single" w:sz="6" w:space="0" w:color="auto"/>
              <w:left w:val="single" w:sz="6" w:space="0" w:color="auto"/>
              <w:bottom w:val="double" w:sz="6" w:space="0" w:color="auto"/>
              <w:right w:val="single" w:sz="6" w:space="0" w:color="auto"/>
            </w:tcBorders>
            <w:shd w:val="clear" w:color="auto" w:fill="auto"/>
            <w:noWrap/>
            <w:vAlign w:val="center"/>
            <w:hideMark/>
          </w:tcPr>
          <w:p w:rsidR="004F130A" w:rsidRPr="007C6422" w:rsidRDefault="004F130A" w:rsidP="006E17FC">
            <w:pPr>
              <w:jc w:val="right"/>
              <w:rPr>
                <w:color w:val="000000"/>
                <w:sz w:val="22"/>
                <w:szCs w:val="22"/>
              </w:rPr>
            </w:pPr>
            <w:r w:rsidRPr="007C6422">
              <w:rPr>
                <w:color w:val="000000"/>
                <w:sz w:val="22"/>
                <w:szCs w:val="22"/>
              </w:rPr>
              <w:t>79,8%</w:t>
            </w:r>
          </w:p>
        </w:tc>
        <w:tc>
          <w:tcPr>
            <w:tcW w:w="1409" w:type="dxa"/>
            <w:tcBorders>
              <w:top w:val="single" w:sz="6" w:space="0" w:color="auto"/>
              <w:left w:val="single" w:sz="6" w:space="0" w:color="auto"/>
              <w:bottom w:val="double" w:sz="6" w:space="0" w:color="auto"/>
              <w:right w:val="double" w:sz="6" w:space="0" w:color="auto"/>
            </w:tcBorders>
            <w:shd w:val="clear" w:color="auto" w:fill="auto"/>
            <w:noWrap/>
            <w:vAlign w:val="center"/>
            <w:hideMark/>
          </w:tcPr>
          <w:p w:rsidR="004F130A" w:rsidRPr="007C6422" w:rsidRDefault="004F130A" w:rsidP="006E17FC">
            <w:pPr>
              <w:jc w:val="right"/>
              <w:rPr>
                <w:color w:val="000000"/>
                <w:sz w:val="22"/>
                <w:szCs w:val="22"/>
              </w:rPr>
            </w:pPr>
            <w:r w:rsidRPr="007C6422">
              <w:rPr>
                <w:color w:val="000000"/>
                <w:sz w:val="22"/>
                <w:szCs w:val="22"/>
              </w:rPr>
              <w:t>76,7%</w:t>
            </w:r>
          </w:p>
        </w:tc>
      </w:tr>
    </w:tbl>
    <w:p w:rsidR="004F130A" w:rsidRDefault="004F130A" w:rsidP="004F130A">
      <w:pPr>
        <w:jc w:val="both"/>
      </w:pPr>
    </w:p>
    <w:p w:rsidR="004F130A" w:rsidRPr="002B484A" w:rsidRDefault="004F130A" w:rsidP="004F130A">
      <w:pPr>
        <w:ind w:firstLine="720"/>
        <w:jc w:val="both"/>
      </w:pPr>
      <w:r>
        <w:t>Как видно из представленных данных, государственный долг Волгоградской области по коммерческим заимствованиям на 01.01.2017 составит 49,5% доходов без учета безвозмездных поступлений, а в целом не превысит ограничение, установленное ст</w:t>
      </w:r>
      <w:r w:rsidR="004441FB">
        <w:t xml:space="preserve">атьей </w:t>
      </w:r>
      <w:r>
        <w:t>107 БК РФ на уровне 100%</w:t>
      </w:r>
      <w:r w:rsidRPr="0020248A">
        <w:t xml:space="preserve"> утвержденн</w:t>
      </w:r>
      <w:r>
        <w:t>ого общего</w:t>
      </w:r>
      <w:r w:rsidRPr="0020248A">
        <w:t xml:space="preserve"> годово</w:t>
      </w:r>
      <w:r>
        <w:t>го</w:t>
      </w:r>
      <w:r w:rsidRPr="0020248A">
        <w:t xml:space="preserve"> объем</w:t>
      </w:r>
      <w:r>
        <w:t>а</w:t>
      </w:r>
      <w:r w:rsidRPr="0020248A">
        <w:t xml:space="preserve"> доходов бюджета без учета утвержденного объема безвозмездных поступлений.</w:t>
      </w:r>
      <w:r>
        <w:t xml:space="preserve"> При этом соглашениями о предоставлении Волгоградской области бюджетных кредитов, предполагаемых к </w:t>
      </w:r>
      <w:r w:rsidRPr="002B484A">
        <w:t>досрочному погашению</w:t>
      </w:r>
      <w:r>
        <w:t>,</w:t>
      </w:r>
      <w:r w:rsidRPr="002B484A">
        <w:t xml:space="preserve"> установлены более жесткие рамки уровня государственного долга – 74% к доходам без учета безвозмездных поступлений, 35-47% </w:t>
      </w:r>
      <w:r>
        <w:t xml:space="preserve">- </w:t>
      </w:r>
      <w:r w:rsidRPr="002B484A">
        <w:t>долг по коммерческим заимствованиям к доходам без учета безвозмездных поступлений. Таким образом, по итогам исполнения бюджета 2016 года параметры, предусмотренные условиями соглашений о предоставлении бюджетных кредитов</w:t>
      </w:r>
      <w:r>
        <w:t>,</w:t>
      </w:r>
      <w:r w:rsidRPr="002B484A">
        <w:t xml:space="preserve"> будут превышены.</w:t>
      </w:r>
    </w:p>
    <w:p w:rsidR="004F130A" w:rsidRDefault="004F130A" w:rsidP="004F130A">
      <w:pPr>
        <w:ind w:firstLine="720"/>
        <w:jc w:val="both"/>
      </w:pPr>
      <w:r w:rsidRPr="002B484A">
        <w:t xml:space="preserve">Следует отметить, что постановлением Правительства РФ от 27.01.2016 №40 «Об утверждении Правил предоставления (использования, возврата) из федерального бюджета бюджетам субъектов Российской Федерации бюджетных кредитов на 2016 год» одним из условий является поэтапное сокращение доли общего объема заимствований коммерческого характера. Так, по итогам 2016 года их уровень должен составлять не более 70% суммы доходов бюджета субъекта РФ без учета безвозмездных поступлений за 2016 год. </w:t>
      </w:r>
      <w:r>
        <w:t>Т</w:t>
      </w:r>
      <w:r w:rsidRPr="002B484A">
        <w:t>о есть</w:t>
      </w:r>
      <w:r>
        <w:t>,</w:t>
      </w:r>
      <w:r w:rsidRPr="002B484A">
        <w:t xml:space="preserve"> Волгоградская область </w:t>
      </w:r>
      <w:r>
        <w:t>превысит уровень долга, предусмотренного соглашениями, но не превысит предельное значение, установленное Правительством РФ.</w:t>
      </w:r>
    </w:p>
    <w:p w:rsidR="004F130A" w:rsidRDefault="004F130A" w:rsidP="004F130A">
      <w:pPr>
        <w:ind w:firstLine="720"/>
        <w:jc w:val="both"/>
      </w:pPr>
      <w:r>
        <w:t xml:space="preserve"> По пояснениям комитет</w:t>
      </w:r>
      <w:r w:rsidR="00842C7E">
        <w:t>а</w:t>
      </w:r>
      <w:r>
        <w:t xml:space="preserve"> финансов Волгоградской области </w:t>
      </w:r>
      <w:r w:rsidR="00842C7E">
        <w:t xml:space="preserve">комитет </w:t>
      </w:r>
      <w:r>
        <w:t>неоднократно обращался в Минфин России по вопросу пересмотра условий соглашений, однако эти обращения результатов не принесли.</w:t>
      </w:r>
    </w:p>
    <w:p w:rsidR="004F130A" w:rsidRDefault="004F130A" w:rsidP="004F130A">
      <w:pPr>
        <w:ind w:firstLine="720"/>
        <w:jc w:val="both"/>
      </w:pPr>
      <w:proofErr w:type="gramStart"/>
      <w:r>
        <w:t xml:space="preserve">В результате в соответствии с представленными с </w:t>
      </w:r>
      <w:r w:rsidR="00842C7E">
        <w:t>з</w:t>
      </w:r>
      <w:r>
        <w:t xml:space="preserve">аконопроектом расчетами расходов на обслуживание государственного долга замещение досрочно погашаемых бюджетных кредитов приведет к дополнительным расходам на оплату процентов кредитов коммерческих банков порядка 1116,7 млн. руб. (13723,3 млн. </w:t>
      </w:r>
      <w:proofErr w:type="spellStart"/>
      <w:r>
        <w:t>х</w:t>
      </w:r>
      <w:proofErr w:type="spellEnd"/>
      <w:r>
        <w:t xml:space="preserve"> 270 дней/365 дней </w:t>
      </w:r>
      <w:proofErr w:type="spellStart"/>
      <w:r>
        <w:t>х</w:t>
      </w:r>
      <w:proofErr w:type="spellEnd"/>
      <w:r>
        <w:t xml:space="preserve"> 11%), тогда как оплата бюджетных кредитов составила бы 10,2 млн. рублей.</w:t>
      </w:r>
      <w:proofErr w:type="gramEnd"/>
    </w:p>
    <w:p w:rsidR="004F130A" w:rsidRPr="0020248A" w:rsidRDefault="004F130A" w:rsidP="004F130A">
      <w:pPr>
        <w:jc w:val="center"/>
        <w:rPr>
          <w:b/>
          <w:i/>
          <w:color w:val="548DD4" w:themeColor="text2" w:themeTint="99"/>
        </w:rPr>
      </w:pPr>
    </w:p>
    <w:p w:rsidR="004F130A" w:rsidRPr="0020248A" w:rsidRDefault="004F130A" w:rsidP="004F130A">
      <w:pPr>
        <w:autoSpaceDE w:val="0"/>
        <w:autoSpaceDN w:val="0"/>
        <w:adjustRightInd w:val="0"/>
        <w:ind w:firstLine="709"/>
        <w:jc w:val="both"/>
      </w:pPr>
      <w:r w:rsidRPr="0020248A">
        <w:t xml:space="preserve">Согласно Основным направлениям бюджетной </w:t>
      </w:r>
      <w:r>
        <w:t xml:space="preserve">политики </w:t>
      </w:r>
      <w:r w:rsidRPr="0020248A">
        <w:t xml:space="preserve">Волгоградской области на 2017 год и на плановый период 2018 и 2019 годов основной целью проводимой долговой политики в 2017-2019 годах будет обеспечение потребностей </w:t>
      </w:r>
      <w:r>
        <w:t>региона</w:t>
      </w:r>
      <w:r w:rsidRPr="0020248A">
        <w:t xml:space="preserve"> в заемном финансировании при минимизации расходов на обслуживание государственного долга Волгоградской области.</w:t>
      </w:r>
    </w:p>
    <w:p w:rsidR="004F130A" w:rsidRPr="0020248A" w:rsidRDefault="004F130A" w:rsidP="004F130A">
      <w:pPr>
        <w:autoSpaceDE w:val="0"/>
        <w:autoSpaceDN w:val="0"/>
        <w:adjustRightInd w:val="0"/>
        <w:ind w:firstLine="709"/>
        <w:contextualSpacing/>
        <w:jc w:val="both"/>
        <w:rPr>
          <w:rFonts w:eastAsia="Calibri"/>
        </w:rPr>
      </w:pPr>
      <w:r w:rsidRPr="0020248A">
        <w:rPr>
          <w:rFonts w:eastAsia="Calibri"/>
        </w:rPr>
        <w:t>Для достижения поставленной цели на предстоящий период необходимо:</w:t>
      </w:r>
    </w:p>
    <w:p w:rsidR="004F130A" w:rsidRPr="0020248A" w:rsidRDefault="009A4C6A" w:rsidP="004F130A">
      <w:pPr>
        <w:autoSpaceDE w:val="0"/>
        <w:autoSpaceDN w:val="0"/>
        <w:adjustRightInd w:val="0"/>
        <w:ind w:firstLine="709"/>
        <w:contextualSpacing/>
        <w:jc w:val="both"/>
      </w:pPr>
      <w:r>
        <w:rPr>
          <w:rFonts w:eastAsia="Calibri"/>
        </w:rPr>
        <w:t>-</w:t>
      </w:r>
      <w:r w:rsidR="004F130A" w:rsidRPr="0020248A">
        <w:rPr>
          <w:rFonts w:eastAsia="Calibri"/>
        </w:rPr>
        <w:t xml:space="preserve">осуществлять </w:t>
      </w:r>
      <w:r w:rsidR="004F130A" w:rsidRPr="0020248A">
        <w:t>привлечение государственных заимствований в объемах, дополняющих доходы до размеров, необходимых и достаточных для обеспечения исполнения принятых расходных обязательств</w:t>
      </w:r>
      <w:r w:rsidR="004F130A" w:rsidRPr="0020248A">
        <w:rPr>
          <w:rFonts w:eastAsia="Calibri"/>
        </w:rPr>
        <w:t>;</w:t>
      </w:r>
    </w:p>
    <w:p w:rsidR="004F130A" w:rsidRPr="0020248A" w:rsidRDefault="009A4C6A" w:rsidP="004F130A">
      <w:pPr>
        <w:shd w:val="clear" w:color="auto" w:fill="FFFFFF"/>
        <w:ind w:firstLine="709"/>
        <w:contextualSpacing/>
        <w:jc w:val="both"/>
        <w:rPr>
          <w:rFonts w:eastAsia="Calibri"/>
        </w:rPr>
      </w:pPr>
      <w:r>
        <w:rPr>
          <w:rFonts w:eastAsia="Calibri"/>
        </w:rPr>
        <w:t>-</w:t>
      </w:r>
      <w:r w:rsidR="004F130A" w:rsidRPr="0020248A">
        <w:rPr>
          <w:rFonts w:eastAsia="Calibri"/>
        </w:rPr>
        <w:t>не допускать наличия просроченной задолженности по долговым обязательствам Волгоградской области;</w:t>
      </w:r>
    </w:p>
    <w:p w:rsidR="004F130A" w:rsidRPr="0020248A" w:rsidRDefault="009A4C6A" w:rsidP="004F130A">
      <w:pPr>
        <w:shd w:val="clear" w:color="auto" w:fill="FFFFFF"/>
        <w:ind w:firstLine="709"/>
        <w:contextualSpacing/>
        <w:jc w:val="both"/>
        <w:rPr>
          <w:rFonts w:eastAsia="Calibri"/>
        </w:rPr>
      </w:pPr>
      <w:r>
        <w:rPr>
          <w:rFonts w:eastAsia="Calibri"/>
        </w:rPr>
        <w:t>-</w:t>
      </w:r>
      <w:r w:rsidR="004F130A" w:rsidRPr="0020248A">
        <w:rPr>
          <w:rFonts w:eastAsia="Calibri"/>
        </w:rPr>
        <w:t>минимизировать стоимость заимствований;</w:t>
      </w:r>
    </w:p>
    <w:p w:rsidR="004F130A" w:rsidRPr="0020248A" w:rsidRDefault="009A4C6A" w:rsidP="004F130A">
      <w:pPr>
        <w:autoSpaceDE w:val="0"/>
        <w:autoSpaceDN w:val="0"/>
        <w:adjustRightInd w:val="0"/>
        <w:ind w:firstLine="709"/>
        <w:contextualSpacing/>
        <w:jc w:val="both"/>
      </w:pPr>
      <w:r>
        <w:t>-</w:t>
      </w:r>
      <w:r w:rsidR="004F130A" w:rsidRPr="0020248A">
        <w:t>сохранять мораторий на предоставление новых государственных гарантий Волгоградской области;</w:t>
      </w:r>
    </w:p>
    <w:p w:rsidR="004F130A" w:rsidRPr="0020248A" w:rsidRDefault="009A4C6A" w:rsidP="004F130A">
      <w:pPr>
        <w:shd w:val="clear" w:color="auto" w:fill="FFFFFF"/>
        <w:ind w:firstLine="709"/>
        <w:contextualSpacing/>
        <w:jc w:val="both"/>
        <w:rPr>
          <w:rFonts w:eastAsia="Calibri"/>
        </w:rPr>
      </w:pPr>
      <w:r>
        <w:rPr>
          <w:rFonts w:eastAsia="Calibri"/>
        </w:rPr>
        <w:lastRenderedPageBreak/>
        <w:t>-</w:t>
      </w:r>
      <w:r w:rsidR="004F130A" w:rsidRPr="0020248A">
        <w:rPr>
          <w:rFonts w:eastAsia="Calibri"/>
        </w:rPr>
        <w:t>осуществлять государственные внутренние заимствования при условии сохранения долговых параметров, не превышающих утвержденные бюджетным законодательством Российской Федерации и Волгоградской области;</w:t>
      </w:r>
    </w:p>
    <w:p w:rsidR="004F130A" w:rsidRPr="0020248A" w:rsidRDefault="009A4C6A" w:rsidP="004F130A">
      <w:pPr>
        <w:shd w:val="clear" w:color="auto" w:fill="FFFFFF"/>
        <w:ind w:firstLine="709"/>
        <w:contextualSpacing/>
        <w:jc w:val="both"/>
        <w:rPr>
          <w:rFonts w:eastAsia="Calibri"/>
        </w:rPr>
      </w:pPr>
      <w:r>
        <w:rPr>
          <w:rFonts w:eastAsia="Calibri"/>
        </w:rPr>
        <w:t>-</w:t>
      </w:r>
      <w:r w:rsidR="004F130A" w:rsidRPr="0020248A">
        <w:rPr>
          <w:rFonts w:eastAsia="Calibri"/>
        </w:rPr>
        <w:t>оптимально распределять во времени связанные с долгом платежи;</w:t>
      </w:r>
    </w:p>
    <w:p w:rsidR="004F130A" w:rsidRPr="0020248A" w:rsidRDefault="009A4C6A" w:rsidP="004F130A">
      <w:pPr>
        <w:autoSpaceDE w:val="0"/>
        <w:autoSpaceDN w:val="0"/>
        <w:adjustRightInd w:val="0"/>
        <w:ind w:firstLine="709"/>
        <w:contextualSpacing/>
        <w:jc w:val="both"/>
      </w:pPr>
      <w:r>
        <w:t>-</w:t>
      </w:r>
      <w:r w:rsidR="004F130A" w:rsidRPr="0020248A">
        <w:t>проводить максимально гибкую политику заимствований, позволяющую оперативно заменять одни долговые инструменты другими в зависимости от изменения условий на рынке капитала в интересах областного бюджета.</w:t>
      </w:r>
    </w:p>
    <w:p w:rsidR="009A4C6A" w:rsidRDefault="009A4C6A" w:rsidP="004F130A">
      <w:pPr>
        <w:ind w:firstLine="720"/>
        <w:jc w:val="both"/>
      </w:pPr>
    </w:p>
    <w:p w:rsidR="004F130A" w:rsidRPr="0020248A" w:rsidRDefault="004F130A" w:rsidP="004F130A">
      <w:pPr>
        <w:ind w:firstLine="720"/>
        <w:jc w:val="both"/>
      </w:pPr>
      <w:r w:rsidRPr="0020248A">
        <w:t xml:space="preserve">Предельный объем государственного долга Волгоградской области на 2017-2019 годы планируется в размере 60000 млн. руб. в 2017 году, 63000 млн. руб. в 2018 году и 66000 млн. руб. в 2019 году. Размеры предельных объемов долга к объемам доходов областного бюджета без учета безвозмездных поступлений составляют по годам соответственно 98,5%, 99,2% и 99,9 процента. </w:t>
      </w:r>
    </w:p>
    <w:p w:rsidR="004F130A" w:rsidRPr="002974C4" w:rsidRDefault="004F130A" w:rsidP="004F130A">
      <w:pPr>
        <w:ind w:firstLine="720"/>
        <w:jc w:val="both"/>
      </w:pPr>
      <w:r w:rsidRPr="0020248A">
        <w:t xml:space="preserve">Планируемые размеры предельных объемов государственного долга не превышают </w:t>
      </w:r>
      <w:r w:rsidRPr="002974C4">
        <w:t>предельного значения, установленного пунктом 2 статьи 107 БК РФ, - общий годовой объем доходов бюджета без учета утвержденного объема безвозмездных поступлений.</w:t>
      </w:r>
    </w:p>
    <w:p w:rsidR="004F130A" w:rsidRPr="002974C4" w:rsidRDefault="004F130A" w:rsidP="004F130A">
      <w:pPr>
        <w:ind w:firstLine="720"/>
        <w:jc w:val="both"/>
        <w:rPr>
          <w:sz w:val="20"/>
          <w:szCs w:val="20"/>
        </w:rPr>
      </w:pPr>
      <w:r w:rsidRPr="002974C4">
        <w:t xml:space="preserve">Исходя из сложившегося государственного внутреннего долга на 01.01.2016 в сумме 47808,7 млн. руб., прогноза государственного долга </w:t>
      </w:r>
      <w:proofErr w:type="gramStart"/>
      <w:r w:rsidRPr="002974C4">
        <w:t>на конец</w:t>
      </w:r>
      <w:proofErr w:type="gramEnd"/>
      <w:r w:rsidRPr="002974C4">
        <w:t xml:space="preserve"> 2016 года и программ заимствований на 2017-2019 годы произведен расчет государственного долга Волгоградской области до конца 2019 года. Динамика рассчитанного государственного внутреннего долга по видам долговых обязательств и структура долга по видам заимствований представлена в следующей таблице.</w:t>
      </w:r>
      <w:r w:rsidRPr="002974C4">
        <w:rPr>
          <w:sz w:val="20"/>
          <w:szCs w:val="20"/>
        </w:rPr>
        <w:t xml:space="preserve"> </w:t>
      </w:r>
    </w:p>
    <w:p w:rsidR="004F130A" w:rsidRPr="004F130A" w:rsidRDefault="004F130A" w:rsidP="004F130A">
      <w:pPr>
        <w:ind w:firstLine="720"/>
        <w:jc w:val="right"/>
        <w:rPr>
          <w:sz w:val="20"/>
          <w:szCs w:val="20"/>
        </w:rPr>
      </w:pPr>
      <w:r w:rsidRPr="004F130A">
        <w:rPr>
          <w:sz w:val="20"/>
          <w:szCs w:val="20"/>
        </w:rPr>
        <w:t>млн. руб.</w:t>
      </w:r>
    </w:p>
    <w:tbl>
      <w:tblPr>
        <w:tblW w:w="9946" w:type="dxa"/>
        <w:tblInd w:w="85" w:type="dxa"/>
        <w:tblLayout w:type="fixed"/>
        <w:tblLook w:val="04A0"/>
      </w:tblPr>
      <w:tblGrid>
        <w:gridCol w:w="2150"/>
        <w:gridCol w:w="850"/>
        <w:gridCol w:w="709"/>
        <w:gridCol w:w="850"/>
        <w:gridCol w:w="743"/>
        <w:gridCol w:w="817"/>
        <w:gridCol w:w="708"/>
        <w:gridCol w:w="851"/>
        <w:gridCol w:w="709"/>
        <w:gridCol w:w="851"/>
        <w:gridCol w:w="708"/>
      </w:tblGrid>
      <w:tr w:rsidR="004F130A" w:rsidRPr="002974C4" w:rsidTr="004F130A">
        <w:trPr>
          <w:trHeight w:val="480"/>
        </w:trPr>
        <w:tc>
          <w:tcPr>
            <w:tcW w:w="2150" w:type="dxa"/>
            <w:vMerge w:val="restart"/>
            <w:tcBorders>
              <w:top w:val="double" w:sz="6" w:space="0" w:color="auto"/>
              <w:left w:val="double" w:sz="6" w:space="0" w:color="auto"/>
              <w:bottom w:val="double" w:sz="6" w:space="0" w:color="000000"/>
              <w:right w:val="single" w:sz="8" w:space="0" w:color="auto"/>
            </w:tcBorders>
            <w:shd w:val="clear" w:color="000000" w:fill="F2F2F2"/>
            <w:vAlign w:val="center"/>
            <w:hideMark/>
          </w:tcPr>
          <w:p w:rsidR="004F130A" w:rsidRPr="002974C4" w:rsidRDefault="004F130A" w:rsidP="006E17FC">
            <w:pPr>
              <w:jc w:val="center"/>
              <w:rPr>
                <w:b/>
                <w:bCs/>
                <w:color w:val="000000"/>
                <w:sz w:val="20"/>
                <w:szCs w:val="20"/>
              </w:rPr>
            </w:pPr>
            <w:r w:rsidRPr="002974C4">
              <w:rPr>
                <w:b/>
                <w:bCs/>
                <w:color w:val="000000"/>
                <w:sz w:val="20"/>
                <w:szCs w:val="20"/>
              </w:rPr>
              <w:t>Вид обязательств</w:t>
            </w:r>
          </w:p>
        </w:tc>
        <w:tc>
          <w:tcPr>
            <w:tcW w:w="1559" w:type="dxa"/>
            <w:gridSpan w:val="2"/>
            <w:tcBorders>
              <w:top w:val="double" w:sz="6" w:space="0" w:color="auto"/>
              <w:left w:val="nil"/>
              <w:bottom w:val="single" w:sz="8" w:space="0" w:color="auto"/>
              <w:right w:val="single" w:sz="8" w:space="0" w:color="000000"/>
            </w:tcBorders>
            <w:shd w:val="clear" w:color="000000" w:fill="F2F2F2"/>
            <w:vAlign w:val="center"/>
            <w:hideMark/>
          </w:tcPr>
          <w:p w:rsidR="004F130A" w:rsidRPr="002974C4" w:rsidRDefault="004F130A" w:rsidP="006E17FC">
            <w:pPr>
              <w:jc w:val="center"/>
              <w:rPr>
                <w:b/>
                <w:bCs/>
                <w:color w:val="000000"/>
                <w:sz w:val="18"/>
                <w:szCs w:val="18"/>
              </w:rPr>
            </w:pPr>
            <w:r w:rsidRPr="002974C4">
              <w:rPr>
                <w:b/>
                <w:bCs/>
                <w:color w:val="000000"/>
                <w:sz w:val="18"/>
                <w:szCs w:val="18"/>
              </w:rPr>
              <w:t>01.01.2016</w:t>
            </w:r>
          </w:p>
        </w:tc>
        <w:tc>
          <w:tcPr>
            <w:tcW w:w="1593" w:type="dxa"/>
            <w:gridSpan w:val="2"/>
            <w:tcBorders>
              <w:top w:val="double" w:sz="6" w:space="0" w:color="auto"/>
              <w:left w:val="nil"/>
              <w:bottom w:val="single" w:sz="8" w:space="0" w:color="auto"/>
              <w:right w:val="single" w:sz="8" w:space="0" w:color="000000"/>
            </w:tcBorders>
            <w:shd w:val="clear" w:color="000000" w:fill="F2F2F2"/>
            <w:vAlign w:val="center"/>
            <w:hideMark/>
          </w:tcPr>
          <w:p w:rsidR="004F130A" w:rsidRPr="002974C4" w:rsidRDefault="004F130A" w:rsidP="006E17FC">
            <w:pPr>
              <w:jc w:val="center"/>
              <w:rPr>
                <w:b/>
                <w:bCs/>
                <w:color w:val="000000"/>
                <w:sz w:val="18"/>
                <w:szCs w:val="18"/>
              </w:rPr>
            </w:pPr>
            <w:r w:rsidRPr="002974C4">
              <w:rPr>
                <w:b/>
                <w:bCs/>
                <w:color w:val="000000"/>
                <w:sz w:val="18"/>
                <w:szCs w:val="18"/>
              </w:rPr>
              <w:t>01.01.2017</w:t>
            </w:r>
          </w:p>
        </w:tc>
        <w:tc>
          <w:tcPr>
            <w:tcW w:w="1525" w:type="dxa"/>
            <w:gridSpan w:val="2"/>
            <w:tcBorders>
              <w:top w:val="double" w:sz="6" w:space="0" w:color="auto"/>
              <w:left w:val="nil"/>
              <w:bottom w:val="single" w:sz="8" w:space="0" w:color="auto"/>
              <w:right w:val="single" w:sz="8" w:space="0" w:color="000000"/>
            </w:tcBorders>
            <w:shd w:val="clear" w:color="000000" w:fill="F2F2F2"/>
            <w:vAlign w:val="center"/>
            <w:hideMark/>
          </w:tcPr>
          <w:p w:rsidR="004F130A" w:rsidRPr="002974C4" w:rsidRDefault="004F130A" w:rsidP="006E17FC">
            <w:pPr>
              <w:jc w:val="center"/>
              <w:rPr>
                <w:b/>
                <w:bCs/>
                <w:color w:val="000000"/>
                <w:sz w:val="18"/>
                <w:szCs w:val="18"/>
              </w:rPr>
            </w:pPr>
            <w:r w:rsidRPr="002974C4">
              <w:rPr>
                <w:b/>
                <w:bCs/>
                <w:color w:val="000000"/>
                <w:sz w:val="18"/>
                <w:szCs w:val="18"/>
              </w:rPr>
              <w:t>01.01.2018</w:t>
            </w:r>
          </w:p>
        </w:tc>
        <w:tc>
          <w:tcPr>
            <w:tcW w:w="1560" w:type="dxa"/>
            <w:gridSpan w:val="2"/>
            <w:tcBorders>
              <w:top w:val="double" w:sz="6" w:space="0" w:color="auto"/>
              <w:left w:val="nil"/>
              <w:bottom w:val="single" w:sz="8" w:space="0" w:color="auto"/>
              <w:right w:val="single" w:sz="8" w:space="0" w:color="000000"/>
            </w:tcBorders>
            <w:shd w:val="clear" w:color="000000" w:fill="F2F2F2"/>
            <w:vAlign w:val="center"/>
            <w:hideMark/>
          </w:tcPr>
          <w:p w:rsidR="004F130A" w:rsidRPr="002974C4" w:rsidRDefault="004F130A" w:rsidP="006E17FC">
            <w:pPr>
              <w:jc w:val="center"/>
              <w:rPr>
                <w:b/>
                <w:bCs/>
                <w:color w:val="000000"/>
                <w:sz w:val="18"/>
                <w:szCs w:val="18"/>
              </w:rPr>
            </w:pPr>
            <w:r w:rsidRPr="002974C4">
              <w:rPr>
                <w:b/>
                <w:bCs/>
                <w:color w:val="000000"/>
                <w:sz w:val="18"/>
                <w:szCs w:val="18"/>
              </w:rPr>
              <w:t>01.01.2019</w:t>
            </w:r>
          </w:p>
        </w:tc>
        <w:tc>
          <w:tcPr>
            <w:tcW w:w="1559" w:type="dxa"/>
            <w:gridSpan w:val="2"/>
            <w:tcBorders>
              <w:top w:val="double" w:sz="6" w:space="0" w:color="auto"/>
              <w:left w:val="nil"/>
              <w:bottom w:val="single" w:sz="8" w:space="0" w:color="auto"/>
              <w:right w:val="double" w:sz="6" w:space="0" w:color="000000"/>
            </w:tcBorders>
            <w:shd w:val="clear" w:color="000000" w:fill="F2F2F2"/>
            <w:vAlign w:val="center"/>
            <w:hideMark/>
          </w:tcPr>
          <w:p w:rsidR="004F130A" w:rsidRPr="002974C4" w:rsidRDefault="004F130A" w:rsidP="006E17FC">
            <w:pPr>
              <w:jc w:val="center"/>
              <w:rPr>
                <w:b/>
                <w:bCs/>
                <w:color w:val="000000"/>
                <w:sz w:val="18"/>
                <w:szCs w:val="18"/>
              </w:rPr>
            </w:pPr>
            <w:r w:rsidRPr="002974C4">
              <w:rPr>
                <w:b/>
                <w:bCs/>
                <w:color w:val="000000"/>
                <w:sz w:val="18"/>
                <w:szCs w:val="18"/>
              </w:rPr>
              <w:t>01.01.2020</w:t>
            </w:r>
          </w:p>
        </w:tc>
      </w:tr>
      <w:tr w:rsidR="004F130A" w:rsidRPr="002974C4" w:rsidTr="004F130A">
        <w:trPr>
          <w:trHeight w:val="495"/>
        </w:trPr>
        <w:tc>
          <w:tcPr>
            <w:tcW w:w="2150" w:type="dxa"/>
            <w:vMerge/>
            <w:tcBorders>
              <w:top w:val="double" w:sz="6" w:space="0" w:color="auto"/>
              <w:left w:val="double" w:sz="6" w:space="0" w:color="auto"/>
              <w:bottom w:val="double" w:sz="6" w:space="0" w:color="auto"/>
              <w:right w:val="single" w:sz="8" w:space="0" w:color="auto"/>
            </w:tcBorders>
            <w:vAlign w:val="center"/>
            <w:hideMark/>
          </w:tcPr>
          <w:p w:rsidR="004F130A" w:rsidRPr="002974C4" w:rsidRDefault="004F130A" w:rsidP="006E17FC">
            <w:pPr>
              <w:rPr>
                <w:b/>
                <w:bCs/>
                <w:color w:val="000000"/>
                <w:sz w:val="20"/>
                <w:szCs w:val="20"/>
              </w:rPr>
            </w:pPr>
          </w:p>
        </w:tc>
        <w:tc>
          <w:tcPr>
            <w:tcW w:w="850" w:type="dxa"/>
            <w:tcBorders>
              <w:top w:val="nil"/>
              <w:left w:val="nil"/>
              <w:bottom w:val="double" w:sz="6" w:space="0" w:color="auto"/>
              <w:right w:val="single" w:sz="8" w:space="0" w:color="auto"/>
            </w:tcBorders>
            <w:shd w:val="clear" w:color="000000" w:fill="F2F2F2"/>
            <w:vAlign w:val="center"/>
            <w:hideMark/>
          </w:tcPr>
          <w:p w:rsidR="004F130A" w:rsidRPr="002974C4" w:rsidRDefault="004F130A" w:rsidP="006E17FC">
            <w:pPr>
              <w:jc w:val="center"/>
              <w:rPr>
                <w:b/>
                <w:bCs/>
                <w:color w:val="000000"/>
                <w:sz w:val="18"/>
                <w:szCs w:val="18"/>
              </w:rPr>
            </w:pPr>
            <w:r w:rsidRPr="002974C4">
              <w:rPr>
                <w:b/>
                <w:bCs/>
                <w:color w:val="000000"/>
                <w:sz w:val="18"/>
                <w:szCs w:val="18"/>
              </w:rPr>
              <w:t>сумма,       тыс. руб.</w:t>
            </w:r>
          </w:p>
        </w:tc>
        <w:tc>
          <w:tcPr>
            <w:tcW w:w="709" w:type="dxa"/>
            <w:tcBorders>
              <w:top w:val="nil"/>
              <w:left w:val="nil"/>
              <w:bottom w:val="double" w:sz="6" w:space="0" w:color="auto"/>
              <w:right w:val="single" w:sz="8" w:space="0" w:color="auto"/>
            </w:tcBorders>
            <w:shd w:val="clear" w:color="000000" w:fill="F2F2F2"/>
            <w:vAlign w:val="center"/>
            <w:hideMark/>
          </w:tcPr>
          <w:p w:rsidR="004F130A" w:rsidRPr="002974C4" w:rsidRDefault="004F130A" w:rsidP="006E17FC">
            <w:pPr>
              <w:jc w:val="center"/>
              <w:rPr>
                <w:b/>
                <w:bCs/>
                <w:color w:val="000000"/>
                <w:sz w:val="18"/>
                <w:szCs w:val="18"/>
              </w:rPr>
            </w:pPr>
            <w:r w:rsidRPr="002974C4">
              <w:rPr>
                <w:b/>
                <w:bCs/>
                <w:color w:val="000000"/>
                <w:sz w:val="18"/>
                <w:szCs w:val="18"/>
              </w:rPr>
              <w:t>доля, %</w:t>
            </w:r>
          </w:p>
        </w:tc>
        <w:tc>
          <w:tcPr>
            <w:tcW w:w="850" w:type="dxa"/>
            <w:tcBorders>
              <w:top w:val="nil"/>
              <w:left w:val="nil"/>
              <w:bottom w:val="double" w:sz="6" w:space="0" w:color="auto"/>
              <w:right w:val="single" w:sz="8" w:space="0" w:color="auto"/>
            </w:tcBorders>
            <w:shd w:val="clear" w:color="000000" w:fill="F2F2F2"/>
            <w:vAlign w:val="center"/>
            <w:hideMark/>
          </w:tcPr>
          <w:p w:rsidR="004F130A" w:rsidRPr="002974C4" w:rsidRDefault="004F130A" w:rsidP="006E17FC">
            <w:pPr>
              <w:jc w:val="center"/>
              <w:rPr>
                <w:b/>
                <w:bCs/>
                <w:color w:val="000000"/>
                <w:sz w:val="18"/>
                <w:szCs w:val="18"/>
              </w:rPr>
            </w:pPr>
            <w:r w:rsidRPr="002974C4">
              <w:rPr>
                <w:b/>
                <w:bCs/>
                <w:color w:val="000000"/>
                <w:sz w:val="18"/>
                <w:szCs w:val="18"/>
              </w:rPr>
              <w:t>сумма,       тыс. руб.</w:t>
            </w:r>
          </w:p>
        </w:tc>
        <w:tc>
          <w:tcPr>
            <w:tcW w:w="743" w:type="dxa"/>
            <w:tcBorders>
              <w:top w:val="nil"/>
              <w:left w:val="nil"/>
              <w:bottom w:val="double" w:sz="6" w:space="0" w:color="auto"/>
              <w:right w:val="single" w:sz="8" w:space="0" w:color="auto"/>
            </w:tcBorders>
            <w:shd w:val="clear" w:color="000000" w:fill="F2F2F2"/>
            <w:vAlign w:val="center"/>
            <w:hideMark/>
          </w:tcPr>
          <w:p w:rsidR="004F130A" w:rsidRPr="002974C4" w:rsidRDefault="004F130A" w:rsidP="006E17FC">
            <w:pPr>
              <w:jc w:val="center"/>
              <w:rPr>
                <w:b/>
                <w:bCs/>
                <w:color w:val="000000"/>
                <w:sz w:val="18"/>
                <w:szCs w:val="18"/>
              </w:rPr>
            </w:pPr>
            <w:r w:rsidRPr="002974C4">
              <w:rPr>
                <w:b/>
                <w:bCs/>
                <w:color w:val="000000"/>
                <w:sz w:val="18"/>
                <w:szCs w:val="18"/>
              </w:rPr>
              <w:t>доля, %</w:t>
            </w:r>
          </w:p>
        </w:tc>
        <w:tc>
          <w:tcPr>
            <w:tcW w:w="817" w:type="dxa"/>
            <w:tcBorders>
              <w:top w:val="nil"/>
              <w:left w:val="nil"/>
              <w:bottom w:val="double" w:sz="6" w:space="0" w:color="auto"/>
              <w:right w:val="single" w:sz="8" w:space="0" w:color="auto"/>
            </w:tcBorders>
            <w:shd w:val="clear" w:color="000000" w:fill="F2F2F2"/>
            <w:vAlign w:val="center"/>
            <w:hideMark/>
          </w:tcPr>
          <w:p w:rsidR="004F130A" w:rsidRPr="002974C4" w:rsidRDefault="004F130A" w:rsidP="006E17FC">
            <w:pPr>
              <w:jc w:val="center"/>
              <w:rPr>
                <w:b/>
                <w:bCs/>
                <w:color w:val="000000"/>
                <w:sz w:val="18"/>
                <w:szCs w:val="18"/>
              </w:rPr>
            </w:pPr>
            <w:r w:rsidRPr="002974C4">
              <w:rPr>
                <w:b/>
                <w:bCs/>
                <w:color w:val="000000"/>
                <w:sz w:val="18"/>
                <w:szCs w:val="18"/>
              </w:rPr>
              <w:t>сумма,       тыс. руб.</w:t>
            </w:r>
          </w:p>
        </w:tc>
        <w:tc>
          <w:tcPr>
            <w:tcW w:w="708" w:type="dxa"/>
            <w:tcBorders>
              <w:top w:val="nil"/>
              <w:left w:val="nil"/>
              <w:bottom w:val="double" w:sz="6" w:space="0" w:color="auto"/>
              <w:right w:val="single" w:sz="8" w:space="0" w:color="auto"/>
            </w:tcBorders>
            <w:shd w:val="clear" w:color="000000" w:fill="F2F2F2"/>
            <w:vAlign w:val="center"/>
            <w:hideMark/>
          </w:tcPr>
          <w:p w:rsidR="004F130A" w:rsidRPr="002974C4" w:rsidRDefault="004F130A" w:rsidP="006E17FC">
            <w:pPr>
              <w:jc w:val="center"/>
              <w:rPr>
                <w:b/>
                <w:bCs/>
                <w:color w:val="000000"/>
                <w:sz w:val="18"/>
                <w:szCs w:val="18"/>
              </w:rPr>
            </w:pPr>
            <w:r w:rsidRPr="002974C4">
              <w:rPr>
                <w:b/>
                <w:bCs/>
                <w:color w:val="000000"/>
                <w:sz w:val="18"/>
                <w:szCs w:val="18"/>
              </w:rPr>
              <w:t>доля, %</w:t>
            </w:r>
          </w:p>
        </w:tc>
        <w:tc>
          <w:tcPr>
            <w:tcW w:w="851" w:type="dxa"/>
            <w:tcBorders>
              <w:top w:val="nil"/>
              <w:left w:val="nil"/>
              <w:bottom w:val="double" w:sz="6" w:space="0" w:color="auto"/>
              <w:right w:val="single" w:sz="8" w:space="0" w:color="auto"/>
            </w:tcBorders>
            <w:shd w:val="clear" w:color="000000" w:fill="F2F2F2"/>
            <w:vAlign w:val="center"/>
            <w:hideMark/>
          </w:tcPr>
          <w:p w:rsidR="004F130A" w:rsidRPr="002974C4" w:rsidRDefault="004F130A" w:rsidP="006E17FC">
            <w:pPr>
              <w:jc w:val="center"/>
              <w:rPr>
                <w:b/>
                <w:bCs/>
                <w:color w:val="000000"/>
                <w:sz w:val="18"/>
                <w:szCs w:val="18"/>
              </w:rPr>
            </w:pPr>
            <w:r w:rsidRPr="002974C4">
              <w:rPr>
                <w:b/>
                <w:bCs/>
                <w:color w:val="000000"/>
                <w:sz w:val="18"/>
                <w:szCs w:val="18"/>
              </w:rPr>
              <w:t>сумма,       тыс. руб.</w:t>
            </w:r>
          </w:p>
        </w:tc>
        <w:tc>
          <w:tcPr>
            <w:tcW w:w="709" w:type="dxa"/>
            <w:tcBorders>
              <w:top w:val="nil"/>
              <w:left w:val="nil"/>
              <w:bottom w:val="double" w:sz="6" w:space="0" w:color="auto"/>
              <w:right w:val="single" w:sz="8" w:space="0" w:color="auto"/>
            </w:tcBorders>
            <w:shd w:val="clear" w:color="000000" w:fill="F2F2F2"/>
            <w:vAlign w:val="center"/>
            <w:hideMark/>
          </w:tcPr>
          <w:p w:rsidR="004F130A" w:rsidRPr="002974C4" w:rsidRDefault="004F130A" w:rsidP="006E17FC">
            <w:pPr>
              <w:jc w:val="center"/>
              <w:rPr>
                <w:b/>
                <w:bCs/>
                <w:color w:val="000000"/>
                <w:sz w:val="18"/>
                <w:szCs w:val="18"/>
              </w:rPr>
            </w:pPr>
            <w:r w:rsidRPr="002974C4">
              <w:rPr>
                <w:b/>
                <w:bCs/>
                <w:color w:val="000000"/>
                <w:sz w:val="18"/>
                <w:szCs w:val="18"/>
              </w:rPr>
              <w:t>доля, %</w:t>
            </w:r>
          </w:p>
        </w:tc>
        <w:tc>
          <w:tcPr>
            <w:tcW w:w="851" w:type="dxa"/>
            <w:tcBorders>
              <w:top w:val="nil"/>
              <w:left w:val="nil"/>
              <w:bottom w:val="double" w:sz="6" w:space="0" w:color="auto"/>
              <w:right w:val="single" w:sz="8" w:space="0" w:color="auto"/>
            </w:tcBorders>
            <w:shd w:val="clear" w:color="000000" w:fill="F2F2F2"/>
            <w:vAlign w:val="center"/>
            <w:hideMark/>
          </w:tcPr>
          <w:p w:rsidR="004F130A" w:rsidRPr="002974C4" w:rsidRDefault="004F130A" w:rsidP="006E17FC">
            <w:pPr>
              <w:jc w:val="center"/>
              <w:rPr>
                <w:b/>
                <w:bCs/>
                <w:color w:val="000000"/>
                <w:sz w:val="18"/>
                <w:szCs w:val="18"/>
              </w:rPr>
            </w:pPr>
            <w:r>
              <w:rPr>
                <w:b/>
                <w:bCs/>
                <w:color w:val="000000"/>
                <w:sz w:val="18"/>
                <w:szCs w:val="18"/>
              </w:rPr>
              <w:t xml:space="preserve">сумма, </w:t>
            </w:r>
            <w:r w:rsidRPr="002974C4">
              <w:rPr>
                <w:b/>
                <w:bCs/>
                <w:color w:val="000000"/>
                <w:sz w:val="18"/>
                <w:szCs w:val="18"/>
              </w:rPr>
              <w:t>тыс. руб.</w:t>
            </w:r>
          </w:p>
        </w:tc>
        <w:tc>
          <w:tcPr>
            <w:tcW w:w="708" w:type="dxa"/>
            <w:tcBorders>
              <w:top w:val="nil"/>
              <w:left w:val="nil"/>
              <w:bottom w:val="double" w:sz="6" w:space="0" w:color="auto"/>
              <w:right w:val="double" w:sz="6" w:space="0" w:color="auto"/>
            </w:tcBorders>
            <w:shd w:val="clear" w:color="000000" w:fill="F2F2F2"/>
            <w:vAlign w:val="center"/>
            <w:hideMark/>
          </w:tcPr>
          <w:p w:rsidR="004F130A" w:rsidRPr="002974C4" w:rsidRDefault="004F130A" w:rsidP="006E17FC">
            <w:pPr>
              <w:jc w:val="center"/>
              <w:rPr>
                <w:b/>
                <w:bCs/>
                <w:color w:val="000000"/>
                <w:sz w:val="18"/>
                <w:szCs w:val="18"/>
              </w:rPr>
            </w:pPr>
            <w:r>
              <w:rPr>
                <w:b/>
                <w:bCs/>
                <w:color w:val="000000"/>
                <w:sz w:val="18"/>
                <w:szCs w:val="18"/>
              </w:rPr>
              <w:t xml:space="preserve">Доля, </w:t>
            </w:r>
            <w:r w:rsidRPr="002974C4">
              <w:rPr>
                <w:b/>
                <w:bCs/>
                <w:color w:val="000000"/>
                <w:sz w:val="18"/>
                <w:szCs w:val="18"/>
              </w:rPr>
              <w:t>%</w:t>
            </w:r>
          </w:p>
        </w:tc>
      </w:tr>
      <w:tr w:rsidR="004F130A" w:rsidRPr="002974C4" w:rsidTr="004F130A">
        <w:trPr>
          <w:trHeight w:val="555"/>
        </w:trPr>
        <w:tc>
          <w:tcPr>
            <w:tcW w:w="2150" w:type="dxa"/>
            <w:tcBorders>
              <w:top w:val="double" w:sz="6" w:space="0" w:color="auto"/>
              <w:left w:val="double" w:sz="6" w:space="0" w:color="auto"/>
              <w:bottom w:val="single" w:sz="6" w:space="0" w:color="auto"/>
              <w:right w:val="single" w:sz="6" w:space="0" w:color="auto"/>
            </w:tcBorders>
            <w:shd w:val="clear" w:color="auto" w:fill="auto"/>
            <w:vAlign w:val="bottom"/>
            <w:hideMark/>
          </w:tcPr>
          <w:p w:rsidR="004F130A" w:rsidRPr="002974C4" w:rsidRDefault="004F130A" w:rsidP="006E17FC">
            <w:pPr>
              <w:rPr>
                <w:color w:val="000000"/>
                <w:sz w:val="20"/>
                <w:szCs w:val="20"/>
              </w:rPr>
            </w:pPr>
            <w:r w:rsidRPr="002974C4">
              <w:rPr>
                <w:color w:val="000000"/>
                <w:sz w:val="20"/>
                <w:szCs w:val="20"/>
              </w:rPr>
              <w:t>Государственные ценные бумаги по номинальной стоимости</w:t>
            </w:r>
          </w:p>
        </w:tc>
        <w:tc>
          <w:tcPr>
            <w:tcW w:w="850" w:type="dxa"/>
            <w:tcBorders>
              <w:top w:val="doub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ind w:left="-108"/>
              <w:jc w:val="center"/>
              <w:rPr>
                <w:color w:val="000000"/>
                <w:sz w:val="18"/>
                <w:szCs w:val="18"/>
              </w:rPr>
            </w:pPr>
            <w:r w:rsidRPr="002974C4">
              <w:rPr>
                <w:color w:val="000000"/>
                <w:sz w:val="18"/>
                <w:szCs w:val="18"/>
              </w:rPr>
              <w:t>16 950,0</w:t>
            </w:r>
          </w:p>
        </w:tc>
        <w:tc>
          <w:tcPr>
            <w:tcW w:w="709" w:type="dxa"/>
            <w:tcBorders>
              <w:top w:val="doub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35,5</w:t>
            </w:r>
          </w:p>
        </w:tc>
        <w:tc>
          <w:tcPr>
            <w:tcW w:w="850" w:type="dxa"/>
            <w:tcBorders>
              <w:top w:val="doub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11 700,0</w:t>
            </w:r>
          </w:p>
        </w:tc>
        <w:tc>
          <w:tcPr>
            <w:tcW w:w="743" w:type="dxa"/>
            <w:tcBorders>
              <w:top w:val="doub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21,8</w:t>
            </w:r>
          </w:p>
        </w:tc>
        <w:tc>
          <w:tcPr>
            <w:tcW w:w="817" w:type="dxa"/>
            <w:tcBorders>
              <w:top w:val="doub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ind w:left="-142"/>
              <w:jc w:val="center"/>
              <w:rPr>
                <w:color w:val="000000"/>
                <w:sz w:val="18"/>
                <w:szCs w:val="18"/>
              </w:rPr>
            </w:pPr>
            <w:r w:rsidRPr="002974C4">
              <w:rPr>
                <w:color w:val="000000"/>
                <w:sz w:val="18"/>
                <w:szCs w:val="18"/>
              </w:rPr>
              <w:t>17 350,0</w:t>
            </w:r>
          </w:p>
        </w:tc>
        <w:tc>
          <w:tcPr>
            <w:tcW w:w="708" w:type="dxa"/>
            <w:tcBorders>
              <w:top w:val="doub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32,0</w:t>
            </w:r>
          </w:p>
        </w:tc>
        <w:tc>
          <w:tcPr>
            <w:tcW w:w="851" w:type="dxa"/>
            <w:tcBorders>
              <w:top w:val="doub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15 250,0</w:t>
            </w:r>
          </w:p>
        </w:tc>
        <w:tc>
          <w:tcPr>
            <w:tcW w:w="709" w:type="dxa"/>
            <w:tcBorders>
              <w:top w:val="doub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28,8</w:t>
            </w:r>
          </w:p>
        </w:tc>
        <w:tc>
          <w:tcPr>
            <w:tcW w:w="851" w:type="dxa"/>
            <w:tcBorders>
              <w:top w:val="double" w:sz="6" w:space="0" w:color="auto"/>
              <w:left w:val="single" w:sz="6" w:space="0" w:color="auto"/>
              <w:bottom w:val="single" w:sz="6" w:space="0" w:color="auto"/>
              <w:right w:val="single" w:sz="6" w:space="0" w:color="auto"/>
            </w:tcBorders>
            <w:shd w:val="clear" w:color="auto" w:fill="auto"/>
            <w:vAlign w:val="center"/>
            <w:hideMark/>
          </w:tcPr>
          <w:p w:rsidR="004F130A" w:rsidRPr="00771B92" w:rsidRDefault="004F130A" w:rsidP="00CC18B6">
            <w:pPr>
              <w:jc w:val="center"/>
              <w:rPr>
                <w:color w:val="000000"/>
                <w:sz w:val="18"/>
                <w:szCs w:val="18"/>
              </w:rPr>
            </w:pPr>
            <w:r w:rsidRPr="00771B92">
              <w:rPr>
                <w:color w:val="000000"/>
                <w:sz w:val="18"/>
                <w:szCs w:val="18"/>
              </w:rPr>
              <w:t>16 250,0</w:t>
            </w:r>
          </w:p>
        </w:tc>
        <w:tc>
          <w:tcPr>
            <w:tcW w:w="708" w:type="dxa"/>
            <w:tcBorders>
              <w:top w:val="double" w:sz="6" w:space="0" w:color="auto"/>
              <w:left w:val="single" w:sz="6" w:space="0" w:color="auto"/>
              <w:bottom w:val="single" w:sz="6" w:space="0" w:color="auto"/>
              <w:right w:val="double" w:sz="6" w:space="0" w:color="auto"/>
            </w:tcBorders>
            <w:shd w:val="clear" w:color="auto" w:fill="auto"/>
            <w:vAlign w:val="center"/>
            <w:hideMark/>
          </w:tcPr>
          <w:p w:rsidR="004F130A" w:rsidRPr="00771B92" w:rsidRDefault="004F130A" w:rsidP="00CC18B6">
            <w:pPr>
              <w:jc w:val="center"/>
              <w:rPr>
                <w:color w:val="000000"/>
                <w:sz w:val="18"/>
                <w:szCs w:val="18"/>
              </w:rPr>
            </w:pPr>
            <w:r w:rsidRPr="00771B92">
              <w:rPr>
                <w:color w:val="000000"/>
                <w:sz w:val="18"/>
                <w:szCs w:val="18"/>
              </w:rPr>
              <w:t>30,9</w:t>
            </w:r>
          </w:p>
        </w:tc>
      </w:tr>
      <w:tr w:rsidR="004F130A" w:rsidRPr="002974C4" w:rsidTr="004F130A">
        <w:trPr>
          <w:trHeight w:val="315"/>
        </w:trPr>
        <w:tc>
          <w:tcPr>
            <w:tcW w:w="2150" w:type="dxa"/>
            <w:tcBorders>
              <w:top w:val="single" w:sz="6" w:space="0" w:color="auto"/>
              <w:left w:val="double" w:sz="6" w:space="0" w:color="auto"/>
              <w:bottom w:val="single" w:sz="6" w:space="0" w:color="auto"/>
              <w:right w:val="single" w:sz="6" w:space="0" w:color="auto"/>
            </w:tcBorders>
            <w:shd w:val="clear" w:color="auto" w:fill="auto"/>
            <w:vAlign w:val="bottom"/>
            <w:hideMark/>
          </w:tcPr>
          <w:p w:rsidR="004F130A" w:rsidRPr="002974C4" w:rsidRDefault="004F130A" w:rsidP="006E17FC">
            <w:pPr>
              <w:rPr>
                <w:color w:val="000000"/>
                <w:sz w:val="20"/>
                <w:szCs w:val="20"/>
              </w:rPr>
            </w:pPr>
            <w:r w:rsidRPr="002974C4">
              <w:rPr>
                <w:color w:val="000000"/>
                <w:sz w:val="20"/>
                <w:szCs w:val="20"/>
              </w:rPr>
              <w:t>Кредиты коммерческих банков</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ind w:left="-108"/>
              <w:jc w:val="center"/>
              <w:rPr>
                <w:color w:val="000000"/>
                <w:sz w:val="18"/>
                <w:szCs w:val="18"/>
              </w:rPr>
            </w:pPr>
            <w:r w:rsidRPr="002974C4">
              <w:rPr>
                <w:color w:val="000000"/>
                <w:sz w:val="18"/>
                <w:szCs w:val="18"/>
              </w:rPr>
              <w:t>12 893,20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27,0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17 770,0</w:t>
            </w: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33,1</w:t>
            </w:r>
          </w:p>
        </w:tc>
        <w:tc>
          <w:tcPr>
            <w:tcW w:w="81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ind w:left="-142"/>
              <w:jc w:val="center"/>
              <w:rPr>
                <w:color w:val="000000"/>
                <w:sz w:val="18"/>
                <w:szCs w:val="18"/>
              </w:rPr>
            </w:pPr>
            <w:r w:rsidRPr="002974C4">
              <w:rPr>
                <w:color w:val="000000"/>
                <w:sz w:val="18"/>
                <w:szCs w:val="18"/>
              </w:rPr>
              <w:t>33 400,0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61,5</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35 400,0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66,8</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771B92" w:rsidRDefault="004F130A" w:rsidP="00CC18B6">
            <w:pPr>
              <w:jc w:val="center"/>
              <w:rPr>
                <w:color w:val="000000"/>
                <w:sz w:val="18"/>
                <w:szCs w:val="18"/>
              </w:rPr>
            </w:pPr>
            <w:r w:rsidRPr="00771B92">
              <w:rPr>
                <w:color w:val="000000"/>
                <w:sz w:val="18"/>
                <w:szCs w:val="18"/>
              </w:rPr>
              <w:t>34 400,0</w:t>
            </w:r>
          </w:p>
        </w:tc>
        <w:tc>
          <w:tcPr>
            <w:tcW w:w="708" w:type="dxa"/>
            <w:tcBorders>
              <w:top w:val="single" w:sz="6" w:space="0" w:color="auto"/>
              <w:left w:val="single" w:sz="6" w:space="0" w:color="auto"/>
              <w:bottom w:val="single" w:sz="6" w:space="0" w:color="auto"/>
              <w:right w:val="double" w:sz="6" w:space="0" w:color="auto"/>
            </w:tcBorders>
            <w:shd w:val="clear" w:color="auto" w:fill="auto"/>
            <w:vAlign w:val="center"/>
            <w:hideMark/>
          </w:tcPr>
          <w:p w:rsidR="004F130A" w:rsidRPr="00771B92" w:rsidRDefault="004F130A" w:rsidP="00CC18B6">
            <w:pPr>
              <w:jc w:val="center"/>
              <w:rPr>
                <w:color w:val="000000"/>
                <w:sz w:val="18"/>
                <w:szCs w:val="18"/>
              </w:rPr>
            </w:pPr>
            <w:r w:rsidRPr="00771B92">
              <w:rPr>
                <w:color w:val="000000"/>
                <w:sz w:val="18"/>
                <w:szCs w:val="18"/>
              </w:rPr>
              <w:t>65,3</w:t>
            </w:r>
          </w:p>
        </w:tc>
      </w:tr>
      <w:tr w:rsidR="004F130A" w:rsidRPr="002974C4" w:rsidTr="004F130A">
        <w:trPr>
          <w:trHeight w:val="540"/>
        </w:trPr>
        <w:tc>
          <w:tcPr>
            <w:tcW w:w="2150" w:type="dxa"/>
            <w:tcBorders>
              <w:top w:val="single" w:sz="6" w:space="0" w:color="auto"/>
              <w:left w:val="double" w:sz="6" w:space="0" w:color="auto"/>
              <w:bottom w:val="single" w:sz="6" w:space="0" w:color="auto"/>
              <w:right w:val="single" w:sz="6" w:space="0" w:color="auto"/>
            </w:tcBorders>
            <w:shd w:val="clear" w:color="auto" w:fill="auto"/>
            <w:vAlign w:val="bottom"/>
            <w:hideMark/>
          </w:tcPr>
          <w:p w:rsidR="004F130A" w:rsidRPr="002974C4" w:rsidRDefault="004F130A" w:rsidP="006E17FC">
            <w:pPr>
              <w:rPr>
                <w:color w:val="000000"/>
                <w:sz w:val="20"/>
                <w:szCs w:val="20"/>
              </w:rPr>
            </w:pPr>
            <w:r w:rsidRPr="002974C4">
              <w:rPr>
                <w:color w:val="000000"/>
                <w:sz w:val="20"/>
                <w:szCs w:val="20"/>
              </w:rPr>
              <w:t>Бюджетные кредиты из федерального бюджета</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ind w:left="-108"/>
              <w:jc w:val="center"/>
              <w:rPr>
                <w:color w:val="000000"/>
                <w:sz w:val="18"/>
                <w:szCs w:val="18"/>
              </w:rPr>
            </w:pPr>
            <w:r w:rsidRPr="002974C4">
              <w:rPr>
                <w:color w:val="000000"/>
                <w:sz w:val="18"/>
                <w:szCs w:val="18"/>
              </w:rPr>
              <w:t>17 126,40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35,8</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23 354,1</w:t>
            </w: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43,6</w:t>
            </w:r>
          </w:p>
        </w:tc>
        <w:tc>
          <w:tcPr>
            <w:tcW w:w="81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ind w:left="-142"/>
              <w:jc w:val="center"/>
              <w:rPr>
                <w:color w:val="000000"/>
                <w:sz w:val="18"/>
                <w:szCs w:val="18"/>
              </w:rPr>
            </w:pPr>
            <w:r w:rsidRPr="002974C4">
              <w:rPr>
                <w:color w:val="000000"/>
                <w:sz w:val="18"/>
                <w:szCs w:val="18"/>
              </w:rPr>
              <w:t>3 024,1</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5,6</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2 024,1</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3,8</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771B92" w:rsidRDefault="004F130A" w:rsidP="00CC18B6">
            <w:pPr>
              <w:jc w:val="center"/>
              <w:rPr>
                <w:color w:val="000000"/>
                <w:sz w:val="18"/>
                <w:szCs w:val="18"/>
              </w:rPr>
            </w:pPr>
            <w:r w:rsidRPr="00771B92">
              <w:rPr>
                <w:color w:val="000000"/>
                <w:sz w:val="18"/>
                <w:szCs w:val="18"/>
              </w:rPr>
              <w:t>2 024,1</w:t>
            </w:r>
          </w:p>
        </w:tc>
        <w:tc>
          <w:tcPr>
            <w:tcW w:w="708" w:type="dxa"/>
            <w:tcBorders>
              <w:top w:val="single" w:sz="6" w:space="0" w:color="auto"/>
              <w:left w:val="single" w:sz="6" w:space="0" w:color="auto"/>
              <w:bottom w:val="single" w:sz="6" w:space="0" w:color="auto"/>
              <w:right w:val="double" w:sz="6" w:space="0" w:color="auto"/>
            </w:tcBorders>
            <w:shd w:val="clear" w:color="auto" w:fill="auto"/>
            <w:vAlign w:val="center"/>
            <w:hideMark/>
          </w:tcPr>
          <w:p w:rsidR="004F130A" w:rsidRPr="00771B92" w:rsidRDefault="004F130A" w:rsidP="00CC18B6">
            <w:pPr>
              <w:jc w:val="center"/>
              <w:rPr>
                <w:color w:val="000000"/>
                <w:sz w:val="18"/>
                <w:szCs w:val="18"/>
              </w:rPr>
            </w:pPr>
            <w:r w:rsidRPr="00771B92">
              <w:rPr>
                <w:color w:val="000000"/>
                <w:sz w:val="18"/>
                <w:szCs w:val="18"/>
              </w:rPr>
              <w:t>3,8</w:t>
            </w:r>
          </w:p>
        </w:tc>
      </w:tr>
      <w:tr w:rsidR="004F130A" w:rsidRPr="002974C4" w:rsidTr="004F130A">
        <w:trPr>
          <w:trHeight w:val="315"/>
        </w:trPr>
        <w:tc>
          <w:tcPr>
            <w:tcW w:w="2150" w:type="dxa"/>
            <w:tcBorders>
              <w:top w:val="single" w:sz="6" w:space="0" w:color="auto"/>
              <w:left w:val="double" w:sz="6" w:space="0" w:color="auto"/>
              <w:bottom w:val="single" w:sz="6" w:space="0" w:color="auto"/>
              <w:right w:val="single" w:sz="6" w:space="0" w:color="auto"/>
            </w:tcBorders>
            <w:shd w:val="clear" w:color="auto" w:fill="auto"/>
            <w:vAlign w:val="bottom"/>
            <w:hideMark/>
          </w:tcPr>
          <w:p w:rsidR="004F130A" w:rsidRPr="002974C4" w:rsidRDefault="004F130A" w:rsidP="006E17FC">
            <w:pPr>
              <w:rPr>
                <w:color w:val="000000"/>
                <w:sz w:val="20"/>
                <w:szCs w:val="20"/>
              </w:rPr>
            </w:pPr>
            <w:r w:rsidRPr="002974C4">
              <w:rPr>
                <w:color w:val="000000"/>
                <w:sz w:val="20"/>
                <w:szCs w:val="20"/>
              </w:rPr>
              <w:t xml:space="preserve">Государственные гарантии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ind w:left="-108"/>
              <w:jc w:val="center"/>
              <w:rPr>
                <w:color w:val="000000"/>
                <w:sz w:val="18"/>
                <w:szCs w:val="18"/>
              </w:rPr>
            </w:pPr>
            <w:r w:rsidRPr="002974C4">
              <w:rPr>
                <w:color w:val="000000"/>
                <w:sz w:val="18"/>
                <w:szCs w:val="18"/>
              </w:rPr>
              <w:t>839,1</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1,8</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785,1</w:t>
            </w: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1,5</w:t>
            </w:r>
          </w:p>
        </w:tc>
        <w:tc>
          <w:tcPr>
            <w:tcW w:w="81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ind w:left="-142"/>
              <w:jc w:val="center"/>
              <w:rPr>
                <w:color w:val="000000"/>
                <w:sz w:val="18"/>
                <w:szCs w:val="18"/>
              </w:rPr>
            </w:pPr>
            <w:r w:rsidRPr="002974C4">
              <w:rPr>
                <w:color w:val="000000"/>
                <w:sz w:val="18"/>
                <w:szCs w:val="18"/>
              </w:rPr>
              <w:t>528,7</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350,7</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0,7</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771B92" w:rsidRDefault="004F130A" w:rsidP="00CC18B6">
            <w:pPr>
              <w:jc w:val="center"/>
              <w:rPr>
                <w:color w:val="000000"/>
                <w:sz w:val="18"/>
                <w:szCs w:val="18"/>
              </w:rPr>
            </w:pPr>
            <w:r w:rsidRPr="00771B92">
              <w:rPr>
                <w:color w:val="000000"/>
                <w:sz w:val="18"/>
                <w:szCs w:val="18"/>
              </w:rPr>
              <w:t>0,0</w:t>
            </w:r>
          </w:p>
        </w:tc>
        <w:tc>
          <w:tcPr>
            <w:tcW w:w="708" w:type="dxa"/>
            <w:tcBorders>
              <w:top w:val="single" w:sz="6" w:space="0" w:color="auto"/>
              <w:left w:val="single" w:sz="6" w:space="0" w:color="auto"/>
              <w:bottom w:val="single" w:sz="6" w:space="0" w:color="auto"/>
              <w:right w:val="double" w:sz="6" w:space="0" w:color="auto"/>
            </w:tcBorders>
            <w:shd w:val="clear" w:color="auto" w:fill="auto"/>
            <w:vAlign w:val="center"/>
            <w:hideMark/>
          </w:tcPr>
          <w:p w:rsidR="004F130A" w:rsidRPr="00771B92" w:rsidRDefault="004F130A" w:rsidP="00CC18B6">
            <w:pPr>
              <w:jc w:val="center"/>
              <w:rPr>
                <w:color w:val="000000"/>
                <w:sz w:val="18"/>
                <w:szCs w:val="18"/>
              </w:rPr>
            </w:pPr>
            <w:r w:rsidRPr="00771B92">
              <w:rPr>
                <w:color w:val="000000"/>
                <w:sz w:val="18"/>
                <w:szCs w:val="18"/>
              </w:rPr>
              <w:t>0,0</w:t>
            </w:r>
          </w:p>
        </w:tc>
      </w:tr>
      <w:tr w:rsidR="004F130A" w:rsidRPr="002974C4" w:rsidTr="004F130A">
        <w:trPr>
          <w:trHeight w:val="330"/>
        </w:trPr>
        <w:tc>
          <w:tcPr>
            <w:tcW w:w="2150" w:type="dxa"/>
            <w:tcBorders>
              <w:top w:val="single" w:sz="6" w:space="0" w:color="auto"/>
              <w:left w:val="double" w:sz="6" w:space="0" w:color="auto"/>
              <w:bottom w:val="single" w:sz="6" w:space="0" w:color="auto"/>
              <w:right w:val="single" w:sz="6" w:space="0" w:color="auto"/>
            </w:tcBorders>
            <w:shd w:val="clear" w:color="000000" w:fill="F2F2F2"/>
            <w:vAlign w:val="bottom"/>
            <w:hideMark/>
          </w:tcPr>
          <w:p w:rsidR="004F130A" w:rsidRPr="002974C4" w:rsidRDefault="004F130A" w:rsidP="006E17FC">
            <w:pPr>
              <w:rPr>
                <w:b/>
                <w:bCs/>
                <w:color w:val="000000"/>
                <w:sz w:val="20"/>
                <w:szCs w:val="20"/>
              </w:rPr>
            </w:pPr>
            <w:r w:rsidRPr="002974C4">
              <w:rPr>
                <w:b/>
                <w:bCs/>
                <w:color w:val="000000"/>
                <w:sz w:val="20"/>
                <w:szCs w:val="20"/>
              </w:rPr>
              <w:t>Итого государственный долг</w:t>
            </w:r>
          </w:p>
        </w:tc>
        <w:tc>
          <w:tcPr>
            <w:tcW w:w="850" w:type="dxa"/>
            <w:tcBorders>
              <w:top w:val="single" w:sz="6" w:space="0" w:color="auto"/>
              <w:left w:val="single" w:sz="6" w:space="0" w:color="auto"/>
              <w:bottom w:val="single" w:sz="6" w:space="0" w:color="auto"/>
              <w:right w:val="single" w:sz="6" w:space="0" w:color="auto"/>
            </w:tcBorders>
            <w:shd w:val="clear" w:color="000000" w:fill="F2F2F2"/>
            <w:vAlign w:val="center"/>
            <w:hideMark/>
          </w:tcPr>
          <w:p w:rsidR="004F130A" w:rsidRPr="002974C4" w:rsidRDefault="004F130A" w:rsidP="00CC18B6">
            <w:pPr>
              <w:ind w:left="-108"/>
              <w:jc w:val="center"/>
              <w:rPr>
                <w:b/>
                <w:bCs/>
                <w:color w:val="000000"/>
                <w:sz w:val="18"/>
                <w:szCs w:val="18"/>
              </w:rPr>
            </w:pPr>
            <w:r w:rsidRPr="002974C4">
              <w:rPr>
                <w:b/>
                <w:bCs/>
                <w:color w:val="000000"/>
                <w:sz w:val="18"/>
                <w:szCs w:val="18"/>
              </w:rPr>
              <w:t>47 808,7</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B303DD" w:rsidRDefault="004F130A" w:rsidP="00CC18B6">
            <w:pPr>
              <w:ind w:left="-108"/>
              <w:jc w:val="center"/>
              <w:rPr>
                <w:b/>
                <w:color w:val="000000"/>
                <w:sz w:val="18"/>
                <w:szCs w:val="18"/>
              </w:rPr>
            </w:pPr>
            <w:r w:rsidRPr="00B303DD">
              <w:rPr>
                <w:b/>
                <w:color w:val="000000"/>
                <w:sz w:val="18"/>
                <w:szCs w:val="18"/>
              </w:rPr>
              <w:t>100</w:t>
            </w:r>
          </w:p>
        </w:tc>
        <w:tc>
          <w:tcPr>
            <w:tcW w:w="850" w:type="dxa"/>
            <w:tcBorders>
              <w:top w:val="single" w:sz="6" w:space="0" w:color="auto"/>
              <w:left w:val="single" w:sz="6" w:space="0" w:color="auto"/>
              <w:bottom w:val="single" w:sz="6" w:space="0" w:color="auto"/>
              <w:right w:val="single" w:sz="6" w:space="0" w:color="auto"/>
            </w:tcBorders>
            <w:shd w:val="clear" w:color="000000" w:fill="F2F2F2"/>
            <w:vAlign w:val="center"/>
            <w:hideMark/>
          </w:tcPr>
          <w:p w:rsidR="004F130A" w:rsidRPr="002974C4" w:rsidRDefault="004F130A" w:rsidP="00CC18B6">
            <w:pPr>
              <w:jc w:val="center"/>
              <w:rPr>
                <w:b/>
                <w:bCs/>
                <w:color w:val="000000"/>
                <w:sz w:val="18"/>
                <w:szCs w:val="18"/>
              </w:rPr>
            </w:pPr>
            <w:r w:rsidRPr="002974C4">
              <w:rPr>
                <w:b/>
                <w:bCs/>
                <w:color w:val="000000"/>
                <w:sz w:val="18"/>
                <w:szCs w:val="18"/>
              </w:rPr>
              <w:t>53 609,2</w:t>
            </w: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130A" w:rsidRPr="00B303DD" w:rsidRDefault="004F130A" w:rsidP="00CC18B6">
            <w:pPr>
              <w:ind w:left="-108"/>
              <w:jc w:val="center"/>
              <w:rPr>
                <w:b/>
                <w:color w:val="000000"/>
                <w:sz w:val="18"/>
                <w:szCs w:val="18"/>
              </w:rPr>
            </w:pPr>
            <w:r w:rsidRPr="00B303DD">
              <w:rPr>
                <w:b/>
                <w:color w:val="000000"/>
                <w:sz w:val="18"/>
                <w:szCs w:val="18"/>
              </w:rPr>
              <w:t>100</w:t>
            </w:r>
          </w:p>
        </w:tc>
        <w:tc>
          <w:tcPr>
            <w:tcW w:w="817" w:type="dxa"/>
            <w:tcBorders>
              <w:top w:val="single" w:sz="6" w:space="0" w:color="auto"/>
              <w:left w:val="single" w:sz="6" w:space="0" w:color="auto"/>
              <w:bottom w:val="single" w:sz="6" w:space="0" w:color="auto"/>
              <w:right w:val="single" w:sz="6" w:space="0" w:color="auto"/>
            </w:tcBorders>
            <w:shd w:val="clear" w:color="000000" w:fill="F2F2F2"/>
            <w:vAlign w:val="center"/>
            <w:hideMark/>
          </w:tcPr>
          <w:p w:rsidR="004F130A" w:rsidRPr="002974C4" w:rsidRDefault="004F130A" w:rsidP="00CC18B6">
            <w:pPr>
              <w:ind w:left="-142"/>
              <w:jc w:val="center"/>
              <w:rPr>
                <w:b/>
                <w:bCs/>
                <w:color w:val="000000"/>
                <w:sz w:val="18"/>
                <w:szCs w:val="18"/>
              </w:rPr>
            </w:pPr>
            <w:r w:rsidRPr="002974C4">
              <w:rPr>
                <w:b/>
                <w:bCs/>
                <w:color w:val="000000"/>
                <w:sz w:val="18"/>
                <w:szCs w:val="18"/>
              </w:rPr>
              <w:t>54 302,8</w:t>
            </w:r>
          </w:p>
        </w:tc>
        <w:tc>
          <w:tcPr>
            <w:tcW w:w="708" w:type="dxa"/>
            <w:tcBorders>
              <w:top w:val="single" w:sz="6" w:space="0" w:color="auto"/>
              <w:left w:val="single" w:sz="6" w:space="0" w:color="auto"/>
              <w:bottom w:val="single" w:sz="6" w:space="0" w:color="auto"/>
              <w:right w:val="single" w:sz="6" w:space="0" w:color="auto"/>
            </w:tcBorders>
            <w:shd w:val="clear" w:color="000000" w:fill="F2F2F2"/>
            <w:vAlign w:val="center"/>
            <w:hideMark/>
          </w:tcPr>
          <w:p w:rsidR="004F130A" w:rsidRPr="002974C4" w:rsidRDefault="004F130A" w:rsidP="00CC18B6">
            <w:pPr>
              <w:ind w:left="-143"/>
              <w:jc w:val="center"/>
              <w:rPr>
                <w:b/>
                <w:bCs/>
                <w:color w:val="000000"/>
                <w:sz w:val="18"/>
                <w:szCs w:val="18"/>
              </w:rPr>
            </w:pPr>
            <w:r w:rsidRPr="002974C4">
              <w:rPr>
                <w:b/>
                <w:bCs/>
                <w:color w:val="000000"/>
                <w:sz w:val="18"/>
                <w:szCs w:val="18"/>
              </w:rPr>
              <w:t>100</w:t>
            </w:r>
          </w:p>
        </w:tc>
        <w:tc>
          <w:tcPr>
            <w:tcW w:w="851" w:type="dxa"/>
            <w:tcBorders>
              <w:top w:val="single" w:sz="6" w:space="0" w:color="auto"/>
              <w:left w:val="single" w:sz="6" w:space="0" w:color="auto"/>
              <w:bottom w:val="single" w:sz="6" w:space="0" w:color="auto"/>
              <w:right w:val="single" w:sz="6" w:space="0" w:color="auto"/>
            </w:tcBorders>
            <w:shd w:val="clear" w:color="000000" w:fill="F2F2F2"/>
            <w:vAlign w:val="center"/>
            <w:hideMark/>
          </w:tcPr>
          <w:p w:rsidR="004F130A" w:rsidRPr="002974C4" w:rsidRDefault="004F130A" w:rsidP="00CC18B6">
            <w:pPr>
              <w:jc w:val="center"/>
              <w:rPr>
                <w:b/>
                <w:bCs/>
                <w:color w:val="000000"/>
                <w:sz w:val="18"/>
                <w:szCs w:val="18"/>
              </w:rPr>
            </w:pPr>
            <w:r w:rsidRPr="002974C4">
              <w:rPr>
                <w:b/>
                <w:bCs/>
                <w:color w:val="000000"/>
                <w:sz w:val="18"/>
                <w:szCs w:val="18"/>
              </w:rPr>
              <w:t>53 024,8</w:t>
            </w:r>
          </w:p>
        </w:tc>
        <w:tc>
          <w:tcPr>
            <w:tcW w:w="709" w:type="dxa"/>
            <w:tcBorders>
              <w:top w:val="single" w:sz="6" w:space="0" w:color="auto"/>
              <w:left w:val="single" w:sz="6" w:space="0" w:color="auto"/>
              <w:bottom w:val="single" w:sz="6" w:space="0" w:color="auto"/>
              <w:right w:val="single" w:sz="6" w:space="0" w:color="auto"/>
            </w:tcBorders>
            <w:shd w:val="clear" w:color="000000" w:fill="F2F2F2"/>
            <w:vAlign w:val="center"/>
            <w:hideMark/>
          </w:tcPr>
          <w:p w:rsidR="004F130A" w:rsidRPr="002974C4" w:rsidRDefault="004F130A" w:rsidP="00CC18B6">
            <w:pPr>
              <w:ind w:left="-108"/>
              <w:jc w:val="center"/>
              <w:rPr>
                <w:b/>
                <w:bCs/>
                <w:color w:val="000000"/>
                <w:sz w:val="18"/>
                <w:szCs w:val="18"/>
              </w:rPr>
            </w:pPr>
            <w:r w:rsidRPr="002974C4">
              <w:rPr>
                <w:b/>
                <w:bCs/>
                <w:color w:val="000000"/>
                <w:sz w:val="18"/>
                <w:szCs w:val="18"/>
              </w:rPr>
              <w:t>100</w:t>
            </w:r>
          </w:p>
        </w:tc>
        <w:tc>
          <w:tcPr>
            <w:tcW w:w="851" w:type="dxa"/>
            <w:tcBorders>
              <w:top w:val="single" w:sz="6" w:space="0" w:color="auto"/>
              <w:left w:val="single" w:sz="6" w:space="0" w:color="auto"/>
              <w:bottom w:val="single" w:sz="6" w:space="0" w:color="auto"/>
              <w:right w:val="single" w:sz="6" w:space="0" w:color="auto"/>
            </w:tcBorders>
            <w:shd w:val="clear" w:color="000000" w:fill="F2F2F2"/>
            <w:vAlign w:val="center"/>
            <w:hideMark/>
          </w:tcPr>
          <w:p w:rsidR="004F130A" w:rsidRPr="00771B92" w:rsidRDefault="004F130A" w:rsidP="00CC18B6">
            <w:pPr>
              <w:jc w:val="center"/>
              <w:rPr>
                <w:b/>
                <w:bCs/>
                <w:color w:val="000000"/>
                <w:sz w:val="18"/>
                <w:szCs w:val="18"/>
              </w:rPr>
            </w:pPr>
            <w:r w:rsidRPr="00771B92">
              <w:rPr>
                <w:b/>
                <w:bCs/>
                <w:color w:val="000000"/>
                <w:sz w:val="18"/>
                <w:szCs w:val="18"/>
              </w:rPr>
              <w:t>52 674,1</w:t>
            </w:r>
          </w:p>
        </w:tc>
        <w:tc>
          <w:tcPr>
            <w:tcW w:w="708" w:type="dxa"/>
            <w:tcBorders>
              <w:top w:val="single" w:sz="6" w:space="0" w:color="auto"/>
              <w:left w:val="single" w:sz="6" w:space="0" w:color="auto"/>
              <w:bottom w:val="single" w:sz="6" w:space="0" w:color="auto"/>
              <w:right w:val="double" w:sz="6" w:space="0" w:color="auto"/>
            </w:tcBorders>
            <w:shd w:val="clear" w:color="000000" w:fill="F2F2F2"/>
            <w:vAlign w:val="center"/>
            <w:hideMark/>
          </w:tcPr>
          <w:p w:rsidR="004F130A" w:rsidRPr="00771B92" w:rsidRDefault="004F130A" w:rsidP="00CC18B6">
            <w:pPr>
              <w:jc w:val="center"/>
              <w:rPr>
                <w:b/>
                <w:bCs/>
                <w:color w:val="000000"/>
                <w:sz w:val="18"/>
                <w:szCs w:val="18"/>
              </w:rPr>
            </w:pPr>
            <w:r w:rsidRPr="00771B92">
              <w:rPr>
                <w:b/>
                <w:bCs/>
                <w:color w:val="000000"/>
                <w:sz w:val="18"/>
                <w:szCs w:val="18"/>
              </w:rPr>
              <w:t>100</w:t>
            </w:r>
          </w:p>
        </w:tc>
      </w:tr>
      <w:tr w:rsidR="004F130A" w:rsidRPr="002974C4" w:rsidTr="004F130A">
        <w:trPr>
          <w:trHeight w:val="555"/>
        </w:trPr>
        <w:tc>
          <w:tcPr>
            <w:tcW w:w="2150" w:type="dxa"/>
            <w:tcBorders>
              <w:top w:val="single" w:sz="6" w:space="0" w:color="auto"/>
              <w:left w:val="double" w:sz="6" w:space="0" w:color="auto"/>
              <w:bottom w:val="single" w:sz="6" w:space="0" w:color="auto"/>
              <w:right w:val="single" w:sz="6" w:space="0" w:color="auto"/>
            </w:tcBorders>
            <w:shd w:val="clear" w:color="000000" w:fill="F2F2F2"/>
            <w:vAlign w:val="bottom"/>
            <w:hideMark/>
          </w:tcPr>
          <w:p w:rsidR="004F130A" w:rsidRPr="002974C4" w:rsidRDefault="004F130A" w:rsidP="006E17FC">
            <w:pPr>
              <w:rPr>
                <w:b/>
                <w:bCs/>
                <w:color w:val="000000"/>
                <w:sz w:val="20"/>
                <w:szCs w:val="20"/>
              </w:rPr>
            </w:pPr>
            <w:r w:rsidRPr="002974C4">
              <w:rPr>
                <w:b/>
                <w:bCs/>
                <w:color w:val="000000"/>
                <w:sz w:val="20"/>
                <w:szCs w:val="20"/>
              </w:rPr>
              <w:t>Верхний предел государственного долга по проекту</w:t>
            </w:r>
          </w:p>
        </w:tc>
        <w:tc>
          <w:tcPr>
            <w:tcW w:w="850" w:type="dxa"/>
            <w:tcBorders>
              <w:top w:val="single" w:sz="6" w:space="0" w:color="auto"/>
              <w:left w:val="single" w:sz="6" w:space="0" w:color="auto"/>
              <w:bottom w:val="single" w:sz="6" w:space="0" w:color="auto"/>
              <w:right w:val="single" w:sz="6" w:space="0" w:color="auto"/>
            </w:tcBorders>
            <w:shd w:val="clear" w:color="000000" w:fill="F2F2F2"/>
            <w:vAlign w:val="center"/>
            <w:hideMark/>
          </w:tcPr>
          <w:p w:rsidR="004F130A" w:rsidRPr="002974C4" w:rsidRDefault="004F130A" w:rsidP="00CC18B6">
            <w:pPr>
              <w:jc w:val="center"/>
              <w:rPr>
                <w:b/>
                <w:bCs/>
                <w:color w:val="000000"/>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000000" w:fill="F2F2F2"/>
            <w:vAlign w:val="center"/>
            <w:hideMark/>
          </w:tcPr>
          <w:p w:rsidR="004F130A" w:rsidRPr="002974C4" w:rsidRDefault="004F130A" w:rsidP="00CC18B6">
            <w:pPr>
              <w:jc w:val="center"/>
              <w:rPr>
                <w:b/>
                <w:bCs/>
                <w:color w:val="000000"/>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000000" w:fill="F2F2F2"/>
            <w:vAlign w:val="center"/>
            <w:hideMark/>
          </w:tcPr>
          <w:p w:rsidR="004F130A" w:rsidRPr="002974C4" w:rsidRDefault="004F130A" w:rsidP="00CC18B6">
            <w:pPr>
              <w:jc w:val="center"/>
              <w:rPr>
                <w:b/>
                <w:bCs/>
                <w:color w:val="000000"/>
                <w:sz w:val="18"/>
                <w:szCs w:val="18"/>
              </w:rPr>
            </w:pPr>
          </w:p>
        </w:tc>
        <w:tc>
          <w:tcPr>
            <w:tcW w:w="743" w:type="dxa"/>
            <w:tcBorders>
              <w:top w:val="single" w:sz="6" w:space="0" w:color="auto"/>
              <w:left w:val="single" w:sz="6" w:space="0" w:color="auto"/>
              <w:bottom w:val="single" w:sz="6" w:space="0" w:color="auto"/>
              <w:right w:val="single" w:sz="6" w:space="0" w:color="auto"/>
            </w:tcBorders>
            <w:shd w:val="clear" w:color="000000" w:fill="F2F2F2"/>
            <w:vAlign w:val="center"/>
            <w:hideMark/>
          </w:tcPr>
          <w:p w:rsidR="004F130A" w:rsidRPr="002974C4" w:rsidRDefault="004F130A" w:rsidP="00CC18B6">
            <w:pPr>
              <w:jc w:val="center"/>
              <w:rPr>
                <w:b/>
                <w:bCs/>
                <w:color w:val="000000"/>
                <w:sz w:val="18"/>
                <w:szCs w:val="18"/>
              </w:rPr>
            </w:pPr>
          </w:p>
        </w:tc>
        <w:tc>
          <w:tcPr>
            <w:tcW w:w="817" w:type="dxa"/>
            <w:tcBorders>
              <w:top w:val="single" w:sz="6" w:space="0" w:color="auto"/>
              <w:left w:val="single" w:sz="6" w:space="0" w:color="auto"/>
              <w:bottom w:val="single" w:sz="6" w:space="0" w:color="auto"/>
              <w:right w:val="single" w:sz="6" w:space="0" w:color="auto"/>
            </w:tcBorders>
            <w:shd w:val="clear" w:color="000000" w:fill="F2F2F2"/>
            <w:vAlign w:val="center"/>
            <w:hideMark/>
          </w:tcPr>
          <w:p w:rsidR="004F130A" w:rsidRPr="002974C4" w:rsidRDefault="004F130A" w:rsidP="00CC18B6">
            <w:pPr>
              <w:ind w:left="-142"/>
              <w:jc w:val="center"/>
              <w:rPr>
                <w:b/>
                <w:bCs/>
                <w:color w:val="000000"/>
                <w:sz w:val="18"/>
                <w:szCs w:val="18"/>
              </w:rPr>
            </w:pPr>
            <w:r w:rsidRPr="002974C4">
              <w:rPr>
                <w:b/>
                <w:bCs/>
                <w:color w:val="000000"/>
                <w:sz w:val="18"/>
                <w:szCs w:val="18"/>
              </w:rPr>
              <w:t>54 302,8</w:t>
            </w:r>
          </w:p>
        </w:tc>
        <w:tc>
          <w:tcPr>
            <w:tcW w:w="708" w:type="dxa"/>
            <w:tcBorders>
              <w:top w:val="single" w:sz="6" w:space="0" w:color="auto"/>
              <w:left w:val="single" w:sz="6" w:space="0" w:color="auto"/>
              <w:bottom w:val="single" w:sz="6" w:space="0" w:color="auto"/>
              <w:right w:val="single" w:sz="6" w:space="0" w:color="auto"/>
            </w:tcBorders>
            <w:shd w:val="clear" w:color="000000" w:fill="F2F2F2"/>
            <w:vAlign w:val="center"/>
            <w:hideMark/>
          </w:tcPr>
          <w:p w:rsidR="004F130A" w:rsidRPr="002974C4" w:rsidRDefault="004F130A" w:rsidP="00CC18B6">
            <w:pPr>
              <w:jc w:val="center"/>
              <w:rPr>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F2F2F2"/>
            <w:vAlign w:val="center"/>
            <w:hideMark/>
          </w:tcPr>
          <w:p w:rsidR="004F130A" w:rsidRPr="002974C4" w:rsidRDefault="004F130A" w:rsidP="00CC18B6">
            <w:pPr>
              <w:jc w:val="center"/>
              <w:rPr>
                <w:b/>
                <w:bCs/>
                <w:color w:val="000000"/>
                <w:sz w:val="18"/>
                <w:szCs w:val="18"/>
              </w:rPr>
            </w:pPr>
            <w:r w:rsidRPr="002974C4">
              <w:rPr>
                <w:b/>
                <w:bCs/>
                <w:color w:val="000000"/>
                <w:sz w:val="18"/>
                <w:szCs w:val="18"/>
              </w:rPr>
              <w:t>53 024,8</w:t>
            </w:r>
          </w:p>
        </w:tc>
        <w:tc>
          <w:tcPr>
            <w:tcW w:w="709" w:type="dxa"/>
            <w:tcBorders>
              <w:top w:val="single" w:sz="6" w:space="0" w:color="auto"/>
              <w:left w:val="single" w:sz="6" w:space="0" w:color="auto"/>
              <w:bottom w:val="single" w:sz="6" w:space="0" w:color="auto"/>
              <w:right w:val="single" w:sz="6" w:space="0" w:color="auto"/>
            </w:tcBorders>
            <w:shd w:val="clear" w:color="000000" w:fill="F2F2F2"/>
            <w:vAlign w:val="center"/>
            <w:hideMark/>
          </w:tcPr>
          <w:p w:rsidR="004F130A" w:rsidRPr="002974C4" w:rsidRDefault="004F130A" w:rsidP="00CC18B6">
            <w:pPr>
              <w:jc w:val="center"/>
              <w:rPr>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F2F2F2"/>
            <w:vAlign w:val="center"/>
            <w:hideMark/>
          </w:tcPr>
          <w:p w:rsidR="004F130A" w:rsidRPr="00771B92" w:rsidRDefault="004F130A" w:rsidP="00CC18B6">
            <w:pPr>
              <w:jc w:val="center"/>
              <w:rPr>
                <w:b/>
                <w:bCs/>
                <w:color w:val="000000"/>
                <w:sz w:val="18"/>
                <w:szCs w:val="18"/>
              </w:rPr>
            </w:pPr>
            <w:r w:rsidRPr="00771B92">
              <w:rPr>
                <w:b/>
                <w:bCs/>
                <w:color w:val="000000"/>
                <w:sz w:val="18"/>
                <w:szCs w:val="18"/>
              </w:rPr>
              <w:t>52 674,1</w:t>
            </w:r>
          </w:p>
        </w:tc>
        <w:tc>
          <w:tcPr>
            <w:tcW w:w="708" w:type="dxa"/>
            <w:tcBorders>
              <w:top w:val="single" w:sz="6" w:space="0" w:color="auto"/>
              <w:left w:val="single" w:sz="6" w:space="0" w:color="auto"/>
              <w:bottom w:val="single" w:sz="6" w:space="0" w:color="auto"/>
              <w:right w:val="double" w:sz="6" w:space="0" w:color="auto"/>
            </w:tcBorders>
            <w:shd w:val="clear" w:color="000000" w:fill="F2F2F2"/>
            <w:vAlign w:val="center"/>
            <w:hideMark/>
          </w:tcPr>
          <w:p w:rsidR="004F130A" w:rsidRPr="00771B92" w:rsidRDefault="004F130A" w:rsidP="00CC18B6">
            <w:pPr>
              <w:jc w:val="center"/>
              <w:rPr>
                <w:b/>
                <w:bCs/>
                <w:color w:val="000000"/>
                <w:sz w:val="18"/>
                <w:szCs w:val="18"/>
              </w:rPr>
            </w:pPr>
          </w:p>
        </w:tc>
      </w:tr>
      <w:tr w:rsidR="004F130A" w:rsidRPr="002974C4" w:rsidTr="004F130A">
        <w:trPr>
          <w:trHeight w:val="330"/>
        </w:trPr>
        <w:tc>
          <w:tcPr>
            <w:tcW w:w="2150" w:type="dxa"/>
            <w:tcBorders>
              <w:top w:val="single" w:sz="6" w:space="0" w:color="auto"/>
              <w:left w:val="double" w:sz="6" w:space="0" w:color="auto"/>
              <w:bottom w:val="double" w:sz="6" w:space="0" w:color="auto"/>
              <w:right w:val="single" w:sz="6" w:space="0" w:color="auto"/>
            </w:tcBorders>
            <w:shd w:val="clear" w:color="auto" w:fill="auto"/>
            <w:vAlign w:val="bottom"/>
            <w:hideMark/>
          </w:tcPr>
          <w:p w:rsidR="004F130A" w:rsidRPr="002974C4" w:rsidRDefault="004F130A" w:rsidP="006E17FC">
            <w:pPr>
              <w:rPr>
                <w:color w:val="000000"/>
                <w:sz w:val="20"/>
                <w:szCs w:val="20"/>
              </w:rPr>
            </w:pPr>
            <w:r>
              <w:rPr>
                <w:color w:val="000000"/>
                <w:sz w:val="20"/>
                <w:szCs w:val="20"/>
              </w:rPr>
              <w:t>в</w:t>
            </w:r>
            <w:r w:rsidRPr="002974C4">
              <w:rPr>
                <w:color w:val="000000"/>
                <w:sz w:val="20"/>
                <w:szCs w:val="20"/>
              </w:rPr>
              <w:t xml:space="preserve"> т. ч. по государственным гара</w:t>
            </w:r>
            <w:r>
              <w:rPr>
                <w:color w:val="000000"/>
                <w:sz w:val="20"/>
                <w:szCs w:val="20"/>
              </w:rPr>
              <w:t>нтиям</w:t>
            </w:r>
          </w:p>
        </w:tc>
        <w:tc>
          <w:tcPr>
            <w:tcW w:w="850" w:type="dxa"/>
            <w:tcBorders>
              <w:top w:val="single" w:sz="6" w:space="0" w:color="auto"/>
              <w:left w:val="single" w:sz="6" w:space="0" w:color="auto"/>
              <w:bottom w:val="doub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p>
        </w:tc>
        <w:tc>
          <w:tcPr>
            <w:tcW w:w="709" w:type="dxa"/>
            <w:tcBorders>
              <w:top w:val="single" w:sz="6" w:space="0" w:color="auto"/>
              <w:left w:val="single" w:sz="6" w:space="0" w:color="auto"/>
              <w:bottom w:val="doub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p>
        </w:tc>
        <w:tc>
          <w:tcPr>
            <w:tcW w:w="850" w:type="dxa"/>
            <w:tcBorders>
              <w:top w:val="single" w:sz="6" w:space="0" w:color="auto"/>
              <w:left w:val="single" w:sz="6" w:space="0" w:color="auto"/>
              <w:bottom w:val="doub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p>
        </w:tc>
        <w:tc>
          <w:tcPr>
            <w:tcW w:w="743" w:type="dxa"/>
            <w:tcBorders>
              <w:top w:val="single" w:sz="6" w:space="0" w:color="auto"/>
              <w:left w:val="single" w:sz="6" w:space="0" w:color="auto"/>
              <w:bottom w:val="doub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p>
        </w:tc>
        <w:tc>
          <w:tcPr>
            <w:tcW w:w="817" w:type="dxa"/>
            <w:tcBorders>
              <w:top w:val="single" w:sz="6" w:space="0" w:color="auto"/>
              <w:left w:val="single" w:sz="6" w:space="0" w:color="auto"/>
              <w:bottom w:val="double" w:sz="6" w:space="0" w:color="auto"/>
              <w:right w:val="single" w:sz="6" w:space="0" w:color="auto"/>
            </w:tcBorders>
            <w:shd w:val="clear" w:color="auto" w:fill="auto"/>
            <w:vAlign w:val="center"/>
            <w:hideMark/>
          </w:tcPr>
          <w:p w:rsidR="004F130A" w:rsidRPr="002974C4" w:rsidRDefault="004F130A" w:rsidP="00CC18B6">
            <w:pPr>
              <w:ind w:left="-142"/>
              <w:jc w:val="center"/>
              <w:rPr>
                <w:color w:val="000000"/>
                <w:sz w:val="18"/>
                <w:szCs w:val="18"/>
              </w:rPr>
            </w:pPr>
            <w:r w:rsidRPr="002974C4">
              <w:rPr>
                <w:color w:val="000000"/>
                <w:sz w:val="18"/>
                <w:szCs w:val="18"/>
              </w:rPr>
              <w:t>528,7</w:t>
            </w:r>
          </w:p>
        </w:tc>
        <w:tc>
          <w:tcPr>
            <w:tcW w:w="708" w:type="dxa"/>
            <w:tcBorders>
              <w:top w:val="single" w:sz="6" w:space="0" w:color="auto"/>
              <w:left w:val="single" w:sz="6" w:space="0" w:color="auto"/>
              <w:bottom w:val="doub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p>
        </w:tc>
        <w:tc>
          <w:tcPr>
            <w:tcW w:w="851" w:type="dxa"/>
            <w:tcBorders>
              <w:top w:val="single" w:sz="6" w:space="0" w:color="auto"/>
              <w:left w:val="single" w:sz="6" w:space="0" w:color="auto"/>
              <w:bottom w:val="doub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r w:rsidRPr="002974C4">
              <w:rPr>
                <w:color w:val="000000"/>
                <w:sz w:val="18"/>
                <w:szCs w:val="18"/>
              </w:rPr>
              <w:t>350,7</w:t>
            </w:r>
          </w:p>
        </w:tc>
        <w:tc>
          <w:tcPr>
            <w:tcW w:w="709" w:type="dxa"/>
            <w:tcBorders>
              <w:top w:val="single" w:sz="6" w:space="0" w:color="auto"/>
              <w:left w:val="single" w:sz="6" w:space="0" w:color="auto"/>
              <w:bottom w:val="double" w:sz="6" w:space="0" w:color="auto"/>
              <w:right w:val="single" w:sz="6" w:space="0" w:color="auto"/>
            </w:tcBorders>
            <w:shd w:val="clear" w:color="auto" w:fill="auto"/>
            <w:vAlign w:val="center"/>
            <w:hideMark/>
          </w:tcPr>
          <w:p w:rsidR="004F130A" w:rsidRPr="002974C4" w:rsidRDefault="004F130A" w:rsidP="00CC18B6">
            <w:pPr>
              <w:jc w:val="center"/>
              <w:rPr>
                <w:color w:val="000000"/>
                <w:sz w:val="18"/>
                <w:szCs w:val="18"/>
              </w:rPr>
            </w:pPr>
          </w:p>
        </w:tc>
        <w:tc>
          <w:tcPr>
            <w:tcW w:w="851" w:type="dxa"/>
            <w:tcBorders>
              <w:top w:val="single" w:sz="6" w:space="0" w:color="auto"/>
              <w:left w:val="single" w:sz="6" w:space="0" w:color="auto"/>
              <w:bottom w:val="double" w:sz="6" w:space="0" w:color="auto"/>
              <w:right w:val="single" w:sz="6" w:space="0" w:color="auto"/>
            </w:tcBorders>
            <w:shd w:val="clear" w:color="auto" w:fill="auto"/>
            <w:vAlign w:val="center"/>
            <w:hideMark/>
          </w:tcPr>
          <w:p w:rsidR="004F130A" w:rsidRPr="00771B92" w:rsidRDefault="004F130A" w:rsidP="00CC18B6">
            <w:pPr>
              <w:jc w:val="center"/>
              <w:rPr>
                <w:color w:val="000000"/>
                <w:sz w:val="18"/>
                <w:szCs w:val="18"/>
              </w:rPr>
            </w:pPr>
            <w:r w:rsidRPr="00771B92">
              <w:rPr>
                <w:color w:val="000000"/>
                <w:sz w:val="18"/>
                <w:szCs w:val="18"/>
              </w:rPr>
              <w:t>0,0</w:t>
            </w:r>
          </w:p>
        </w:tc>
        <w:tc>
          <w:tcPr>
            <w:tcW w:w="708" w:type="dxa"/>
            <w:tcBorders>
              <w:top w:val="single" w:sz="6" w:space="0" w:color="auto"/>
              <w:left w:val="single" w:sz="6" w:space="0" w:color="auto"/>
              <w:bottom w:val="double" w:sz="6" w:space="0" w:color="auto"/>
              <w:right w:val="double" w:sz="6" w:space="0" w:color="auto"/>
            </w:tcBorders>
            <w:shd w:val="clear" w:color="auto" w:fill="auto"/>
            <w:vAlign w:val="center"/>
            <w:hideMark/>
          </w:tcPr>
          <w:p w:rsidR="004F130A" w:rsidRPr="00771B92" w:rsidRDefault="004F130A" w:rsidP="00CC18B6">
            <w:pPr>
              <w:jc w:val="center"/>
              <w:rPr>
                <w:color w:val="000000"/>
                <w:sz w:val="18"/>
                <w:szCs w:val="18"/>
              </w:rPr>
            </w:pPr>
          </w:p>
        </w:tc>
      </w:tr>
    </w:tbl>
    <w:p w:rsidR="004F130A" w:rsidRDefault="004F130A" w:rsidP="004F130A">
      <w:pPr>
        <w:jc w:val="both"/>
        <w:rPr>
          <w:b/>
          <w:bCs/>
          <w:color w:val="548DD4" w:themeColor="text2" w:themeTint="99"/>
          <w:sz w:val="20"/>
          <w:szCs w:val="20"/>
        </w:rPr>
      </w:pPr>
    </w:p>
    <w:p w:rsidR="004F130A" w:rsidRDefault="004F130A" w:rsidP="004F130A">
      <w:pPr>
        <w:ind w:firstLine="720"/>
        <w:jc w:val="both"/>
        <w:rPr>
          <w:b/>
          <w:bCs/>
          <w:color w:val="548DD4" w:themeColor="text2" w:themeTint="99"/>
          <w:sz w:val="20"/>
          <w:szCs w:val="20"/>
        </w:rPr>
      </w:pPr>
    </w:p>
    <w:p w:rsidR="004F130A" w:rsidRPr="00771B92" w:rsidRDefault="004F130A" w:rsidP="004F130A">
      <w:pPr>
        <w:ind w:firstLine="720"/>
        <w:jc w:val="both"/>
      </w:pPr>
      <w:r w:rsidRPr="00771B92">
        <w:rPr>
          <w:bCs/>
        </w:rPr>
        <w:t>Из представленных в таблице данных видно, что показатели расчетного государственного внутреннего долга соответствуют показателям</w:t>
      </w:r>
      <w:r w:rsidRPr="00771B92">
        <w:t xml:space="preserve"> верхнего предела государственного внутреннего долга, утверждаемые в статье 2 законопроекта. </w:t>
      </w:r>
    </w:p>
    <w:p w:rsidR="004F130A" w:rsidRPr="00771B92" w:rsidRDefault="004F130A" w:rsidP="004F130A">
      <w:pPr>
        <w:ind w:firstLine="720"/>
        <w:jc w:val="both"/>
      </w:pPr>
      <w:r w:rsidRPr="00771B92">
        <w:t>В связи с вышеизложенным вынужденным замещением бюджетных кредитов коммерческими заимствованиями доля последних в государственном долге по итогам 2017 года повысится с 54,9 до 93,5%, а по итогам 2019 года составит 96,2 процента.</w:t>
      </w:r>
    </w:p>
    <w:p w:rsidR="004F130A" w:rsidRDefault="004F130A" w:rsidP="004F130A">
      <w:pPr>
        <w:ind w:firstLine="720"/>
        <w:jc w:val="both"/>
        <w:rPr>
          <w:color w:val="548DD4" w:themeColor="text2" w:themeTint="99"/>
        </w:rPr>
      </w:pPr>
    </w:p>
    <w:p w:rsidR="00893015" w:rsidRDefault="003824C5" w:rsidP="00893015">
      <w:pPr>
        <w:ind w:firstLine="708"/>
        <w:jc w:val="center"/>
        <w:rPr>
          <w:b/>
          <w:i/>
        </w:rPr>
      </w:pPr>
      <w:r>
        <w:rPr>
          <w:b/>
          <w:i/>
        </w:rPr>
        <w:lastRenderedPageBreak/>
        <w:t>5</w:t>
      </w:r>
      <w:r w:rsidR="00893015" w:rsidRPr="00A27310">
        <w:rPr>
          <w:b/>
          <w:i/>
        </w:rPr>
        <w:t>. Общий объем межбюджетных трансфертов.</w:t>
      </w:r>
    </w:p>
    <w:p w:rsidR="004F130A" w:rsidRPr="00A27310" w:rsidRDefault="004F130A" w:rsidP="00893015">
      <w:pPr>
        <w:ind w:firstLine="708"/>
        <w:jc w:val="center"/>
        <w:rPr>
          <w:b/>
          <w:i/>
        </w:rPr>
      </w:pPr>
    </w:p>
    <w:p w:rsidR="004F130A" w:rsidRPr="00905350" w:rsidRDefault="004F130A" w:rsidP="004F130A">
      <w:pPr>
        <w:ind w:firstLine="720"/>
        <w:jc w:val="both"/>
        <w:rPr>
          <w:rFonts w:eastAsia="TimesNewRomanPSMT"/>
        </w:rPr>
      </w:pPr>
      <w:r>
        <w:rPr>
          <w:rFonts w:eastAsia="TimesNewRomanPSMT"/>
        </w:rPr>
        <w:t xml:space="preserve">Объем межбюджетных трансфертов из областного бюджета местным бюджетам на 2017 год предусмотрен </w:t>
      </w:r>
      <w:r w:rsidRPr="00905350">
        <w:rPr>
          <w:rFonts w:eastAsia="TimesNewRomanPSMT"/>
        </w:rPr>
        <w:t>в сумме 18195,5 млн. руб. с умен</w:t>
      </w:r>
      <w:r>
        <w:rPr>
          <w:rFonts w:eastAsia="TimesNewRomanPSMT"/>
        </w:rPr>
        <w:t>ьшением к уровню 2016 года на 7</w:t>
      </w:r>
      <w:r w:rsidRPr="00905350">
        <w:rPr>
          <w:rFonts w:eastAsia="TimesNewRomanPSMT"/>
        </w:rPr>
        <w:t>4</w:t>
      </w:r>
      <w:r>
        <w:rPr>
          <w:rFonts w:eastAsia="TimesNewRomanPSMT"/>
        </w:rPr>
        <w:t>06,7</w:t>
      </w:r>
      <w:r w:rsidRPr="00905350">
        <w:rPr>
          <w:rFonts w:eastAsia="TimesNewRomanPSMT"/>
        </w:rPr>
        <w:t xml:space="preserve"> млн. руб., или </w:t>
      </w:r>
      <w:r w:rsidR="00B303DD">
        <w:rPr>
          <w:rFonts w:eastAsia="TimesNewRomanPSMT"/>
        </w:rPr>
        <w:t xml:space="preserve">на </w:t>
      </w:r>
      <w:r>
        <w:rPr>
          <w:rFonts w:eastAsia="TimesNewRomanPSMT"/>
        </w:rPr>
        <w:t>28,9 процента</w:t>
      </w:r>
      <w:r w:rsidRPr="00905350">
        <w:rPr>
          <w:rFonts w:eastAsia="TimesNewRomanPSMT"/>
        </w:rPr>
        <w:t>. Показатели объемов межбюджетных трансфертов из областного бюджета местным бюджетам на 2017-2019 годы в сравнении с аналогичными показателями 2015-2016 годов приведены в таблице:</w:t>
      </w:r>
    </w:p>
    <w:p w:rsidR="004F130A" w:rsidRPr="004F130A" w:rsidRDefault="004F130A" w:rsidP="004F130A">
      <w:pPr>
        <w:ind w:firstLine="720"/>
        <w:jc w:val="right"/>
        <w:rPr>
          <w:rFonts w:eastAsia="TimesNewRomanPSMT"/>
          <w:sz w:val="20"/>
          <w:szCs w:val="20"/>
        </w:rPr>
      </w:pPr>
      <w:r w:rsidRPr="004F130A">
        <w:rPr>
          <w:rFonts w:eastAsia="TimesNewRomanPSMT"/>
          <w:sz w:val="20"/>
          <w:szCs w:val="20"/>
        </w:rPr>
        <w:t>млн. руб.</w:t>
      </w:r>
    </w:p>
    <w:tbl>
      <w:tblPr>
        <w:tblW w:w="970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544"/>
        <w:gridCol w:w="879"/>
        <w:gridCol w:w="878"/>
        <w:gridCol w:w="878"/>
        <w:gridCol w:w="878"/>
        <w:gridCol w:w="878"/>
        <w:gridCol w:w="908"/>
        <w:gridCol w:w="861"/>
      </w:tblGrid>
      <w:tr w:rsidR="004F130A" w:rsidRPr="00E7654C" w:rsidTr="006E17FC">
        <w:trPr>
          <w:trHeight w:val="255"/>
        </w:trPr>
        <w:tc>
          <w:tcPr>
            <w:tcW w:w="3544" w:type="dxa"/>
            <w:vMerge w:val="restart"/>
            <w:tcBorders>
              <w:top w:val="double" w:sz="4" w:space="0" w:color="auto"/>
              <w:left w:val="double" w:sz="4" w:space="0" w:color="auto"/>
              <w:right w:val="double" w:sz="4" w:space="0" w:color="auto"/>
            </w:tcBorders>
            <w:shd w:val="clear" w:color="auto" w:fill="auto"/>
            <w:vAlign w:val="center"/>
            <w:hideMark/>
          </w:tcPr>
          <w:p w:rsidR="004F130A" w:rsidRPr="00E7654C" w:rsidRDefault="004F130A" w:rsidP="006E17FC">
            <w:pPr>
              <w:jc w:val="center"/>
              <w:rPr>
                <w:sz w:val="18"/>
                <w:szCs w:val="18"/>
              </w:rPr>
            </w:pPr>
            <w:r w:rsidRPr="00E7654C">
              <w:rPr>
                <w:sz w:val="18"/>
                <w:szCs w:val="18"/>
              </w:rPr>
              <w:t>МЕЖБЮДЖЕТНЫЕ ТРАНСФЕРТЫ</w:t>
            </w:r>
          </w:p>
        </w:tc>
        <w:tc>
          <w:tcPr>
            <w:tcW w:w="879" w:type="dxa"/>
            <w:tcBorders>
              <w:top w:val="double" w:sz="4" w:space="0" w:color="auto"/>
              <w:left w:val="double" w:sz="4" w:space="0" w:color="auto"/>
              <w:right w:val="double" w:sz="4" w:space="0" w:color="auto"/>
            </w:tcBorders>
            <w:shd w:val="clear" w:color="auto" w:fill="auto"/>
            <w:vAlign w:val="center"/>
            <w:hideMark/>
          </w:tcPr>
          <w:p w:rsidR="004F130A" w:rsidRPr="00E7654C" w:rsidRDefault="004F130A" w:rsidP="007C723F">
            <w:pPr>
              <w:jc w:val="center"/>
              <w:rPr>
                <w:sz w:val="18"/>
                <w:szCs w:val="18"/>
              </w:rPr>
            </w:pPr>
            <w:r w:rsidRPr="00E7654C">
              <w:rPr>
                <w:sz w:val="18"/>
                <w:szCs w:val="18"/>
              </w:rPr>
              <w:t>2015 г.</w:t>
            </w:r>
          </w:p>
        </w:tc>
        <w:tc>
          <w:tcPr>
            <w:tcW w:w="878" w:type="dxa"/>
            <w:tcBorders>
              <w:top w:val="double" w:sz="4" w:space="0" w:color="auto"/>
              <w:left w:val="double" w:sz="4" w:space="0" w:color="auto"/>
              <w:right w:val="double" w:sz="4" w:space="0" w:color="auto"/>
            </w:tcBorders>
            <w:shd w:val="clear" w:color="auto" w:fill="auto"/>
            <w:vAlign w:val="center"/>
            <w:hideMark/>
          </w:tcPr>
          <w:p w:rsidR="004F130A" w:rsidRPr="00E7654C" w:rsidRDefault="004F130A" w:rsidP="007C723F">
            <w:pPr>
              <w:jc w:val="center"/>
              <w:rPr>
                <w:sz w:val="18"/>
                <w:szCs w:val="18"/>
              </w:rPr>
            </w:pPr>
            <w:r w:rsidRPr="00E7654C">
              <w:rPr>
                <w:sz w:val="18"/>
                <w:szCs w:val="18"/>
              </w:rPr>
              <w:t>2016 г.</w:t>
            </w:r>
          </w:p>
        </w:tc>
        <w:tc>
          <w:tcPr>
            <w:tcW w:w="878" w:type="dxa"/>
            <w:tcBorders>
              <w:top w:val="double" w:sz="4" w:space="0" w:color="auto"/>
              <w:left w:val="double" w:sz="4" w:space="0" w:color="auto"/>
            </w:tcBorders>
            <w:shd w:val="clear" w:color="auto" w:fill="auto"/>
            <w:vAlign w:val="center"/>
            <w:hideMark/>
          </w:tcPr>
          <w:p w:rsidR="004F130A" w:rsidRPr="00E7654C" w:rsidRDefault="004F130A" w:rsidP="007C723F">
            <w:pPr>
              <w:jc w:val="center"/>
              <w:rPr>
                <w:sz w:val="18"/>
                <w:szCs w:val="18"/>
              </w:rPr>
            </w:pPr>
            <w:r w:rsidRPr="00E7654C">
              <w:rPr>
                <w:sz w:val="18"/>
                <w:szCs w:val="18"/>
              </w:rPr>
              <w:t>2017 г.</w:t>
            </w:r>
          </w:p>
        </w:tc>
        <w:tc>
          <w:tcPr>
            <w:tcW w:w="878" w:type="dxa"/>
            <w:tcBorders>
              <w:top w:val="double" w:sz="4" w:space="0" w:color="auto"/>
            </w:tcBorders>
            <w:shd w:val="clear" w:color="auto" w:fill="auto"/>
            <w:vAlign w:val="center"/>
            <w:hideMark/>
          </w:tcPr>
          <w:p w:rsidR="004F130A" w:rsidRPr="00E7654C" w:rsidRDefault="004F130A" w:rsidP="007C723F">
            <w:pPr>
              <w:jc w:val="center"/>
              <w:rPr>
                <w:sz w:val="18"/>
                <w:szCs w:val="18"/>
              </w:rPr>
            </w:pPr>
            <w:r w:rsidRPr="00E7654C">
              <w:rPr>
                <w:sz w:val="18"/>
                <w:szCs w:val="18"/>
              </w:rPr>
              <w:t>2018 г.</w:t>
            </w:r>
          </w:p>
        </w:tc>
        <w:tc>
          <w:tcPr>
            <w:tcW w:w="878" w:type="dxa"/>
            <w:tcBorders>
              <w:top w:val="double" w:sz="4" w:space="0" w:color="auto"/>
              <w:right w:val="double" w:sz="4" w:space="0" w:color="auto"/>
            </w:tcBorders>
            <w:shd w:val="clear" w:color="auto" w:fill="auto"/>
            <w:vAlign w:val="center"/>
            <w:hideMark/>
          </w:tcPr>
          <w:p w:rsidR="004F130A" w:rsidRPr="00E7654C" w:rsidRDefault="004F130A" w:rsidP="007C723F">
            <w:pPr>
              <w:jc w:val="center"/>
              <w:rPr>
                <w:sz w:val="18"/>
                <w:szCs w:val="18"/>
              </w:rPr>
            </w:pPr>
            <w:r w:rsidRPr="00E7654C">
              <w:rPr>
                <w:sz w:val="18"/>
                <w:szCs w:val="18"/>
              </w:rPr>
              <w:t>2019 г.</w:t>
            </w:r>
          </w:p>
        </w:tc>
        <w:tc>
          <w:tcPr>
            <w:tcW w:w="1769" w:type="dxa"/>
            <w:gridSpan w:val="2"/>
            <w:tcBorders>
              <w:top w:val="double" w:sz="4" w:space="0" w:color="auto"/>
              <w:left w:val="double" w:sz="4" w:space="0" w:color="auto"/>
              <w:right w:val="double" w:sz="4" w:space="0" w:color="auto"/>
            </w:tcBorders>
            <w:shd w:val="clear" w:color="auto" w:fill="auto"/>
            <w:vAlign w:val="center"/>
            <w:hideMark/>
          </w:tcPr>
          <w:p w:rsidR="004F130A" w:rsidRPr="00E7654C" w:rsidRDefault="004F130A" w:rsidP="007C723F">
            <w:pPr>
              <w:jc w:val="center"/>
              <w:rPr>
                <w:sz w:val="18"/>
                <w:szCs w:val="18"/>
              </w:rPr>
            </w:pPr>
            <w:r w:rsidRPr="00E7654C">
              <w:rPr>
                <w:sz w:val="18"/>
                <w:szCs w:val="18"/>
              </w:rPr>
              <w:t>2017 г. / 2016 г.</w:t>
            </w:r>
          </w:p>
        </w:tc>
      </w:tr>
      <w:tr w:rsidR="004F130A" w:rsidRPr="00E7654C" w:rsidTr="006E17FC">
        <w:trPr>
          <w:trHeight w:val="270"/>
        </w:trPr>
        <w:tc>
          <w:tcPr>
            <w:tcW w:w="3544" w:type="dxa"/>
            <w:vMerge/>
            <w:tcBorders>
              <w:left w:val="double" w:sz="4" w:space="0" w:color="auto"/>
              <w:bottom w:val="double" w:sz="4" w:space="0" w:color="auto"/>
              <w:right w:val="double" w:sz="4" w:space="0" w:color="auto"/>
            </w:tcBorders>
            <w:vAlign w:val="center"/>
            <w:hideMark/>
          </w:tcPr>
          <w:p w:rsidR="004F130A" w:rsidRPr="00E7654C" w:rsidRDefault="004F130A" w:rsidP="006E17FC">
            <w:pPr>
              <w:rPr>
                <w:sz w:val="18"/>
                <w:szCs w:val="18"/>
              </w:rPr>
            </w:pPr>
          </w:p>
        </w:tc>
        <w:tc>
          <w:tcPr>
            <w:tcW w:w="879" w:type="dxa"/>
            <w:tcBorders>
              <w:left w:val="double" w:sz="4" w:space="0" w:color="auto"/>
              <w:bottom w:val="double" w:sz="4" w:space="0" w:color="auto"/>
              <w:right w:val="double" w:sz="4" w:space="0" w:color="auto"/>
            </w:tcBorders>
            <w:shd w:val="clear" w:color="auto" w:fill="auto"/>
            <w:vAlign w:val="center"/>
            <w:hideMark/>
          </w:tcPr>
          <w:p w:rsidR="004F130A" w:rsidRPr="00E7654C" w:rsidRDefault="004F130A" w:rsidP="007C723F">
            <w:pPr>
              <w:jc w:val="center"/>
              <w:rPr>
                <w:sz w:val="18"/>
                <w:szCs w:val="18"/>
              </w:rPr>
            </w:pPr>
            <w:r w:rsidRPr="00E7654C">
              <w:rPr>
                <w:sz w:val="18"/>
                <w:szCs w:val="18"/>
              </w:rPr>
              <w:t>факт</w:t>
            </w:r>
          </w:p>
        </w:tc>
        <w:tc>
          <w:tcPr>
            <w:tcW w:w="878" w:type="dxa"/>
            <w:tcBorders>
              <w:left w:val="double" w:sz="4" w:space="0" w:color="auto"/>
              <w:bottom w:val="double" w:sz="4" w:space="0" w:color="auto"/>
              <w:right w:val="double" w:sz="4" w:space="0" w:color="auto"/>
            </w:tcBorders>
            <w:shd w:val="clear" w:color="auto" w:fill="auto"/>
            <w:vAlign w:val="center"/>
            <w:hideMark/>
          </w:tcPr>
          <w:p w:rsidR="004F130A" w:rsidRPr="00E7654C" w:rsidRDefault="004F130A" w:rsidP="007C723F">
            <w:pPr>
              <w:jc w:val="center"/>
              <w:rPr>
                <w:sz w:val="18"/>
                <w:szCs w:val="18"/>
              </w:rPr>
            </w:pPr>
            <w:r w:rsidRPr="00E7654C">
              <w:rPr>
                <w:sz w:val="18"/>
                <w:szCs w:val="18"/>
              </w:rPr>
              <w:t>план</w:t>
            </w:r>
          </w:p>
        </w:tc>
        <w:tc>
          <w:tcPr>
            <w:tcW w:w="2634" w:type="dxa"/>
            <w:gridSpan w:val="3"/>
            <w:tcBorders>
              <w:left w:val="double" w:sz="4" w:space="0" w:color="auto"/>
              <w:bottom w:val="double" w:sz="4" w:space="0" w:color="auto"/>
              <w:right w:val="double" w:sz="4" w:space="0" w:color="auto"/>
            </w:tcBorders>
            <w:shd w:val="clear" w:color="auto" w:fill="auto"/>
            <w:vAlign w:val="center"/>
            <w:hideMark/>
          </w:tcPr>
          <w:p w:rsidR="004F130A" w:rsidRPr="00E7654C" w:rsidRDefault="004F130A" w:rsidP="007C723F">
            <w:pPr>
              <w:jc w:val="center"/>
              <w:rPr>
                <w:sz w:val="18"/>
                <w:szCs w:val="18"/>
              </w:rPr>
            </w:pPr>
            <w:r w:rsidRPr="00E7654C">
              <w:rPr>
                <w:sz w:val="18"/>
                <w:szCs w:val="18"/>
              </w:rPr>
              <w:t>проект</w:t>
            </w:r>
          </w:p>
        </w:tc>
        <w:tc>
          <w:tcPr>
            <w:tcW w:w="908" w:type="dxa"/>
            <w:tcBorders>
              <w:left w:val="double" w:sz="4" w:space="0" w:color="auto"/>
              <w:bottom w:val="double" w:sz="4" w:space="0" w:color="auto"/>
            </w:tcBorders>
            <w:shd w:val="clear" w:color="auto" w:fill="auto"/>
            <w:vAlign w:val="center"/>
            <w:hideMark/>
          </w:tcPr>
          <w:p w:rsidR="004F130A" w:rsidRPr="00E7654C" w:rsidRDefault="004F130A" w:rsidP="007C723F">
            <w:pPr>
              <w:ind w:left="-50" w:right="-108"/>
              <w:jc w:val="center"/>
              <w:rPr>
                <w:sz w:val="18"/>
                <w:szCs w:val="18"/>
              </w:rPr>
            </w:pPr>
            <w:r w:rsidRPr="00E7654C">
              <w:rPr>
                <w:sz w:val="18"/>
                <w:szCs w:val="18"/>
              </w:rPr>
              <w:t>млн. руб.</w:t>
            </w:r>
          </w:p>
        </w:tc>
        <w:tc>
          <w:tcPr>
            <w:tcW w:w="861" w:type="dxa"/>
            <w:tcBorders>
              <w:bottom w:val="double" w:sz="4" w:space="0" w:color="auto"/>
              <w:right w:val="double" w:sz="4" w:space="0" w:color="auto"/>
            </w:tcBorders>
            <w:shd w:val="clear" w:color="auto" w:fill="auto"/>
            <w:vAlign w:val="center"/>
            <w:hideMark/>
          </w:tcPr>
          <w:p w:rsidR="004F130A" w:rsidRPr="00E7654C" w:rsidRDefault="004F130A" w:rsidP="007C723F">
            <w:pPr>
              <w:jc w:val="center"/>
              <w:rPr>
                <w:sz w:val="18"/>
                <w:szCs w:val="18"/>
              </w:rPr>
            </w:pPr>
            <w:r w:rsidRPr="00E7654C">
              <w:rPr>
                <w:sz w:val="18"/>
                <w:szCs w:val="18"/>
              </w:rPr>
              <w:t>%</w:t>
            </w:r>
          </w:p>
        </w:tc>
      </w:tr>
      <w:tr w:rsidR="004F130A" w:rsidRPr="00E7654C" w:rsidTr="006E17FC">
        <w:trPr>
          <w:trHeight w:val="232"/>
        </w:trPr>
        <w:tc>
          <w:tcPr>
            <w:tcW w:w="3544" w:type="dxa"/>
            <w:tcBorders>
              <w:top w:val="double" w:sz="4" w:space="0" w:color="auto"/>
              <w:left w:val="double" w:sz="4" w:space="0" w:color="auto"/>
              <w:bottom w:val="dotted" w:sz="4" w:space="0" w:color="auto"/>
              <w:right w:val="double" w:sz="4" w:space="0" w:color="auto"/>
            </w:tcBorders>
            <w:shd w:val="clear" w:color="auto" w:fill="auto"/>
            <w:vAlign w:val="center"/>
            <w:hideMark/>
          </w:tcPr>
          <w:p w:rsidR="004F130A" w:rsidRPr="00E7654C" w:rsidRDefault="004F130A" w:rsidP="006E17FC">
            <w:pPr>
              <w:rPr>
                <w:b/>
                <w:bCs/>
                <w:sz w:val="18"/>
                <w:szCs w:val="18"/>
              </w:rPr>
            </w:pPr>
            <w:r w:rsidRPr="00E7654C">
              <w:rPr>
                <w:b/>
                <w:bCs/>
                <w:sz w:val="18"/>
                <w:szCs w:val="18"/>
              </w:rPr>
              <w:t>Всего:</w:t>
            </w:r>
          </w:p>
        </w:tc>
        <w:tc>
          <w:tcPr>
            <w:tcW w:w="879" w:type="dxa"/>
            <w:tcBorders>
              <w:top w:val="double" w:sz="4" w:space="0" w:color="auto"/>
              <w:left w:val="double" w:sz="4" w:space="0" w:color="auto"/>
              <w:bottom w:val="dotted" w:sz="4" w:space="0" w:color="auto"/>
              <w:right w:val="double" w:sz="4" w:space="0" w:color="auto"/>
            </w:tcBorders>
            <w:shd w:val="clear" w:color="auto" w:fill="auto"/>
            <w:vAlign w:val="center"/>
            <w:hideMark/>
          </w:tcPr>
          <w:p w:rsidR="004F130A" w:rsidRPr="00E7654C" w:rsidRDefault="004F130A" w:rsidP="007C723F">
            <w:pPr>
              <w:jc w:val="center"/>
              <w:rPr>
                <w:b/>
                <w:bCs/>
                <w:sz w:val="18"/>
                <w:szCs w:val="18"/>
              </w:rPr>
            </w:pPr>
            <w:r w:rsidRPr="00E7654C">
              <w:rPr>
                <w:b/>
                <w:bCs/>
                <w:sz w:val="18"/>
                <w:szCs w:val="18"/>
              </w:rPr>
              <w:t>26 606,9</w:t>
            </w:r>
          </w:p>
        </w:tc>
        <w:tc>
          <w:tcPr>
            <w:tcW w:w="878" w:type="dxa"/>
            <w:tcBorders>
              <w:top w:val="double" w:sz="4" w:space="0" w:color="auto"/>
              <w:left w:val="double" w:sz="4" w:space="0" w:color="auto"/>
              <w:bottom w:val="dotted" w:sz="4" w:space="0" w:color="auto"/>
              <w:right w:val="double" w:sz="4" w:space="0" w:color="auto"/>
            </w:tcBorders>
            <w:shd w:val="clear" w:color="auto" w:fill="auto"/>
            <w:vAlign w:val="center"/>
            <w:hideMark/>
          </w:tcPr>
          <w:p w:rsidR="004F130A" w:rsidRPr="00E7654C" w:rsidRDefault="004F130A" w:rsidP="007C723F">
            <w:pPr>
              <w:jc w:val="center"/>
              <w:rPr>
                <w:b/>
                <w:bCs/>
                <w:sz w:val="18"/>
                <w:szCs w:val="18"/>
              </w:rPr>
            </w:pPr>
            <w:r w:rsidRPr="00E7654C">
              <w:rPr>
                <w:b/>
                <w:bCs/>
                <w:sz w:val="18"/>
                <w:szCs w:val="18"/>
              </w:rPr>
              <w:t>25 602,2</w:t>
            </w:r>
          </w:p>
        </w:tc>
        <w:tc>
          <w:tcPr>
            <w:tcW w:w="878" w:type="dxa"/>
            <w:tcBorders>
              <w:top w:val="double" w:sz="4" w:space="0" w:color="auto"/>
              <w:left w:val="double" w:sz="4" w:space="0" w:color="auto"/>
              <w:bottom w:val="dotted"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18 195,5</w:t>
            </w:r>
          </w:p>
        </w:tc>
        <w:tc>
          <w:tcPr>
            <w:tcW w:w="878" w:type="dxa"/>
            <w:tcBorders>
              <w:top w:val="double" w:sz="4" w:space="0" w:color="auto"/>
              <w:bottom w:val="dotted"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17 933,2</w:t>
            </w:r>
          </w:p>
        </w:tc>
        <w:tc>
          <w:tcPr>
            <w:tcW w:w="878" w:type="dxa"/>
            <w:tcBorders>
              <w:top w:val="double" w:sz="4" w:space="0" w:color="auto"/>
              <w:bottom w:val="dotted" w:sz="4" w:space="0" w:color="auto"/>
              <w:right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16 866,7</w:t>
            </w:r>
          </w:p>
        </w:tc>
        <w:tc>
          <w:tcPr>
            <w:tcW w:w="908" w:type="dxa"/>
            <w:tcBorders>
              <w:top w:val="double" w:sz="4" w:space="0" w:color="auto"/>
              <w:left w:val="double" w:sz="4" w:space="0" w:color="auto"/>
              <w:bottom w:val="dotted"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-7 406,7</w:t>
            </w:r>
          </w:p>
        </w:tc>
        <w:tc>
          <w:tcPr>
            <w:tcW w:w="861" w:type="dxa"/>
            <w:tcBorders>
              <w:top w:val="double" w:sz="4" w:space="0" w:color="auto"/>
              <w:bottom w:val="dotted" w:sz="4" w:space="0" w:color="auto"/>
              <w:right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-28,9</w:t>
            </w:r>
          </w:p>
        </w:tc>
      </w:tr>
      <w:tr w:rsidR="004F130A" w:rsidRPr="00E7654C" w:rsidTr="006E17FC">
        <w:trPr>
          <w:trHeight w:val="20"/>
        </w:trPr>
        <w:tc>
          <w:tcPr>
            <w:tcW w:w="3544" w:type="dxa"/>
            <w:tcBorders>
              <w:top w:val="dotted" w:sz="4" w:space="0" w:color="auto"/>
              <w:left w:val="double" w:sz="4" w:space="0" w:color="auto"/>
              <w:bottom w:val="single" w:sz="4" w:space="0" w:color="auto"/>
              <w:right w:val="double" w:sz="4" w:space="0" w:color="auto"/>
            </w:tcBorders>
            <w:shd w:val="clear" w:color="auto" w:fill="auto"/>
            <w:vAlign w:val="center"/>
            <w:hideMark/>
          </w:tcPr>
          <w:p w:rsidR="004F130A" w:rsidRPr="00E7654C" w:rsidRDefault="004F130A" w:rsidP="006E17FC">
            <w:pPr>
              <w:rPr>
                <w:sz w:val="18"/>
                <w:szCs w:val="18"/>
              </w:rPr>
            </w:pPr>
            <w:r w:rsidRPr="00E7654C">
              <w:rPr>
                <w:sz w:val="18"/>
                <w:szCs w:val="18"/>
              </w:rPr>
              <w:t>в том числе:</w:t>
            </w:r>
          </w:p>
        </w:tc>
        <w:tc>
          <w:tcPr>
            <w:tcW w:w="879" w:type="dxa"/>
            <w:tcBorders>
              <w:top w:val="dotted" w:sz="4" w:space="0" w:color="auto"/>
              <w:left w:val="double" w:sz="4" w:space="0" w:color="auto"/>
              <w:bottom w:val="single" w:sz="4" w:space="0" w:color="auto"/>
              <w:right w:val="double" w:sz="4" w:space="0" w:color="auto"/>
            </w:tcBorders>
            <w:shd w:val="clear" w:color="auto" w:fill="auto"/>
            <w:vAlign w:val="center"/>
            <w:hideMark/>
          </w:tcPr>
          <w:p w:rsidR="004F130A" w:rsidRPr="00E7654C" w:rsidRDefault="004F130A" w:rsidP="007C723F">
            <w:pPr>
              <w:jc w:val="center"/>
              <w:rPr>
                <w:color w:val="FF0000"/>
                <w:sz w:val="18"/>
                <w:szCs w:val="18"/>
              </w:rPr>
            </w:pPr>
          </w:p>
        </w:tc>
        <w:tc>
          <w:tcPr>
            <w:tcW w:w="878" w:type="dxa"/>
            <w:tcBorders>
              <w:top w:val="dotted" w:sz="4" w:space="0" w:color="auto"/>
              <w:left w:val="double" w:sz="4" w:space="0" w:color="auto"/>
              <w:bottom w:val="single" w:sz="4" w:space="0" w:color="auto"/>
              <w:right w:val="double" w:sz="4" w:space="0" w:color="auto"/>
            </w:tcBorders>
            <w:shd w:val="clear" w:color="auto" w:fill="auto"/>
            <w:vAlign w:val="center"/>
            <w:hideMark/>
          </w:tcPr>
          <w:p w:rsidR="004F130A" w:rsidRPr="00E7654C" w:rsidRDefault="004F130A" w:rsidP="007C723F">
            <w:pPr>
              <w:jc w:val="center"/>
              <w:rPr>
                <w:color w:val="FF0000"/>
                <w:sz w:val="18"/>
                <w:szCs w:val="18"/>
              </w:rPr>
            </w:pPr>
          </w:p>
        </w:tc>
        <w:tc>
          <w:tcPr>
            <w:tcW w:w="878" w:type="dxa"/>
            <w:tcBorders>
              <w:top w:val="dotted" w:sz="4" w:space="0" w:color="auto"/>
              <w:left w:val="double" w:sz="4" w:space="0" w:color="auto"/>
              <w:bottom w:val="single" w:sz="4" w:space="0" w:color="auto"/>
            </w:tcBorders>
            <w:shd w:val="clear" w:color="auto" w:fill="auto"/>
            <w:vAlign w:val="center"/>
            <w:hideMark/>
          </w:tcPr>
          <w:p w:rsidR="004F130A" w:rsidRPr="000649BF" w:rsidRDefault="004F130A" w:rsidP="007C723F">
            <w:pPr>
              <w:jc w:val="center"/>
              <w:rPr>
                <w:color w:val="FF0000"/>
                <w:sz w:val="18"/>
                <w:szCs w:val="18"/>
              </w:rPr>
            </w:pPr>
          </w:p>
        </w:tc>
        <w:tc>
          <w:tcPr>
            <w:tcW w:w="878" w:type="dxa"/>
            <w:tcBorders>
              <w:top w:val="dotted" w:sz="4" w:space="0" w:color="auto"/>
              <w:bottom w:val="single" w:sz="4" w:space="0" w:color="auto"/>
            </w:tcBorders>
            <w:shd w:val="clear" w:color="auto" w:fill="auto"/>
            <w:vAlign w:val="center"/>
            <w:hideMark/>
          </w:tcPr>
          <w:p w:rsidR="004F130A" w:rsidRPr="000649BF" w:rsidRDefault="004F130A" w:rsidP="007C723F">
            <w:pPr>
              <w:jc w:val="center"/>
              <w:rPr>
                <w:color w:val="FF0000"/>
                <w:sz w:val="18"/>
                <w:szCs w:val="18"/>
              </w:rPr>
            </w:pPr>
          </w:p>
        </w:tc>
        <w:tc>
          <w:tcPr>
            <w:tcW w:w="878" w:type="dxa"/>
            <w:tcBorders>
              <w:top w:val="dotted" w:sz="4" w:space="0" w:color="auto"/>
              <w:bottom w:val="single" w:sz="4" w:space="0" w:color="auto"/>
              <w:right w:val="double" w:sz="4" w:space="0" w:color="auto"/>
            </w:tcBorders>
            <w:shd w:val="clear" w:color="auto" w:fill="auto"/>
            <w:vAlign w:val="center"/>
            <w:hideMark/>
          </w:tcPr>
          <w:p w:rsidR="004F130A" w:rsidRPr="000649BF" w:rsidRDefault="004F130A" w:rsidP="007C723F">
            <w:pPr>
              <w:jc w:val="center"/>
              <w:rPr>
                <w:color w:val="FF0000"/>
                <w:sz w:val="18"/>
                <w:szCs w:val="18"/>
              </w:rPr>
            </w:pPr>
          </w:p>
        </w:tc>
        <w:tc>
          <w:tcPr>
            <w:tcW w:w="908" w:type="dxa"/>
            <w:tcBorders>
              <w:top w:val="dotted" w:sz="4" w:space="0" w:color="auto"/>
              <w:left w:val="double" w:sz="4" w:space="0" w:color="auto"/>
              <w:bottom w:val="single" w:sz="4" w:space="0" w:color="auto"/>
            </w:tcBorders>
            <w:shd w:val="clear" w:color="auto" w:fill="auto"/>
            <w:vAlign w:val="center"/>
            <w:hideMark/>
          </w:tcPr>
          <w:p w:rsidR="004F130A" w:rsidRPr="000649BF" w:rsidRDefault="004F130A" w:rsidP="007C723F">
            <w:pPr>
              <w:jc w:val="center"/>
              <w:rPr>
                <w:sz w:val="18"/>
                <w:szCs w:val="18"/>
              </w:rPr>
            </w:pPr>
          </w:p>
        </w:tc>
        <w:tc>
          <w:tcPr>
            <w:tcW w:w="861" w:type="dxa"/>
            <w:tcBorders>
              <w:top w:val="dotted" w:sz="4" w:space="0" w:color="auto"/>
              <w:bottom w:val="single" w:sz="4" w:space="0" w:color="auto"/>
              <w:right w:val="double" w:sz="4" w:space="0" w:color="auto"/>
            </w:tcBorders>
            <w:shd w:val="clear" w:color="auto" w:fill="auto"/>
            <w:vAlign w:val="center"/>
            <w:hideMark/>
          </w:tcPr>
          <w:p w:rsidR="004F130A" w:rsidRPr="000649BF" w:rsidRDefault="004F130A" w:rsidP="007C723F">
            <w:pPr>
              <w:jc w:val="center"/>
              <w:rPr>
                <w:sz w:val="18"/>
                <w:szCs w:val="18"/>
              </w:rPr>
            </w:pPr>
          </w:p>
        </w:tc>
      </w:tr>
      <w:tr w:rsidR="004F130A" w:rsidRPr="00E7654C" w:rsidTr="006E17FC">
        <w:trPr>
          <w:trHeight w:val="20"/>
        </w:trPr>
        <w:tc>
          <w:tcPr>
            <w:tcW w:w="3544" w:type="dxa"/>
            <w:tcBorders>
              <w:top w:val="single" w:sz="4" w:space="0" w:color="auto"/>
              <w:left w:val="double" w:sz="4" w:space="0" w:color="auto"/>
              <w:right w:val="double" w:sz="4" w:space="0" w:color="auto"/>
            </w:tcBorders>
            <w:shd w:val="clear" w:color="auto" w:fill="auto"/>
            <w:vAlign w:val="center"/>
            <w:hideMark/>
          </w:tcPr>
          <w:p w:rsidR="004F130A" w:rsidRPr="00E7654C" w:rsidRDefault="004F130A" w:rsidP="006E17FC">
            <w:pPr>
              <w:rPr>
                <w:b/>
                <w:bCs/>
                <w:sz w:val="18"/>
                <w:szCs w:val="18"/>
              </w:rPr>
            </w:pPr>
            <w:r w:rsidRPr="00E7654C">
              <w:rPr>
                <w:b/>
                <w:bCs/>
                <w:sz w:val="18"/>
                <w:szCs w:val="18"/>
              </w:rPr>
              <w:t>Дотации:</w:t>
            </w:r>
          </w:p>
        </w:tc>
        <w:tc>
          <w:tcPr>
            <w:tcW w:w="879" w:type="dxa"/>
            <w:tcBorders>
              <w:top w:val="single" w:sz="4" w:space="0" w:color="auto"/>
              <w:left w:val="double" w:sz="4" w:space="0" w:color="auto"/>
              <w:right w:val="double" w:sz="4" w:space="0" w:color="auto"/>
            </w:tcBorders>
            <w:shd w:val="clear" w:color="auto" w:fill="auto"/>
            <w:vAlign w:val="center"/>
            <w:hideMark/>
          </w:tcPr>
          <w:p w:rsidR="004F130A" w:rsidRPr="00E7654C" w:rsidRDefault="004F130A" w:rsidP="007C723F">
            <w:pPr>
              <w:jc w:val="center"/>
              <w:rPr>
                <w:b/>
                <w:bCs/>
                <w:sz w:val="18"/>
                <w:szCs w:val="18"/>
              </w:rPr>
            </w:pPr>
            <w:r w:rsidRPr="00E7654C">
              <w:rPr>
                <w:b/>
                <w:bCs/>
                <w:sz w:val="18"/>
                <w:szCs w:val="18"/>
              </w:rPr>
              <w:t>1 587,4</w:t>
            </w:r>
          </w:p>
        </w:tc>
        <w:tc>
          <w:tcPr>
            <w:tcW w:w="878" w:type="dxa"/>
            <w:tcBorders>
              <w:top w:val="single" w:sz="4" w:space="0" w:color="auto"/>
              <w:left w:val="double" w:sz="4" w:space="0" w:color="auto"/>
              <w:right w:val="double" w:sz="4" w:space="0" w:color="auto"/>
            </w:tcBorders>
            <w:shd w:val="clear" w:color="auto" w:fill="auto"/>
            <w:vAlign w:val="center"/>
            <w:hideMark/>
          </w:tcPr>
          <w:p w:rsidR="004F130A" w:rsidRPr="00E7654C" w:rsidRDefault="004F130A" w:rsidP="007C723F">
            <w:pPr>
              <w:jc w:val="center"/>
              <w:rPr>
                <w:b/>
                <w:bCs/>
                <w:sz w:val="18"/>
                <w:szCs w:val="18"/>
              </w:rPr>
            </w:pPr>
            <w:r w:rsidRPr="00E7654C">
              <w:rPr>
                <w:b/>
                <w:bCs/>
                <w:sz w:val="18"/>
                <w:szCs w:val="18"/>
              </w:rPr>
              <w:t>1 928,9</w:t>
            </w:r>
          </w:p>
        </w:tc>
        <w:tc>
          <w:tcPr>
            <w:tcW w:w="878" w:type="dxa"/>
            <w:tcBorders>
              <w:top w:val="single" w:sz="4" w:space="0" w:color="auto"/>
              <w:left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2 002,2</w:t>
            </w:r>
          </w:p>
        </w:tc>
        <w:tc>
          <w:tcPr>
            <w:tcW w:w="878" w:type="dxa"/>
            <w:tcBorders>
              <w:top w:val="sing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2 103,8</w:t>
            </w:r>
          </w:p>
        </w:tc>
        <w:tc>
          <w:tcPr>
            <w:tcW w:w="878" w:type="dxa"/>
            <w:tcBorders>
              <w:top w:val="single" w:sz="4" w:space="0" w:color="auto"/>
              <w:right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2 068,9</w:t>
            </w:r>
          </w:p>
        </w:tc>
        <w:tc>
          <w:tcPr>
            <w:tcW w:w="908" w:type="dxa"/>
            <w:tcBorders>
              <w:top w:val="single" w:sz="4" w:space="0" w:color="auto"/>
              <w:left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73,4</w:t>
            </w:r>
          </w:p>
        </w:tc>
        <w:tc>
          <w:tcPr>
            <w:tcW w:w="861" w:type="dxa"/>
            <w:tcBorders>
              <w:top w:val="single" w:sz="4" w:space="0" w:color="auto"/>
              <w:right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3,8</w:t>
            </w:r>
          </w:p>
        </w:tc>
      </w:tr>
      <w:tr w:rsidR="004F130A" w:rsidRPr="00E7654C" w:rsidTr="006E17FC">
        <w:trPr>
          <w:trHeight w:val="20"/>
        </w:trPr>
        <w:tc>
          <w:tcPr>
            <w:tcW w:w="3544" w:type="dxa"/>
            <w:tcBorders>
              <w:left w:val="double" w:sz="4" w:space="0" w:color="auto"/>
              <w:right w:val="double" w:sz="4" w:space="0" w:color="auto"/>
            </w:tcBorders>
            <w:shd w:val="clear" w:color="auto" w:fill="auto"/>
            <w:vAlign w:val="center"/>
            <w:hideMark/>
          </w:tcPr>
          <w:p w:rsidR="004F130A" w:rsidRPr="00E7654C" w:rsidRDefault="004F130A" w:rsidP="006E17FC">
            <w:pPr>
              <w:rPr>
                <w:sz w:val="18"/>
                <w:szCs w:val="18"/>
              </w:rPr>
            </w:pPr>
            <w:r w:rsidRPr="00E7654C">
              <w:rPr>
                <w:sz w:val="18"/>
                <w:szCs w:val="18"/>
              </w:rPr>
              <w:t>Дотации на выравнивание бюджетной обеспеченности</w:t>
            </w:r>
          </w:p>
        </w:tc>
        <w:tc>
          <w:tcPr>
            <w:tcW w:w="879" w:type="dxa"/>
            <w:tcBorders>
              <w:left w:val="double" w:sz="4" w:space="0" w:color="auto"/>
              <w:right w:val="double" w:sz="4" w:space="0" w:color="auto"/>
            </w:tcBorders>
            <w:shd w:val="clear" w:color="auto" w:fill="auto"/>
            <w:vAlign w:val="center"/>
            <w:hideMark/>
          </w:tcPr>
          <w:p w:rsidR="004F130A" w:rsidRPr="00E7654C" w:rsidRDefault="004F130A" w:rsidP="007C723F">
            <w:pPr>
              <w:jc w:val="center"/>
              <w:rPr>
                <w:sz w:val="18"/>
                <w:szCs w:val="18"/>
              </w:rPr>
            </w:pPr>
            <w:r w:rsidRPr="00E7654C">
              <w:rPr>
                <w:sz w:val="18"/>
                <w:szCs w:val="18"/>
              </w:rPr>
              <w:t>1 028,1</w:t>
            </w:r>
          </w:p>
        </w:tc>
        <w:tc>
          <w:tcPr>
            <w:tcW w:w="878" w:type="dxa"/>
            <w:tcBorders>
              <w:left w:val="double" w:sz="4" w:space="0" w:color="auto"/>
              <w:right w:val="double" w:sz="4" w:space="0" w:color="auto"/>
            </w:tcBorders>
            <w:shd w:val="clear" w:color="auto" w:fill="auto"/>
            <w:vAlign w:val="center"/>
            <w:hideMark/>
          </w:tcPr>
          <w:p w:rsidR="004F130A" w:rsidRPr="00E7654C" w:rsidRDefault="004F130A" w:rsidP="007C723F">
            <w:pPr>
              <w:jc w:val="center"/>
              <w:rPr>
                <w:sz w:val="18"/>
                <w:szCs w:val="18"/>
              </w:rPr>
            </w:pPr>
            <w:r w:rsidRPr="00E7654C">
              <w:rPr>
                <w:sz w:val="18"/>
                <w:szCs w:val="18"/>
              </w:rPr>
              <w:t>1 128,9</w:t>
            </w:r>
          </w:p>
        </w:tc>
        <w:tc>
          <w:tcPr>
            <w:tcW w:w="878" w:type="dxa"/>
            <w:tcBorders>
              <w:left w:val="double" w:sz="4" w:space="0" w:color="auto"/>
            </w:tcBorders>
            <w:shd w:val="clear" w:color="auto" w:fill="auto"/>
            <w:vAlign w:val="center"/>
            <w:hideMark/>
          </w:tcPr>
          <w:p w:rsidR="004F130A" w:rsidRPr="000649BF" w:rsidRDefault="004F130A" w:rsidP="007C723F">
            <w:pPr>
              <w:jc w:val="center"/>
              <w:rPr>
                <w:sz w:val="18"/>
                <w:szCs w:val="18"/>
              </w:rPr>
            </w:pPr>
            <w:r w:rsidRPr="000649BF">
              <w:rPr>
                <w:sz w:val="18"/>
                <w:szCs w:val="18"/>
              </w:rPr>
              <w:t>1 257,2</w:t>
            </w:r>
          </w:p>
        </w:tc>
        <w:tc>
          <w:tcPr>
            <w:tcW w:w="878" w:type="dxa"/>
            <w:shd w:val="clear" w:color="auto" w:fill="auto"/>
            <w:vAlign w:val="center"/>
            <w:hideMark/>
          </w:tcPr>
          <w:p w:rsidR="004F130A" w:rsidRPr="000649BF" w:rsidRDefault="004F130A" w:rsidP="007C723F">
            <w:pPr>
              <w:jc w:val="center"/>
              <w:rPr>
                <w:sz w:val="18"/>
                <w:szCs w:val="18"/>
              </w:rPr>
            </w:pPr>
            <w:r w:rsidRPr="000649BF">
              <w:rPr>
                <w:sz w:val="18"/>
                <w:szCs w:val="18"/>
              </w:rPr>
              <w:t>1 208,8</w:t>
            </w:r>
          </w:p>
        </w:tc>
        <w:tc>
          <w:tcPr>
            <w:tcW w:w="878" w:type="dxa"/>
            <w:tcBorders>
              <w:right w:val="double" w:sz="4" w:space="0" w:color="auto"/>
            </w:tcBorders>
            <w:shd w:val="clear" w:color="auto" w:fill="auto"/>
            <w:vAlign w:val="center"/>
            <w:hideMark/>
          </w:tcPr>
          <w:p w:rsidR="004F130A" w:rsidRPr="000649BF" w:rsidRDefault="004F130A" w:rsidP="007C723F">
            <w:pPr>
              <w:jc w:val="center"/>
              <w:rPr>
                <w:sz w:val="18"/>
                <w:szCs w:val="18"/>
              </w:rPr>
            </w:pPr>
            <w:r w:rsidRPr="000649BF">
              <w:rPr>
                <w:sz w:val="18"/>
                <w:szCs w:val="18"/>
              </w:rPr>
              <w:t>1 173,9</w:t>
            </w:r>
          </w:p>
        </w:tc>
        <w:tc>
          <w:tcPr>
            <w:tcW w:w="908" w:type="dxa"/>
            <w:tcBorders>
              <w:left w:val="double" w:sz="4" w:space="0" w:color="auto"/>
            </w:tcBorders>
            <w:shd w:val="clear" w:color="auto" w:fill="auto"/>
            <w:vAlign w:val="center"/>
            <w:hideMark/>
          </w:tcPr>
          <w:p w:rsidR="004F130A" w:rsidRPr="000649BF" w:rsidRDefault="004F130A" w:rsidP="007C723F">
            <w:pPr>
              <w:jc w:val="center"/>
              <w:rPr>
                <w:sz w:val="18"/>
                <w:szCs w:val="18"/>
              </w:rPr>
            </w:pPr>
            <w:r w:rsidRPr="000649BF">
              <w:rPr>
                <w:sz w:val="18"/>
                <w:szCs w:val="18"/>
              </w:rPr>
              <w:t>128,4</w:t>
            </w:r>
          </w:p>
        </w:tc>
        <w:tc>
          <w:tcPr>
            <w:tcW w:w="861" w:type="dxa"/>
            <w:tcBorders>
              <w:right w:val="double" w:sz="4" w:space="0" w:color="auto"/>
            </w:tcBorders>
            <w:shd w:val="clear" w:color="auto" w:fill="auto"/>
            <w:vAlign w:val="center"/>
            <w:hideMark/>
          </w:tcPr>
          <w:p w:rsidR="004F130A" w:rsidRPr="000649BF" w:rsidRDefault="004F130A" w:rsidP="007C723F">
            <w:pPr>
              <w:jc w:val="center"/>
              <w:rPr>
                <w:sz w:val="18"/>
                <w:szCs w:val="18"/>
              </w:rPr>
            </w:pPr>
            <w:r w:rsidRPr="000649BF">
              <w:rPr>
                <w:sz w:val="18"/>
                <w:szCs w:val="18"/>
              </w:rPr>
              <w:t>11,4</w:t>
            </w:r>
          </w:p>
        </w:tc>
      </w:tr>
      <w:tr w:rsidR="004F130A" w:rsidRPr="00E7654C" w:rsidTr="006E17FC">
        <w:trPr>
          <w:trHeight w:val="20"/>
        </w:trPr>
        <w:tc>
          <w:tcPr>
            <w:tcW w:w="3544" w:type="dxa"/>
            <w:tcBorders>
              <w:left w:val="double" w:sz="4" w:space="0" w:color="auto"/>
              <w:right w:val="double" w:sz="4" w:space="0" w:color="auto"/>
            </w:tcBorders>
            <w:shd w:val="clear" w:color="auto" w:fill="auto"/>
            <w:vAlign w:val="center"/>
            <w:hideMark/>
          </w:tcPr>
          <w:p w:rsidR="004F130A" w:rsidRPr="00E7654C" w:rsidRDefault="004F130A" w:rsidP="006E17FC">
            <w:pPr>
              <w:rPr>
                <w:i/>
                <w:iCs/>
                <w:sz w:val="18"/>
                <w:szCs w:val="18"/>
              </w:rPr>
            </w:pPr>
            <w:r w:rsidRPr="00E7654C">
              <w:rPr>
                <w:i/>
                <w:iCs/>
                <w:sz w:val="18"/>
                <w:szCs w:val="18"/>
              </w:rPr>
              <w:t>ФФПП (в части гор</w:t>
            </w:r>
            <w:proofErr w:type="gramStart"/>
            <w:r w:rsidRPr="00E7654C">
              <w:rPr>
                <w:i/>
                <w:iCs/>
                <w:sz w:val="18"/>
                <w:szCs w:val="18"/>
              </w:rPr>
              <w:t>.</w:t>
            </w:r>
            <w:proofErr w:type="gramEnd"/>
            <w:r w:rsidRPr="00E7654C">
              <w:rPr>
                <w:i/>
                <w:iCs/>
                <w:sz w:val="18"/>
                <w:szCs w:val="18"/>
              </w:rPr>
              <w:t xml:space="preserve"> </w:t>
            </w:r>
            <w:proofErr w:type="gramStart"/>
            <w:r w:rsidRPr="00E7654C">
              <w:rPr>
                <w:i/>
                <w:iCs/>
                <w:sz w:val="18"/>
                <w:szCs w:val="18"/>
              </w:rPr>
              <w:t>о</w:t>
            </w:r>
            <w:proofErr w:type="gramEnd"/>
            <w:r w:rsidRPr="00E7654C">
              <w:rPr>
                <w:i/>
                <w:iCs/>
                <w:sz w:val="18"/>
                <w:szCs w:val="18"/>
              </w:rPr>
              <w:t>кругов)</w:t>
            </w:r>
          </w:p>
        </w:tc>
        <w:tc>
          <w:tcPr>
            <w:tcW w:w="879" w:type="dxa"/>
            <w:tcBorders>
              <w:left w:val="double" w:sz="4" w:space="0" w:color="auto"/>
              <w:right w:val="double" w:sz="4" w:space="0" w:color="auto"/>
            </w:tcBorders>
            <w:shd w:val="clear" w:color="auto" w:fill="auto"/>
            <w:vAlign w:val="center"/>
            <w:hideMark/>
          </w:tcPr>
          <w:p w:rsidR="004F130A" w:rsidRPr="00E7654C" w:rsidRDefault="004F130A" w:rsidP="007C723F">
            <w:pPr>
              <w:jc w:val="center"/>
              <w:rPr>
                <w:i/>
                <w:iCs/>
                <w:sz w:val="18"/>
                <w:szCs w:val="18"/>
              </w:rPr>
            </w:pPr>
            <w:r w:rsidRPr="00E7654C">
              <w:rPr>
                <w:i/>
                <w:iCs/>
                <w:sz w:val="18"/>
                <w:szCs w:val="18"/>
              </w:rPr>
              <w:t>0,0</w:t>
            </w:r>
          </w:p>
        </w:tc>
        <w:tc>
          <w:tcPr>
            <w:tcW w:w="878" w:type="dxa"/>
            <w:tcBorders>
              <w:left w:val="double" w:sz="4" w:space="0" w:color="auto"/>
              <w:right w:val="double" w:sz="4" w:space="0" w:color="auto"/>
            </w:tcBorders>
            <w:shd w:val="clear" w:color="auto" w:fill="auto"/>
            <w:vAlign w:val="center"/>
            <w:hideMark/>
          </w:tcPr>
          <w:p w:rsidR="004F130A" w:rsidRPr="00E7654C" w:rsidRDefault="004F130A" w:rsidP="007C723F">
            <w:pPr>
              <w:jc w:val="center"/>
              <w:rPr>
                <w:i/>
                <w:iCs/>
                <w:sz w:val="18"/>
                <w:szCs w:val="18"/>
              </w:rPr>
            </w:pPr>
            <w:r w:rsidRPr="00E7654C">
              <w:rPr>
                <w:i/>
                <w:iCs/>
                <w:sz w:val="18"/>
                <w:szCs w:val="18"/>
              </w:rPr>
              <w:t>0,0</w:t>
            </w:r>
          </w:p>
        </w:tc>
        <w:tc>
          <w:tcPr>
            <w:tcW w:w="878" w:type="dxa"/>
            <w:tcBorders>
              <w:left w:val="double" w:sz="4" w:space="0" w:color="auto"/>
            </w:tcBorders>
            <w:shd w:val="clear" w:color="auto" w:fill="auto"/>
            <w:vAlign w:val="center"/>
            <w:hideMark/>
          </w:tcPr>
          <w:p w:rsidR="004F130A" w:rsidRPr="000649BF" w:rsidRDefault="004F130A" w:rsidP="007C723F">
            <w:pPr>
              <w:jc w:val="center"/>
              <w:rPr>
                <w:i/>
                <w:iCs/>
                <w:sz w:val="18"/>
                <w:szCs w:val="18"/>
              </w:rPr>
            </w:pPr>
            <w:r w:rsidRPr="000649BF">
              <w:rPr>
                <w:i/>
                <w:iCs/>
                <w:sz w:val="18"/>
                <w:szCs w:val="18"/>
              </w:rPr>
              <w:t>0,0</w:t>
            </w:r>
          </w:p>
        </w:tc>
        <w:tc>
          <w:tcPr>
            <w:tcW w:w="878" w:type="dxa"/>
            <w:shd w:val="clear" w:color="auto" w:fill="auto"/>
            <w:vAlign w:val="center"/>
            <w:hideMark/>
          </w:tcPr>
          <w:p w:rsidR="004F130A" w:rsidRPr="000649BF" w:rsidRDefault="004F130A" w:rsidP="007C723F">
            <w:pPr>
              <w:jc w:val="center"/>
              <w:rPr>
                <w:i/>
                <w:iCs/>
                <w:sz w:val="18"/>
                <w:szCs w:val="18"/>
              </w:rPr>
            </w:pPr>
            <w:r w:rsidRPr="000649BF">
              <w:rPr>
                <w:i/>
                <w:iCs/>
                <w:sz w:val="18"/>
                <w:szCs w:val="18"/>
              </w:rPr>
              <w:t>0,0</w:t>
            </w:r>
          </w:p>
        </w:tc>
        <w:tc>
          <w:tcPr>
            <w:tcW w:w="878" w:type="dxa"/>
            <w:tcBorders>
              <w:right w:val="double" w:sz="4" w:space="0" w:color="auto"/>
            </w:tcBorders>
            <w:shd w:val="clear" w:color="auto" w:fill="auto"/>
            <w:vAlign w:val="center"/>
            <w:hideMark/>
          </w:tcPr>
          <w:p w:rsidR="004F130A" w:rsidRPr="000649BF" w:rsidRDefault="004F130A" w:rsidP="007C723F">
            <w:pPr>
              <w:jc w:val="center"/>
              <w:rPr>
                <w:i/>
                <w:iCs/>
                <w:sz w:val="18"/>
                <w:szCs w:val="18"/>
              </w:rPr>
            </w:pPr>
            <w:r w:rsidRPr="000649BF">
              <w:rPr>
                <w:i/>
                <w:iCs/>
                <w:sz w:val="18"/>
                <w:szCs w:val="18"/>
              </w:rPr>
              <w:t>0,0</w:t>
            </w:r>
          </w:p>
        </w:tc>
        <w:tc>
          <w:tcPr>
            <w:tcW w:w="908" w:type="dxa"/>
            <w:tcBorders>
              <w:left w:val="double" w:sz="4" w:space="0" w:color="auto"/>
            </w:tcBorders>
            <w:shd w:val="clear" w:color="auto" w:fill="auto"/>
            <w:vAlign w:val="center"/>
            <w:hideMark/>
          </w:tcPr>
          <w:p w:rsidR="004F130A" w:rsidRPr="000649BF" w:rsidRDefault="004F130A" w:rsidP="007C723F">
            <w:pPr>
              <w:jc w:val="center"/>
              <w:rPr>
                <w:i/>
                <w:iCs/>
                <w:sz w:val="18"/>
                <w:szCs w:val="18"/>
              </w:rPr>
            </w:pPr>
            <w:r w:rsidRPr="000649BF">
              <w:rPr>
                <w:i/>
                <w:iCs/>
                <w:sz w:val="18"/>
                <w:szCs w:val="18"/>
              </w:rPr>
              <w:t>0,0</w:t>
            </w:r>
          </w:p>
        </w:tc>
        <w:tc>
          <w:tcPr>
            <w:tcW w:w="861" w:type="dxa"/>
            <w:tcBorders>
              <w:right w:val="double" w:sz="4" w:space="0" w:color="auto"/>
            </w:tcBorders>
            <w:shd w:val="clear" w:color="auto" w:fill="auto"/>
            <w:vAlign w:val="center"/>
            <w:hideMark/>
          </w:tcPr>
          <w:p w:rsidR="004F130A" w:rsidRPr="000649BF" w:rsidRDefault="004F130A" w:rsidP="007C723F">
            <w:pPr>
              <w:jc w:val="center"/>
              <w:rPr>
                <w:sz w:val="18"/>
                <w:szCs w:val="18"/>
              </w:rPr>
            </w:pPr>
            <w:r>
              <w:rPr>
                <w:sz w:val="18"/>
                <w:szCs w:val="18"/>
              </w:rPr>
              <w:t>---</w:t>
            </w:r>
          </w:p>
        </w:tc>
      </w:tr>
      <w:tr w:rsidR="004F130A" w:rsidRPr="00E7654C" w:rsidTr="006E17FC">
        <w:trPr>
          <w:trHeight w:val="20"/>
        </w:trPr>
        <w:tc>
          <w:tcPr>
            <w:tcW w:w="3544" w:type="dxa"/>
            <w:tcBorders>
              <w:left w:val="double" w:sz="4" w:space="0" w:color="auto"/>
              <w:right w:val="double" w:sz="4" w:space="0" w:color="auto"/>
            </w:tcBorders>
            <w:shd w:val="clear" w:color="auto" w:fill="auto"/>
            <w:vAlign w:val="center"/>
            <w:hideMark/>
          </w:tcPr>
          <w:p w:rsidR="004F130A" w:rsidRPr="00E7654C" w:rsidRDefault="004F130A" w:rsidP="006E17FC">
            <w:pPr>
              <w:rPr>
                <w:i/>
                <w:iCs/>
                <w:sz w:val="18"/>
                <w:szCs w:val="18"/>
              </w:rPr>
            </w:pPr>
            <w:r w:rsidRPr="00E7654C">
              <w:rPr>
                <w:i/>
                <w:iCs/>
                <w:sz w:val="18"/>
                <w:szCs w:val="18"/>
              </w:rPr>
              <w:t>ФФПП (в части поселений)</w:t>
            </w:r>
          </w:p>
        </w:tc>
        <w:tc>
          <w:tcPr>
            <w:tcW w:w="879" w:type="dxa"/>
            <w:tcBorders>
              <w:left w:val="double" w:sz="4" w:space="0" w:color="auto"/>
              <w:right w:val="double" w:sz="4" w:space="0" w:color="auto"/>
            </w:tcBorders>
            <w:shd w:val="clear" w:color="auto" w:fill="auto"/>
            <w:vAlign w:val="center"/>
            <w:hideMark/>
          </w:tcPr>
          <w:p w:rsidR="004F130A" w:rsidRPr="00E7654C" w:rsidRDefault="004F130A" w:rsidP="007C723F">
            <w:pPr>
              <w:jc w:val="center"/>
              <w:rPr>
                <w:i/>
                <w:iCs/>
                <w:sz w:val="18"/>
                <w:szCs w:val="18"/>
              </w:rPr>
            </w:pPr>
            <w:r w:rsidRPr="00E7654C">
              <w:rPr>
                <w:i/>
                <w:iCs/>
                <w:sz w:val="18"/>
                <w:szCs w:val="18"/>
              </w:rPr>
              <w:t>941,2</w:t>
            </w:r>
          </w:p>
        </w:tc>
        <w:tc>
          <w:tcPr>
            <w:tcW w:w="878" w:type="dxa"/>
            <w:tcBorders>
              <w:left w:val="double" w:sz="4" w:space="0" w:color="auto"/>
              <w:right w:val="double" w:sz="4" w:space="0" w:color="auto"/>
            </w:tcBorders>
            <w:shd w:val="clear" w:color="auto" w:fill="auto"/>
            <w:vAlign w:val="center"/>
            <w:hideMark/>
          </w:tcPr>
          <w:p w:rsidR="004F130A" w:rsidRPr="00E7654C" w:rsidRDefault="004F130A" w:rsidP="007C723F">
            <w:pPr>
              <w:jc w:val="center"/>
              <w:rPr>
                <w:i/>
                <w:iCs/>
                <w:sz w:val="18"/>
                <w:szCs w:val="18"/>
              </w:rPr>
            </w:pPr>
            <w:r w:rsidRPr="00E7654C">
              <w:rPr>
                <w:i/>
                <w:iCs/>
                <w:sz w:val="18"/>
                <w:szCs w:val="18"/>
              </w:rPr>
              <w:t>991,1</w:t>
            </w:r>
          </w:p>
        </w:tc>
        <w:tc>
          <w:tcPr>
            <w:tcW w:w="878" w:type="dxa"/>
            <w:tcBorders>
              <w:left w:val="double" w:sz="4" w:space="0" w:color="auto"/>
            </w:tcBorders>
            <w:shd w:val="clear" w:color="auto" w:fill="auto"/>
            <w:vAlign w:val="center"/>
            <w:hideMark/>
          </w:tcPr>
          <w:p w:rsidR="004F130A" w:rsidRPr="000649BF" w:rsidRDefault="004F130A" w:rsidP="007C723F">
            <w:pPr>
              <w:jc w:val="center"/>
              <w:rPr>
                <w:i/>
                <w:iCs/>
                <w:sz w:val="18"/>
                <w:szCs w:val="18"/>
              </w:rPr>
            </w:pPr>
            <w:r w:rsidRPr="000649BF">
              <w:rPr>
                <w:i/>
                <w:iCs/>
                <w:sz w:val="18"/>
                <w:szCs w:val="18"/>
              </w:rPr>
              <w:t>1 066,5</w:t>
            </w:r>
          </w:p>
        </w:tc>
        <w:tc>
          <w:tcPr>
            <w:tcW w:w="878" w:type="dxa"/>
            <w:shd w:val="clear" w:color="auto" w:fill="auto"/>
            <w:vAlign w:val="center"/>
            <w:hideMark/>
          </w:tcPr>
          <w:p w:rsidR="004F130A" w:rsidRPr="000649BF" w:rsidRDefault="004F130A" w:rsidP="007C723F">
            <w:pPr>
              <w:jc w:val="center"/>
              <w:rPr>
                <w:i/>
                <w:iCs/>
                <w:sz w:val="18"/>
                <w:szCs w:val="18"/>
              </w:rPr>
            </w:pPr>
            <w:r w:rsidRPr="000649BF">
              <w:rPr>
                <w:i/>
                <w:iCs/>
                <w:sz w:val="18"/>
                <w:szCs w:val="18"/>
              </w:rPr>
              <w:t>1 066,5</w:t>
            </w:r>
          </w:p>
        </w:tc>
        <w:tc>
          <w:tcPr>
            <w:tcW w:w="878" w:type="dxa"/>
            <w:tcBorders>
              <w:right w:val="double" w:sz="4" w:space="0" w:color="auto"/>
            </w:tcBorders>
            <w:shd w:val="clear" w:color="auto" w:fill="auto"/>
            <w:vAlign w:val="center"/>
            <w:hideMark/>
          </w:tcPr>
          <w:p w:rsidR="004F130A" w:rsidRPr="000649BF" w:rsidRDefault="004F130A" w:rsidP="007C723F">
            <w:pPr>
              <w:jc w:val="center"/>
              <w:rPr>
                <w:i/>
                <w:iCs/>
                <w:sz w:val="18"/>
                <w:szCs w:val="18"/>
              </w:rPr>
            </w:pPr>
            <w:r w:rsidRPr="000649BF">
              <w:rPr>
                <w:i/>
                <w:iCs/>
                <w:sz w:val="18"/>
                <w:szCs w:val="18"/>
              </w:rPr>
              <w:t>1 065,1</w:t>
            </w:r>
          </w:p>
        </w:tc>
        <w:tc>
          <w:tcPr>
            <w:tcW w:w="908" w:type="dxa"/>
            <w:tcBorders>
              <w:left w:val="double" w:sz="4" w:space="0" w:color="auto"/>
            </w:tcBorders>
            <w:shd w:val="clear" w:color="auto" w:fill="auto"/>
            <w:vAlign w:val="center"/>
            <w:hideMark/>
          </w:tcPr>
          <w:p w:rsidR="004F130A" w:rsidRPr="000649BF" w:rsidRDefault="004F130A" w:rsidP="007C723F">
            <w:pPr>
              <w:jc w:val="center"/>
              <w:rPr>
                <w:i/>
                <w:iCs/>
                <w:sz w:val="18"/>
                <w:szCs w:val="18"/>
              </w:rPr>
            </w:pPr>
            <w:r w:rsidRPr="000649BF">
              <w:rPr>
                <w:i/>
                <w:iCs/>
                <w:sz w:val="18"/>
                <w:szCs w:val="18"/>
              </w:rPr>
              <w:t>75,3</w:t>
            </w:r>
          </w:p>
        </w:tc>
        <w:tc>
          <w:tcPr>
            <w:tcW w:w="861" w:type="dxa"/>
            <w:tcBorders>
              <w:right w:val="double" w:sz="4" w:space="0" w:color="auto"/>
            </w:tcBorders>
            <w:shd w:val="clear" w:color="auto" w:fill="auto"/>
            <w:vAlign w:val="center"/>
            <w:hideMark/>
          </w:tcPr>
          <w:p w:rsidR="004F130A" w:rsidRPr="000649BF" w:rsidRDefault="004F130A" w:rsidP="007C723F">
            <w:pPr>
              <w:jc w:val="center"/>
              <w:rPr>
                <w:i/>
                <w:iCs/>
                <w:sz w:val="18"/>
                <w:szCs w:val="18"/>
              </w:rPr>
            </w:pPr>
            <w:r w:rsidRPr="000649BF">
              <w:rPr>
                <w:i/>
                <w:iCs/>
                <w:sz w:val="18"/>
                <w:szCs w:val="18"/>
              </w:rPr>
              <w:t>7,6</w:t>
            </w:r>
          </w:p>
        </w:tc>
      </w:tr>
      <w:tr w:rsidR="004F130A" w:rsidRPr="00E7654C" w:rsidTr="006E17FC">
        <w:trPr>
          <w:trHeight w:val="20"/>
        </w:trPr>
        <w:tc>
          <w:tcPr>
            <w:tcW w:w="3544" w:type="dxa"/>
            <w:tcBorders>
              <w:left w:val="double" w:sz="4" w:space="0" w:color="auto"/>
              <w:right w:val="double" w:sz="4" w:space="0" w:color="auto"/>
            </w:tcBorders>
            <w:shd w:val="clear" w:color="auto" w:fill="auto"/>
            <w:vAlign w:val="center"/>
            <w:hideMark/>
          </w:tcPr>
          <w:p w:rsidR="004F130A" w:rsidRPr="00E7654C" w:rsidRDefault="004F130A" w:rsidP="006E17FC">
            <w:pPr>
              <w:rPr>
                <w:i/>
                <w:iCs/>
                <w:sz w:val="18"/>
                <w:szCs w:val="18"/>
              </w:rPr>
            </w:pPr>
            <w:r w:rsidRPr="00E7654C">
              <w:rPr>
                <w:i/>
                <w:iCs/>
                <w:sz w:val="18"/>
                <w:szCs w:val="18"/>
              </w:rPr>
              <w:t>ФФП МР (ГО)</w:t>
            </w:r>
          </w:p>
        </w:tc>
        <w:tc>
          <w:tcPr>
            <w:tcW w:w="879" w:type="dxa"/>
            <w:tcBorders>
              <w:left w:val="double" w:sz="4" w:space="0" w:color="auto"/>
              <w:right w:val="double" w:sz="4" w:space="0" w:color="auto"/>
            </w:tcBorders>
            <w:shd w:val="clear" w:color="auto" w:fill="auto"/>
            <w:vAlign w:val="center"/>
            <w:hideMark/>
          </w:tcPr>
          <w:p w:rsidR="004F130A" w:rsidRPr="00E7654C" w:rsidRDefault="004F130A" w:rsidP="007C723F">
            <w:pPr>
              <w:jc w:val="center"/>
              <w:rPr>
                <w:i/>
                <w:iCs/>
                <w:sz w:val="18"/>
                <w:szCs w:val="18"/>
              </w:rPr>
            </w:pPr>
            <w:r w:rsidRPr="00E7654C">
              <w:rPr>
                <w:i/>
                <w:iCs/>
                <w:sz w:val="18"/>
                <w:szCs w:val="18"/>
              </w:rPr>
              <w:t>86,9</w:t>
            </w:r>
          </w:p>
        </w:tc>
        <w:tc>
          <w:tcPr>
            <w:tcW w:w="878" w:type="dxa"/>
            <w:tcBorders>
              <w:left w:val="double" w:sz="4" w:space="0" w:color="auto"/>
              <w:right w:val="double" w:sz="4" w:space="0" w:color="auto"/>
            </w:tcBorders>
            <w:shd w:val="clear" w:color="auto" w:fill="auto"/>
            <w:vAlign w:val="center"/>
            <w:hideMark/>
          </w:tcPr>
          <w:p w:rsidR="004F130A" w:rsidRPr="00E7654C" w:rsidRDefault="004F130A" w:rsidP="007C723F">
            <w:pPr>
              <w:jc w:val="center"/>
              <w:rPr>
                <w:i/>
                <w:iCs/>
                <w:sz w:val="18"/>
                <w:szCs w:val="18"/>
              </w:rPr>
            </w:pPr>
            <w:r w:rsidRPr="00E7654C">
              <w:rPr>
                <w:i/>
                <w:iCs/>
                <w:sz w:val="18"/>
                <w:szCs w:val="18"/>
              </w:rPr>
              <w:t>137,7</w:t>
            </w:r>
          </w:p>
        </w:tc>
        <w:tc>
          <w:tcPr>
            <w:tcW w:w="878" w:type="dxa"/>
            <w:tcBorders>
              <w:left w:val="double" w:sz="4" w:space="0" w:color="auto"/>
            </w:tcBorders>
            <w:shd w:val="clear" w:color="auto" w:fill="auto"/>
            <w:vAlign w:val="center"/>
            <w:hideMark/>
          </w:tcPr>
          <w:p w:rsidR="004F130A" w:rsidRPr="000649BF" w:rsidRDefault="004F130A" w:rsidP="007C723F">
            <w:pPr>
              <w:jc w:val="center"/>
              <w:rPr>
                <w:i/>
                <w:iCs/>
                <w:sz w:val="18"/>
                <w:szCs w:val="18"/>
              </w:rPr>
            </w:pPr>
            <w:r w:rsidRPr="000649BF">
              <w:rPr>
                <w:i/>
                <w:iCs/>
                <w:sz w:val="18"/>
                <w:szCs w:val="18"/>
              </w:rPr>
              <w:t>190,8</w:t>
            </w:r>
          </w:p>
        </w:tc>
        <w:tc>
          <w:tcPr>
            <w:tcW w:w="878" w:type="dxa"/>
            <w:shd w:val="clear" w:color="auto" w:fill="auto"/>
            <w:vAlign w:val="center"/>
            <w:hideMark/>
          </w:tcPr>
          <w:p w:rsidR="004F130A" w:rsidRPr="000649BF" w:rsidRDefault="004F130A" w:rsidP="007C723F">
            <w:pPr>
              <w:jc w:val="center"/>
              <w:rPr>
                <w:i/>
                <w:iCs/>
                <w:sz w:val="18"/>
                <w:szCs w:val="18"/>
              </w:rPr>
            </w:pPr>
            <w:r w:rsidRPr="000649BF">
              <w:rPr>
                <w:i/>
                <w:iCs/>
                <w:sz w:val="18"/>
                <w:szCs w:val="18"/>
              </w:rPr>
              <w:t>142,4</w:t>
            </w:r>
          </w:p>
        </w:tc>
        <w:tc>
          <w:tcPr>
            <w:tcW w:w="878" w:type="dxa"/>
            <w:tcBorders>
              <w:right w:val="double" w:sz="4" w:space="0" w:color="auto"/>
            </w:tcBorders>
            <w:shd w:val="clear" w:color="auto" w:fill="auto"/>
            <w:vAlign w:val="center"/>
            <w:hideMark/>
          </w:tcPr>
          <w:p w:rsidR="004F130A" w:rsidRPr="000649BF" w:rsidRDefault="004F130A" w:rsidP="007C723F">
            <w:pPr>
              <w:jc w:val="center"/>
              <w:rPr>
                <w:i/>
                <w:iCs/>
                <w:sz w:val="18"/>
                <w:szCs w:val="18"/>
              </w:rPr>
            </w:pPr>
            <w:r w:rsidRPr="000649BF">
              <w:rPr>
                <w:i/>
                <w:iCs/>
                <w:sz w:val="18"/>
                <w:szCs w:val="18"/>
              </w:rPr>
              <w:t>108,8</w:t>
            </w:r>
          </w:p>
        </w:tc>
        <w:tc>
          <w:tcPr>
            <w:tcW w:w="908" w:type="dxa"/>
            <w:tcBorders>
              <w:left w:val="double" w:sz="4" w:space="0" w:color="auto"/>
            </w:tcBorders>
            <w:shd w:val="clear" w:color="auto" w:fill="auto"/>
            <w:vAlign w:val="center"/>
            <w:hideMark/>
          </w:tcPr>
          <w:p w:rsidR="004F130A" w:rsidRPr="000649BF" w:rsidRDefault="004F130A" w:rsidP="007C723F">
            <w:pPr>
              <w:jc w:val="center"/>
              <w:rPr>
                <w:i/>
                <w:iCs/>
                <w:sz w:val="18"/>
                <w:szCs w:val="18"/>
              </w:rPr>
            </w:pPr>
            <w:r w:rsidRPr="000649BF">
              <w:rPr>
                <w:i/>
                <w:iCs/>
                <w:sz w:val="18"/>
                <w:szCs w:val="18"/>
              </w:rPr>
              <w:t>53,0</w:t>
            </w:r>
          </w:p>
        </w:tc>
        <w:tc>
          <w:tcPr>
            <w:tcW w:w="861" w:type="dxa"/>
            <w:tcBorders>
              <w:right w:val="double" w:sz="4" w:space="0" w:color="auto"/>
            </w:tcBorders>
            <w:shd w:val="clear" w:color="auto" w:fill="auto"/>
            <w:vAlign w:val="center"/>
            <w:hideMark/>
          </w:tcPr>
          <w:p w:rsidR="004F130A" w:rsidRPr="000649BF" w:rsidRDefault="004F130A" w:rsidP="007C723F">
            <w:pPr>
              <w:jc w:val="center"/>
              <w:rPr>
                <w:i/>
                <w:iCs/>
                <w:sz w:val="18"/>
                <w:szCs w:val="18"/>
              </w:rPr>
            </w:pPr>
            <w:r w:rsidRPr="000649BF">
              <w:rPr>
                <w:i/>
                <w:iCs/>
                <w:sz w:val="18"/>
                <w:szCs w:val="18"/>
              </w:rPr>
              <w:t>38,5</w:t>
            </w:r>
          </w:p>
        </w:tc>
      </w:tr>
      <w:tr w:rsidR="004F130A" w:rsidRPr="00E7654C" w:rsidTr="006E17FC">
        <w:trPr>
          <w:trHeight w:val="20"/>
        </w:trPr>
        <w:tc>
          <w:tcPr>
            <w:tcW w:w="3544" w:type="dxa"/>
            <w:tcBorders>
              <w:left w:val="double" w:sz="4" w:space="0" w:color="auto"/>
              <w:bottom w:val="single" w:sz="4" w:space="0" w:color="auto"/>
              <w:right w:val="double" w:sz="4" w:space="0" w:color="auto"/>
            </w:tcBorders>
            <w:shd w:val="clear" w:color="auto" w:fill="auto"/>
            <w:vAlign w:val="center"/>
            <w:hideMark/>
          </w:tcPr>
          <w:p w:rsidR="004F130A" w:rsidRPr="00E7654C" w:rsidRDefault="004F130A" w:rsidP="006E17FC">
            <w:pPr>
              <w:rPr>
                <w:sz w:val="18"/>
                <w:szCs w:val="18"/>
              </w:rPr>
            </w:pPr>
            <w:r w:rsidRPr="00E7654C">
              <w:rPr>
                <w:sz w:val="18"/>
                <w:szCs w:val="18"/>
              </w:rPr>
              <w:t>Дотации на поддержку мер по обеспечению сбалансированности</w:t>
            </w:r>
          </w:p>
        </w:tc>
        <w:tc>
          <w:tcPr>
            <w:tcW w:w="879" w:type="dxa"/>
            <w:tcBorders>
              <w:left w:val="double" w:sz="4" w:space="0" w:color="auto"/>
              <w:bottom w:val="single" w:sz="4" w:space="0" w:color="auto"/>
              <w:right w:val="double" w:sz="4" w:space="0" w:color="auto"/>
            </w:tcBorders>
            <w:shd w:val="clear" w:color="auto" w:fill="auto"/>
            <w:vAlign w:val="center"/>
            <w:hideMark/>
          </w:tcPr>
          <w:p w:rsidR="004F130A" w:rsidRPr="00E7654C" w:rsidRDefault="004F130A" w:rsidP="007C723F">
            <w:pPr>
              <w:jc w:val="center"/>
              <w:rPr>
                <w:sz w:val="18"/>
                <w:szCs w:val="18"/>
              </w:rPr>
            </w:pPr>
            <w:r w:rsidRPr="00E7654C">
              <w:rPr>
                <w:sz w:val="18"/>
                <w:szCs w:val="18"/>
              </w:rPr>
              <w:t>559,3</w:t>
            </w:r>
          </w:p>
        </w:tc>
        <w:tc>
          <w:tcPr>
            <w:tcW w:w="878" w:type="dxa"/>
            <w:tcBorders>
              <w:left w:val="double" w:sz="4" w:space="0" w:color="auto"/>
              <w:bottom w:val="single" w:sz="4" w:space="0" w:color="auto"/>
              <w:right w:val="double" w:sz="4" w:space="0" w:color="auto"/>
            </w:tcBorders>
            <w:shd w:val="clear" w:color="auto" w:fill="auto"/>
            <w:vAlign w:val="center"/>
            <w:hideMark/>
          </w:tcPr>
          <w:p w:rsidR="004F130A" w:rsidRPr="00E7654C" w:rsidRDefault="004F130A" w:rsidP="007C723F">
            <w:pPr>
              <w:jc w:val="center"/>
              <w:rPr>
                <w:sz w:val="18"/>
                <w:szCs w:val="18"/>
              </w:rPr>
            </w:pPr>
            <w:r w:rsidRPr="00E7654C">
              <w:rPr>
                <w:sz w:val="18"/>
                <w:szCs w:val="18"/>
              </w:rPr>
              <w:t>800,0</w:t>
            </w:r>
          </w:p>
        </w:tc>
        <w:tc>
          <w:tcPr>
            <w:tcW w:w="878" w:type="dxa"/>
            <w:tcBorders>
              <w:left w:val="double" w:sz="4" w:space="0" w:color="auto"/>
              <w:bottom w:val="single" w:sz="4" w:space="0" w:color="auto"/>
            </w:tcBorders>
            <w:shd w:val="clear" w:color="auto" w:fill="auto"/>
            <w:vAlign w:val="center"/>
            <w:hideMark/>
          </w:tcPr>
          <w:p w:rsidR="004F130A" w:rsidRPr="000649BF" w:rsidRDefault="004F130A" w:rsidP="007C723F">
            <w:pPr>
              <w:jc w:val="center"/>
              <w:rPr>
                <w:sz w:val="18"/>
                <w:szCs w:val="18"/>
              </w:rPr>
            </w:pPr>
            <w:r w:rsidRPr="000649BF">
              <w:rPr>
                <w:sz w:val="18"/>
                <w:szCs w:val="18"/>
              </w:rPr>
              <w:t>745,0</w:t>
            </w:r>
          </w:p>
        </w:tc>
        <w:tc>
          <w:tcPr>
            <w:tcW w:w="878" w:type="dxa"/>
            <w:tcBorders>
              <w:bottom w:val="single" w:sz="4" w:space="0" w:color="auto"/>
            </w:tcBorders>
            <w:shd w:val="clear" w:color="auto" w:fill="auto"/>
            <w:vAlign w:val="center"/>
            <w:hideMark/>
          </w:tcPr>
          <w:p w:rsidR="004F130A" w:rsidRPr="000649BF" w:rsidRDefault="004F130A" w:rsidP="007C723F">
            <w:pPr>
              <w:jc w:val="center"/>
              <w:rPr>
                <w:sz w:val="18"/>
                <w:szCs w:val="18"/>
              </w:rPr>
            </w:pPr>
            <w:r w:rsidRPr="000649BF">
              <w:rPr>
                <w:sz w:val="18"/>
                <w:szCs w:val="18"/>
              </w:rPr>
              <w:t>895,0</w:t>
            </w:r>
          </w:p>
        </w:tc>
        <w:tc>
          <w:tcPr>
            <w:tcW w:w="878" w:type="dxa"/>
            <w:tcBorders>
              <w:bottom w:val="single" w:sz="4" w:space="0" w:color="auto"/>
              <w:right w:val="double" w:sz="4" w:space="0" w:color="auto"/>
            </w:tcBorders>
            <w:shd w:val="clear" w:color="auto" w:fill="auto"/>
            <w:vAlign w:val="center"/>
            <w:hideMark/>
          </w:tcPr>
          <w:p w:rsidR="004F130A" w:rsidRPr="000649BF" w:rsidRDefault="004F130A" w:rsidP="007C723F">
            <w:pPr>
              <w:jc w:val="center"/>
              <w:rPr>
                <w:sz w:val="18"/>
                <w:szCs w:val="18"/>
              </w:rPr>
            </w:pPr>
            <w:r w:rsidRPr="000649BF">
              <w:rPr>
                <w:sz w:val="18"/>
                <w:szCs w:val="18"/>
              </w:rPr>
              <w:t>895,0</w:t>
            </w:r>
          </w:p>
        </w:tc>
        <w:tc>
          <w:tcPr>
            <w:tcW w:w="908" w:type="dxa"/>
            <w:tcBorders>
              <w:left w:val="double" w:sz="4" w:space="0" w:color="auto"/>
              <w:bottom w:val="single" w:sz="4" w:space="0" w:color="auto"/>
            </w:tcBorders>
            <w:shd w:val="clear" w:color="auto" w:fill="auto"/>
            <w:vAlign w:val="center"/>
            <w:hideMark/>
          </w:tcPr>
          <w:p w:rsidR="004F130A" w:rsidRPr="000649BF" w:rsidRDefault="004F130A" w:rsidP="007C723F">
            <w:pPr>
              <w:jc w:val="center"/>
              <w:rPr>
                <w:sz w:val="18"/>
                <w:szCs w:val="18"/>
              </w:rPr>
            </w:pPr>
            <w:r w:rsidRPr="000649BF">
              <w:rPr>
                <w:sz w:val="18"/>
                <w:szCs w:val="18"/>
              </w:rPr>
              <w:t>-55,0</w:t>
            </w:r>
          </w:p>
        </w:tc>
        <w:tc>
          <w:tcPr>
            <w:tcW w:w="861" w:type="dxa"/>
            <w:tcBorders>
              <w:bottom w:val="single" w:sz="4" w:space="0" w:color="auto"/>
              <w:right w:val="double" w:sz="4" w:space="0" w:color="auto"/>
            </w:tcBorders>
            <w:shd w:val="clear" w:color="auto" w:fill="auto"/>
            <w:vAlign w:val="center"/>
            <w:hideMark/>
          </w:tcPr>
          <w:p w:rsidR="004F130A" w:rsidRPr="000649BF" w:rsidRDefault="004F130A" w:rsidP="007C723F">
            <w:pPr>
              <w:jc w:val="center"/>
              <w:rPr>
                <w:sz w:val="18"/>
                <w:szCs w:val="18"/>
              </w:rPr>
            </w:pPr>
            <w:r w:rsidRPr="000649BF">
              <w:rPr>
                <w:sz w:val="18"/>
                <w:szCs w:val="18"/>
              </w:rPr>
              <w:t>-6,9</w:t>
            </w:r>
          </w:p>
        </w:tc>
      </w:tr>
      <w:tr w:rsidR="004F130A" w:rsidRPr="00E7654C" w:rsidTr="006E17FC">
        <w:trPr>
          <w:trHeight w:val="20"/>
        </w:trPr>
        <w:tc>
          <w:tcPr>
            <w:tcW w:w="3544" w:type="dxa"/>
            <w:tcBorders>
              <w:top w:val="single" w:sz="4" w:space="0" w:color="auto"/>
              <w:left w:val="double" w:sz="4" w:space="0" w:color="auto"/>
              <w:bottom w:val="single" w:sz="4" w:space="0" w:color="auto"/>
              <w:right w:val="double" w:sz="4" w:space="0" w:color="auto"/>
            </w:tcBorders>
            <w:shd w:val="clear" w:color="auto" w:fill="auto"/>
            <w:vAlign w:val="center"/>
            <w:hideMark/>
          </w:tcPr>
          <w:p w:rsidR="004F130A" w:rsidRPr="00E7654C" w:rsidRDefault="004F130A" w:rsidP="006E17FC">
            <w:pPr>
              <w:rPr>
                <w:b/>
                <w:bCs/>
                <w:sz w:val="18"/>
                <w:szCs w:val="18"/>
              </w:rPr>
            </w:pPr>
            <w:r w:rsidRPr="00E7654C">
              <w:rPr>
                <w:b/>
                <w:bCs/>
                <w:sz w:val="18"/>
                <w:szCs w:val="18"/>
              </w:rPr>
              <w:t>Субвенции</w:t>
            </w:r>
          </w:p>
        </w:tc>
        <w:tc>
          <w:tcPr>
            <w:tcW w:w="879" w:type="dxa"/>
            <w:tcBorders>
              <w:top w:val="single" w:sz="4" w:space="0" w:color="auto"/>
              <w:left w:val="double" w:sz="4" w:space="0" w:color="auto"/>
              <w:bottom w:val="single" w:sz="4" w:space="0" w:color="auto"/>
              <w:right w:val="double" w:sz="4" w:space="0" w:color="auto"/>
            </w:tcBorders>
            <w:shd w:val="clear" w:color="auto" w:fill="auto"/>
            <w:vAlign w:val="center"/>
            <w:hideMark/>
          </w:tcPr>
          <w:p w:rsidR="004F130A" w:rsidRPr="00E7654C" w:rsidRDefault="004F130A" w:rsidP="007C723F">
            <w:pPr>
              <w:jc w:val="center"/>
              <w:rPr>
                <w:b/>
                <w:bCs/>
                <w:sz w:val="18"/>
                <w:szCs w:val="18"/>
              </w:rPr>
            </w:pPr>
            <w:r w:rsidRPr="00E7654C">
              <w:rPr>
                <w:b/>
                <w:bCs/>
                <w:sz w:val="18"/>
                <w:szCs w:val="18"/>
              </w:rPr>
              <w:t>18 229,5</w:t>
            </w:r>
          </w:p>
        </w:tc>
        <w:tc>
          <w:tcPr>
            <w:tcW w:w="878" w:type="dxa"/>
            <w:tcBorders>
              <w:top w:val="single" w:sz="4" w:space="0" w:color="auto"/>
              <w:left w:val="double" w:sz="4" w:space="0" w:color="auto"/>
              <w:bottom w:val="single" w:sz="4" w:space="0" w:color="auto"/>
              <w:right w:val="double" w:sz="4" w:space="0" w:color="auto"/>
            </w:tcBorders>
            <w:shd w:val="clear" w:color="auto" w:fill="auto"/>
            <w:vAlign w:val="center"/>
            <w:hideMark/>
          </w:tcPr>
          <w:p w:rsidR="004F130A" w:rsidRPr="00E7654C" w:rsidRDefault="004F130A" w:rsidP="007C723F">
            <w:pPr>
              <w:jc w:val="center"/>
              <w:rPr>
                <w:b/>
                <w:bCs/>
                <w:sz w:val="18"/>
                <w:szCs w:val="18"/>
              </w:rPr>
            </w:pPr>
            <w:r w:rsidRPr="00E7654C">
              <w:rPr>
                <w:b/>
                <w:bCs/>
                <w:sz w:val="18"/>
                <w:szCs w:val="18"/>
              </w:rPr>
              <w:t>17 173,7</w:t>
            </w:r>
          </w:p>
        </w:tc>
        <w:tc>
          <w:tcPr>
            <w:tcW w:w="878" w:type="dxa"/>
            <w:tcBorders>
              <w:top w:val="single" w:sz="4" w:space="0" w:color="auto"/>
              <w:left w:val="double" w:sz="4" w:space="0" w:color="auto"/>
              <w:bottom w:val="sing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12 140,7</w:t>
            </w:r>
          </w:p>
        </w:tc>
        <w:tc>
          <w:tcPr>
            <w:tcW w:w="878" w:type="dxa"/>
            <w:tcBorders>
              <w:top w:val="single" w:sz="4" w:space="0" w:color="auto"/>
              <w:bottom w:val="sing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12 767,1</w:t>
            </w:r>
          </w:p>
        </w:tc>
        <w:tc>
          <w:tcPr>
            <w:tcW w:w="878" w:type="dxa"/>
            <w:tcBorders>
              <w:top w:val="single" w:sz="4" w:space="0" w:color="auto"/>
              <w:bottom w:val="single" w:sz="4" w:space="0" w:color="auto"/>
              <w:right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12 332,5</w:t>
            </w:r>
          </w:p>
        </w:tc>
        <w:tc>
          <w:tcPr>
            <w:tcW w:w="908" w:type="dxa"/>
            <w:tcBorders>
              <w:top w:val="single" w:sz="4" w:space="0" w:color="auto"/>
              <w:left w:val="double" w:sz="4" w:space="0" w:color="auto"/>
              <w:bottom w:val="sing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-5 033,0</w:t>
            </w:r>
          </w:p>
        </w:tc>
        <w:tc>
          <w:tcPr>
            <w:tcW w:w="861" w:type="dxa"/>
            <w:tcBorders>
              <w:top w:val="single" w:sz="4" w:space="0" w:color="auto"/>
              <w:bottom w:val="single" w:sz="4" w:space="0" w:color="auto"/>
              <w:right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-29,3</w:t>
            </w:r>
          </w:p>
        </w:tc>
      </w:tr>
      <w:tr w:rsidR="004F130A" w:rsidRPr="00E7654C" w:rsidTr="006E17FC">
        <w:trPr>
          <w:trHeight w:val="20"/>
        </w:trPr>
        <w:tc>
          <w:tcPr>
            <w:tcW w:w="3544" w:type="dxa"/>
            <w:tcBorders>
              <w:top w:val="single" w:sz="4" w:space="0" w:color="auto"/>
              <w:left w:val="double" w:sz="4" w:space="0" w:color="auto"/>
              <w:right w:val="double" w:sz="4" w:space="0" w:color="auto"/>
            </w:tcBorders>
            <w:shd w:val="clear" w:color="auto" w:fill="auto"/>
            <w:vAlign w:val="center"/>
            <w:hideMark/>
          </w:tcPr>
          <w:p w:rsidR="004F130A" w:rsidRPr="00E7654C" w:rsidRDefault="004F130A" w:rsidP="006E17FC">
            <w:pPr>
              <w:rPr>
                <w:b/>
                <w:bCs/>
                <w:sz w:val="18"/>
                <w:szCs w:val="18"/>
              </w:rPr>
            </w:pPr>
            <w:r w:rsidRPr="00E7654C">
              <w:rPr>
                <w:b/>
                <w:bCs/>
                <w:sz w:val="18"/>
                <w:szCs w:val="18"/>
              </w:rPr>
              <w:t>Объем субсидий</w:t>
            </w:r>
          </w:p>
        </w:tc>
        <w:tc>
          <w:tcPr>
            <w:tcW w:w="879" w:type="dxa"/>
            <w:tcBorders>
              <w:top w:val="single" w:sz="4" w:space="0" w:color="auto"/>
              <w:left w:val="double" w:sz="4" w:space="0" w:color="auto"/>
              <w:right w:val="double" w:sz="4" w:space="0" w:color="auto"/>
            </w:tcBorders>
            <w:shd w:val="clear" w:color="auto" w:fill="auto"/>
            <w:vAlign w:val="center"/>
            <w:hideMark/>
          </w:tcPr>
          <w:p w:rsidR="004F130A" w:rsidRPr="00E7654C" w:rsidRDefault="004F130A" w:rsidP="007C723F">
            <w:pPr>
              <w:jc w:val="center"/>
              <w:rPr>
                <w:b/>
                <w:bCs/>
                <w:sz w:val="18"/>
                <w:szCs w:val="18"/>
              </w:rPr>
            </w:pPr>
            <w:r w:rsidRPr="00E7654C">
              <w:rPr>
                <w:b/>
                <w:bCs/>
                <w:sz w:val="18"/>
                <w:szCs w:val="18"/>
              </w:rPr>
              <w:t>6 466,2</w:t>
            </w:r>
          </w:p>
        </w:tc>
        <w:tc>
          <w:tcPr>
            <w:tcW w:w="878" w:type="dxa"/>
            <w:tcBorders>
              <w:top w:val="single" w:sz="4" w:space="0" w:color="auto"/>
              <w:left w:val="double" w:sz="4" w:space="0" w:color="auto"/>
              <w:right w:val="double" w:sz="4" w:space="0" w:color="auto"/>
            </w:tcBorders>
            <w:shd w:val="clear" w:color="auto" w:fill="auto"/>
            <w:vAlign w:val="center"/>
            <w:hideMark/>
          </w:tcPr>
          <w:p w:rsidR="004F130A" w:rsidRPr="00E7654C" w:rsidRDefault="004F130A" w:rsidP="007C723F">
            <w:pPr>
              <w:jc w:val="center"/>
              <w:rPr>
                <w:b/>
                <w:bCs/>
                <w:sz w:val="18"/>
                <w:szCs w:val="18"/>
              </w:rPr>
            </w:pPr>
            <w:r w:rsidRPr="00E7654C">
              <w:rPr>
                <w:b/>
                <w:bCs/>
                <w:sz w:val="18"/>
                <w:szCs w:val="18"/>
              </w:rPr>
              <w:t>6 076,9</w:t>
            </w:r>
          </w:p>
        </w:tc>
        <w:tc>
          <w:tcPr>
            <w:tcW w:w="878" w:type="dxa"/>
            <w:tcBorders>
              <w:top w:val="single" w:sz="4" w:space="0" w:color="auto"/>
              <w:left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4 045,7</w:t>
            </w:r>
          </w:p>
        </w:tc>
        <w:tc>
          <w:tcPr>
            <w:tcW w:w="878" w:type="dxa"/>
            <w:tcBorders>
              <w:top w:val="sing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3 057,9</w:t>
            </w:r>
          </w:p>
        </w:tc>
        <w:tc>
          <w:tcPr>
            <w:tcW w:w="878" w:type="dxa"/>
            <w:tcBorders>
              <w:top w:val="single" w:sz="4" w:space="0" w:color="auto"/>
              <w:right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2 460,8</w:t>
            </w:r>
          </w:p>
        </w:tc>
        <w:tc>
          <w:tcPr>
            <w:tcW w:w="908" w:type="dxa"/>
            <w:tcBorders>
              <w:top w:val="single" w:sz="4" w:space="0" w:color="auto"/>
              <w:left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-2 031,2</w:t>
            </w:r>
          </w:p>
        </w:tc>
        <w:tc>
          <w:tcPr>
            <w:tcW w:w="861" w:type="dxa"/>
            <w:tcBorders>
              <w:top w:val="single" w:sz="4" w:space="0" w:color="auto"/>
              <w:right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-33,4</w:t>
            </w:r>
          </w:p>
        </w:tc>
      </w:tr>
      <w:tr w:rsidR="004F130A" w:rsidRPr="00E7654C" w:rsidTr="006E17FC">
        <w:trPr>
          <w:trHeight w:val="20"/>
        </w:trPr>
        <w:tc>
          <w:tcPr>
            <w:tcW w:w="3544" w:type="dxa"/>
            <w:tcBorders>
              <w:left w:val="double" w:sz="4" w:space="0" w:color="auto"/>
              <w:bottom w:val="single" w:sz="4" w:space="0" w:color="auto"/>
              <w:right w:val="double" w:sz="4" w:space="0" w:color="auto"/>
            </w:tcBorders>
            <w:shd w:val="clear" w:color="auto" w:fill="auto"/>
            <w:vAlign w:val="center"/>
            <w:hideMark/>
          </w:tcPr>
          <w:p w:rsidR="004F130A" w:rsidRPr="00E7654C" w:rsidRDefault="004F130A" w:rsidP="006E17FC">
            <w:pPr>
              <w:rPr>
                <w:sz w:val="18"/>
                <w:szCs w:val="18"/>
              </w:rPr>
            </w:pPr>
            <w:r w:rsidRPr="00E7654C">
              <w:rPr>
                <w:sz w:val="18"/>
                <w:szCs w:val="18"/>
              </w:rPr>
              <w:t>в т.ч. субсидии на обеспечение сбалансированности</w:t>
            </w:r>
          </w:p>
        </w:tc>
        <w:tc>
          <w:tcPr>
            <w:tcW w:w="879" w:type="dxa"/>
            <w:tcBorders>
              <w:left w:val="double" w:sz="4" w:space="0" w:color="auto"/>
              <w:bottom w:val="single" w:sz="4" w:space="0" w:color="auto"/>
              <w:right w:val="double" w:sz="4" w:space="0" w:color="auto"/>
            </w:tcBorders>
            <w:shd w:val="clear" w:color="auto" w:fill="auto"/>
            <w:vAlign w:val="center"/>
            <w:hideMark/>
          </w:tcPr>
          <w:p w:rsidR="004F130A" w:rsidRPr="00E7654C" w:rsidRDefault="004F130A" w:rsidP="007C723F">
            <w:pPr>
              <w:jc w:val="center"/>
              <w:rPr>
                <w:i/>
                <w:iCs/>
                <w:sz w:val="18"/>
                <w:szCs w:val="18"/>
              </w:rPr>
            </w:pPr>
            <w:r w:rsidRPr="00E7654C">
              <w:rPr>
                <w:i/>
                <w:iCs/>
                <w:sz w:val="18"/>
                <w:szCs w:val="18"/>
              </w:rPr>
              <w:t>1 614,0</w:t>
            </w:r>
          </w:p>
        </w:tc>
        <w:tc>
          <w:tcPr>
            <w:tcW w:w="878" w:type="dxa"/>
            <w:tcBorders>
              <w:left w:val="double" w:sz="4" w:space="0" w:color="auto"/>
              <w:bottom w:val="single" w:sz="4" w:space="0" w:color="auto"/>
              <w:right w:val="double" w:sz="4" w:space="0" w:color="auto"/>
            </w:tcBorders>
            <w:shd w:val="clear" w:color="auto" w:fill="auto"/>
            <w:vAlign w:val="center"/>
            <w:hideMark/>
          </w:tcPr>
          <w:p w:rsidR="004F130A" w:rsidRPr="00E7654C" w:rsidRDefault="004F130A" w:rsidP="007C723F">
            <w:pPr>
              <w:jc w:val="center"/>
              <w:rPr>
                <w:i/>
                <w:iCs/>
                <w:sz w:val="18"/>
                <w:szCs w:val="18"/>
              </w:rPr>
            </w:pPr>
            <w:r w:rsidRPr="00E7654C">
              <w:rPr>
                <w:i/>
                <w:iCs/>
                <w:sz w:val="18"/>
                <w:szCs w:val="18"/>
              </w:rPr>
              <w:t>1 276,3</w:t>
            </w:r>
          </w:p>
        </w:tc>
        <w:tc>
          <w:tcPr>
            <w:tcW w:w="878" w:type="dxa"/>
            <w:tcBorders>
              <w:left w:val="double" w:sz="4" w:space="0" w:color="auto"/>
              <w:bottom w:val="single" w:sz="4" w:space="0" w:color="auto"/>
            </w:tcBorders>
            <w:shd w:val="clear" w:color="auto" w:fill="auto"/>
            <w:vAlign w:val="center"/>
            <w:hideMark/>
          </w:tcPr>
          <w:p w:rsidR="004F130A" w:rsidRPr="000649BF" w:rsidRDefault="004F130A" w:rsidP="007C723F">
            <w:pPr>
              <w:jc w:val="center"/>
              <w:rPr>
                <w:i/>
                <w:iCs/>
                <w:sz w:val="18"/>
                <w:szCs w:val="18"/>
              </w:rPr>
            </w:pPr>
            <w:r w:rsidRPr="000649BF">
              <w:rPr>
                <w:i/>
                <w:iCs/>
                <w:sz w:val="18"/>
                <w:szCs w:val="18"/>
              </w:rPr>
              <w:t>712,5</w:t>
            </w:r>
          </w:p>
        </w:tc>
        <w:tc>
          <w:tcPr>
            <w:tcW w:w="878" w:type="dxa"/>
            <w:tcBorders>
              <w:bottom w:val="single" w:sz="4" w:space="0" w:color="auto"/>
            </w:tcBorders>
            <w:shd w:val="clear" w:color="auto" w:fill="auto"/>
            <w:vAlign w:val="center"/>
            <w:hideMark/>
          </w:tcPr>
          <w:p w:rsidR="004F130A" w:rsidRPr="000649BF" w:rsidRDefault="004F130A" w:rsidP="007C723F">
            <w:pPr>
              <w:jc w:val="center"/>
              <w:rPr>
                <w:i/>
                <w:iCs/>
                <w:sz w:val="18"/>
                <w:szCs w:val="18"/>
              </w:rPr>
            </w:pPr>
            <w:r w:rsidRPr="000649BF">
              <w:rPr>
                <w:i/>
                <w:iCs/>
                <w:sz w:val="18"/>
                <w:szCs w:val="18"/>
              </w:rPr>
              <w:t>712,5</w:t>
            </w:r>
          </w:p>
        </w:tc>
        <w:tc>
          <w:tcPr>
            <w:tcW w:w="878" w:type="dxa"/>
            <w:tcBorders>
              <w:bottom w:val="single" w:sz="4" w:space="0" w:color="auto"/>
              <w:right w:val="double" w:sz="4" w:space="0" w:color="auto"/>
            </w:tcBorders>
            <w:shd w:val="clear" w:color="auto" w:fill="auto"/>
            <w:vAlign w:val="center"/>
            <w:hideMark/>
          </w:tcPr>
          <w:p w:rsidR="004F130A" w:rsidRPr="000649BF" w:rsidRDefault="004F130A" w:rsidP="007C723F">
            <w:pPr>
              <w:jc w:val="center"/>
              <w:rPr>
                <w:i/>
                <w:iCs/>
                <w:sz w:val="18"/>
                <w:szCs w:val="18"/>
              </w:rPr>
            </w:pPr>
            <w:r w:rsidRPr="000649BF">
              <w:rPr>
                <w:i/>
                <w:iCs/>
                <w:sz w:val="18"/>
                <w:szCs w:val="18"/>
              </w:rPr>
              <w:t>712,5</w:t>
            </w:r>
          </w:p>
        </w:tc>
        <w:tc>
          <w:tcPr>
            <w:tcW w:w="908" w:type="dxa"/>
            <w:tcBorders>
              <w:left w:val="double" w:sz="4" w:space="0" w:color="auto"/>
              <w:bottom w:val="single" w:sz="4" w:space="0" w:color="auto"/>
            </w:tcBorders>
            <w:shd w:val="clear" w:color="auto" w:fill="auto"/>
            <w:vAlign w:val="center"/>
            <w:hideMark/>
          </w:tcPr>
          <w:p w:rsidR="004F130A" w:rsidRPr="000649BF" w:rsidRDefault="004F130A" w:rsidP="007C723F">
            <w:pPr>
              <w:jc w:val="center"/>
              <w:rPr>
                <w:i/>
                <w:iCs/>
                <w:sz w:val="18"/>
                <w:szCs w:val="18"/>
              </w:rPr>
            </w:pPr>
            <w:r w:rsidRPr="000649BF">
              <w:rPr>
                <w:i/>
                <w:iCs/>
                <w:sz w:val="18"/>
                <w:szCs w:val="18"/>
              </w:rPr>
              <w:t>-563,9</w:t>
            </w:r>
          </w:p>
        </w:tc>
        <w:tc>
          <w:tcPr>
            <w:tcW w:w="861" w:type="dxa"/>
            <w:tcBorders>
              <w:bottom w:val="single" w:sz="4" w:space="0" w:color="auto"/>
              <w:right w:val="double" w:sz="4" w:space="0" w:color="auto"/>
            </w:tcBorders>
            <w:shd w:val="clear" w:color="auto" w:fill="auto"/>
            <w:vAlign w:val="center"/>
            <w:hideMark/>
          </w:tcPr>
          <w:p w:rsidR="004F130A" w:rsidRPr="000649BF" w:rsidRDefault="004F130A" w:rsidP="007C723F">
            <w:pPr>
              <w:jc w:val="center"/>
              <w:rPr>
                <w:i/>
                <w:iCs/>
                <w:sz w:val="18"/>
                <w:szCs w:val="18"/>
              </w:rPr>
            </w:pPr>
            <w:r w:rsidRPr="000649BF">
              <w:rPr>
                <w:i/>
                <w:iCs/>
                <w:sz w:val="18"/>
                <w:szCs w:val="18"/>
              </w:rPr>
              <w:t>-44,2</w:t>
            </w:r>
          </w:p>
        </w:tc>
      </w:tr>
      <w:tr w:rsidR="004F130A" w:rsidRPr="00E7654C" w:rsidTr="006E17FC">
        <w:trPr>
          <w:trHeight w:val="20"/>
        </w:trPr>
        <w:tc>
          <w:tcPr>
            <w:tcW w:w="3544" w:type="dxa"/>
            <w:tcBorders>
              <w:top w:val="single" w:sz="4" w:space="0" w:color="auto"/>
              <w:left w:val="double" w:sz="4" w:space="0" w:color="auto"/>
              <w:bottom w:val="double" w:sz="4" w:space="0" w:color="auto"/>
              <w:right w:val="double" w:sz="4" w:space="0" w:color="auto"/>
            </w:tcBorders>
            <w:shd w:val="clear" w:color="auto" w:fill="auto"/>
            <w:vAlign w:val="center"/>
            <w:hideMark/>
          </w:tcPr>
          <w:p w:rsidR="004F130A" w:rsidRPr="00E7654C" w:rsidRDefault="004F130A" w:rsidP="006E17FC">
            <w:pPr>
              <w:rPr>
                <w:b/>
                <w:bCs/>
                <w:sz w:val="18"/>
                <w:szCs w:val="18"/>
              </w:rPr>
            </w:pPr>
            <w:r w:rsidRPr="00E7654C">
              <w:rPr>
                <w:b/>
                <w:bCs/>
                <w:sz w:val="18"/>
                <w:szCs w:val="18"/>
              </w:rPr>
              <w:t>Иные межбюджетные трансферты</w:t>
            </w:r>
          </w:p>
        </w:tc>
        <w:tc>
          <w:tcPr>
            <w:tcW w:w="879" w:type="dxa"/>
            <w:tcBorders>
              <w:top w:val="single" w:sz="4" w:space="0" w:color="auto"/>
              <w:left w:val="double" w:sz="4" w:space="0" w:color="auto"/>
              <w:bottom w:val="double" w:sz="4" w:space="0" w:color="auto"/>
              <w:right w:val="double" w:sz="4" w:space="0" w:color="auto"/>
            </w:tcBorders>
            <w:shd w:val="clear" w:color="auto" w:fill="auto"/>
            <w:vAlign w:val="center"/>
            <w:hideMark/>
          </w:tcPr>
          <w:p w:rsidR="004F130A" w:rsidRPr="00E7654C" w:rsidRDefault="004F130A" w:rsidP="007C723F">
            <w:pPr>
              <w:jc w:val="center"/>
              <w:rPr>
                <w:b/>
                <w:bCs/>
                <w:sz w:val="18"/>
                <w:szCs w:val="18"/>
              </w:rPr>
            </w:pPr>
            <w:r w:rsidRPr="00E7654C">
              <w:rPr>
                <w:b/>
                <w:bCs/>
                <w:sz w:val="18"/>
                <w:szCs w:val="18"/>
              </w:rPr>
              <w:t>323,9</w:t>
            </w:r>
          </w:p>
        </w:tc>
        <w:tc>
          <w:tcPr>
            <w:tcW w:w="878" w:type="dxa"/>
            <w:tcBorders>
              <w:top w:val="single" w:sz="4" w:space="0" w:color="auto"/>
              <w:left w:val="double" w:sz="4" w:space="0" w:color="auto"/>
              <w:bottom w:val="double" w:sz="4" w:space="0" w:color="auto"/>
              <w:right w:val="double" w:sz="4" w:space="0" w:color="auto"/>
            </w:tcBorders>
            <w:shd w:val="clear" w:color="auto" w:fill="auto"/>
            <w:vAlign w:val="center"/>
            <w:hideMark/>
          </w:tcPr>
          <w:p w:rsidR="004F130A" w:rsidRPr="00E7654C" w:rsidRDefault="004F130A" w:rsidP="007C723F">
            <w:pPr>
              <w:jc w:val="center"/>
              <w:rPr>
                <w:b/>
                <w:bCs/>
                <w:sz w:val="18"/>
                <w:szCs w:val="18"/>
              </w:rPr>
            </w:pPr>
            <w:r w:rsidRPr="00E7654C">
              <w:rPr>
                <w:b/>
                <w:bCs/>
                <w:sz w:val="18"/>
                <w:szCs w:val="18"/>
              </w:rPr>
              <w:t>422,7</w:t>
            </w:r>
          </w:p>
        </w:tc>
        <w:tc>
          <w:tcPr>
            <w:tcW w:w="878" w:type="dxa"/>
            <w:tcBorders>
              <w:top w:val="single" w:sz="4" w:space="0" w:color="auto"/>
              <w:left w:val="double" w:sz="4" w:space="0" w:color="auto"/>
              <w:bottom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6,8</w:t>
            </w:r>
          </w:p>
        </w:tc>
        <w:tc>
          <w:tcPr>
            <w:tcW w:w="878" w:type="dxa"/>
            <w:tcBorders>
              <w:top w:val="single" w:sz="4" w:space="0" w:color="auto"/>
              <w:bottom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4,4</w:t>
            </w:r>
          </w:p>
        </w:tc>
        <w:tc>
          <w:tcPr>
            <w:tcW w:w="878" w:type="dxa"/>
            <w:tcBorders>
              <w:top w:val="single" w:sz="4" w:space="0" w:color="auto"/>
              <w:bottom w:val="double" w:sz="4" w:space="0" w:color="auto"/>
              <w:right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4,4</w:t>
            </w:r>
          </w:p>
        </w:tc>
        <w:tc>
          <w:tcPr>
            <w:tcW w:w="908" w:type="dxa"/>
            <w:tcBorders>
              <w:top w:val="single" w:sz="4" w:space="0" w:color="auto"/>
              <w:left w:val="double" w:sz="4" w:space="0" w:color="auto"/>
              <w:bottom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-415,9</w:t>
            </w:r>
          </w:p>
        </w:tc>
        <w:tc>
          <w:tcPr>
            <w:tcW w:w="861" w:type="dxa"/>
            <w:tcBorders>
              <w:top w:val="single" w:sz="4" w:space="0" w:color="auto"/>
              <w:bottom w:val="double" w:sz="4" w:space="0" w:color="auto"/>
              <w:right w:val="double" w:sz="4" w:space="0" w:color="auto"/>
            </w:tcBorders>
            <w:shd w:val="clear" w:color="auto" w:fill="auto"/>
            <w:vAlign w:val="center"/>
            <w:hideMark/>
          </w:tcPr>
          <w:p w:rsidR="004F130A" w:rsidRPr="000649BF" w:rsidRDefault="004F130A" w:rsidP="007C723F">
            <w:pPr>
              <w:jc w:val="center"/>
              <w:rPr>
                <w:b/>
                <w:bCs/>
                <w:sz w:val="18"/>
                <w:szCs w:val="18"/>
              </w:rPr>
            </w:pPr>
            <w:r w:rsidRPr="000649BF">
              <w:rPr>
                <w:b/>
                <w:bCs/>
                <w:sz w:val="18"/>
                <w:szCs w:val="18"/>
              </w:rPr>
              <w:t>-98,4</w:t>
            </w:r>
          </w:p>
        </w:tc>
      </w:tr>
    </w:tbl>
    <w:p w:rsidR="004F130A" w:rsidRDefault="004F130A" w:rsidP="004F130A">
      <w:pPr>
        <w:ind w:firstLine="720"/>
        <w:jc w:val="both"/>
        <w:rPr>
          <w:rFonts w:eastAsia="TimesNewRomanPSMT"/>
          <w:color w:val="FF0000"/>
        </w:rPr>
      </w:pPr>
    </w:p>
    <w:p w:rsidR="004F130A" w:rsidRPr="00905350" w:rsidRDefault="004F130A" w:rsidP="004F130A">
      <w:pPr>
        <w:ind w:firstLine="720"/>
        <w:jc w:val="both"/>
      </w:pPr>
      <w:r w:rsidRPr="00905350">
        <w:t>Сокращение общего объема межбюджетных трансфертов местным бюджетам сложился в основном за счет уменьшения объема субсидий с 6076,9 млн. руб. до 40</w:t>
      </w:r>
      <w:r>
        <w:t>45</w:t>
      </w:r>
      <w:r w:rsidRPr="00905350">
        <w:t>,</w:t>
      </w:r>
      <w:r>
        <w:t>7</w:t>
      </w:r>
      <w:r w:rsidRPr="00905350">
        <w:t xml:space="preserve"> млн. руб., или на 20</w:t>
      </w:r>
      <w:r>
        <w:t>31,2</w:t>
      </w:r>
      <w:r w:rsidRPr="00905350">
        <w:t xml:space="preserve"> млн. руб. (в 1,5 раза) и объема субвенций с 17173,7 млн. руб. до 121</w:t>
      </w:r>
      <w:r>
        <w:t>40</w:t>
      </w:r>
      <w:r w:rsidRPr="00905350">
        <w:t>,</w:t>
      </w:r>
      <w:r>
        <w:t>7</w:t>
      </w:r>
      <w:r w:rsidRPr="00905350">
        <w:t xml:space="preserve"> млн. руб. (-50</w:t>
      </w:r>
      <w:r>
        <w:t>33</w:t>
      </w:r>
      <w:r w:rsidRPr="00905350">
        <w:t>,</w:t>
      </w:r>
      <w:r>
        <w:t>0</w:t>
      </w:r>
      <w:r w:rsidRPr="00905350">
        <w:t xml:space="preserve"> млн. руб., </w:t>
      </w:r>
      <w:r w:rsidR="00145A81">
        <w:t xml:space="preserve">или </w:t>
      </w:r>
      <w:proofErr w:type="gramStart"/>
      <w:r w:rsidRPr="00905350">
        <w:t>в</w:t>
      </w:r>
      <w:proofErr w:type="gramEnd"/>
      <w:r w:rsidRPr="00905350">
        <w:t xml:space="preserve"> 1,4 раза).</w:t>
      </w:r>
    </w:p>
    <w:p w:rsidR="004F130A" w:rsidRDefault="004F130A" w:rsidP="004F130A">
      <w:pPr>
        <w:ind w:firstLine="720"/>
        <w:jc w:val="both"/>
        <w:rPr>
          <w:color w:val="FF0000"/>
        </w:rPr>
      </w:pPr>
      <w:r w:rsidRPr="003A2CF1">
        <w:t xml:space="preserve">Существенное превышение объема иных межбюджетных трансфертов </w:t>
      </w:r>
      <w:r>
        <w:t>в</w:t>
      </w:r>
      <w:r w:rsidRPr="003A2CF1">
        <w:t xml:space="preserve"> 2016 год</w:t>
      </w:r>
      <w:r>
        <w:t>у</w:t>
      </w:r>
      <w:r w:rsidRPr="003A2CF1">
        <w:t xml:space="preserve"> над предусмотренным объемом на 2017 год обусловлено предоставлением в 2016 году бюджету города Волгограда и</w:t>
      </w:r>
      <w:r w:rsidRPr="003A2CF1">
        <w:rPr>
          <w:rFonts w:eastAsia="Calibri"/>
        </w:rPr>
        <w:t xml:space="preserve">ного межбюджетного трансферта </w:t>
      </w:r>
      <w:r>
        <w:rPr>
          <w:rFonts w:eastAsia="Calibri"/>
        </w:rPr>
        <w:t>за счет</w:t>
      </w:r>
      <w:r w:rsidRPr="003A2CF1">
        <w:rPr>
          <w:rFonts w:eastAsia="Calibri"/>
        </w:rPr>
        <w:t xml:space="preserve"> федерального бюджета на реализацию мероприятий региональных программ в сфере дорожного хозяйства в размере 400 млн. рублей.</w:t>
      </w:r>
    </w:p>
    <w:p w:rsidR="004F130A" w:rsidRPr="00486CAC" w:rsidRDefault="004F130A" w:rsidP="004F130A">
      <w:pPr>
        <w:ind w:firstLine="720"/>
        <w:jc w:val="both"/>
      </w:pPr>
      <w:r w:rsidRPr="00486CAC">
        <w:t>Объемы и структура распределения межбюджетных трансфертов по формам их предс</w:t>
      </w:r>
      <w:r>
        <w:t>тавления местным бюджетам в 2015-2017</w:t>
      </w:r>
      <w:r w:rsidRPr="00486CAC">
        <w:t xml:space="preserve"> годах наглядно представлена диаграммой.</w:t>
      </w:r>
    </w:p>
    <w:p w:rsidR="004F130A" w:rsidRDefault="004F130A" w:rsidP="004F130A">
      <w:pPr>
        <w:ind w:firstLine="720"/>
        <w:jc w:val="both"/>
        <w:rPr>
          <w:rFonts w:eastAsia="Calibri"/>
        </w:rPr>
      </w:pPr>
    </w:p>
    <w:p w:rsidR="004F130A" w:rsidRPr="004F130A" w:rsidRDefault="004F130A" w:rsidP="004F130A">
      <w:pPr>
        <w:ind w:firstLine="720"/>
        <w:jc w:val="right"/>
        <w:rPr>
          <w:rFonts w:eastAsia="Calibri"/>
          <w:sz w:val="20"/>
          <w:szCs w:val="20"/>
        </w:rPr>
      </w:pPr>
      <w:r w:rsidRPr="004F130A">
        <w:rPr>
          <w:rFonts w:eastAsia="Calibri"/>
          <w:sz w:val="20"/>
          <w:szCs w:val="20"/>
        </w:rPr>
        <w:t>млн. руб.</w:t>
      </w:r>
    </w:p>
    <w:p w:rsidR="004F130A" w:rsidRPr="003A2CF1" w:rsidRDefault="004F130A" w:rsidP="004F130A">
      <w:pPr>
        <w:jc w:val="both"/>
      </w:pPr>
      <w:r w:rsidRPr="00FC46EA">
        <w:rPr>
          <w:rFonts w:eastAsia="Calibri"/>
          <w:noProof/>
        </w:rPr>
        <w:drawing>
          <wp:inline distT="0" distB="0" distL="0" distR="0">
            <wp:extent cx="6072996" cy="2225615"/>
            <wp:effectExtent l="0" t="0" r="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130A" w:rsidRDefault="004F130A" w:rsidP="004F130A">
      <w:pPr>
        <w:ind w:firstLine="720"/>
        <w:jc w:val="both"/>
        <w:rPr>
          <w:color w:val="FF0000"/>
        </w:rPr>
      </w:pPr>
    </w:p>
    <w:p w:rsidR="00B16F12" w:rsidRDefault="00B16F12" w:rsidP="004F130A">
      <w:pPr>
        <w:ind w:firstLine="720"/>
        <w:jc w:val="both"/>
        <w:rPr>
          <w:color w:val="FF0000"/>
        </w:rPr>
      </w:pPr>
    </w:p>
    <w:p w:rsidR="00B16F12" w:rsidRDefault="00B16F12" w:rsidP="004F130A">
      <w:pPr>
        <w:ind w:firstLine="720"/>
        <w:jc w:val="both"/>
        <w:rPr>
          <w:color w:val="FF0000"/>
        </w:rPr>
      </w:pPr>
    </w:p>
    <w:p w:rsidR="00B16F12" w:rsidRDefault="00B16F12" w:rsidP="004F130A">
      <w:pPr>
        <w:ind w:firstLine="720"/>
        <w:jc w:val="both"/>
        <w:rPr>
          <w:color w:val="FF0000"/>
        </w:rPr>
      </w:pPr>
    </w:p>
    <w:p w:rsidR="00B16F12" w:rsidRDefault="00B16F12" w:rsidP="004F130A">
      <w:pPr>
        <w:ind w:firstLine="720"/>
        <w:jc w:val="both"/>
        <w:rPr>
          <w:color w:val="FF0000"/>
        </w:rPr>
      </w:pPr>
    </w:p>
    <w:p w:rsidR="004F130A" w:rsidRPr="0011190C" w:rsidRDefault="004F130A" w:rsidP="004F130A">
      <w:pPr>
        <w:autoSpaceDE w:val="0"/>
        <w:autoSpaceDN w:val="0"/>
        <w:adjustRightInd w:val="0"/>
        <w:jc w:val="center"/>
        <w:outlineLvl w:val="1"/>
        <w:rPr>
          <w:i/>
          <w:u w:val="single"/>
        </w:rPr>
      </w:pPr>
      <w:r w:rsidRPr="0011190C">
        <w:rPr>
          <w:i/>
          <w:u w:val="single"/>
        </w:rPr>
        <w:lastRenderedPageBreak/>
        <w:t xml:space="preserve">Критерии выравнивания расчетной бюджетной обеспеченности МР (ГО) </w:t>
      </w:r>
    </w:p>
    <w:p w:rsidR="004F130A" w:rsidRDefault="004F130A" w:rsidP="004F130A">
      <w:pPr>
        <w:autoSpaceDE w:val="0"/>
        <w:autoSpaceDN w:val="0"/>
        <w:adjustRightInd w:val="0"/>
        <w:jc w:val="center"/>
        <w:outlineLvl w:val="1"/>
        <w:rPr>
          <w:i/>
          <w:u w:val="single"/>
        </w:rPr>
      </w:pPr>
      <w:r w:rsidRPr="0011190C">
        <w:rPr>
          <w:i/>
          <w:u w:val="single"/>
        </w:rPr>
        <w:t>и финансовых возможностей поселений</w:t>
      </w:r>
    </w:p>
    <w:p w:rsidR="0011190C" w:rsidRPr="0011190C" w:rsidRDefault="0011190C" w:rsidP="004F130A">
      <w:pPr>
        <w:autoSpaceDE w:val="0"/>
        <w:autoSpaceDN w:val="0"/>
        <w:adjustRightInd w:val="0"/>
        <w:jc w:val="center"/>
        <w:outlineLvl w:val="1"/>
        <w:rPr>
          <w:i/>
          <w:u w:val="single"/>
        </w:rPr>
      </w:pPr>
    </w:p>
    <w:p w:rsidR="004F130A" w:rsidRPr="00E87870" w:rsidRDefault="004F130A" w:rsidP="004F130A">
      <w:pPr>
        <w:autoSpaceDE w:val="0"/>
        <w:autoSpaceDN w:val="0"/>
        <w:adjustRightInd w:val="0"/>
        <w:ind w:firstLine="720"/>
        <w:jc w:val="both"/>
        <w:outlineLvl w:val="1"/>
      </w:pPr>
      <w:r w:rsidRPr="00E87870">
        <w:t xml:space="preserve">Расчет объемов дотаций из областных </w:t>
      </w:r>
      <w:r w:rsidRPr="00E87870">
        <w:rPr>
          <w:b/>
          <w:i/>
        </w:rPr>
        <w:t xml:space="preserve">фондов финансовой поддержки </w:t>
      </w:r>
      <w:r w:rsidRPr="00E87870">
        <w:t>(</w:t>
      </w:r>
      <w:r w:rsidRPr="00E87870">
        <w:rPr>
          <w:i/>
        </w:rPr>
        <w:t>ФФПП (в части городских округов), ФФПП (в части городских и сельских поселений) и ФФП МР (ГО))</w:t>
      </w:r>
      <w:r w:rsidRPr="00E87870">
        <w:t xml:space="preserve"> осуществлялся по методике, утвержд</w:t>
      </w:r>
      <w:r w:rsidR="0011190C">
        <w:t>е</w:t>
      </w:r>
      <w:r w:rsidRPr="00E87870">
        <w:t xml:space="preserve">нной Законом Волгоградской области </w:t>
      </w:r>
      <w:r w:rsidRPr="00E87870">
        <w:rPr>
          <w:bCs/>
        </w:rPr>
        <w:t xml:space="preserve">от 26.07.2005 №1093-ОД «О межбюджетных отношениях </w:t>
      </w:r>
      <w:r w:rsidRPr="00E87870">
        <w:t>в Волгоградской области».</w:t>
      </w:r>
    </w:p>
    <w:p w:rsidR="004F130A" w:rsidRPr="008958A5" w:rsidRDefault="004F130A" w:rsidP="004F130A">
      <w:pPr>
        <w:autoSpaceDE w:val="0"/>
        <w:autoSpaceDN w:val="0"/>
        <w:adjustRightInd w:val="0"/>
        <w:ind w:firstLine="720"/>
        <w:jc w:val="both"/>
        <w:outlineLvl w:val="1"/>
        <w:rPr>
          <w:lang w:eastAsia="en-US"/>
        </w:rPr>
      </w:pPr>
      <w:r w:rsidRPr="00E87870">
        <w:rPr>
          <w:lang w:eastAsia="en-US"/>
        </w:rPr>
        <w:t xml:space="preserve">Значения критериев выравнивания установлены статьей </w:t>
      </w:r>
      <w:r>
        <w:rPr>
          <w:lang w:eastAsia="en-US"/>
        </w:rPr>
        <w:t>31</w:t>
      </w:r>
      <w:r w:rsidRPr="00E87870">
        <w:rPr>
          <w:lang w:eastAsia="en-US"/>
        </w:rPr>
        <w:t xml:space="preserve"> законопроекта и </w:t>
      </w:r>
      <w:r w:rsidRPr="008958A5">
        <w:rPr>
          <w:lang w:eastAsia="en-US"/>
        </w:rPr>
        <w:t>представлены в таблице:</w:t>
      </w:r>
    </w:p>
    <w:p w:rsidR="004F130A" w:rsidRPr="008958A5" w:rsidRDefault="004F130A" w:rsidP="004F130A">
      <w:pPr>
        <w:autoSpaceDE w:val="0"/>
        <w:autoSpaceDN w:val="0"/>
        <w:adjustRightInd w:val="0"/>
        <w:ind w:firstLine="720"/>
        <w:jc w:val="both"/>
        <w:outlineLvl w:val="1"/>
        <w:rPr>
          <w:lang w:eastAsia="en-US"/>
        </w:rPr>
      </w:pPr>
    </w:p>
    <w:tbl>
      <w:tblPr>
        <w:tblW w:w="9672"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tblPr>
      <w:tblGrid>
        <w:gridCol w:w="3544"/>
        <w:gridCol w:w="1104"/>
        <w:gridCol w:w="1197"/>
        <w:gridCol w:w="1276"/>
        <w:gridCol w:w="1276"/>
        <w:gridCol w:w="1275"/>
      </w:tblGrid>
      <w:tr w:rsidR="004F130A" w:rsidRPr="008958A5" w:rsidTr="006E17FC">
        <w:trPr>
          <w:trHeight w:val="227"/>
        </w:trPr>
        <w:tc>
          <w:tcPr>
            <w:tcW w:w="3544" w:type="dxa"/>
            <w:vMerge w:val="restart"/>
            <w:tcBorders>
              <w:top w:val="double" w:sz="6" w:space="0" w:color="auto"/>
              <w:right w:val="dotted" w:sz="4" w:space="0" w:color="auto"/>
            </w:tcBorders>
            <w:vAlign w:val="center"/>
          </w:tcPr>
          <w:p w:rsidR="004F130A" w:rsidRPr="008958A5" w:rsidRDefault="004F130A" w:rsidP="006E17FC">
            <w:pPr>
              <w:jc w:val="center"/>
              <w:rPr>
                <w:b/>
                <w:sz w:val="20"/>
                <w:szCs w:val="20"/>
              </w:rPr>
            </w:pPr>
            <w:r w:rsidRPr="008958A5">
              <w:rPr>
                <w:b/>
                <w:sz w:val="20"/>
                <w:szCs w:val="20"/>
              </w:rPr>
              <w:t>Фонды финансовой поддержки</w:t>
            </w:r>
          </w:p>
        </w:tc>
        <w:tc>
          <w:tcPr>
            <w:tcW w:w="1104" w:type="dxa"/>
            <w:vMerge w:val="restart"/>
            <w:tcBorders>
              <w:top w:val="double" w:sz="6" w:space="0" w:color="auto"/>
              <w:left w:val="dotted" w:sz="4" w:space="0" w:color="auto"/>
              <w:right w:val="dotted" w:sz="4" w:space="0" w:color="auto"/>
            </w:tcBorders>
            <w:vAlign w:val="center"/>
          </w:tcPr>
          <w:p w:rsidR="004F130A" w:rsidRPr="008958A5" w:rsidRDefault="004F130A" w:rsidP="006E17FC">
            <w:pPr>
              <w:jc w:val="center"/>
              <w:rPr>
                <w:b/>
                <w:sz w:val="20"/>
                <w:szCs w:val="20"/>
              </w:rPr>
            </w:pPr>
            <w:r w:rsidRPr="008958A5">
              <w:rPr>
                <w:b/>
                <w:sz w:val="20"/>
                <w:szCs w:val="20"/>
              </w:rPr>
              <w:t xml:space="preserve">Ед. </w:t>
            </w:r>
            <w:proofErr w:type="spellStart"/>
            <w:r w:rsidRPr="008958A5">
              <w:rPr>
                <w:b/>
                <w:sz w:val="20"/>
                <w:szCs w:val="20"/>
              </w:rPr>
              <w:t>изм</w:t>
            </w:r>
            <w:proofErr w:type="spellEnd"/>
            <w:r w:rsidRPr="008958A5">
              <w:rPr>
                <w:b/>
                <w:sz w:val="20"/>
                <w:szCs w:val="20"/>
              </w:rPr>
              <w:t>.</w:t>
            </w:r>
          </w:p>
        </w:tc>
        <w:tc>
          <w:tcPr>
            <w:tcW w:w="5024" w:type="dxa"/>
            <w:gridSpan w:val="4"/>
            <w:tcBorders>
              <w:top w:val="double" w:sz="6" w:space="0" w:color="auto"/>
              <w:left w:val="dotted" w:sz="4" w:space="0" w:color="auto"/>
              <w:bottom w:val="dotted" w:sz="4" w:space="0" w:color="auto"/>
            </w:tcBorders>
            <w:vAlign w:val="center"/>
          </w:tcPr>
          <w:p w:rsidR="004F130A" w:rsidRPr="008958A5" w:rsidRDefault="004F130A" w:rsidP="006E17FC">
            <w:pPr>
              <w:jc w:val="center"/>
              <w:rPr>
                <w:b/>
                <w:sz w:val="20"/>
                <w:szCs w:val="20"/>
              </w:rPr>
            </w:pPr>
            <w:r w:rsidRPr="008958A5">
              <w:rPr>
                <w:b/>
                <w:sz w:val="20"/>
                <w:szCs w:val="20"/>
              </w:rPr>
              <w:t>критерий выравнивания на одного жителя</w:t>
            </w:r>
          </w:p>
        </w:tc>
      </w:tr>
      <w:tr w:rsidR="004F130A" w:rsidRPr="008958A5" w:rsidTr="006E17FC">
        <w:trPr>
          <w:trHeight w:val="227"/>
        </w:trPr>
        <w:tc>
          <w:tcPr>
            <w:tcW w:w="3544" w:type="dxa"/>
            <w:vMerge/>
            <w:tcBorders>
              <w:bottom w:val="dotted" w:sz="4" w:space="0" w:color="auto"/>
              <w:right w:val="dotted" w:sz="4" w:space="0" w:color="auto"/>
            </w:tcBorders>
            <w:vAlign w:val="center"/>
          </w:tcPr>
          <w:p w:rsidR="004F130A" w:rsidRPr="008958A5" w:rsidRDefault="004F130A" w:rsidP="006E17FC">
            <w:pPr>
              <w:rPr>
                <w:b/>
                <w:sz w:val="20"/>
                <w:szCs w:val="20"/>
              </w:rPr>
            </w:pPr>
          </w:p>
        </w:tc>
        <w:tc>
          <w:tcPr>
            <w:tcW w:w="1104" w:type="dxa"/>
            <w:vMerge/>
            <w:tcBorders>
              <w:left w:val="dotted" w:sz="4" w:space="0" w:color="auto"/>
              <w:bottom w:val="dotted" w:sz="4" w:space="0" w:color="auto"/>
              <w:right w:val="dotted" w:sz="4" w:space="0" w:color="auto"/>
            </w:tcBorders>
            <w:vAlign w:val="center"/>
          </w:tcPr>
          <w:p w:rsidR="004F130A" w:rsidRPr="008958A5" w:rsidRDefault="004F130A" w:rsidP="006E17FC">
            <w:pPr>
              <w:rPr>
                <w:b/>
                <w:sz w:val="20"/>
                <w:szCs w:val="20"/>
              </w:rPr>
            </w:pPr>
          </w:p>
        </w:tc>
        <w:tc>
          <w:tcPr>
            <w:tcW w:w="1197" w:type="dxa"/>
            <w:tcBorders>
              <w:top w:val="dotted" w:sz="4" w:space="0" w:color="auto"/>
              <w:left w:val="dotted" w:sz="4" w:space="0" w:color="auto"/>
              <w:bottom w:val="dotted" w:sz="4" w:space="0" w:color="auto"/>
              <w:right w:val="dotted" w:sz="4" w:space="0" w:color="auto"/>
            </w:tcBorders>
            <w:vAlign w:val="bottom"/>
          </w:tcPr>
          <w:p w:rsidR="004F130A" w:rsidRPr="008958A5" w:rsidRDefault="004F130A" w:rsidP="006E17FC">
            <w:pPr>
              <w:jc w:val="center"/>
              <w:rPr>
                <w:b/>
                <w:sz w:val="18"/>
                <w:szCs w:val="18"/>
              </w:rPr>
            </w:pPr>
            <w:r w:rsidRPr="008958A5">
              <w:rPr>
                <w:b/>
                <w:sz w:val="18"/>
                <w:szCs w:val="18"/>
              </w:rPr>
              <w:t>2016 год</w:t>
            </w:r>
          </w:p>
        </w:tc>
        <w:tc>
          <w:tcPr>
            <w:tcW w:w="1276" w:type="dxa"/>
            <w:tcBorders>
              <w:top w:val="dotted" w:sz="4" w:space="0" w:color="auto"/>
              <w:left w:val="dotted" w:sz="4" w:space="0" w:color="auto"/>
              <w:bottom w:val="dotted" w:sz="4" w:space="0" w:color="auto"/>
              <w:right w:val="dotted" w:sz="4" w:space="0" w:color="auto"/>
            </w:tcBorders>
            <w:vAlign w:val="bottom"/>
          </w:tcPr>
          <w:p w:rsidR="004F130A" w:rsidRPr="008958A5" w:rsidRDefault="004F130A" w:rsidP="006E17FC">
            <w:pPr>
              <w:jc w:val="center"/>
              <w:rPr>
                <w:b/>
                <w:sz w:val="18"/>
                <w:szCs w:val="18"/>
              </w:rPr>
            </w:pPr>
            <w:r w:rsidRPr="008958A5">
              <w:rPr>
                <w:b/>
                <w:sz w:val="18"/>
                <w:szCs w:val="18"/>
              </w:rPr>
              <w:t>2017 год</w:t>
            </w:r>
          </w:p>
        </w:tc>
        <w:tc>
          <w:tcPr>
            <w:tcW w:w="1276" w:type="dxa"/>
            <w:tcBorders>
              <w:top w:val="dotted" w:sz="4" w:space="0" w:color="auto"/>
              <w:left w:val="dotted" w:sz="4" w:space="0" w:color="auto"/>
              <w:bottom w:val="dotted" w:sz="4" w:space="0" w:color="auto"/>
              <w:right w:val="dotted" w:sz="4" w:space="0" w:color="auto"/>
            </w:tcBorders>
            <w:vAlign w:val="bottom"/>
          </w:tcPr>
          <w:p w:rsidR="004F130A" w:rsidRPr="008958A5" w:rsidRDefault="004F130A" w:rsidP="006E17FC">
            <w:pPr>
              <w:jc w:val="center"/>
              <w:rPr>
                <w:b/>
                <w:sz w:val="18"/>
                <w:szCs w:val="18"/>
              </w:rPr>
            </w:pPr>
            <w:r w:rsidRPr="008958A5">
              <w:rPr>
                <w:b/>
                <w:sz w:val="18"/>
                <w:szCs w:val="18"/>
              </w:rPr>
              <w:t>2018 год</w:t>
            </w:r>
          </w:p>
        </w:tc>
        <w:tc>
          <w:tcPr>
            <w:tcW w:w="1275" w:type="dxa"/>
            <w:tcBorders>
              <w:top w:val="dotted" w:sz="4" w:space="0" w:color="auto"/>
              <w:left w:val="dotted" w:sz="4" w:space="0" w:color="auto"/>
              <w:bottom w:val="dotted" w:sz="4" w:space="0" w:color="auto"/>
            </w:tcBorders>
            <w:vAlign w:val="bottom"/>
          </w:tcPr>
          <w:p w:rsidR="004F130A" w:rsidRPr="008958A5" w:rsidRDefault="004F130A" w:rsidP="006E17FC">
            <w:pPr>
              <w:jc w:val="center"/>
              <w:rPr>
                <w:b/>
                <w:sz w:val="18"/>
                <w:szCs w:val="18"/>
              </w:rPr>
            </w:pPr>
            <w:r w:rsidRPr="008958A5">
              <w:rPr>
                <w:b/>
                <w:sz w:val="18"/>
                <w:szCs w:val="18"/>
              </w:rPr>
              <w:t>2019 год</w:t>
            </w:r>
          </w:p>
        </w:tc>
      </w:tr>
      <w:tr w:rsidR="004F130A" w:rsidRPr="008958A5" w:rsidTr="006E17FC">
        <w:trPr>
          <w:trHeight w:hRule="exact" w:val="255"/>
        </w:trPr>
        <w:tc>
          <w:tcPr>
            <w:tcW w:w="3544" w:type="dxa"/>
            <w:tcBorders>
              <w:top w:val="dotted" w:sz="4" w:space="0" w:color="auto"/>
              <w:bottom w:val="dotted" w:sz="4" w:space="0" w:color="auto"/>
              <w:right w:val="dotted" w:sz="4" w:space="0" w:color="auto"/>
            </w:tcBorders>
            <w:vAlign w:val="center"/>
          </w:tcPr>
          <w:p w:rsidR="004F130A" w:rsidRPr="008958A5" w:rsidRDefault="004F130A" w:rsidP="006E17FC">
            <w:pPr>
              <w:rPr>
                <w:sz w:val="20"/>
                <w:szCs w:val="20"/>
              </w:rPr>
            </w:pPr>
            <w:r w:rsidRPr="008958A5">
              <w:rPr>
                <w:sz w:val="20"/>
                <w:szCs w:val="20"/>
              </w:rPr>
              <w:t>ФФПП (в части ГО)</w:t>
            </w:r>
          </w:p>
        </w:tc>
        <w:tc>
          <w:tcPr>
            <w:tcW w:w="1104" w:type="dxa"/>
            <w:tcBorders>
              <w:top w:val="dotted" w:sz="4" w:space="0" w:color="auto"/>
              <w:left w:val="dotted" w:sz="4" w:space="0" w:color="auto"/>
              <w:bottom w:val="dotted" w:sz="4" w:space="0" w:color="auto"/>
              <w:right w:val="dotted" w:sz="4" w:space="0" w:color="auto"/>
            </w:tcBorders>
            <w:vAlign w:val="center"/>
          </w:tcPr>
          <w:p w:rsidR="004F130A" w:rsidRPr="008958A5" w:rsidRDefault="004F130A" w:rsidP="006E17FC">
            <w:pPr>
              <w:jc w:val="center"/>
              <w:rPr>
                <w:sz w:val="20"/>
                <w:szCs w:val="20"/>
              </w:rPr>
            </w:pPr>
            <w:r w:rsidRPr="008958A5">
              <w:rPr>
                <w:sz w:val="20"/>
                <w:szCs w:val="20"/>
              </w:rPr>
              <w:t>руб.</w:t>
            </w:r>
          </w:p>
        </w:tc>
        <w:tc>
          <w:tcPr>
            <w:tcW w:w="1197" w:type="dxa"/>
            <w:tcBorders>
              <w:top w:val="dotted" w:sz="4" w:space="0" w:color="auto"/>
              <w:left w:val="dotted" w:sz="4" w:space="0" w:color="auto"/>
              <w:bottom w:val="dotted" w:sz="4" w:space="0" w:color="auto"/>
              <w:right w:val="dotted" w:sz="4" w:space="0" w:color="auto"/>
            </w:tcBorders>
            <w:vAlign w:val="center"/>
          </w:tcPr>
          <w:p w:rsidR="004F130A" w:rsidRPr="008958A5" w:rsidRDefault="004F130A" w:rsidP="006E17FC">
            <w:pPr>
              <w:jc w:val="center"/>
              <w:rPr>
                <w:sz w:val="18"/>
                <w:szCs w:val="18"/>
              </w:rPr>
            </w:pPr>
            <w:r w:rsidRPr="008958A5">
              <w:rPr>
                <w:sz w:val="18"/>
                <w:szCs w:val="18"/>
              </w:rPr>
              <w:t>1050</w:t>
            </w:r>
          </w:p>
        </w:tc>
        <w:tc>
          <w:tcPr>
            <w:tcW w:w="1276" w:type="dxa"/>
            <w:tcBorders>
              <w:top w:val="dotted" w:sz="4" w:space="0" w:color="auto"/>
              <w:left w:val="dotted" w:sz="4" w:space="0" w:color="auto"/>
              <w:bottom w:val="dotted" w:sz="4" w:space="0" w:color="auto"/>
              <w:right w:val="dotted" w:sz="4" w:space="0" w:color="auto"/>
            </w:tcBorders>
            <w:vAlign w:val="center"/>
          </w:tcPr>
          <w:p w:rsidR="004F130A" w:rsidRPr="008958A5" w:rsidRDefault="004F130A" w:rsidP="006E17FC">
            <w:pPr>
              <w:jc w:val="center"/>
              <w:rPr>
                <w:sz w:val="18"/>
                <w:szCs w:val="18"/>
              </w:rPr>
            </w:pPr>
            <w:r w:rsidRPr="008958A5">
              <w:rPr>
                <w:sz w:val="18"/>
                <w:szCs w:val="18"/>
              </w:rPr>
              <w:t>1150</w:t>
            </w:r>
          </w:p>
        </w:tc>
        <w:tc>
          <w:tcPr>
            <w:tcW w:w="1276" w:type="dxa"/>
            <w:tcBorders>
              <w:top w:val="dotted" w:sz="4" w:space="0" w:color="auto"/>
              <w:left w:val="dotted" w:sz="4" w:space="0" w:color="auto"/>
              <w:bottom w:val="dotted" w:sz="4" w:space="0" w:color="auto"/>
              <w:right w:val="dotted" w:sz="4" w:space="0" w:color="auto"/>
            </w:tcBorders>
            <w:vAlign w:val="center"/>
          </w:tcPr>
          <w:p w:rsidR="004F130A" w:rsidRPr="008958A5" w:rsidRDefault="004F130A" w:rsidP="006E17FC">
            <w:pPr>
              <w:jc w:val="center"/>
              <w:rPr>
                <w:sz w:val="18"/>
                <w:szCs w:val="18"/>
              </w:rPr>
            </w:pPr>
            <w:r w:rsidRPr="008958A5">
              <w:rPr>
                <w:sz w:val="18"/>
                <w:szCs w:val="18"/>
              </w:rPr>
              <w:t>1150</w:t>
            </w:r>
          </w:p>
        </w:tc>
        <w:tc>
          <w:tcPr>
            <w:tcW w:w="1275" w:type="dxa"/>
            <w:tcBorders>
              <w:top w:val="dotted" w:sz="4" w:space="0" w:color="auto"/>
              <w:left w:val="dotted" w:sz="4" w:space="0" w:color="auto"/>
              <w:bottom w:val="dotted" w:sz="4" w:space="0" w:color="auto"/>
            </w:tcBorders>
            <w:vAlign w:val="center"/>
          </w:tcPr>
          <w:p w:rsidR="004F130A" w:rsidRPr="008958A5" w:rsidRDefault="004F130A" w:rsidP="006E17FC">
            <w:pPr>
              <w:jc w:val="center"/>
              <w:rPr>
                <w:sz w:val="18"/>
                <w:szCs w:val="18"/>
              </w:rPr>
            </w:pPr>
            <w:r w:rsidRPr="008958A5">
              <w:rPr>
                <w:sz w:val="18"/>
                <w:szCs w:val="18"/>
              </w:rPr>
              <w:t>1150</w:t>
            </w:r>
          </w:p>
        </w:tc>
      </w:tr>
      <w:tr w:rsidR="004F130A" w:rsidRPr="008958A5" w:rsidTr="006E17FC">
        <w:trPr>
          <w:trHeight w:hRule="exact" w:val="255"/>
        </w:trPr>
        <w:tc>
          <w:tcPr>
            <w:tcW w:w="3544" w:type="dxa"/>
            <w:tcBorders>
              <w:top w:val="dotted" w:sz="4" w:space="0" w:color="auto"/>
              <w:bottom w:val="dotted" w:sz="4" w:space="0" w:color="auto"/>
              <w:right w:val="dotted" w:sz="4" w:space="0" w:color="auto"/>
            </w:tcBorders>
            <w:vAlign w:val="center"/>
          </w:tcPr>
          <w:p w:rsidR="004F130A" w:rsidRPr="008958A5" w:rsidRDefault="004F130A" w:rsidP="006E17FC">
            <w:pPr>
              <w:rPr>
                <w:sz w:val="20"/>
                <w:szCs w:val="20"/>
              </w:rPr>
            </w:pPr>
            <w:r w:rsidRPr="008958A5">
              <w:rPr>
                <w:sz w:val="20"/>
                <w:szCs w:val="20"/>
              </w:rPr>
              <w:t>ФФПП (в части поселений)</w:t>
            </w:r>
          </w:p>
        </w:tc>
        <w:tc>
          <w:tcPr>
            <w:tcW w:w="1104" w:type="dxa"/>
            <w:tcBorders>
              <w:top w:val="dotted" w:sz="4" w:space="0" w:color="auto"/>
              <w:left w:val="dotted" w:sz="4" w:space="0" w:color="auto"/>
              <w:bottom w:val="dotted" w:sz="4" w:space="0" w:color="auto"/>
              <w:right w:val="dotted" w:sz="4" w:space="0" w:color="auto"/>
            </w:tcBorders>
            <w:vAlign w:val="center"/>
          </w:tcPr>
          <w:p w:rsidR="004F130A" w:rsidRPr="008958A5" w:rsidRDefault="004F130A" w:rsidP="006E17FC">
            <w:pPr>
              <w:jc w:val="center"/>
              <w:rPr>
                <w:sz w:val="20"/>
                <w:szCs w:val="20"/>
              </w:rPr>
            </w:pPr>
            <w:r w:rsidRPr="008958A5">
              <w:rPr>
                <w:sz w:val="20"/>
                <w:szCs w:val="20"/>
              </w:rPr>
              <w:t>руб.</w:t>
            </w:r>
          </w:p>
        </w:tc>
        <w:tc>
          <w:tcPr>
            <w:tcW w:w="1197" w:type="dxa"/>
            <w:tcBorders>
              <w:top w:val="dotted" w:sz="4" w:space="0" w:color="auto"/>
              <w:left w:val="dotted" w:sz="4" w:space="0" w:color="auto"/>
              <w:bottom w:val="dotted" w:sz="4" w:space="0" w:color="auto"/>
              <w:right w:val="dotted" w:sz="4" w:space="0" w:color="auto"/>
            </w:tcBorders>
            <w:vAlign w:val="center"/>
          </w:tcPr>
          <w:p w:rsidR="004F130A" w:rsidRPr="008958A5" w:rsidRDefault="004F130A" w:rsidP="006E17FC">
            <w:pPr>
              <w:jc w:val="center"/>
              <w:rPr>
                <w:sz w:val="18"/>
                <w:szCs w:val="18"/>
              </w:rPr>
            </w:pPr>
            <w:r w:rsidRPr="008958A5">
              <w:rPr>
                <w:sz w:val="18"/>
                <w:szCs w:val="18"/>
              </w:rPr>
              <w:t>1050</w:t>
            </w:r>
          </w:p>
        </w:tc>
        <w:tc>
          <w:tcPr>
            <w:tcW w:w="1276" w:type="dxa"/>
            <w:tcBorders>
              <w:top w:val="dotted" w:sz="4" w:space="0" w:color="auto"/>
              <w:left w:val="dotted" w:sz="4" w:space="0" w:color="auto"/>
              <w:bottom w:val="dotted" w:sz="4" w:space="0" w:color="auto"/>
              <w:right w:val="dotted" w:sz="4" w:space="0" w:color="auto"/>
            </w:tcBorders>
            <w:vAlign w:val="center"/>
          </w:tcPr>
          <w:p w:rsidR="004F130A" w:rsidRPr="008958A5" w:rsidRDefault="004F130A" w:rsidP="006E17FC">
            <w:pPr>
              <w:jc w:val="center"/>
              <w:rPr>
                <w:sz w:val="18"/>
                <w:szCs w:val="18"/>
              </w:rPr>
            </w:pPr>
            <w:r w:rsidRPr="008958A5">
              <w:rPr>
                <w:sz w:val="18"/>
                <w:szCs w:val="18"/>
              </w:rPr>
              <w:t>1150</w:t>
            </w:r>
          </w:p>
        </w:tc>
        <w:tc>
          <w:tcPr>
            <w:tcW w:w="1276" w:type="dxa"/>
            <w:tcBorders>
              <w:top w:val="dotted" w:sz="4" w:space="0" w:color="auto"/>
              <w:left w:val="dotted" w:sz="4" w:space="0" w:color="auto"/>
              <w:bottom w:val="dotted" w:sz="4" w:space="0" w:color="auto"/>
              <w:right w:val="dotted" w:sz="4" w:space="0" w:color="auto"/>
            </w:tcBorders>
            <w:vAlign w:val="center"/>
          </w:tcPr>
          <w:p w:rsidR="004F130A" w:rsidRPr="008958A5" w:rsidRDefault="004F130A" w:rsidP="006E17FC">
            <w:pPr>
              <w:jc w:val="center"/>
              <w:rPr>
                <w:sz w:val="18"/>
                <w:szCs w:val="18"/>
              </w:rPr>
            </w:pPr>
            <w:r w:rsidRPr="008958A5">
              <w:rPr>
                <w:sz w:val="18"/>
                <w:szCs w:val="18"/>
              </w:rPr>
              <w:t>1150</w:t>
            </w:r>
          </w:p>
        </w:tc>
        <w:tc>
          <w:tcPr>
            <w:tcW w:w="1275" w:type="dxa"/>
            <w:tcBorders>
              <w:top w:val="dotted" w:sz="4" w:space="0" w:color="auto"/>
              <w:left w:val="dotted" w:sz="4" w:space="0" w:color="auto"/>
              <w:bottom w:val="dotted" w:sz="4" w:space="0" w:color="auto"/>
            </w:tcBorders>
            <w:vAlign w:val="center"/>
          </w:tcPr>
          <w:p w:rsidR="004F130A" w:rsidRPr="008958A5" w:rsidRDefault="004F130A" w:rsidP="006E17FC">
            <w:pPr>
              <w:jc w:val="center"/>
              <w:rPr>
                <w:sz w:val="18"/>
                <w:szCs w:val="18"/>
              </w:rPr>
            </w:pPr>
            <w:r w:rsidRPr="008958A5">
              <w:rPr>
                <w:sz w:val="18"/>
                <w:szCs w:val="18"/>
              </w:rPr>
              <w:t>1150</w:t>
            </w:r>
          </w:p>
        </w:tc>
      </w:tr>
      <w:tr w:rsidR="004F130A" w:rsidRPr="008958A5" w:rsidTr="006E17FC">
        <w:trPr>
          <w:trHeight w:hRule="exact" w:val="255"/>
        </w:trPr>
        <w:tc>
          <w:tcPr>
            <w:tcW w:w="3544" w:type="dxa"/>
            <w:tcBorders>
              <w:top w:val="dotted" w:sz="4" w:space="0" w:color="auto"/>
              <w:bottom w:val="double" w:sz="6" w:space="0" w:color="auto"/>
              <w:right w:val="dotted" w:sz="4" w:space="0" w:color="auto"/>
            </w:tcBorders>
            <w:vAlign w:val="center"/>
          </w:tcPr>
          <w:p w:rsidR="004F130A" w:rsidRPr="008958A5" w:rsidRDefault="004F130A" w:rsidP="006E17FC">
            <w:pPr>
              <w:rPr>
                <w:sz w:val="20"/>
                <w:szCs w:val="20"/>
              </w:rPr>
            </w:pPr>
            <w:r w:rsidRPr="008958A5">
              <w:rPr>
                <w:sz w:val="20"/>
                <w:szCs w:val="20"/>
              </w:rPr>
              <w:t>ФФП МР (ГО)</w:t>
            </w:r>
          </w:p>
        </w:tc>
        <w:tc>
          <w:tcPr>
            <w:tcW w:w="1104" w:type="dxa"/>
            <w:tcBorders>
              <w:top w:val="dotted" w:sz="4" w:space="0" w:color="auto"/>
              <w:left w:val="dotted" w:sz="4" w:space="0" w:color="auto"/>
              <w:bottom w:val="double" w:sz="6" w:space="0" w:color="auto"/>
              <w:right w:val="dotted" w:sz="4" w:space="0" w:color="auto"/>
            </w:tcBorders>
            <w:vAlign w:val="center"/>
          </w:tcPr>
          <w:p w:rsidR="004F130A" w:rsidRPr="008958A5" w:rsidRDefault="004F130A" w:rsidP="006E17FC">
            <w:pPr>
              <w:rPr>
                <w:sz w:val="20"/>
                <w:szCs w:val="20"/>
              </w:rPr>
            </w:pPr>
            <w:proofErr w:type="spellStart"/>
            <w:r w:rsidRPr="008958A5">
              <w:rPr>
                <w:sz w:val="20"/>
                <w:szCs w:val="20"/>
              </w:rPr>
              <w:t>коэфф.-т</w:t>
            </w:r>
            <w:proofErr w:type="spellEnd"/>
          </w:p>
        </w:tc>
        <w:tc>
          <w:tcPr>
            <w:tcW w:w="1197" w:type="dxa"/>
            <w:tcBorders>
              <w:top w:val="dotted" w:sz="4" w:space="0" w:color="auto"/>
              <w:left w:val="dotted" w:sz="4" w:space="0" w:color="auto"/>
              <w:bottom w:val="double" w:sz="6" w:space="0" w:color="auto"/>
              <w:right w:val="dotted" w:sz="4" w:space="0" w:color="auto"/>
            </w:tcBorders>
            <w:vAlign w:val="center"/>
          </w:tcPr>
          <w:p w:rsidR="004F130A" w:rsidRPr="008958A5" w:rsidRDefault="004F130A" w:rsidP="006E17FC">
            <w:pPr>
              <w:jc w:val="center"/>
              <w:rPr>
                <w:sz w:val="18"/>
                <w:szCs w:val="18"/>
              </w:rPr>
            </w:pPr>
            <w:r w:rsidRPr="008958A5">
              <w:rPr>
                <w:sz w:val="18"/>
                <w:szCs w:val="18"/>
              </w:rPr>
              <w:t>1,0</w:t>
            </w:r>
          </w:p>
        </w:tc>
        <w:tc>
          <w:tcPr>
            <w:tcW w:w="1276" w:type="dxa"/>
            <w:tcBorders>
              <w:top w:val="dotted" w:sz="4" w:space="0" w:color="auto"/>
              <w:left w:val="dotted" w:sz="4" w:space="0" w:color="auto"/>
              <w:bottom w:val="double" w:sz="6" w:space="0" w:color="auto"/>
              <w:right w:val="dotted" w:sz="4" w:space="0" w:color="auto"/>
            </w:tcBorders>
            <w:vAlign w:val="center"/>
          </w:tcPr>
          <w:p w:rsidR="004F130A" w:rsidRPr="008958A5" w:rsidRDefault="004F130A" w:rsidP="006E17FC">
            <w:pPr>
              <w:jc w:val="center"/>
              <w:rPr>
                <w:sz w:val="18"/>
                <w:szCs w:val="18"/>
              </w:rPr>
            </w:pPr>
            <w:r w:rsidRPr="008958A5">
              <w:rPr>
                <w:sz w:val="18"/>
                <w:szCs w:val="18"/>
              </w:rPr>
              <w:t>1,0</w:t>
            </w:r>
          </w:p>
        </w:tc>
        <w:tc>
          <w:tcPr>
            <w:tcW w:w="1276" w:type="dxa"/>
            <w:tcBorders>
              <w:top w:val="dotted" w:sz="4" w:space="0" w:color="auto"/>
              <w:left w:val="dotted" w:sz="4" w:space="0" w:color="auto"/>
              <w:bottom w:val="double" w:sz="6" w:space="0" w:color="auto"/>
              <w:right w:val="dotted" w:sz="4" w:space="0" w:color="auto"/>
            </w:tcBorders>
            <w:vAlign w:val="center"/>
          </w:tcPr>
          <w:p w:rsidR="004F130A" w:rsidRPr="008958A5" w:rsidRDefault="004F130A" w:rsidP="006E17FC">
            <w:pPr>
              <w:jc w:val="center"/>
              <w:rPr>
                <w:sz w:val="18"/>
                <w:szCs w:val="18"/>
              </w:rPr>
            </w:pPr>
            <w:r w:rsidRPr="008958A5">
              <w:rPr>
                <w:sz w:val="18"/>
                <w:szCs w:val="18"/>
              </w:rPr>
              <w:t>1,0</w:t>
            </w:r>
          </w:p>
        </w:tc>
        <w:tc>
          <w:tcPr>
            <w:tcW w:w="1275" w:type="dxa"/>
            <w:tcBorders>
              <w:top w:val="dotted" w:sz="4" w:space="0" w:color="auto"/>
              <w:left w:val="dotted" w:sz="4" w:space="0" w:color="auto"/>
              <w:bottom w:val="double" w:sz="6" w:space="0" w:color="auto"/>
            </w:tcBorders>
            <w:vAlign w:val="center"/>
          </w:tcPr>
          <w:p w:rsidR="004F130A" w:rsidRPr="008958A5" w:rsidRDefault="004F130A" w:rsidP="006E17FC">
            <w:pPr>
              <w:jc w:val="center"/>
              <w:rPr>
                <w:sz w:val="18"/>
                <w:szCs w:val="18"/>
              </w:rPr>
            </w:pPr>
            <w:r w:rsidRPr="008958A5">
              <w:rPr>
                <w:sz w:val="18"/>
                <w:szCs w:val="18"/>
              </w:rPr>
              <w:t>1,0</w:t>
            </w:r>
          </w:p>
        </w:tc>
      </w:tr>
    </w:tbl>
    <w:p w:rsidR="004F130A" w:rsidRPr="008958A5" w:rsidRDefault="004F130A" w:rsidP="004F130A">
      <w:pPr>
        <w:autoSpaceDE w:val="0"/>
        <w:autoSpaceDN w:val="0"/>
        <w:adjustRightInd w:val="0"/>
        <w:ind w:firstLine="720"/>
        <w:jc w:val="both"/>
        <w:outlineLvl w:val="1"/>
      </w:pPr>
    </w:p>
    <w:p w:rsidR="004F130A" w:rsidRPr="0011190C" w:rsidRDefault="004F130A" w:rsidP="004F130A">
      <w:pPr>
        <w:autoSpaceDE w:val="0"/>
        <w:autoSpaceDN w:val="0"/>
        <w:adjustRightInd w:val="0"/>
        <w:jc w:val="center"/>
        <w:outlineLvl w:val="1"/>
        <w:rPr>
          <w:i/>
          <w:u w:val="single"/>
        </w:rPr>
      </w:pPr>
      <w:r w:rsidRPr="0011190C">
        <w:rPr>
          <w:i/>
          <w:u w:val="single"/>
        </w:rPr>
        <w:t xml:space="preserve">Размеры областного фонда финансовой поддержки поселений </w:t>
      </w:r>
    </w:p>
    <w:p w:rsidR="004F130A" w:rsidRDefault="004F130A" w:rsidP="004F130A">
      <w:pPr>
        <w:autoSpaceDE w:val="0"/>
        <w:autoSpaceDN w:val="0"/>
        <w:adjustRightInd w:val="0"/>
        <w:jc w:val="center"/>
        <w:outlineLvl w:val="1"/>
        <w:rPr>
          <w:b/>
          <w:i/>
        </w:rPr>
      </w:pPr>
      <w:r w:rsidRPr="0011190C">
        <w:rPr>
          <w:i/>
          <w:u w:val="single"/>
        </w:rPr>
        <w:t>и областного фонда финансовой поддержки МР (ГО</w:t>
      </w:r>
      <w:r>
        <w:rPr>
          <w:b/>
          <w:i/>
        </w:rPr>
        <w:t>)</w:t>
      </w:r>
    </w:p>
    <w:p w:rsidR="0011190C" w:rsidRPr="007751BE" w:rsidRDefault="0011190C" w:rsidP="004F130A">
      <w:pPr>
        <w:autoSpaceDE w:val="0"/>
        <w:autoSpaceDN w:val="0"/>
        <w:adjustRightInd w:val="0"/>
        <w:jc w:val="center"/>
        <w:outlineLvl w:val="1"/>
        <w:rPr>
          <w:b/>
          <w:i/>
        </w:rPr>
      </w:pPr>
    </w:p>
    <w:p w:rsidR="004F130A" w:rsidRPr="002C7978" w:rsidRDefault="004F130A" w:rsidP="004F130A">
      <w:pPr>
        <w:ind w:firstLine="720"/>
        <w:jc w:val="both"/>
      </w:pPr>
      <w:r w:rsidRPr="002C7978">
        <w:t xml:space="preserve">Данные о расчетных объемах ФФПП (в части городских округов), ФФПП (в части городских и сельских поселений) и ФФП МР (ГО) на 2015-2019 годы </w:t>
      </w:r>
      <w:r w:rsidRPr="002C7978">
        <w:rPr>
          <w:u w:val="single"/>
        </w:rPr>
        <w:t>до замены части дотаций</w:t>
      </w:r>
      <w:r w:rsidRPr="002C7978">
        <w:t xml:space="preserve"> дополнительными нормативами отчислений от НДФЛ представлены диаграммой.</w:t>
      </w:r>
    </w:p>
    <w:p w:rsidR="004F130A" w:rsidRPr="002C7978" w:rsidRDefault="004F130A" w:rsidP="004F130A">
      <w:pPr>
        <w:ind w:firstLine="720"/>
        <w:jc w:val="both"/>
      </w:pPr>
    </w:p>
    <w:p w:rsidR="004F130A" w:rsidRDefault="004F130A" w:rsidP="004F130A">
      <w:pPr>
        <w:jc w:val="both"/>
        <w:rPr>
          <w:color w:val="FF0000"/>
        </w:rPr>
      </w:pPr>
      <w:r w:rsidRPr="008958A5">
        <w:rPr>
          <w:noProof/>
          <w:color w:val="FF0000"/>
        </w:rPr>
        <w:drawing>
          <wp:inline distT="0" distB="0" distL="0" distR="0">
            <wp:extent cx="6142007" cy="2104845"/>
            <wp:effectExtent l="0" t="0" r="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F130A" w:rsidRPr="00B62248" w:rsidRDefault="004F130A" w:rsidP="004F130A">
      <w:pPr>
        <w:ind w:firstLine="709"/>
        <w:jc w:val="both"/>
        <w:rPr>
          <w:color w:val="FF0000"/>
        </w:rPr>
      </w:pPr>
      <w:r w:rsidRPr="00CC2CCE">
        <w:t>Из диаграммы видно небольшое уменьшение расчетного объема ФФП МР (ГО) в 2017 году к уровню 2016 года на 55,7 млн. руб., или на 1,2</w:t>
      </w:r>
      <w:r>
        <w:t xml:space="preserve"> процента. Указанное уменьшение сложилось только </w:t>
      </w:r>
      <w:r w:rsidRPr="002A3553">
        <w:t>по городским округам</w:t>
      </w:r>
      <w:r>
        <w:t>, что обусловлено отсутствием части дотации, компенсирующей разницу между дотациями планируемого и текущего финансового года за счет увеличения критерия выравнивания ФФПП (в части городских округов)</w:t>
      </w:r>
      <w:r w:rsidRPr="00F7689E">
        <w:t>.</w:t>
      </w:r>
    </w:p>
    <w:p w:rsidR="004F130A" w:rsidRPr="004A1DA9" w:rsidRDefault="004F130A" w:rsidP="004F130A">
      <w:pPr>
        <w:ind w:firstLine="709"/>
        <w:jc w:val="both"/>
      </w:pPr>
      <w:r w:rsidRPr="004A1DA9">
        <w:t>Увеличение значения критерия выравнивания финансовых возможностей поселений (в части городских и сельских поселений) на 100 руб. на одного жителя привело к росту объема ФФПП (в части городских и сельских поселений) на 75,4 млн. рублей.</w:t>
      </w:r>
    </w:p>
    <w:p w:rsidR="004F130A" w:rsidRPr="004A1DA9" w:rsidRDefault="004F130A" w:rsidP="004F130A">
      <w:pPr>
        <w:ind w:firstLine="720"/>
        <w:jc w:val="both"/>
      </w:pPr>
      <w:r w:rsidRPr="004A1DA9">
        <w:t>Часть дотаций на выравнивание уровня бюджетной обеспеченности из расчетных объемов ФФПП (в части городских округов) и ФФП МР (ГО) законопроектом предлагается заменить дополнительными нормативами отчислений от НДФЛ.</w:t>
      </w:r>
    </w:p>
    <w:p w:rsidR="004F130A" w:rsidRPr="004A1DA9" w:rsidRDefault="004F130A" w:rsidP="004F130A">
      <w:pPr>
        <w:autoSpaceDE w:val="0"/>
        <w:autoSpaceDN w:val="0"/>
        <w:adjustRightInd w:val="0"/>
        <w:ind w:firstLine="720"/>
        <w:jc w:val="both"/>
      </w:pPr>
      <w:r w:rsidRPr="004A1DA9">
        <w:t>Согласно законопроекту замена дотаций дополнительными нормативами отчислений от НДФЛ произведена, как и в 2016 году, всем муниципальным районам и городским округам области.</w:t>
      </w:r>
    </w:p>
    <w:p w:rsidR="004F130A" w:rsidRPr="004A1DA9" w:rsidRDefault="004F130A" w:rsidP="004F130A">
      <w:pPr>
        <w:ind w:firstLine="720"/>
        <w:jc w:val="both"/>
      </w:pPr>
      <w:proofErr w:type="gramStart"/>
      <w:r w:rsidRPr="00A750BF">
        <w:t xml:space="preserve">В 2017 году расчетные дотации ФФП МР (ГО) и ФФПП (в части городских округов) предлагается заменить дополнительными нормативами отчислений от НДФЛ в сумме 6112,1 млн. руб. (в том числе ФФПП (в части городских округов) – 1863,4 млн. руб. и ФФП </w:t>
      </w:r>
      <w:r w:rsidRPr="00A750BF">
        <w:lastRenderedPageBreak/>
        <w:t>МР (ГО) – 4248,7 млн. руб.), что составляет 97% от общего расчетного объема указанных фондов финансовой поддержки (6301,4 млн. руб.).</w:t>
      </w:r>
      <w:proofErr w:type="gramEnd"/>
      <w:r w:rsidRPr="00A750BF">
        <w:t xml:space="preserve"> Замена</w:t>
      </w:r>
      <w:r w:rsidRPr="004A1DA9">
        <w:t xml:space="preserve"> дотаций из ФФПП (в части городских и сельских поселений) на 2017 год и плановый период 2018 и 2019 годов дополнительными нормативами отчислений от налога на доходы физических лиц не осуществлялась.</w:t>
      </w:r>
    </w:p>
    <w:p w:rsidR="004F130A" w:rsidRPr="00B62248" w:rsidRDefault="004F130A" w:rsidP="004F130A">
      <w:pPr>
        <w:ind w:firstLine="720"/>
        <w:jc w:val="both"/>
        <w:rPr>
          <w:color w:val="FF0000"/>
        </w:rPr>
      </w:pPr>
    </w:p>
    <w:p w:rsidR="004F130A" w:rsidRDefault="004F130A" w:rsidP="004F130A">
      <w:pPr>
        <w:ind w:firstLine="720"/>
        <w:jc w:val="center"/>
        <w:rPr>
          <w:rFonts w:eastAsia="Calibri"/>
          <w:bCs/>
          <w:i/>
          <w:iCs/>
          <w:u w:val="single"/>
        </w:rPr>
      </w:pPr>
      <w:r w:rsidRPr="00487465">
        <w:rPr>
          <w:rFonts w:eastAsia="Calibri"/>
          <w:bCs/>
          <w:i/>
          <w:iCs/>
          <w:u w:val="single"/>
        </w:rPr>
        <w:t>Размеры иных дотаций, субвенций, субсидий и иных межбюджетных трансфертов</w:t>
      </w:r>
    </w:p>
    <w:p w:rsidR="00487465" w:rsidRPr="00487465" w:rsidRDefault="00487465" w:rsidP="004F130A">
      <w:pPr>
        <w:ind w:firstLine="720"/>
        <w:jc w:val="center"/>
        <w:rPr>
          <w:color w:val="FF0000"/>
          <w:u w:val="single"/>
        </w:rPr>
      </w:pPr>
    </w:p>
    <w:p w:rsidR="004F130A" w:rsidRPr="00B62E4C" w:rsidRDefault="004F130A" w:rsidP="004F130A">
      <w:pPr>
        <w:autoSpaceDE w:val="0"/>
        <w:autoSpaceDN w:val="0"/>
        <w:adjustRightInd w:val="0"/>
        <w:ind w:firstLine="709"/>
        <w:jc w:val="both"/>
        <w:rPr>
          <w:rFonts w:eastAsia="Calibri"/>
          <w:iCs/>
        </w:rPr>
      </w:pPr>
      <w:proofErr w:type="gramStart"/>
      <w:r w:rsidRPr="00B62E4C">
        <w:t>В соответствии со статьей 139.1 БК РФ в случаях и порядке, предусмотренных законами субъектов РФ и принимаемыми в соответствии с ними иными нормативными правовыми актами органов государственной власти субъектов РФ, местным бюджетам могут быть предоставлены иные межбюджетные трансферты из бюджета субъекта РФ, в том числе в форме дотаций в пределах 10% общего объема межбюджетных трансфертов местным бюджетам из бюджета субъекта</w:t>
      </w:r>
      <w:proofErr w:type="gramEnd"/>
      <w:r w:rsidRPr="00B62E4C">
        <w:t xml:space="preserve"> РФ (за исключением субвенций)</w:t>
      </w:r>
      <w:r w:rsidRPr="00B62E4C">
        <w:rPr>
          <w:rFonts w:eastAsia="Calibri"/>
          <w:iCs/>
        </w:rPr>
        <w:t xml:space="preserve"> и (или)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w:t>
      </w:r>
    </w:p>
    <w:p w:rsidR="004F130A" w:rsidRDefault="004F130A" w:rsidP="004F130A">
      <w:pPr>
        <w:ind w:firstLine="709"/>
        <w:jc w:val="both"/>
      </w:pPr>
      <w:r>
        <w:t>З</w:t>
      </w:r>
      <w:r w:rsidRPr="00D824FC">
        <w:t xml:space="preserve">аконопроектом предусмотрен </w:t>
      </w:r>
      <w:r w:rsidRPr="00D824FC">
        <w:rPr>
          <w:b/>
          <w:i/>
        </w:rPr>
        <w:t xml:space="preserve">нераспределенный объем дотаций муниципальным образованиям на поддержку мер по обеспечению сбалансированности местных бюджетов </w:t>
      </w:r>
      <w:r w:rsidRPr="00D824FC">
        <w:t>на 2017 год в сумме 745 млн. рублей. Возможность предоставления таких дотаций предусмотрена Законом Волгоградской области от 09.02.2011 №2151-ОД «О дотациях бюджетам муниципальных образований Волгоградской области на поддержку мер по обеспечению сбалансированности местных бюджетов».</w:t>
      </w:r>
    </w:p>
    <w:p w:rsidR="004F130A" w:rsidRPr="00B62E4C" w:rsidRDefault="004F130A" w:rsidP="004F130A">
      <w:pPr>
        <w:autoSpaceDE w:val="0"/>
        <w:autoSpaceDN w:val="0"/>
        <w:adjustRightInd w:val="0"/>
        <w:ind w:firstLine="709"/>
        <w:jc w:val="both"/>
        <w:outlineLvl w:val="0"/>
      </w:pPr>
      <w:r w:rsidRPr="00B62E4C">
        <w:t>Общий объем межбюджетных трансфертов местным бюджетам за исключением субвенций на 2017 г</w:t>
      </w:r>
      <w:r w:rsidR="00487465">
        <w:t>од предусмотрен в общей сумме 6054,8 млн. руб. (дотации – 2</w:t>
      </w:r>
      <w:r w:rsidRPr="00B62E4C">
        <w:t xml:space="preserve">002,2 млн. руб., субсидии – 4045,7 млн. руб. и иные межбюджетные трансферты – 6,8 млн. руб.). Расчетный объем дотации на выравнивание бюджетной обеспеченности, замененной дополнительными нормативами отчислений от НДФЛ, на 2017 год предусмотрен в сумме 6112,1 млн. рублей. </w:t>
      </w:r>
      <w:proofErr w:type="gramStart"/>
      <w:r w:rsidRPr="00B62E4C">
        <w:t>Объем иных межбюджетных трансфертов в форме дотаций на сбалансированность бюджетов муниципальных образований на 2017 год предусмотрен в размере 745 млн. руб., или 6,1% от общего объема межбюджетных трансфертов за исключением субвенций</w:t>
      </w:r>
      <w:r w:rsidRPr="00B62E4C">
        <w:rPr>
          <w:rFonts w:eastAsia="Calibri"/>
          <w:iCs/>
        </w:rPr>
        <w:t xml:space="preserve"> и расчетного объема дотации на выравнивание бюджетной обеспеченности, замененной дополнительными нормативами отчислений</w:t>
      </w:r>
      <w:r w:rsidRPr="00B62E4C">
        <w:t>, что не превышает предельный объем, установленный статьей 139.1 БК РФ.</w:t>
      </w:r>
      <w:proofErr w:type="gramEnd"/>
    </w:p>
    <w:p w:rsidR="004F130A" w:rsidRPr="00B62E4C" w:rsidRDefault="004F130A" w:rsidP="004F130A">
      <w:pPr>
        <w:ind w:firstLine="709"/>
        <w:jc w:val="both"/>
        <w:rPr>
          <w:color w:val="FF0000"/>
        </w:rPr>
      </w:pPr>
    </w:p>
    <w:p w:rsidR="004F130A" w:rsidRPr="00D824FC" w:rsidRDefault="004F130A" w:rsidP="004F130A">
      <w:pPr>
        <w:ind w:firstLine="709"/>
        <w:jc w:val="both"/>
      </w:pPr>
      <w:r w:rsidRPr="00D824FC">
        <w:t>В соответствии со статьей 139 БК РФ в составе областного бюджета предусмотрены субсидии,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4F130A" w:rsidRPr="00B62E4C" w:rsidRDefault="004F130A" w:rsidP="004F130A">
      <w:pPr>
        <w:ind w:firstLine="720"/>
        <w:jc w:val="both"/>
        <w:rPr>
          <w:rFonts w:eastAsia="TimesNewRomanPSMT"/>
          <w:b/>
          <w:i/>
        </w:rPr>
      </w:pPr>
      <w:r w:rsidRPr="00B62E4C">
        <w:rPr>
          <w:rFonts w:eastAsia="TimesNewRomanPSMT"/>
          <w:b/>
          <w:i/>
        </w:rPr>
        <w:t>Общий объ</w:t>
      </w:r>
      <w:r w:rsidR="006F7A74">
        <w:rPr>
          <w:rFonts w:eastAsia="TimesNewRomanPSMT"/>
          <w:b/>
          <w:i/>
        </w:rPr>
        <w:t>е</w:t>
      </w:r>
      <w:r w:rsidRPr="00B62E4C">
        <w:rPr>
          <w:rFonts w:eastAsia="TimesNewRomanPSMT"/>
          <w:b/>
          <w:i/>
        </w:rPr>
        <w:t>м субсидий на 2017 год</w:t>
      </w:r>
      <w:r w:rsidRPr="00B62E4C">
        <w:rPr>
          <w:rFonts w:eastAsia="TimesNewRomanPSMT"/>
        </w:rPr>
        <w:t xml:space="preserve"> предусмотрен в сумме 4045,7</w:t>
      </w:r>
      <w:r>
        <w:rPr>
          <w:rFonts w:eastAsia="TimesNewRomanPSMT"/>
        </w:rPr>
        <w:t xml:space="preserve"> млн. рублей.</w:t>
      </w:r>
      <w:r>
        <w:t xml:space="preserve">  </w:t>
      </w:r>
    </w:p>
    <w:p w:rsidR="004F130A" w:rsidRPr="0082165C" w:rsidRDefault="004F130A" w:rsidP="004F130A">
      <w:pPr>
        <w:autoSpaceDE w:val="0"/>
        <w:autoSpaceDN w:val="0"/>
        <w:adjustRightInd w:val="0"/>
        <w:ind w:firstLine="720"/>
        <w:jc w:val="both"/>
        <w:rPr>
          <w:bCs/>
        </w:rPr>
      </w:pPr>
      <w:r w:rsidRPr="000F7A44">
        <w:t xml:space="preserve">С </w:t>
      </w:r>
      <w:r w:rsidR="006F7A74">
        <w:t>з</w:t>
      </w:r>
      <w:r w:rsidRPr="000F7A44">
        <w:t>аконопроектом представлен проект постановления Администрации Волгоградской области «</w:t>
      </w:r>
      <w:r w:rsidRPr="000F7A44">
        <w:rPr>
          <w:bCs/>
        </w:rPr>
        <w:t>О предоставлении в 2017 году</w:t>
      </w:r>
      <w:r w:rsidRPr="000F7A44">
        <w:rPr>
          <w:b/>
          <w:bCs/>
        </w:rPr>
        <w:t xml:space="preserve"> </w:t>
      </w:r>
      <w:r w:rsidRPr="000F7A44">
        <w:rPr>
          <w:bCs/>
        </w:rPr>
        <w:t>из областного бюджета бюджетам муниципальных образований Волгоградской области субсидий на обеспечение сбалансированности местных бюджетов</w:t>
      </w:r>
      <w:r w:rsidRPr="000F7A44">
        <w:t>».</w:t>
      </w:r>
      <w:r w:rsidRPr="00B62248">
        <w:rPr>
          <w:color w:val="FF0000"/>
        </w:rPr>
        <w:t xml:space="preserve"> </w:t>
      </w:r>
      <w:r w:rsidRPr="0060447F">
        <w:t>Проектом постановления предусмотрены порядок предоставления субсидий, методика распределения и методика оценки эффективности их предоставления.</w:t>
      </w:r>
      <w:r>
        <w:t xml:space="preserve"> </w:t>
      </w:r>
      <w:r w:rsidRPr="0060447F">
        <w:t xml:space="preserve">Право на получение субсидий </w:t>
      </w:r>
      <w:r>
        <w:t>в 2017 году предусмотрено</w:t>
      </w:r>
      <w:r w:rsidRPr="0060447F">
        <w:t xml:space="preserve"> городски</w:t>
      </w:r>
      <w:r>
        <w:t>м</w:t>
      </w:r>
      <w:r w:rsidRPr="0060447F">
        <w:t xml:space="preserve"> и сельски</w:t>
      </w:r>
      <w:r>
        <w:t>м</w:t>
      </w:r>
      <w:r w:rsidRPr="0060447F">
        <w:t xml:space="preserve"> поселения</w:t>
      </w:r>
      <w:r>
        <w:t>м</w:t>
      </w:r>
      <w:r w:rsidRPr="0060447F">
        <w:t xml:space="preserve"> Волгоградской области, у которых отсутствуют обязательства по перечислению субсидий в областной бюджет в соответствии со статьей 142.2 БКРФ. Целью предоставления субсидий является обеспечение дополнительного финансирования для </w:t>
      </w:r>
      <w:r w:rsidRPr="0060447F">
        <w:rPr>
          <w:bCs/>
        </w:rPr>
        <w:t>решения вопросов местного значения.</w:t>
      </w:r>
      <w:r>
        <w:rPr>
          <w:bCs/>
        </w:rPr>
        <w:t xml:space="preserve"> </w:t>
      </w:r>
      <w:r w:rsidRPr="0082165C">
        <w:t>Объем субсидии конкретному поселению предлагается формировать путем доведения размера дотации на выравнивание, рассчитанной на 201</w:t>
      </w:r>
      <w:r>
        <w:t>7</w:t>
      </w:r>
      <w:r w:rsidRPr="0082165C">
        <w:t xml:space="preserve"> год</w:t>
      </w:r>
      <w:r w:rsidR="00AE40F5">
        <w:t>,</w:t>
      </w:r>
      <w:r w:rsidRPr="0082165C">
        <w:t xml:space="preserve"> до объема финансовой помощи в 201</w:t>
      </w:r>
      <w:r>
        <w:t>6</w:t>
      </w:r>
      <w:r w:rsidRPr="0082165C">
        <w:t xml:space="preserve"> году в виде субсидии на сбалансированность и дотации на выравнивание.</w:t>
      </w:r>
    </w:p>
    <w:p w:rsidR="004F130A" w:rsidRPr="00ED5623" w:rsidRDefault="004F130A" w:rsidP="004F130A">
      <w:pPr>
        <w:ind w:firstLine="720"/>
        <w:jc w:val="both"/>
      </w:pPr>
      <w:r w:rsidRPr="00ED5623">
        <w:lastRenderedPageBreak/>
        <w:t>В ходе подготовки экспертного заключения осуществлено сопоставление объемов финансовой помощи муниципальным образованиям в 2016-2017 годах, не имеющей целевого характера (расчетные объемы ФФП и субсидии на обеспечение сбалансированности). Сопоставление выполнено без учета объемов отчислений от НДФЛ в местные бюджеты в связи с тем, что нормативы отчислений, установленные БК РФ, Законом Волгоградской области от 28.11.2014 №156-ОД и Законом Волгоградской области от 29.11.2011 №2258-ОД</w:t>
      </w:r>
      <w:r w:rsidR="00F60A11">
        <w:t xml:space="preserve">, </w:t>
      </w:r>
      <w:r w:rsidRPr="00ED5623">
        <w:t>не изменяются. Результаты сопоставления представлены в таблице.</w:t>
      </w:r>
    </w:p>
    <w:p w:rsidR="004F130A" w:rsidRPr="004F130A" w:rsidRDefault="004F130A" w:rsidP="004F130A">
      <w:pPr>
        <w:ind w:firstLine="720"/>
        <w:jc w:val="right"/>
        <w:rPr>
          <w:sz w:val="20"/>
          <w:szCs w:val="20"/>
        </w:rPr>
      </w:pPr>
      <w:proofErr w:type="gramStart"/>
      <w:r w:rsidRPr="004F130A">
        <w:rPr>
          <w:sz w:val="20"/>
          <w:szCs w:val="20"/>
        </w:rPr>
        <w:t>м</w:t>
      </w:r>
      <w:proofErr w:type="gramEnd"/>
      <w:r w:rsidRPr="004F130A">
        <w:rPr>
          <w:sz w:val="20"/>
          <w:szCs w:val="20"/>
        </w:rPr>
        <w:t>лн. руб.</w:t>
      </w:r>
    </w:p>
    <w:tbl>
      <w:tblPr>
        <w:tblW w:w="9652" w:type="dxa"/>
        <w:tblInd w:w="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3407"/>
        <w:gridCol w:w="1557"/>
        <w:gridCol w:w="925"/>
        <w:gridCol w:w="1000"/>
        <w:gridCol w:w="1189"/>
        <w:gridCol w:w="1574"/>
      </w:tblGrid>
      <w:tr w:rsidR="004F130A" w:rsidRPr="004F130A" w:rsidTr="006E17FC">
        <w:trPr>
          <w:trHeight w:val="20"/>
        </w:trPr>
        <w:tc>
          <w:tcPr>
            <w:tcW w:w="4974" w:type="dxa"/>
            <w:gridSpan w:val="2"/>
            <w:tcBorders>
              <w:top w:val="double" w:sz="4" w:space="0" w:color="auto"/>
              <w:left w:val="double" w:sz="4" w:space="0" w:color="auto"/>
              <w:bottom w:val="double" w:sz="4" w:space="0" w:color="auto"/>
              <w:right w:val="double" w:sz="4" w:space="0" w:color="auto"/>
            </w:tcBorders>
            <w:vAlign w:val="center"/>
          </w:tcPr>
          <w:p w:rsidR="004F130A" w:rsidRPr="004F130A" w:rsidRDefault="004F130A" w:rsidP="006E17FC">
            <w:pPr>
              <w:jc w:val="center"/>
              <w:rPr>
                <w:b/>
                <w:sz w:val="20"/>
                <w:szCs w:val="20"/>
              </w:rPr>
            </w:pPr>
            <w:r w:rsidRPr="004F130A">
              <w:rPr>
                <w:b/>
                <w:sz w:val="20"/>
                <w:szCs w:val="20"/>
              </w:rPr>
              <w:t>Наименование муниципального образования</w:t>
            </w:r>
          </w:p>
        </w:tc>
        <w:tc>
          <w:tcPr>
            <w:tcW w:w="920" w:type="dxa"/>
            <w:tcBorders>
              <w:top w:val="double" w:sz="4" w:space="0" w:color="auto"/>
              <w:left w:val="double" w:sz="4" w:space="0" w:color="auto"/>
              <w:bottom w:val="double" w:sz="4" w:space="0" w:color="auto"/>
            </w:tcBorders>
            <w:vAlign w:val="center"/>
          </w:tcPr>
          <w:p w:rsidR="004F130A" w:rsidRPr="004F130A" w:rsidRDefault="004F130A" w:rsidP="00790C7E">
            <w:pPr>
              <w:jc w:val="center"/>
              <w:rPr>
                <w:b/>
                <w:sz w:val="20"/>
                <w:szCs w:val="20"/>
              </w:rPr>
            </w:pPr>
            <w:r w:rsidRPr="004F130A">
              <w:rPr>
                <w:b/>
                <w:sz w:val="20"/>
                <w:szCs w:val="20"/>
              </w:rPr>
              <w:t>Районы</w:t>
            </w:r>
          </w:p>
        </w:tc>
        <w:tc>
          <w:tcPr>
            <w:tcW w:w="1000" w:type="dxa"/>
            <w:tcBorders>
              <w:top w:val="double" w:sz="4" w:space="0" w:color="auto"/>
              <w:bottom w:val="double" w:sz="4" w:space="0" w:color="auto"/>
            </w:tcBorders>
            <w:vAlign w:val="center"/>
          </w:tcPr>
          <w:p w:rsidR="004F130A" w:rsidRPr="004F130A" w:rsidRDefault="004F130A" w:rsidP="00790C7E">
            <w:pPr>
              <w:jc w:val="center"/>
              <w:rPr>
                <w:b/>
                <w:sz w:val="20"/>
                <w:szCs w:val="20"/>
              </w:rPr>
            </w:pPr>
            <w:r w:rsidRPr="004F130A">
              <w:rPr>
                <w:b/>
                <w:sz w:val="20"/>
                <w:szCs w:val="20"/>
              </w:rPr>
              <w:t>Города</w:t>
            </w:r>
          </w:p>
        </w:tc>
        <w:tc>
          <w:tcPr>
            <w:tcW w:w="1180" w:type="dxa"/>
            <w:tcBorders>
              <w:top w:val="double" w:sz="4" w:space="0" w:color="auto"/>
              <w:bottom w:val="double" w:sz="4" w:space="0" w:color="auto"/>
            </w:tcBorders>
            <w:vAlign w:val="center"/>
          </w:tcPr>
          <w:p w:rsidR="004F130A" w:rsidRPr="004F130A" w:rsidRDefault="004F130A" w:rsidP="00790C7E">
            <w:pPr>
              <w:jc w:val="center"/>
              <w:rPr>
                <w:b/>
                <w:sz w:val="20"/>
                <w:szCs w:val="20"/>
              </w:rPr>
            </w:pPr>
            <w:r w:rsidRPr="004F130A">
              <w:rPr>
                <w:b/>
                <w:sz w:val="20"/>
                <w:szCs w:val="20"/>
              </w:rPr>
              <w:t>Поселения</w:t>
            </w:r>
          </w:p>
        </w:tc>
        <w:tc>
          <w:tcPr>
            <w:tcW w:w="1578" w:type="dxa"/>
            <w:tcBorders>
              <w:top w:val="double" w:sz="4" w:space="0" w:color="auto"/>
              <w:bottom w:val="double" w:sz="4" w:space="0" w:color="auto"/>
              <w:right w:val="double" w:sz="4" w:space="0" w:color="auto"/>
            </w:tcBorders>
            <w:vAlign w:val="center"/>
          </w:tcPr>
          <w:p w:rsidR="004F130A" w:rsidRPr="004F130A" w:rsidRDefault="004F130A" w:rsidP="00790C7E">
            <w:pPr>
              <w:ind w:left="-57" w:right="-57"/>
              <w:jc w:val="center"/>
              <w:rPr>
                <w:b/>
                <w:sz w:val="20"/>
                <w:szCs w:val="20"/>
              </w:rPr>
            </w:pPr>
            <w:r w:rsidRPr="004F130A">
              <w:rPr>
                <w:b/>
                <w:sz w:val="20"/>
                <w:szCs w:val="20"/>
              </w:rPr>
              <w:t>Всего по области:</w:t>
            </w:r>
          </w:p>
        </w:tc>
      </w:tr>
      <w:tr w:rsidR="004F130A" w:rsidRPr="004F130A" w:rsidTr="006E17FC">
        <w:trPr>
          <w:trHeight w:val="20"/>
        </w:trPr>
        <w:tc>
          <w:tcPr>
            <w:tcW w:w="3415" w:type="dxa"/>
            <w:vMerge w:val="restart"/>
            <w:tcBorders>
              <w:top w:val="double" w:sz="4" w:space="0" w:color="auto"/>
              <w:left w:val="double" w:sz="4" w:space="0" w:color="auto"/>
            </w:tcBorders>
            <w:vAlign w:val="center"/>
          </w:tcPr>
          <w:p w:rsidR="004F130A" w:rsidRPr="004F130A" w:rsidRDefault="004F130A" w:rsidP="006E17FC">
            <w:pPr>
              <w:jc w:val="center"/>
              <w:rPr>
                <w:sz w:val="20"/>
                <w:szCs w:val="20"/>
              </w:rPr>
            </w:pPr>
            <w:r w:rsidRPr="004F130A">
              <w:rPr>
                <w:sz w:val="20"/>
                <w:szCs w:val="20"/>
              </w:rPr>
              <w:t xml:space="preserve">Дотации из ФФП поселений </w:t>
            </w:r>
          </w:p>
          <w:p w:rsidR="004F130A" w:rsidRPr="004F130A" w:rsidRDefault="004F130A" w:rsidP="006E17FC">
            <w:pPr>
              <w:jc w:val="center"/>
              <w:rPr>
                <w:sz w:val="20"/>
                <w:szCs w:val="20"/>
              </w:rPr>
            </w:pPr>
            <w:r w:rsidRPr="004F130A">
              <w:rPr>
                <w:sz w:val="20"/>
                <w:szCs w:val="20"/>
              </w:rPr>
              <w:t>(расчетный объем.)</w:t>
            </w:r>
          </w:p>
        </w:tc>
        <w:tc>
          <w:tcPr>
            <w:tcW w:w="1559" w:type="dxa"/>
            <w:tcBorders>
              <w:top w:val="double" w:sz="4" w:space="0" w:color="auto"/>
              <w:right w:val="double" w:sz="4" w:space="0" w:color="auto"/>
            </w:tcBorders>
            <w:vAlign w:val="center"/>
          </w:tcPr>
          <w:p w:rsidR="004F130A" w:rsidRPr="004F130A" w:rsidRDefault="004F130A" w:rsidP="006E17FC">
            <w:pPr>
              <w:jc w:val="center"/>
              <w:rPr>
                <w:sz w:val="20"/>
                <w:szCs w:val="20"/>
              </w:rPr>
            </w:pPr>
            <w:r w:rsidRPr="004F130A">
              <w:rPr>
                <w:sz w:val="20"/>
                <w:szCs w:val="20"/>
              </w:rPr>
              <w:t>2016 год</w:t>
            </w:r>
          </w:p>
        </w:tc>
        <w:tc>
          <w:tcPr>
            <w:tcW w:w="920" w:type="dxa"/>
            <w:tcBorders>
              <w:top w:val="double" w:sz="4" w:space="0" w:color="auto"/>
              <w:left w:val="double" w:sz="4" w:space="0" w:color="auto"/>
            </w:tcBorders>
            <w:noWrap/>
            <w:vAlign w:val="center"/>
          </w:tcPr>
          <w:p w:rsidR="004F130A" w:rsidRPr="004F130A" w:rsidRDefault="004F130A" w:rsidP="00790C7E">
            <w:pPr>
              <w:jc w:val="center"/>
              <w:rPr>
                <w:sz w:val="20"/>
                <w:szCs w:val="20"/>
              </w:rPr>
            </w:pPr>
            <w:r w:rsidRPr="004F130A">
              <w:rPr>
                <w:sz w:val="20"/>
                <w:szCs w:val="20"/>
              </w:rPr>
              <w:t>0,0</w:t>
            </w:r>
          </w:p>
        </w:tc>
        <w:tc>
          <w:tcPr>
            <w:tcW w:w="1000" w:type="dxa"/>
            <w:tcBorders>
              <w:top w:val="double" w:sz="4" w:space="0" w:color="auto"/>
            </w:tcBorders>
            <w:noWrap/>
            <w:vAlign w:val="center"/>
          </w:tcPr>
          <w:p w:rsidR="004F130A" w:rsidRPr="004F130A" w:rsidRDefault="004F130A" w:rsidP="00790C7E">
            <w:pPr>
              <w:jc w:val="center"/>
              <w:rPr>
                <w:sz w:val="20"/>
                <w:szCs w:val="20"/>
              </w:rPr>
            </w:pPr>
            <w:r w:rsidRPr="004F130A">
              <w:rPr>
                <w:sz w:val="20"/>
                <w:szCs w:val="20"/>
              </w:rPr>
              <w:t>1 704,7</w:t>
            </w:r>
          </w:p>
        </w:tc>
        <w:tc>
          <w:tcPr>
            <w:tcW w:w="1180" w:type="dxa"/>
            <w:tcBorders>
              <w:top w:val="double" w:sz="4" w:space="0" w:color="auto"/>
            </w:tcBorders>
            <w:noWrap/>
            <w:vAlign w:val="center"/>
          </w:tcPr>
          <w:p w:rsidR="004F130A" w:rsidRPr="004F130A" w:rsidRDefault="004F130A" w:rsidP="00790C7E">
            <w:pPr>
              <w:jc w:val="center"/>
              <w:rPr>
                <w:sz w:val="20"/>
                <w:szCs w:val="20"/>
              </w:rPr>
            </w:pPr>
            <w:r w:rsidRPr="004F130A">
              <w:rPr>
                <w:sz w:val="20"/>
                <w:szCs w:val="20"/>
              </w:rPr>
              <w:t>991,1</w:t>
            </w:r>
          </w:p>
        </w:tc>
        <w:tc>
          <w:tcPr>
            <w:tcW w:w="1578" w:type="dxa"/>
            <w:tcBorders>
              <w:top w:val="double" w:sz="4" w:space="0" w:color="auto"/>
              <w:right w:val="double" w:sz="4" w:space="0" w:color="auto"/>
            </w:tcBorders>
            <w:vAlign w:val="center"/>
          </w:tcPr>
          <w:p w:rsidR="004F130A" w:rsidRPr="004F130A" w:rsidRDefault="004F130A" w:rsidP="00790C7E">
            <w:pPr>
              <w:jc w:val="center"/>
              <w:rPr>
                <w:sz w:val="20"/>
                <w:szCs w:val="20"/>
              </w:rPr>
            </w:pPr>
            <w:r w:rsidRPr="004F130A">
              <w:rPr>
                <w:sz w:val="20"/>
                <w:szCs w:val="20"/>
              </w:rPr>
              <w:t>2 695,8</w:t>
            </w:r>
          </w:p>
        </w:tc>
      </w:tr>
      <w:tr w:rsidR="004F130A" w:rsidRPr="004F130A" w:rsidTr="006E17FC">
        <w:trPr>
          <w:trHeight w:val="20"/>
        </w:trPr>
        <w:tc>
          <w:tcPr>
            <w:tcW w:w="3415" w:type="dxa"/>
            <w:vMerge/>
            <w:tcBorders>
              <w:left w:val="double" w:sz="4" w:space="0" w:color="auto"/>
            </w:tcBorders>
            <w:vAlign w:val="center"/>
          </w:tcPr>
          <w:p w:rsidR="004F130A" w:rsidRPr="004F130A" w:rsidRDefault="004F130A" w:rsidP="006E17FC">
            <w:pPr>
              <w:rPr>
                <w:sz w:val="20"/>
                <w:szCs w:val="20"/>
              </w:rPr>
            </w:pPr>
          </w:p>
        </w:tc>
        <w:tc>
          <w:tcPr>
            <w:tcW w:w="1559" w:type="dxa"/>
            <w:tcBorders>
              <w:right w:val="double" w:sz="4" w:space="0" w:color="auto"/>
            </w:tcBorders>
            <w:vAlign w:val="center"/>
          </w:tcPr>
          <w:p w:rsidR="004F130A" w:rsidRPr="004F130A" w:rsidRDefault="004F130A" w:rsidP="006E17FC">
            <w:pPr>
              <w:jc w:val="center"/>
              <w:rPr>
                <w:sz w:val="20"/>
                <w:szCs w:val="20"/>
              </w:rPr>
            </w:pPr>
            <w:r w:rsidRPr="004F130A">
              <w:rPr>
                <w:sz w:val="20"/>
                <w:szCs w:val="20"/>
              </w:rPr>
              <w:t>2017 год</w:t>
            </w:r>
          </w:p>
        </w:tc>
        <w:tc>
          <w:tcPr>
            <w:tcW w:w="920" w:type="dxa"/>
            <w:tcBorders>
              <w:left w:val="double" w:sz="4" w:space="0" w:color="auto"/>
            </w:tcBorders>
            <w:noWrap/>
            <w:vAlign w:val="center"/>
          </w:tcPr>
          <w:p w:rsidR="004F130A" w:rsidRPr="004F130A" w:rsidRDefault="004F130A" w:rsidP="00790C7E">
            <w:pPr>
              <w:jc w:val="center"/>
              <w:rPr>
                <w:sz w:val="20"/>
                <w:szCs w:val="20"/>
              </w:rPr>
            </w:pPr>
            <w:r w:rsidRPr="004F130A">
              <w:rPr>
                <w:sz w:val="20"/>
                <w:szCs w:val="20"/>
              </w:rPr>
              <w:t>0,0</w:t>
            </w:r>
          </w:p>
        </w:tc>
        <w:tc>
          <w:tcPr>
            <w:tcW w:w="1000" w:type="dxa"/>
            <w:noWrap/>
            <w:vAlign w:val="center"/>
          </w:tcPr>
          <w:p w:rsidR="004F130A" w:rsidRPr="004F130A" w:rsidRDefault="004F130A" w:rsidP="00790C7E">
            <w:pPr>
              <w:jc w:val="center"/>
              <w:rPr>
                <w:sz w:val="20"/>
                <w:szCs w:val="20"/>
              </w:rPr>
            </w:pPr>
            <w:r w:rsidRPr="004F130A">
              <w:rPr>
                <w:sz w:val="20"/>
                <w:szCs w:val="20"/>
              </w:rPr>
              <w:t>1 862,7</w:t>
            </w:r>
          </w:p>
        </w:tc>
        <w:tc>
          <w:tcPr>
            <w:tcW w:w="1180" w:type="dxa"/>
            <w:noWrap/>
            <w:vAlign w:val="center"/>
          </w:tcPr>
          <w:p w:rsidR="004F130A" w:rsidRPr="004F130A" w:rsidRDefault="004F130A" w:rsidP="00790C7E">
            <w:pPr>
              <w:jc w:val="center"/>
              <w:rPr>
                <w:sz w:val="20"/>
                <w:szCs w:val="20"/>
              </w:rPr>
            </w:pPr>
            <w:r w:rsidRPr="004F130A">
              <w:rPr>
                <w:sz w:val="20"/>
                <w:szCs w:val="20"/>
              </w:rPr>
              <w:t>1 066,5</w:t>
            </w:r>
          </w:p>
        </w:tc>
        <w:tc>
          <w:tcPr>
            <w:tcW w:w="1578" w:type="dxa"/>
            <w:tcBorders>
              <w:right w:val="double" w:sz="4" w:space="0" w:color="auto"/>
            </w:tcBorders>
            <w:vAlign w:val="center"/>
          </w:tcPr>
          <w:p w:rsidR="004F130A" w:rsidRPr="004F130A" w:rsidRDefault="004F130A" w:rsidP="00790C7E">
            <w:pPr>
              <w:jc w:val="center"/>
              <w:rPr>
                <w:sz w:val="20"/>
                <w:szCs w:val="20"/>
              </w:rPr>
            </w:pPr>
            <w:r w:rsidRPr="004F130A">
              <w:rPr>
                <w:sz w:val="20"/>
                <w:szCs w:val="20"/>
              </w:rPr>
              <w:t>2 929,2</w:t>
            </w:r>
          </w:p>
        </w:tc>
      </w:tr>
      <w:tr w:rsidR="004F130A" w:rsidRPr="004F130A" w:rsidTr="006E17FC">
        <w:trPr>
          <w:trHeight w:val="20"/>
        </w:trPr>
        <w:tc>
          <w:tcPr>
            <w:tcW w:w="3415" w:type="dxa"/>
            <w:vMerge/>
            <w:tcBorders>
              <w:left w:val="double" w:sz="4" w:space="0" w:color="auto"/>
            </w:tcBorders>
            <w:vAlign w:val="center"/>
          </w:tcPr>
          <w:p w:rsidR="004F130A" w:rsidRPr="004F130A" w:rsidRDefault="004F130A" w:rsidP="006E17FC">
            <w:pPr>
              <w:rPr>
                <w:sz w:val="20"/>
                <w:szCs w:val="20"/>
              </w:rPr>
            </w:pPr>
          </w:p>
        </w:tc>
        <w:tc>
          <w:tcPr>
            <w:tcW w:w="1559" w:type="dxa"/>
            <w:tcBorders>
              <w:right w:val="double" w:sz="4" w:space="0" w:color="auto"/>
            </w:tcBorders>
            <w:vAlign w:val="center"/>
          </w:tcPr>
          <w:p w:rsidR="004F130A" w:rsidRPr="004F130A" w:rsidRDefault="004F130A" w:rsidP="006E17FC">
            <w:pPr>
              <w:jc w:val="center"/>
              <w:rPr>
                <w:sz w:val="20"/>
                <w:szCs w:val="20"/>
              </w:rPr>
            </w:pPr>
            <w:r w:rsidRPr="004F130A">
              <w:rPr>
                <w:sz w:val="20"/>
                <w:szCs w:val="20"/>
              </w:rPr>
              <w:t>отклонение</w:t>
            </w:r>
          </w:p>
        </w:tc>
        <w:tc>
          <w:tcPr>
            <w:tcW w:w="920" w:type="dxa"/>
            <w:tcBorders>
              <w:left w:val="double" w:sz="4" w:space="0" w:color="auto"/>
            </w:tcBorders>
            <w:noWrap/>
            <w:vAlign w:val="center"/>
          </w:tcPr>
          <w:p w:rsidR="004F130A" w:rsidRPr="004F130A" w:rsidRDefault="004F130A" w:rsidP="00790C7E">
            <w:pPr>
              <w:jc w:val="center"/>
              <w:rPr>
                <w:sz w:val="20"/>
                <w:szCs w:val="20"/>
              </w:rPr>
            </w:pPr>
            <w:r w:rsidRPr="004F130A">
              <w:rPr>
                <w:sz w:val="20"/>
                <w:szCs w:val="20"/>
              </w:rPr>
              <w:t>0,0</w:t>
            </w:r>
          </w:p>
        </w:tc>
        <w:tc>
          <w:tcPr>
            <w:tcW w:w="1000" w:type="dxa"/>
            <w:noWrap/>
            <w:vAlign w:val="center"/>
          </w:tcPr>
          <w:p w:rsidR="004F130A" w:rsidRPr="004F130A" w:rsidRDefault="004F130A" w:rsidP="00790C7E">
            <w:pPr>
              <w:jc w:val="center"/>
              <w:rPr>
                <w:sz w:val="20"/>
                <w:szCs w:val="20"/>
              </w:rPr>
            </w:pPr>
            <w:r w:rsidRPr="004F130A">
              <w:rPr>
                <w:sz w:val="20"/>
                <w:szCs w:val="20"/>
              </w:rPr>
              <w:t>158,0</w:t>
            </w:r>
          </w:p>
        </w:tc>
        <w:tc>
          <w:tcPr>
            <w:tcW w:w="1180" w:type="dxa"/>
            <w:noWrap/>
            <w:vAlign w:val="center"/>
          </w:tcPr>
          <w:p w:rsidR="004F130A" w:rsidRPr="004F130A" w:rsidRDefault="004F130A" w:rsidP="00790C7E">
            <w:pPr>
              <w:jc w:val="center"/>
              <w:rPr>
                <w:sz w:val="20"/>
                <w:szCs w:val="20"/>
              </w:rPr>
            </w:pPr>
            <w:r w:rsidRPr="004F130A">
              <w:rPr>
                <w:sz w:val="20"/>
                <w:szCs w:val="20"/>
              </w:rPr>
              <w:t>75,4</w:t>
            </w:r>
          </w:p>
        </w:tc>
        <w:tc>
          <w:tcPr>
            <w:tcW w:w="1578" w:type="dxa"/>
            <w:tcBorders>
              <w:right w:val="double" w:sz="4" w:space="0" w:color="auto"/>
            </w:tcBorders>
            <w:vAlign w:val="center"/>
          </w:tcPr>
          <w:p w:rsidR="004F130A" w:rsidRPr="004F130A" w:rsidRDefault="004F130A" w:rsidP="00790C7E">
            <w:pPr>
              <w:jc w:val="center"/>
              <w:rPr>
                <w:sz w:val="20"/>
                <w:szCs w:val="20"/>
              </w:rPr>
            </w:pPr>
            <w:r w:rsidRPr="004F130A">
              <w:rPr>
                <w:sz w:val="20"/>
                <w:szCs w:val="20"/>
              </w:rPr>
              <w:t>233,4</w:t>
            </w:r>
          </w:p>
        </w:tc>
      </w:tr>
      <w:tr w:rsidR="004F130A" w:rsidRPr="004F130A" w:rsidTr="006E17FC">
        <w:trPr>
          <w:trHeight w:val="20"/>
        </w:trPr>
        <w:tc>
          <w:tcPr>
            <w:tcW w:w="3415" w:type="dxa"/>
            <w:vMerge/>
            <w:tcBorders>
              <w:left w:val="double" w:sz="4" w:space="0" w:color="auto"/>
              <w:bottom w:val="double" w:sz="4" w:space="0" w:color="auto"/>
            </w:tcBorders>
            <w:vAlign w:val="center"/>
          </w:tcPr>
          <w:p w:rsidR="004F130A" w:rsidRPr="004F130A" w:rsidRDefault="004F130A" w:rsidP="006E17FC">
            <w:pPr>
              <w:rPr>
                <w:sz w:val="20"/>
                <w:szCs w:val="20"/>
              </w:rPr>
            </w:pPr>
          </w:p>
        </w:tc>
        <w:tc>
          <w:tcPr>
            <w:tcW w:w="1559" w:type="dxa"/>
            <w:tcBorders>
              <w:bottom w:val="double" w:sz="4" w:space="0" w:color="auto"/>
              <w:right w:val="double" w:sz="4" w:space="0" w:color="auto"/>
            </w:tcBorders>
            <w:vAlign w:val="center"/>
          </w:tcPr>
          <w:p w:rsidR="004F130A" w:rsidRPr="004F130A" w:rsidRDefault="004F130A" w:rsidP="006E17FC">
            <w:pPr>
              <w:jc w:val="center"/>
              <w:rPr>
                <w:sz w:val="20"/>
                <w:szCs w:val="20"/>
              </w:rPr>
            </w:pPr>
            <w:r w:rsidRPr="004F130A">
              <w:rPr>
                <w:sz w:val="20"/>
                <w:szCs w:val="20"/>
              </w:rPr>
              <w:t>%%</w:t>
            </w:r>
          </w:p>
        </w:tc>
        <w:tc>
          <w:tcPr>
            <w:tcW w:w="920" w:type="dxa"/>
            <w:tcBorders>
              <w:left w:val="double" w:sz="4" w:space="0" w:color="auto"/>
              <w:bottom w:val="double" w:sz="4" w:space="0" w:color="auto"/>
            </w:tcBorders>
            <w:noWrap/>
            <w:vAlign w:val="center"/>
          </w:tcPr>
          <w:p w:rsidR="004F130A" w:rsidRPr="004F130A" w:rsidRDefault="004F130A" w:rsidP="00790C7E">
            <w:pPr>
              <w:jc w:val="center"/>
              <w:rPr>
                <w:sz w:val="20"/>
                <w:szCs w:val="20"/>
              </w:rPr>
            </w:pPr>
            <w:r w:rsidRPr="004F130A">
              <w:rPr>
                <w:sz w:val="20"/>
                <w:szCs w:val="20"/>
              </w:rPr>
              <w:t>0,0</w:t>
            </w:r>
          </w:p>
        </w:tc>
        <w:tc>
          <w:tcPr>
            <w:tcW w:w="1000" w:type="dxa"/>
            <w:tcBorders>
              <w:bottom w:val="double" w:sz="4" w:space="0" w:color="auto"/>
            </w:tcBorders>
            <w:noWrap/>
            <w:vAlign w:val="center"/>
          </w:tcPr>
          <w:p w:rsidR="004F130A" w:rsidRPr="004F130A" w:rsidRDefault="004F130A" w:rsidP="00790C7E">
            <w:pPr>
              <w:jc w:val="center"/>
              <w:rPr>
                <w:sz w:val="20"/>
                <w:szCs w:val="20"/>
              </w:rPr>
            </w:pPr>
            <w:r w:rsidRPr="004F130A">
              <w:rPr>
                <w:sz w:val="20"/>
                <w:szCs w:val="20"/>
              </w:rPr>
              <w:t>9,3%</w:t>
            </w:r>
          </w:p>
        </w:tc>
        <w:tc>
          <w:tcPr>
            <w:tcW w:w="1180" w:type="dxa"/>
            <w:tcBorders>
              <w:bottom w:val="double" w:sz="4" w:space="0" w:color="auto"/>
            </w:tcBorders>
            <w:noWrap/>
            <w:vAlign w:val="center"/>
          </w:tcPr>
          <w:p w:rsidR="004F130A" w:rsidRPr="004F130A" w:rsidRDefault="004F130A" w:rsidP="00790C7E">
            <w:pPr>
              <w:jc w:val="center"/>
              <w:rPr>
                <w:sz w:val="20"/>
                <w:szCs w:val="20"/>
              </w:rPr>
            </w:pPr>
            <w:r w:rsidRPr="004F130A">
              <w:rPr>
                <w:sz w:val="20"/>
                <w:szCs w:val="20"/>
              </w:rPr>
              <w:t>7,6%</w:t>
            </w:r>
          </w:p>
        </w:tc>
        <w:tc>
          <w:tcPr>
            <w:tcW w:w="1578" w:type="dxa"/>
            <w:tcBorders>
              <w:bottom w:val="double" w:sz="4" w:space="0" w:color="auto"/>
              <w:right w:val="double" w:sz="4" w:space="0" w:color="auto"/>
            </w:tcBorders>
            <w:vAlign w:val="center"/>
          </w:tcPr>
          <w:p w:rsidR="004F130A" w:rsidRPr="004F130A" w:rsidRDefault="004F130A" w:rsidP="00790C7E">
            <w:pPr>
              <w:jc w:val="center"/>
              <w:rPr>
                <w:sz w:val="20"/>
                <w:szCs w:val="20"/>
              </w:rPr>
            </w:pPr>
            <w:r w:rsidRPr="004F130A">
              <w:rPr>
                <w:sz w:val="20"/>
                <w:szCs w:val="20"/>
              </w:rPr>
              <w:t>8,7%</w:t>
            </w:r>
          </w:p>
        </w:tc>
      </w:tr>
      <w:tr w:rsidR="004F130A" w:rsidRPr="004F130A" w:rsidTr="006E17FC">
        <w:trPr>
          <w:trHeight w:val="20"/>
        </w:trPr>
        <w:tc>
          <w:tcPr>
            <w:tcW w:w="3415" w:type="dxa"/>
            <w:vMerge w:val="restart"/>
            <w:tcBorders>
              <w:top w:val="double" w:sz="4" w:space="0" w:color="auto"/>
              <w:left w:val="double" w:sz="4" w:space="0" w:color="auto"/>
            </w:tcBorders>
            <w:vAlign w:val="center"/>
          </w:tcPr>
          <w:p w:rsidR="004F130A" w:rsidRPr="004F130A" w:rsidRDefault="004F130A" w:rsidP="006E17FC">
            <w:pPr>
              <w:jc w:val="center"/>
              <w:rPr>
                <w:sz w:val="20"/>
                <w:szCs w:val="20"/>
              </w:rPr>
            </w:pPr>
            <w:r w:rsidRPr="004F130A">
              <w:rPr>
                <w:sz w:val="20"/>
                <w:szCs w:val="20"/>
              </w:rPr>
              <w:t xml:space="preserve">Дотации из ФФП МР (ГО) </w:t>
            </w:r>
          </w:p>
          <w:p w:rsidR="004F130A" w:rsidRPr="004F130A" w:rsidRDefault="004F130A" w:rsidP="006E17FC">
            <w:pPr>
              <w:jc w:val="center"/>
              <w:rPr>
                <w:sz w:val="20"/>
                <w:szCs w:val="20"/>
              </w:rPr>
            </w:pPr>
            <w:r w:rsidRPr="004F130A">
              <w:rPr>
                <w:sz w:val="20"/>
                <w:szCs w:val="20"/>
              </w:rPr>
              <w:t>(расчетный объем)</w:t>
            </w:r>
          </w:p>
        </w:tc>
        <w:tc>
          <w:tcPr>
            <w:tcW w:w="1559" w:type="dxa"/>
            <w:tcBorders>
              <w:top w:val="double" w:sz="4" w:space="0" w:color="auto"/>
              <w:right w:val="double" w:sz="4" w:space="0" w:color="auto"/>
            </w:tcBorders>
            <w:vAlign w:val="center"/>
          </w:tcPr>
          <w:p w:rsidR="004F130A" w:rsidRPr="004F130A" w:rsidRDefault="004F130A" w:rsidP="006E17FC">
            <w:pPr>
              <w:jc w:val="center"/>
              <w:rPr>
                <w:sz w:val="20"/>
                <w:szCs w:val="20"/>
              </w:rPr>
            </w:pPr>
            <w:r w:rsidRPr="004F130A">
              <w:rPr>
                <w:sz w:val="20"/>
                <w:szCs w:val="20"/>
              </w:rPr>
              <w:t>2016 год</w:t>
            </w:r>
          </w:p>
        </w:tc>
        <w:tc>
          <w:tcPr>
            <w:tcW w:w="920" w:type="dxa"/>
            <w:tcBorders>
              <w:top w:val="double" w:sz="4" w:space="0" w:color="auto"/>
              <w:left w:val="double" w:sz="4" w:space="0" w:color="auto"/>
            </w:tcBorders>
            <w:noWrap/>
            <w:vAlign w:val="center"/>
          </w:tcPr>
          <w:p w:rsidR="004F130A" w:rsidRPr="004F130A" w:rsidRDefault="004F130A" w:rsidP="00790C7E">
            <w:pPr>
              <w:jc w:val="center"/>
              <w:rPr>
                <w:sz w:val="20"/>
                <w:szCs w:val="20"/>
              </w:rPr>
            </w:pPr>
            <w:r w:rsidRPr="004F130A">
              <w:rPr>
                <w:sz w:val="20"/>
                <w:szCs w:val="20"/>
              </w:rPr>
              <w:t>3 525,4</w:t>
            </w:r>
          </w:p>
        </w:tc>
        <w:tc>
          <w:tcPr>
            <w:tcW w:w="1000" w:type="dxa"/>
            <w:tcBorders>
              <w:top w:val="double" w:sz="4" w:space="0" w:color="auto"/>
            </w:tcBorders>
            <w:noWrap/>
            <w:vAlign w:val="center"/>
          </w:tcPr>
          <w:p w:rsidR="004F130A" w:rsidRPr="004F130A" w:rsidRDefault="004F130A" w:rsidP="00790C7E">
            <w:pPr>
              <w:jc w:val="center"/>
              <w:rPr>
                <w:sz w:val="20"/>
                <w:szCs w:val="20"/>
              </w:rPr>
            </w:pPr>
            <w:r w:rsidRPr="004F130A">
              <w:rPr>
                <w:sz w:val="20"/>
                <w:szCs w:val="20"/>
              </w:rPr>
              <w:t>969,0</w:t>
            </w:r>
          </w:p>
        </w:tc>
        <w:tc>
          <w:tcPr>
            <w:tcW w:w="1180" w:type="dxa"/>
            <w:tcBorders>
              <w:top w:val="double" w:sz="4" w:space="0" w:color="auto"/>
            </w:tcBorders>
            <w:noWrap/>
            <w:vAlign w:val="center"/>
          </w:tcPr>
          <w:p w:rsidR="004F130A" w:rsidRPr="004F130A" w:rsidRDefault="004F130A" w:rsidP="00790C7E">
            <w:pPr>
              <w:jc w:val="center"/>
              <w:rPr>
                <w:sz w:val="20"/>
                <w:szCs w:val="20"/>
              </w:rPr>
            </w:pPr>
            <w:r w:rsidRPr="004F130A">
              <w:rPr>
                <w:sz w:val="20"/>
                <w:szCs w:val="20"/>
              </w:rPr>
              <w:t>0,0</w:t>
            </w:r>
          </w:p>
        </w:tc>
        <w:tc>
          <w:tcPr>
            <w:tcW w:w="1578" w:type="dxa"/>
            <w:tcBorders>
              <w:top w:val="double" w:sz="4" w:space="0" w:color="auto"/>
              <w:right w:val="double" w:sz="4" w:space="0" w:color="auto"/>
            </w:tcBorders>
            <w:vAlign w:val="center"/>
          </w:tcPr>
          <w:p w:rsidR="004F130A" w:rsidRPr="004F130A" w:rsidRDefault="004F130A" w:rsidP="00790C7E">
            <w:pPr>
              <w:jc w:val="center"/>
              <w:rPr>
                <w:sz w:val="20"/>
                <w:szCs w:val="20"/>
              </w:rPr>
            </w:pPr>
            <w:r w:rsidRPr="004F130A">
              <w:rPr>
                <w:sz w:val="20"/>
                <w:szCs w:val="20"/>
              </w:rPr>
              <w:t>4 494,4</w:t>
            </w:r>
          </w:p>
        </w:tc>
      </w:tr>
      <w:tr w:rsidR="004F130A" w:rsidRPr="004F130A" w:rsidTr="006E17FC">
        <w:trPr>
          <w:trHeight w:val="20"/>
        </w:trPr>
        <w:tc>
          <w:tcPr>
            <w:tcW w:w="3415" w:type="dxa"/>
            <w:vMerge/>
            <w:tcBorders>
              <w:left w:val="double" w:sz="4" w:space="0" w:color="auto"/>
            </w:tcBorders>
            <w:vAlign w:val="center"/>
          </w:tcPr>
          <w:p w:rsidR="004F130A" w:rsidRPr="004F130A" w:rsidRDefault="004F130A" w:rsidP="006E17FC">
            <w:pPr>
              <w:rPr>
                <w:sz w:val="20"/>
                <w:szCs w:val="20"/>
              </w:rPr>
            </w:pPr>
          </w:p>
        </w:tc>
        <w:tc>
          <w:tcPr>
            <w:tcW w:w="1559" w:type="dxa"/>
            <w:tcBorders>
              <w:right w:val="double" w:sz="4" w:space="0" w:color="auto"/>
            </w:tcBorders>
            <w:vAlign w:val="center"/>
          </w:tcPr>
          <w:p w:rsidR="004F130A" w:rsidRPr="004F130A" w:rsidRDefault="004F130A" w:rsidP="006E17FC">
            <w:pPr>
              <w:jc w:val="center"/>
              <w:rPr>
                <w:sz w:val="20"/>
                <w:szCs w:val="20"/>
              </w:rPr>
            </w:pPr>
            <w:r w:rsidRPr="004F130A">
              <w:rPr>
                <w:sz w:val="20"/>
                <w:szCs w:val="20"/>
              </w:rPr>
              <w:t>2017 год</w:t>
            </w:r>
          </w:p>
        </w:tc>
        <w:tc>
          <w:tcPr>
            <w:tcW w:w="920" w:type="dxa"/>
            <w:tcBorders>
              <w:left w:val="double" w:sz="4" w:space="0" w:color="auto"/>
            </w:tcBorders>
            <w:noWrap/>
            <w:vAlign w:val="center"/>
          </w:tcPr>
          <w:p w:rsidR="004F130A" w:rsidRPr="004F130A" w:rsidRDefault="004F130A" w:rsidP="00790C7E">
            <w:pPr>
              <w:jc w:val="center"/>
              <w:rPr>
                <w:sz w:val="20"/>
                <w:szCs w:val="20"/>
              </w:rPr>
            </w:pPr>
            <w:r w:rsidRPr="004F130A">
              <w:rPr>
                <w:sz w:val="20"/>
                <w:szCs w:val="20"/>
              </w:rPr>
              <w:t>3 527,4</w:t>
            </w:r>
          </w:p>
        </w:tc>
        <w:tc>
          <w:tcPr>
            <w:tcW w:w="1000" w:type="dxa"/>
            <w:noWrap/>
            <w:vAlign w:val="center"/>
          </w:tcPr>
          <w:p w:rsidR="004F130A" w:rsidRPr="004F130A" w:rsidRDefault="004F130A" w:rsidP="00790C7E">
            <w:pPr>
              <w:jc w:val="center"/>
              <w:rPr>
                <w:sz w:val="20"/>
                <w:szCs w:val="20"/>
              </w:rPr>
            </w:pPr>
            <w:r w:rsidRPr="004F130A">
              <w:rPr>
                <w:sz w:val="20"/>
                <w:szCs w:val="20"/>
              </w:rPr>
              <w:t>911,3</w:t>
            </w:r>
          </w:p>
        </w:tc>
        <w:tc>
          <w:tcPr>
            <w:tcW w:w="1180" w:type="dxa"/>
            <w:noWrap/>
            <w:vAlign w:val="center"/>
          </w:tcPr>
          <w:p w:rsidR="004F130A" w:rsidRPr="004F130A" w:rsidRDefault="004F130A" w:rsidP="00790C7E">
            <w:pPr>
              <w:jc w:val="center"/>
              <w:rPr>
                <w:sz w:val="20"/>
                <w:szCs w:val="20"/>
              </w:rPr>
            </w:pPr>
            <w:r w:rsidRPr="004F130A">
              <w:rPr>
                <w:sz w:val="20"/>
                <w:szCs w:val="20"/>
              </w:rPr>
              <w:t>0,0</w:t>
            </w:r>
          </w:p>
        </w:tc>
        <w:tc>
          <w:tcPr>
            <w:tcW w:w="1578" w:type="dxa"/>
            <w:tcBorders>
              <w:right w:val="double" w:sz="4" w:space="0" w:color="auto"/>
            </w:tcBorders>
            <w:vAlign w:val="center"/>
          </w:tcPr>
          <w:p w:rsidR="004F130A" w:rsidRPr="004F130A" w:rsidRDefault="004F130A" w:rsidP="00790C7E">
            <w:pPr>
              <w:jc w:val="center"/>
              <w:rPr>
                <w:sz w:val="20"/>
                <w:szCs w:val="20"/>
              </w:rPr>
            </w:pPr>
            <w:r w:rsidRPr="004F130A">
              <w:rPr>
                <w:sz w:val="20"/>
                <w:szCs w:val="20"/>
              </w:rPr>
              <w:t>4 438,7</w:t>
            </w:r>
          </w:p>
        </w:tc>
      </w:tr>
      <w:tr w:rsidR="004F130A" w:rsidRPr="004F130A" w:rsidTr="006E17FC">
        <w:trPr>
          <w:trHeight w:val="20"/>
        </w:trPr>
        <w:tc>
          <w:tcPr>
            <w:tcW w:w="3415" w:type="dxa"/>
            <w:vMerge/>
            <w:tcBorders>
              <w:left w:val="double" w:sz="4" w:space="0" w:color="auto"/>
            </w:tcBorders>
            <w:vAlign w:val="center"/>
          </w:tcPr>
          <w:p w:rsidR="004F130A" w:rsidRPr="004F130A" w:rsidRDefault="004F130A" w:rsidP="006E17FC">
            <w:pPr>
              <w:rPr>
                <w:sz w:val="20"/>
                <w:szCs w:val="20"/>
              </w:rPr>
            </w:pPr>
          </w:p>
        </w:tc>
        <w:tc>
          <w:tcPr>
            <w:tcW w:w="1559" w:type="dxa"/>
            <w:tcBorders>
              <w:right w:val="double" w:sz="4" w:space="0" w:color="auto"/>
            </w:tcBorders>
            <w:vAlign w:val="center"/>
          </w:tcPr>
          <w:p w:rsidR="004F130A" w:rsidRPr="004F130A" w:rsidRDefault="004F130A" w:rsidP="006E17FC">
            <w:pPr>
              <w:jc w:val="center"/>
              <w:rPr>
                <w:sz w:val="20"/>
                <w:szCs w:val="20"/>
              </w:rPr>
            </w:pPr>
            <w:r w:rsidRPr="004F130A">
              <w:rPr>
                <w:sz w:val="20"/>
                <w:szCs w:val="20"/>
              </w:rPr>
              <w:t>отклонение</w:t>
            </w:r>
          </w:p>
        </w:tc>
        <w:tc>
          <w:tcPr>
            <w:tcW w:w="920" w:type="dxa"/>
            <w:tcBorders>
              <w:left w:val="double" w:sz="4" w:space="0" w:color="auto"/>
            </w:tcBorders>
            <w:noWrap/>
            <w:vAlign w:val="center"/>
          </w:tcPr>
          <w:p w:rsidR="004F130A" w:rsidRPr="004F130A" w:rsidRDefault="004F130A" w:rsidP="00790C7E">
            <w:pPr>
              <w:jc w:val="center"/>
              <w:rPr>
                <w:sz w:val="20"/>
                <w:szCs w:val="20"/>
              </w:rPr>
            </w:pPr>
            <w:r w:rsidRPr="004F130A">
              <w:rPr>
                <w:sz w:val="20"/>
                <w:szCs w:val="20"/>
              </w:rPr>
              <w:t>2,0</w:t>
            </w:r>
          </w:p>
        </w:tc>
        <w:tc>
          <w:tcPr>
            <w:tcW w:w="1000" w:type="dxa"/>
            <w:noWrap/>
            <w:vAlign w:val="center"/>
          </w:tcPr>
          <w:p w:rsidR="004F130A" w:rsidRPr="004F130A" w:rsidRDefault="004F130A" w:rsidP="00790C7E">
            <w:pPr>
              <w:jc w:val="center"/>
              <w:rPr>
                <w:sz w:val="20"/>
                <w:szCs w:val="20"/>
              </w:rPr>
            </w:pPr>
            <w:r w:rsidRPr="004F130A">
              <w:rPr>
                <w:sz w:val="20"/>
                <w:szCs w:val="20"/>
              </w:rPr>
              <w:t>-57,7</w:t>
            </w:r>
          </w:p>
        </w:tc>
        <w:tc>
          <w:tcPr>
            <w:tcW w:w="1180" w:type="dxa"/>
            <w:noWrap/>
            <w:vAlign w:val="center"/>
          </w:tcPr>
          <w:p w:rsidR="004F130A" w:rsidRPr="004F130A" w:rsidRDefault="004F130A" w:rsidP="00790C7E">
            <w:pPr>
              <w:jc w:val="center"/>
              <w:rPr>
                <w:sz w:val="20"/>
                <w:szCs w:val="20"/>
              </w:rPr>
            </w:pPr>
            <w:r w:rsidRPr="004F130A">
              <w:rPr>
                <w:sz w:val="20"/>
                <w:szCs w:val="20"/>
              </w:rPr>
              <w:t>0,0</w:t>
            </w:r>
          </w:p>
        </w:tc>
        <w:tc>
          <w:tcPr>
            <w:tcW w:w="1578" w:type="dxa"/>
            <w:tcBorders>
              <w:right w:val="double" w:sz="4" w:space="0" w:color="auto"/>
            </w:tcBorders>
            <w:vAlign w:val="center"/>
          </w:tcPr>
          <w:p w:rsidR="004F130A" w:rsidRPr="004F130A" w:rsidRDefault="004F130A" w:rsidP="00790C7E">
            <w:pPr>
              <w:jc w:val="center"/>
              <w:rPr>
                <w:sz w:val="20"/>
                <w:szCs w:val="20"/>
              </w:rPr>
            </w:pPr>
            <w:r w:rsidRPr="004F130A">
              <w:rPr>
                <w:sz w:val="20"/>
                <w:szCs w:val="20"/>
              </w:rPr>
              <w:t>-55,7</w:t>
            </w:r>
          </w:p>
        </w:tc>
      </w:tr>
      <w:tr w:rsidR="004F130A" w:rsidRPr="004F130A" w:rsidTr="006E17FC">
        <w:trPr>
          <w:trHeight w:val="20"/>
        </w:trPr>
        <w:tc>
          <w:tcPr>
            <w:tcW w:w="3415" w:type="dxa"/>
            <w:vMerge/>
            <w:tcBorders>
              <w:left w:val="double" w:sz="4" w:space="0" w:color="auto"/>
              <w:bottom w:val="double" w:sz="4" w:space="0" w:color="auto"/>
            </w:tcBorders>
            <w:vAlign w:val="center"/>
          </w:tcPr>
          <w:p w:rsidR="004F130A" w:rsidRPr="004F130A" w:rsidRDefault="004F130A" w:rsidP="006E17FC">
            <w:pPr>
              <w:rPr>
                <w:sz w:val="20"/>
                <w:szCs w:val="20"/>
              </w:rPr>
            </w:pPr>
          </w:p>
        </w:tc>
        <w:tc>
          <w:tcPr>
            <w:tcW w:w="1559" w:type="dxa"/>
            <w:tcBorders>
              <w:bottom w:val="double" w:sz="4" w:space="0" w:color="auto"/>
              <w:right w:val="double" w:sz="4" w:space="0" w:color="auto"/>
            </w:tcBorders>
            <w:vAlign w:val="center"/>
          </w:tcPr>
          <w:p w:rsidR="004F130A" w:rsidRPr="004F130A" w:rsidRDefault="004F130A" w:rsidP="006E17FC">
            <w:pPr>
              <w:jc w:val="center"/>
              <w:rPr>
                <w:sz w:val="20"/>
                <w:szCs w:val="20"/>
              </w:rPr>
            </w:pPr>
            <w:r w:rsidRPr="004F130A">
              <w:rPr>
                <w:sz w:val="20"/>
                <w:szCs w:val="20"/>
              </w:rPr>
              <w:t>%%</w:t>
            </w:r>
          </w:p>
        </w:tc>
        <w:tc>
          <w:tcPr>
            <w:tcW w:w="920" w:type="dxa"/>
            <w:tcBorders>
              <w:left w:val="double" w:sz="4" w:space="0" w:color="auto"/>
              <w:bottom w:val="double" w:sz="4" w:space="0" w:color="auto"/>
            </w:tcBorders>
            <w:noWrap/>
            <w:vAlign w:val="center"/>
          </w:tcPr>
          <w:p w:rsidR="004F130A" w:rsidRPr="004F130A" w:rsidRDefault="004F130A" w:rsidP="00790C7E">
            <w:pPr>
              <w:jc w:val="center"/>
              <w:rPr>
                <w:sz w:val="20"/>
                <w:szCs w:val="20"/>
              </w:rPr>
            </w:pPr>
            <w:r w:rsidRPr="004F130A">
              <w:rPr>
                <w:sz w:val="20"/>
                <w:szCs w:val="20"/>
              </w:rPr>
              <w:t>0,1%</w:t>
            </w:r>
          </w:p>
        </w:tc>
        <w:tc>
          <w:tcPr>
            <w:tcW w:w="1000" w:type="dxa"/>
            <w:tcBorders>
              <w:bottom w:val="double" w:sz="4" w:space="0" w:color="auto"/>
            </w:tcBorders>
            <w:noWrap/>
            <w:vAlign w:val="center"/>
          </w:tcPr>
          <w:p w:rsidR="004F130A" w:rsidRPr="004F130A" w:rsidRDefault="004F130A" w:rsidP="00790C7E">
            <w:pPr>
              <w:jc w:val="center"/>
              <w:rPr>
                <w:sz w:val="20"/>
                <w:szCs w:val="20"/>
              </w:rPr>
            </w:pPr>
            <w:r w:rsidRPr="004F130A">
              <w:rPr>
                <w:sz w:val="20"/>
                <w:szCs w:val="20"/>
              </w:rPr>
              <w:t>-6,0%</w:t>
            </w:r>
          </w:p>
        </w:tc>
        <w:tc>
          <w:tcPr>
            <w:tcW w:w="1180" w:type="dxa"/>
            <w:tcBorders>
              <w:bottom w:val="double" w:sz="4" w:space="0" w:color="auto"/>
            </w:tcBorders>
            <w:noWrap/>
            <w:vAlign w:val="center"/>
          </w:tcPr>
          <w:p w:rsidR="004F130A" w:rsidRPr="004F130A" w:rsidRDefault="004F130A" w:rsidP="00790C7E">
            <w:pPr>
              <w:jc w:val="center"/>
              <w:rPr>
                <w:sz w:val="20"/>
                <w:szCs w:val="20"/>
              </w:rPr>
            </w:pPr>
            <w:r w:rsidRPr="004F130A">
              <w:rPr>
                <w:sz w:val="20"/>
                <w:szCs w:val="20"/>
              </w:rPr>
              <w:t>0,0</w:t>
            </w:r>
          </w:p>
        </w:tc>
        <w:tc>
          <w:tcPr>
            <w:tcW w:w="1578" w:type="dxa"/>
            <w:tcBorders>
              <w:bottom w:val="double" w:sz="4" w:space="0" w:color="auto"/>
              <w:right w:val="double" w:sz="4" w:space="0" w:color="auto"/>
            </w:tcBorders>
            <w:vAlign w:val="center"/>
          </w:tcPr>
          <w:p w:rsidR="004F130A" w:rsidRPr="004F130A" w:rsidRDefault="004F130A" w:rsidP="00790C7E">
            <w:pPr>
              <w:jc w:val="center"/>
              <w:rPr>
                <w:sz w:val="20"/>
                <w:szCs w:val="20"/>
              </w:rPr>
            </w:pPr>
            <w:r w:rsidRPr="004F130A">
              <w:rPr>
                <w:sz w:val="20"/>
                <w:szCs w:val="20"/>
              </w:rPr>
              <w:t>-1,2%</w:t>
            </w:r>
          </w:p>
        </w:tc>
      </w:tr>
      <w:tr w:rsidR="004F130A" w:rsidRPr="004F130A" w:rsidTr="006E17FC">
        <w:trPr>
          <w:trHeight w:val="20"/>
        </w:trPr>
        <w:tc>
          <w:tcPr>
            <w:tcW w:w="3415" w:type="dxa"/>
            <w:vMerge w:val="restart"/>
            <w:tcBorders>
              <w:top w:val="double" w:sz="4" w:space="0" w:color="auto"/>
              <w:left w:val="double" w:sz="4" w:space="0" w:color="auto"/>
            </w:tcBorders>
            <w:vAlign w:val="center"/>
          </w:tcPr>
          <w:p w:rsidR="004F130A" w:rsidRPr="004F130A" w:rsidRDefault="004F130A" w:rsidP="006E17FC">
            <w:pPr>
              <w:jc w:val="center"/>
              <w:rPr>
                <w:sz w:val="20"/>
                <w:szCs w:val="20"/>
              </w:rPr>
            </w:pPr>
            <w:r w:rsidRPr="004F130A">
              <w:rPr>
                <w:sz w:val="20"/>
                <w:szCs w:val="20"/>
              </w:rPr>
              <w:t>Субсидии на обеспечение сбалансированности местных бюджетов</w:t>
            </w:r>
          </w:p>
        </w:tc>
        <w:tc>
          <w:tcPr>
            <w:tcW w:w="1559" w:type="dxa"/>
            <w:tcBorders>
              <w:top w:val="double" w:sz="4" w:space="0" w:color="auto"/>
              <w:right w:val="double" w:sz="4" w:space="0" w:color="auto"/>
            </w:tcBorders>
            <w:vAlign w:val="center"/>
          </w:tcPr>
          <w:p w:rsidR="004F130A" w:rsidRPr="004F130A" w:rsidRDefault="004F130A" w:rsidP="006E17FC">
            <w:pPr>
              <w:jc w:val="center"/>
              <w:rPr>
                <w:sz w:val="20"/>
                <w:szCs w:val="20"/>
              </w:rPr>
            </w:pPr>
            <w:r w:rsidRPr="004F130A">
              <w:rPr>
                <w:sz w:val="20"/>
                <w:szCs w:val="20"/>
              </w:rPr>
              <w:t>2016 год</w:t>
            </w:r>
          </w:p>
        </w:tc>
        <w:tc>
          <w:tcPr>
            <w:tcW w:w="920" w:type="dxa"/>
            <w:tcBorders>
              <w:top w:val="double" w:sz="4" w:space="0" w:color="auto"/>
              <w:left w:val="double" w:sz="4" w:space="0" w:color="auto"/>
            </w:tcBorders>
            <w:noWrap/>
            <w:vAlign w:val="center"/>
          </w:tcPr>
          <w:p w:rsidR="004F130A" w:rsidRPr="004F130A" w:rsidRDefault="004F130A" w:rsidP="00790C7E">
            <w:pPr>
              <w:jc w:val="center"/>
              <w:rPr>
                <w:sz w:val="20"/>
                <w:szCs w:val="20"/>
              </w:rPr>
            </w:pPr>
            <w:r w:rsidRPr="004F130A">
              <w:rPr>
                <w:sz w:val="20"/>
                <w:szCs w:val="20"/>
              </w:rPr>
              <w:t>238,5</w:t>
            </w:r>
          </w:p>
        </w:tc>
        <w:tc>
          <w:tcPr>
            <w:tcW w:w="1000" w:type="dxa"/>
            <w:tcBorders>
              <w:top w:val="double" w:sz="4" w:space="0" w:color="auto"/>
            </w:tcBorders>
            <w:noWrap/>
            <w:vAlign w:val="center"/>
          </w:tcPr>
          <w:p w:rsidR="004F130A" w:rsidRPr="004F130A" w:rsidRDefault="004F130A" w:rsidP="00790C7E">
            <w:pPr>
              <w:jc w:val="center"/>
              <w:rPr>
                <w:sz w:val="20"/>
                <w:szCs w:val="20"/>
              </w:rPr>
            </w:pPr>
            <w:r w:rsidRPr="004F130A">
              <w:rPr>
                <w:sz w:val="20"/>
                <w:szCs w:val="20"/>
              </w:rPr>
              <w:t>276,7</w:t>
            </w:r>
          </w:p>
        </w:tc>
        <w:tc>
          <w:tcPr>
            <w:tcW w:w="1180" w:type="dxa"/>
            <w:tcBorders>
              <w:top w:val="double" w:sz="4" w:space="0" w:color="auto"/>
            </w:tcBorders>
            <w:noWrap/>
            <w:vAlign w:val="center"/>
          </w:tcPr>
          <w:p w:rsidR="004F130A" w:rsidRPr="004F130A" w:rsidRDefault="004F130A" w:rsidP="00790C7E">
            <w:pPr>
              <w:jc w:val="center"/>
              <w:rPr>
                <w:sz w:val="20"/>
                <w:szCs w:val="20"/>
              </w:rPr>
            </w:pPr>
            <w:r w:rsidRPr="004F130A">
              <w:rPr>
                <w:sz w:val="20"/>
                <w:szCs w:val="20"/>
              </w:rPr>
              <w:t>761,0</w:t>
            </w:r>
          </w:p>
        </w:tc>
        <w:tc>
          <w:tcPr>
            <w:tcW w:w="1578" w:type="dxa"/>
            <w:tcBorders>
              <w:top w:val="double" w:sz="4" w:space="0" w:color="auto"/>
              <w:right w:val="double" w:sz="4" w:space="0" w:color="auto"/>
            </w:tcBorders>
            <w:vAlign w:val="center"/>
          </w:tcPr>
          <w:p w:rsidR="004F130A" w:rsidRPr="004F130A" w:rsidRDefault="004F130A" w:rsidP="00790C7E">
            <w:pPr>
              <w:jc w:val="center"/>
              <w:rPr>
                <w:sz w:val="20"/>
                <w:szCs w:val="20"/>
              </w:rPr>
            </w:pPr>
            <w:r w:rsidRPr="004F130A">
              <w:rPr>
                <w:sz w:val="20"/>
                <w:szCs w:val="20"/>
              </w:rPr>
              <w:t>1 276,3</w:t>
            </w:r>
          </w:p>
        </w:tc>
      </w:tr>
      <w:tr w:rsidR="004F130A" w:rsidRPr="004F130A" w:rsidTr="006E17FC">
        <w:trPr>
          <w:trHeight w:val="20"/>
        </w:trPr>
        <w:tc>
          <w:tcPr>
            <w:tcW w:w="3415" w:type="dxa"/>
            <w:vMerge/>
            <w:tcBorders>
              <w:left w:val="double" w:sz="4" w:space="0" w:color="auto"/>
            </w:tcBorders>
            <w:vAlign w:val="center"/>
          </w:tcPr>
          <w:p w:rsidR="004F130A" w:rsidRPr="004F130A" w:rsidRDefault="004F130A" w:rsidP="006E17FC">
            <w:pPr>
              <w:rPr>
                <w:sz w:val="20"/>
                <w:szCs w:val="20"/>
              </w:rPr>
            </w:pPr>
          </w:p>
        </w:tc>
        <w:tc>
          <w:tcPr>
            <w:tcW w:w="1559" w:type="dxa"/>
            <w:tcBorders>
              <w:right w:val="double" w:sz="4" w:space="0" w:color="auto"/>
            </w:tcBorders>
            <w:vAlign w:val="center"/>
          </w:tcPr>
          <w:p w:rsidR="004F130A" w:rsidRPr="004F130A" w:rsidRDefault="004F130A" w:rsidP="006E17FC">
            <w:pPr>
              <w:jc w:val="center"/>
              <w:rPr>
                <w:sz w:val="20"/>
                <w:szCs w:val="20"/>
              </w:rPr>
            </w:pPr>
            <w:r w:rsidRPr="004F130A">
              <w:rPr>
                <w:sz w:val="20"/>
                <w:szCs w:val="20"/>
              </w:rPr>
              <w:t>2017 год</w:t>
            </w:r>
          </w:p>
        </w:tc>
        <w:tc>
          <w:tcPr>
            <w:tcW w:w="920" w:type="dxa"/>
            <w:tcBorders>
              <w:left w:val="double" w:sz="4" w:space="0" w:color="auto"/>
            </w:tcBorders>
            <w:noWrap/>
            <w:vAlign w:val="center"/>
          </w:tcPr>
          <w:p w:rsidR="004F130A" w:rsidRPr="004F130A" w:rsidRDefault="004F130A" w:rsidP="00790C7E">
            <w:pPr>
              <w:jc w:val="center"/>
              <w:rPr>
                <w:sz w:val="20"/>
                <w:szCs w:val="20"/>
              </w:rPr>
            </w:pPr>
            <w:r w:rsidRPr="004F130A">
              <w:rPr>
                <w:sz w:val="20"/>
                <w:szCs w:val="20"/>
              </w:rPr>
              <w:t>0,0</w:t>
            </w:r>
          </w:p>
        </w:tc>
        <w:tc>
          <w:tcPr>
            <w:tcW w:w="1000" w:type="dxa"/>
            <w:noWrap/>
            <w:vAlign w:val="center"/>
          </w:tcPr>
          <w:p w:rsidR="004F130A" w:rsidRPr="004F130A" w:rsidRDefault="004F130A" w:rsidP="00790C7E">
            <w:pPr>
              <w:jc w:val="center"/>
              <w:rPr>
                <w:sz w:val="20"/>
                <w:szCs w:val="20"/>
              </w:rPr>
            </w:pPr>
            <w:r w:rsidRPr="004F130A">
              <w:rPr>
                <w:sz w:val="20"/>
                <w:szCs w:val="20"/>
              </w:rPr>
              <w:t>0,0</w:t>
            </w:r>
          </w:p>
        </w:tc>
        <w:tc>
          <w:tcPr>
            <w:tcW w:w="1180" w:type="dxa"/>
            <w:noWrap/>
            <w:vAlign w:val="center"/>
          </w:tcPr>
          <w:p w:rsidR="004F130A" w:rsidRPr="004F130A" w:rsidRDefault="004F130A" w:rsidP="00790C7E">
            <w:pPr>
              <w:jc w:val="center"/>
              <w:rPr>
                <w:sz w:val="20"/>
                <w:szCs w:val="20"/>
              </w:rPr>
            </w:pPr>
            <w:r w:rsidRPr="004F130A">
              <w:rPr>
                <w:sz w:val="20"/>
                <w:szCs w:val="20"/>
              </w:rPr>
              <w:t>712,5</w:t>
            </w:r>
          </w:p>
        </w:tc>
        <w:tc>
          <w:tcPr>
            <w:tcW w:w="1578" w:type="dxa"/>
            <w:tcBorders>
              <w:right w:val="double" w:sz="4" w:space="0" w:color="auto"/>
            </w:tcBorders>
            <w:vAlign w:val="center"/>
          </w:tcPr>
          <w:p w:rsidR="004F130A" w:rsidRPr="004F130A" w:rsidRDefault="004F130A" w:rsidP="00790C7E">
            <w:pPr>
              <w:jc w:val="center"/>
              <w:rPr>
                <w:sz w:val="20"/>
                <w:szCs w:val="20"/>
              </w:rPr>
            </w:pPr>
            <w:r w:rsidRPr="004F130A">
              <w:rPr>
                <w:sz w:val="20"/>
                <w:szCs w:val="20"/>
              </w:rPr>
              <w:t>712,5</w:t>
            </w:r>
          </w:p>
        </w:tc>
      </w:tr>
      <w:tr w:rsidR="004F130A" w:rsidRPr="004F130A" w:rsidTr="006E17FC">
        <w:trPr>
          <w:trHeight w:val="20"/>
        </w:trPr>
        <w:tc>
          <w:tcPr>
            <w:tcW w:w="3415" w:type="dxa"/>
            <w:vMerge/>
            <w:tcBorders>
              <w:left w:val="double" w:sz="4" w:space="0" w:color="auto"/>
            </w:tcBorders>
            <w:vAlign w:val="center"/>
          </w:tcPr>
          <w:p w:rsidR="004F130A" w:rsidRPr="004F130A" w:rsidRDefault="004F130A" w:rsidP="006E17FC">
            <w:pPr>
              <w:rPr>
                <w:sz w:val="20"/>
                <w:szCs w:val="20"/>
              </w:rPr>
            </w:pPr>
          </w:p>
        </w:tc>
        <w:tc>
          <w:tcPr>
            <w:tcW w:w="1559" w:type="dxa"/>
            <w:tcBorders>
              <w:right w:val="double" w:sz="4" w:space="0" w:color="auto"/>
            </w:tcBorders>
            <w:vAlign w:val="center"/>
          </w:tcPr>
          <w:p w:rsidR="004F130A" w:rsidRPr="004F130A" w:rsidRDefault="004F130A" w:rsidP="006E17FC">
            <w:pPr>
              <w:jc w:val="center"/>
              <w:rPr>
                <w:sz w:val="20"/>
                <w:szCs w:val="20"/>
              </w:rPr>
            </w:pPr>
            <w:r w:rsidRPr="004F130A">
              <w:rPr>
                <w:sz w:val="20"/>
                <w:szCs w:val="20"/>
              </w:rPr>
              <w:t>отклонение</w:t>
            </w:r>
          </w:p>
        </w:tc>
        <w:tc>
          <w:tcPr>
            <w:tcW w:w="920" w:type="dxa"/>
            <w:tcBorders>
              <w:left w:val="double" w:sz="4" w:space="0" w:color="auto"/>
            </w:tcBorders>
            <w:noWrap/>
            <w:vAlign w:val="center"/>
          </w:tcPr>
          <w:p w:rsidR="004F130A" w:rsidRPr="004F130A" w:rsidRDefault="004F130A" w:rsidP="00790C7E">
            <w:pPr>
              <w:jc w:val="center"/>
              <w:rPr>
                <w:sz w:val="20"/>
                <w:szCs w:val="20"/>
              </w:rPr>
            </w:pPr>
            <w:r w:rsidRPr="004F130A">
              <w:rPr>
                <w:sz w:val="20"/>
                <w:szCs w:val="20"/>
              </w:rPr>
              <w:t>-238,5</w:t>
            </w:r>
          </w:p>
        </w:tc>
        <w:tc>
          <w:tcPr>
            <w:tcW w:w="1000" w:type="dxa"/>
            <w:noWrap/>
            <w:vAlign w:val="center"/>
          </w:tcPr>
          <w:p w:rsidR="004F130A" w:rsidRPr="004F130A" w:rsidRDefault="004F130A" w:rsidP="00790C7E">
            <w:pPr>
              <w:jc w:val="center"/>
              <w:rPr>
                <w:sz w:val="20"/>
                <w:szCs w:val="20"/>
              </w:rPr>
            </w:pPr>
            <w:r w:rsidRPr="004F130A">
              <w:rPr>
                <w:sz w:val="20"/>
                <w:szCs w:val="20"/>
              </w:rPr>
              <w:t>-276,7</w:t>
            </w:r>
          </w:p>
        </w:tc>
        <w:tc>
          <w:tcPr>
            <w:tcW w:w="1180" w:type="dxa"/>
            <w:noWrap/>
            <w:vAlign w:val="center"/>
          </w:tcPr>
          <w:p w:rsidR="004F130A" w:rsidRPr="004F130A" w:rsidRDefault="004F130A" w:rsidP="00790C7E">
            <w:pPr>
              <w:jc w:val="center"/>
              <w:rPr>
                <w:sz w:val="20"/>
                <w:szCs w:val="20"/>
              </w:rPr>
            </w:pPr>
            <w:r w:rsidRPr="004F130A">
              <w:rPr>
                <w:sz w:val="20"/>
                <w:szCs w:val="20"/>
              </w:rPr>
              <w:t>-48,5</w:t>
            </w:r>
          </w:p>
        </w:tc>
        <w:tc>
          <w:tcPr>
            <w:tcW w:w="1578" w:type="dxa"/>
            <w:tcBorders>
              <w:right w:val="double" w:sz="4" w:space="0" w:color="auto"/>
            </w:tcBorders>
            <w:vAlign w:val="center"/>
          </w:tcPr>
          <w:p w:rsidR="004F130A" w:rsidRPr="004F130A" w:rsidRDefault="004F130A" w:rsidP="00790C7E">
            <w:pPr>
              <w:jc w:val="center"/>
              <w:rPr>
                <w:sz w:val="20"/>
                <w:szCs w:val="20"/>
              </w:rPr>
            </w:pPr>
            <w:r w:rsidRPr="004F130A">
              <w:rPr>
                <w:sz w:val="20"/>
                <w:szCs w:val="20"/>
              </w:rPr>
              <w:t>-563,8</w:t>
            </w:r>
          </w:p>
        </w:tc>
      </w:tr>
      <w:tr w:rsidR="004F130A" w:rsidRPr="004F130A" w:rsidTr="006E17FC">
        <w:trPr>
          <w:trHeight w:val="20"/>
        </w:trPr>
        <w:tc>
          <w:tcPr>
            <w:tcW w:w="3415" w:type="dxa"/>
            <w:vMerge/>
            <w:tcBorders>
              <w:left w:val="double" w:sz="4" w:space="0" w:color="auto"/>
              <w:bottom w:val="double" w:sz="4" w:space="0" w:color="auto"/>
            </w:tcBorders>
            <w:vAlign w:val="center"/>
          </w:tcPr>
          <w:p w:rsidR="004F130A" w:rsidRPr="004F130A" w:rsidRDefault="004F130A" w:rsidP="006E17FC">
            <w:pPr>
              <w:rPr>
                <w:sz w:val="20"/>
                <w:szCs w:val="20"/>
              </w:rPr>
            </w:pPr>
          </w:p>
        </w:tc>
        <w:tc>
          <w:tcPr>
            <w:tcW w:w="1559" w:type="dxa"/>
            <w:tcBorders>
              <w:bottom w:val="double" w:sz="4" w:space="0" w:color="auto"/>
              <w:right w:val="double" w:sz="4" w:space="0" w:color="auto"/>
            </w:tcBorders>
            <w:vAlign w:val="center"/>
          </w:tcPr>
          <w:p w:rsidR="004F130A" w:rsidRPr="004F130A" w:rsidRDefault="004F130A" w:rsidP="006E17FC">
            <w:pPr>
              <w:jc w:val="center"/>
              <w:rPr>
                <w:sz w:val="20"/>
                <w:szCs w:val="20"/>
              </w:rPr>
            </w:pPr>
            <w:r w:rsidRPr="004F130A">
              <w:rPr>
                <w:sz w:val="20"/>
                <w:szCs w:val="20"/>
              </w:rPr>
              <w:t>%%</w:t>
            </w:r>
          </w:p>
        </w:tc>
        <w:tc>
          <w:tcPr>
            <w:tcW w:w="920" w:type="dxa"/>
            <w:tcBorders>
              <w:left w:val="double" w:sz="4" w:space="0" w:color="auto"/>
              <w:bottom w:val="double" w:sz="4" w:space="0" w:color="auto"/>
            </w:tcBorders>
            <w:noWrap/>
            <w:vAlign w:val="center"/>
          </w:tcPr>
          <w:p w:rsidR="004F130A" w:rsidRPr="004F130A" w:rsidRDefault="004F130A" w:rsidP="00790C7E">
            <w:pPr>
              <w:jc w:val="center"/>
              <w:rPr>
                <w:sz w:val="20"/>
                <w:szCs w:val="20"/>
              </w:rPr>
            </w:pPr>
            <w:r w:rsidRPr="004F130A">
              <w:rPr>
                <w:sz w:val="20"/>
                <w:szCs w:val="20"/>
              </w:rPr>
              <w:t>-100%</w:t>
            </w:r>
          </w:p>
        </w:tc>
        <w:tc>
          <w:tcPr>
            <w:tcW w:w="1000" w:type="dxa"/>
            <w:tcBorders>
              <w:bottom w:val="double" w:sz="4" w:space="0" w:color="auto"/>
            </w:tcBorders>
            <w:noWrap/>
            <w:vAlign w:val="center"/>
          </w:tcPr>
          <w:p w:rsidR="004F130A" w:rsidRPr="004F130A" w:rsidRDefault="004F130A" w:rsidP="00790C7E">
            <w:pPr>
              <w:jc w:val="center"/>
              <w:rPr>
                <w:sz w:val="20"/>
                <w:szCs w:val="20"/>
              </w:rPr>
            </w:pPr>
            <w:r w:rsidRPr="004F130A">
              <w:rPr>
                <w:sz w:val="20"/>
                <w:szCs w:val="20"/>
              </w:rPr>
              <w:t>-100%</w:t>
            </w:r>
          </w:p>
        </w:tc>
        <w:tc>
          <w:tcPr>
            <w:tcW w:w="1180" w:type="dxa"/>
            <w:tcBorders>
              <w:bottom w:val="double" w:sz="4" w:space="0" w:color="auto"/>
            </w:tcBorders>
            <w:noWrap/>
            <w:vAlign w:val="center"/>
          </w:tcPr>
          <w:p w:rsidR="004F130A" w:rsidRPr="004F130A" w:rsidRDefault="004F130A" w:rsidP="00790C7E">
            <w:pPr>
              <w:jc w:val="center"/>
              <w:rPr>
                <w:sz w:val="20"/>
                <w:szCs w:val="20"/>
              </w:rPr>
            </w:pPr>
            <w:r w:rsidRPr="004F130A">
              <w:rPr>
                <w:sz w:val="20"/>
                <w:szCs w:val="20"/>
              </w:rPr>
              <w:t>-6,4%</w:t>
            </w:r>
          </w:p>
        </w:tc>
        <w:tc>
          <w:tcPr>
            <w:tcW w:w="1578" w:type="dxa"/>
            <w:tcBorders>
              <w:bottom w:val="double" w:sz="4" w:space="0" w:color="auto"/>
              <w:right w:val="double" w:sz="4" w:space="0" w:color="auto"/>
            </w:tcBorders>
            <w:vAlign w:val="center"/>
          </w:tcPr>
          <w:p w:rsidR="004F130A" w:rsidRPr="004F130A" w:rsidRDefault="004F130A" w:rsidP="00790C7E">
            <w:pPr>
              <w:jc w:val="center"/>
              <w:rPr>
                <w:sz w:val="20"/>
                <w:szCs w:val="20"/>
              </w:rPr>
            </w:pPr>
            <w:r w:rsidRPr="004F130A">
              <w:rPr>
                <w:sz w:val="20"/>
                <w:szCs w:val="20"/>
              </w:rPr>
              <w:t>-44,2%</w:t>
            </w:r>
          </w:p>
        </w:tc>
      </w:tr>
      <w:tr w:rsidR="004F130A" w:rsidRPr="004F130A" w:rsidTr="006E17FC">
        <w:trPr>
          <w:trHeight w:val="20"/>
        </w:trPr>
        <w:tc>
          <w:tcPr>
            <w:tcW w:w="3415" w:type="dxa"/>
            <w:vMerge w:val="restart"/>
            <w:tcBorders>
              <w:top w:val="double" w:sz="4" w:space="0" w:color="auto"/>
              <w:left w:val="double" w:sz="4" w:space="0" w:color="auto"/>
            </w:tcBorders>
            <w:vAlign w:val="center"/>
          </w:tcPr>
          <w:p w:rsidR="004F130A" w:rsidRPr="004F130A" w:rsidRDefault="004F130A" w:rsidP="006E17FC">
            <w:pPr>
              <w:jc w:val="center"/>
              <w:rPr>
                <w:sz w:val="20"/>
                <w:szCs w:val="20"/>
              </w:rPr>
            </w:pPr>
            <w:r w:rsidRPr="004F130A">
              <w:rPr>
                <w:sz w:val="20"/>
                <w:szCs w:val="20"/>
              </w:rPr>
              <w:t>ИТОГО                                             финансовая помощь</w:t>
            </w:r>
          </w:p>
        </w:tc>
        <w:tc>
          <w:tcPr>
            <w:tcW w:w="1559" w:type="dxa"/>
            <w:tcBorders>
              <w:top w:val="double" w:sz="4" w:space="0" w:color="auto"/>
              <w:right w:val="double" w:sz="4" w:space="0" w:color="auto"/>
            </w:tcBorders>
            <w:vAlign w:val="center"/>
          </w:tcPr>
          <w:p w:rsidR="004F130A" w:rsidRPr="004F130A" w:rsidRDefault="004F130A" w:rsidP="006E17FC">
            <w:pPr>
              <w:jc w:val="center"/>
              <w:rPr>
                <w:sz w:val="20"/>
                <w:szCs w:val="20"/>
              </w:rPr>
            </w:pPr>
            <w:r w:rsidRPr="004F130A">
              <w:rPr>
                <w:sz w:val="20"/>
                <w:szCs w:val="20"/>
              </w:rPr>
              <w:t>2016 год</w:t>
            </w:r>
          </w:p>
        </w:tc>
        <w:tc>
          <w:tcPr>
            <w:tcW w:w="920" w:type="dxa"/>
            <w:tcBorders>
              <w:top w:val="double" w:sz="4" w:space="0" w:color="auto"/>
              <w:left w:val="double" w:sz="4" w:space="0" w:color="auto"/>
            </w:tcBorders>
            <w:noWrap/>
            <w:vAlign w:val="center"/>
          </w:tcPr>
          <w:p w:rsidR="004F130A" w:rsidRPr="004F130A" w:rsidRDefault="004F130A" w:rsidP="00790C7E">
            <w:pPr>
              <w:jc w:val="center"/>
              <w:rPr>
                <w:sz w:val="20"/>
                <w:szCs w:val="20"/>
              </w:rPr>
            </w:pPr>
            <w:r w:rsidRPr="004F130A">
              <w:rPr>
                <w:sz w:val="20"/>
                <w:szCs w:val="20"/>
              </w:rPr>
              <w:t>3 763,9</w:t>
            </w:r>
          </w:p>
        </w:tc>
        <w:tc>
          <w:tcPr>
            <w:tcW w:w="1000" w:type="dxa"/>
            <w:tcBorders>
              <w:top w:val="double" w:sz="4" w:space="0" w:color="auto"/>
            </w:tcBorders>
            <w:noWrap/>
            <w:vAlign w:val="center"/>
          </w:tcPr>
          <w:p w:rsidR="004F130A" w:rsidRPr="004F130A" w:rsidRDefault="004F130A" w:rsidP="00790C7E">
            <w:pPr>
              <w:jc w:val="center"/>
              <w:rPr>
                <w:sz w:val="20"/>
                <w:szCs w:val="20"/>
              </w:rPr>
            </w:pPr>
            <w:r w:rsidRPr="004F130A">
              <w:rPr>
                <w:sz w:val="20"/>
                <w:szCs w:val="20"/>
              </w:rPr>
              <w:t>2 950,5</w:t>
            </w:r>
          </w:p>
        </w:tc>
        <w:tc>
          <w:tcPr>
            <w:tcW w:w="1180" w:type="dxa"/>
            <w:tcBorders>
              <w:top w:val="double" w:sz="4" w:space="0" w:color="auto"/>
            </w:tcBorders>
            <w:noWrap/>
            <w:vAlign w:val="center"/>
          </w:tcPr>
          <w:p w:rsidR="004F130A" w:rsidRPr="004F130A" w:rsidRDefault="004F130A" w:rsidP="00790C7E">
            <w:pPr>
              <w:jc w:val="center"/>
              <w:rPr>
                <w:sz w:val="20"/>
                <w:szCs w:val="20"/>
              </w:rPr>
            </w:pPr>
            <w:r w:rsidRPr="004F130A">
              <w:rPr>
                <w:sz w:val="20"/>
                <w:szCs w:val="20"/>
              </w:rPr>
              <w:t>1 752,2</w:t>
            </w:r>
          </w:p>
        </w:tc>
        <w:tc>
          <w:tcPr>
            <w:tcW w:w="1578" w:type="dxa"/>
            <w:tcBorders>
              <w:top w:val="double" w:sz="4" w:space="0" w:color="auto"/>
              <w:right w:val="double" w:sz="4" w:space="0" w:color="auto"/>
            </w:tcBorders>
            <w:vAlign w:val="center"/>
          </w:tcPr>
          <w:p w:rsidR="004F130A" w:rsidRPr="004F130A" w:rsidRDefault="004F130A" w:rsidP="00790C7E">
            <w:pPr>
              <w:jc w:val="center"/>
              <w:rPr>
                <w:sz w:val="20"/>
                <w:szCs w:val="20"/>
              </w:rPr>
            </w:pPr>
            <w:r w:rsidRPr="004F130A">
              <w:rPr>
                <w:sz w:val="20"/>
                <w:szCs w:val="20"/>
              </w:rPr>
              <w:t>8 466,6</w:t>
            </w:r>
          </w:p>
        </w:tc>
      </w:tr>
      <w:tr w:rsidR="004F130A" w:rsidRPr="004F130A" w:rsidTr="006E17FC">
        <w:trPr>
          <w:trHeight w:val="20"/>
        </w:trPr>
        <w:tc>
          <w:tcPr>
            <w:tcW w:w="3415" w:type="dxa"/>
            <w:vMerge/>
            <w:tcBorders>
              <w:left w:val="double" w:sz="4" w:space="0" w:color="auto"/>
            </w:tcBorders>
            <w:vAlign w:val="center"/>
          </w:tcPr>
          <w:p w:rsidR="004F130A" w:rsidRPr="004F130A" w:rsidRDefault="004F130A" w:rsidP="006E17FC">
            <w:pPr>
              <w:rPr>
                <w:sz w:val="20"/>
                <w:szCs w:val="20"/>
              </w:rPr>
            </w:pPr>
          </w:p>
        </w:tc>
        <w:tc>
          <w:tcPr>
            <w:tcW w:w="1559" w:type="dxa"/>
            <w:tcBorders>
              <w:right w:val="double" w:sz="4" w:space="0" w:color="auto"/>
            </w:tcBorders>
            <w:vAlign w:val="center"/>
          </w:tcPr>
          <w:p w:rsidR="004F130A" w:rsidRPr="004F130A" w:rsidRDefault="004F130A" w:rsidP="006E17FC">
            <w:pPr>
              <w:jc w:val="center"/>
              <w:rPr>
                <w:sz w:val="20"/>
                <w:szCs w:val="20"/>
              </w:rPr>
            </w:pPr>
            <w:r w:rsidRPr="004F130A">
              <w:rPr>
                <w:sz w:val="20"/>
                <w:szCs w:val="20"/>
              </w:rPr>
              <w:t>2017 год</w:t>
            </w:r>
          </w:p>
        </w:tc>
        <w:tc>
          <w:tcPr>
            <w:tcW w:w="920" w:type="dxa"/>
            <w:tcBorders>
              <w:left w:val="double" w:sz="4" w:space="0" w:color="auto"/>
            </w:tcBorders>
            <w:noWrap/>
            <w:vAlign w:val="center"/>
          </w:tcPr>
          <w:p w:rsidR="004F130A" w:rsidRPr="004F130A" w:rsidRDefault="004F130A" w:rsidP="00790C7E">
            <w:pPr>
              <w:jc w:val="center"/>
              <w:rPr>
                <w:sz w:val="20"/>
                <w:szCs w:val="20"/>
              </w:rPr>
            </w:pPr>
            <w:r w:rsidRPr="004F130A">
              <w:rPr>
                <w:sz w:val="20"/>
                <w:szCs w:val="20"/>
              </w:rPr>
              <w:t>3 527,4</w:t>
            </w:r>
          </w:p>
        </w:tc>
        <w:tc>
          <w:tcPr>
            <w:tcW w:w="1000" w:type="dxa"/>
            <w:noWrap/>
            <w:vAlign w:val="center"/>
          </w:tcPr>
          <w:p w:rsidR="004F130A" w:rsidRPr="004F130A" w:rsidRDefault="004F130A" w:rsidP="00790C7E">
            <w:pPr>
              <w:jc w:val="center"/>
              <w:rPr>
                <w:sz w:val="20"/>
                <w:szCs w:val="20"/>
              </w:rPr>
            </w:pPr>
            <w:r w:rsidRPr="004F130A">
              <w:rPr>
                <w:sz w:val="20"/>
                <w:szCs w:val="20"/>
              </w:rPr>
              <w:t>2 774,0</w:t>
            </w:r>
          </w:p>
        </w:tc>
        <w:tc>
          <w:tcPr>
            <w:tcW w:w="1180" w:type="dxa"/>
            <w:noWrap/>
            <w:vAlign w:val="center"/>
          </w:tcPr>
          <w:p w:rsidR="004F130A" w:rsidRPr="004F130A" w:rsidRDefault="004F130A" w:rsidP="00790C7E">
            <w:pPr>
              <w:jc w:val="center"/>
              <w:rPr>
                <w:sz w:val="20"/>
                <w:szCs w:val="20"/>
              </w:rPr>
            </w:pPr>
            <w:r w:rsidRPr="004F130A">
              <w:rPr>
                <w:sz w:val="20"/>
                <w:szCs w:val="20"/>
              </w:rPr>
              <w:t>1 778,9</w:t>
            </w:r>
          </w:p>
        </w:tc>
        <w:tc>
          <w:tcPr>
            <w:tcW w:w="1578" w:type="dxa"/>
            <w:tcBorders>
              <w:right w:val="double" w:sz="4" w:space="0" w:color="auto"/>
            </w:tcBorders>
            <w:vAlign w:val="center"/>
          </w:tcPr>
          <w:p w:rsidR="004F130A" w:rsidRPr="004F130A" w:rsidRDefault="004F130A" w:rsidP="00790C7E">
            <w:pPr>
              <w:jc w:val="center"/>
              <w:rPr>
                <w:sz w:val="20"/>
                <w:szCs w:val="20"/>
              </w:rPr>
            </w:pPr>
            <w:r w:rsidRPr="004F130A">
              <w:rPr>
                <w:sz w:val="20"/>
                <w:szCs w:val="20"/>
              </w:rPr>
              <w:t>8 080,3</w:t>
            </w:r>
          </w:p>
        </w:tc>
      </w:tr>
      <w:tr w:rsidR="004F130A" w:rsidRPr="004F130A" w:rsidTr="006E17FC">
        <w:trPr>
          <w:trHeight w:val="20"/>
        </w:trPr>
        <w:tc>
          <w:tcPr>
            <w:tcW w:w="3415" w:type="dxa"/>
            <w:vMerge/>
            <w:tcBorders>
              <w:left w:val="double" w:sz="4" w:space="0" w:color="auto"/>
            </w:tcBorders>
            <w:vAlign w:val="center"/>
          </w:tcPr>
          <w:p w:rsidR="004F130A" w:rsidRPr="004F130A" w:rsidRDefault="004F130A" w:rsidP="006E17FC">
            <w:pPr>
              <w:rPr>
                <w:sz w:val="20"/>
                <w:szCs w:val="20"/>
              </w:rPr>
            </w:pPr>
          </w:p>
        </w:tc>
        <w:tc>
          <w:tcPr>
            <w:tcW w:w="1559" w:type="dxa"/>
            <w:tcBorders>
              <w:right w:val="double" w:sz="4" w:space="0" w:color="auto"/>
            </w:tcBorders>
            <w:vAlign w:val="center"/>
          </w:tcPr>
          <w:p w:rsidR="004F130A" w:rsidRPr="004F130A" w:rsidRDefault="004F130A" w:rsidP="006E17FC">
            <w:pPr>
              <w:jc w:val="center"/>
              <w:rPr>
                <w:sz w:val="20"/>
                <w:szCs w:val="20"/>
              </w:rPr>
            </w:pPr>
            <w:r w:rsidRPr="004F130A">
              <w:rPr>
                <w:sz w:val="20"/>
                <w:szCs w:val="20"/>
              </w:rPr>
              <w:t>отклонение</w:t>
            </w:r>
          </w:p>
        </w:tc>
        <w:tc>
          <w:tcPr>
            <w:tcW w:w="920" w:type="dxa"/>
            <w:tcBorders>
              <w:left w:val="double" w:sz="4" w:space="0" w:color="auto"/>
            </w:tcBorders>
            <w:noWrap/>
            <w:vAlign w:val="center"/>
          </w:tcPr>
          <w:p w:rsidR="004F130A" w:rsidRPr="004F130A" w:rsidRDefault="004F130A" w:rsidP="00790C7E">
            <w:pPr>
              <w:jc w:val="center"/>
              <w:rPr>
                <w:sz w:val="20"/>
                <w:szCs w:val="20"/>
              </w:rPr>
            </w:pPr>
            <w:r w:rsidRPr="004F130A">
              <w:rPr>
                <w:sz w:val="20"/>
                <w:szCs w:val="20"/>
              </w:rPr>
              <w:t>-236,5</w:t>
            </w:r>
          </w:p>
        </w:tc>
        <w:tc>
          <w:tcPr>
            <w:tcW w:w="1000" w:type="dxa"/>
            <w:noWrap/>
            <w:vAlign w:val="center"/>
          </w:tcPr>
          <w:p w:rsidR="004F130A" w:rsidRPr="004F130A" w:rsidRDefault="004F130A" w:rsidP="00790C7E">
            <w:pPr>
              <w:jc w:val="center"/>
              <w:rPr>
                <w:sz w:val="20"/>
                <w:szCs w:val="20"/>
              </w:rPr>
            </w:pPr>
            <w:r w:rsidRPr="004F130A">
              <w:rPr>
                <w:sz w:val="20"/>
                <w:szCs w:val="20"/>
              </w:rPr>
              <w:t>-176,5</w:t>
            </w:r>
          </w:p>
        </w:tc>
        <w:tc>
          <w:tcPr>
            <w:tcW w:w="1180" w:type="dxa"/>
            <w:noWrap/>
            <w:vAlign w:val="center"/>
          </w:tcPr>
          <w:p w:rsidR="004F130A" w:rsidRPr="004F130A" w:rsidRDefault="004F130A" w:rsidP="00790C7E">
            <w:pPr>
              <w:jc w:val="center"/>
              <w:rPr>
                <w:sz w:val="20"/>
                <w:szCs w:val="20"/>
              </w:rPr>
            </w:pPr>
            <w:r w:rsidRPr="004F130A">
              <w:rPr>
                <w:sz w:val="20"/>
                <w:szCs w:val="20"/>
              </w:rPr>
              <w:t>26,7</w:t>
            </w:r>
          </w:p>
        </w:tc>
        <w:tc>
          <w:tcPr>
            <w:tcW w:w="1578" w:type="dxa"/>
            <w:tcBorders>
              <w:right w:val="double" w:sz="4" w:space="0" w:color="auto"/>
            </w:tcBorders>
            <w:vAlign w:val="center"/>
          </w:tcPr>
          <w:p w:rsidR="004F130A" w:rsidRPr="004F130A" w:rsidRDefault="004F130A" w:rsidP="00790C7E">
            <w:pPr>
              <w:jc w:val="center"/>
              <w:rPr>
                <w:sz w:val="20"/>
                <w:szCs w:val="20"/>
              </w:rPr>
            </w:pPr>
            <w:r w:rsidRPr="004F130A">
              <w:rPr>
                <w:sz w:val="20"/>
                <w:szCs w:val="20"/>
              </w:rPr>
              <w:t>-386,3</w:t>
            </w:r>
          </w:p>
        </w:tc>
      </w:tr>
      <w:tr w:rsidR="004F130A" w:rsidRPr="004F130A" w:rsidTr="006E17FC">
        <w:trPr>
          <w:trHeight w:val="20"/>
        </w:trPr>
        <w:tc>
          <w:tcPr>
            <w:tcW w:w="3415" w:type="dxa"/>
            <w:vMerge/>
            <w:tcBorders>
              <w:left w:val="double" w:sz="4" w:space="0" w:color="auto"/>
              <w:bottom w:val="double" w:sz="4" w:space="0" w:color="auto"/>
            </w:tcBorders>
            <w:vAlign w:val="center"/>
          </w:tcPr>
          <w:p w:rsidR="004F130A" w:rsidRPr="004F130A" w:rsidRDefault="004F130A" w:rsidP="006E17FC">
            <w:pPr>
              <w:rPr>
                <w:sz w:val="20"/>
                <w:szCs w:val="20"/>
              </w:rPr>
            </w:pPr>
          </w:p>
        </w:tc>
        <w:tc>
          <w:tcPr>
            <w:tcW w:w="1559" w:type="dxa"/>
            <w:tcBorders>
              <w:bottom w:val="double" w:sz="4" w:space="0" w:color="auto"/>
              <w:right w:val="double" w:sz="4" w:space="0" w:color="auto"/>
            </w:tcBorders>
            <w:vAlign w:val="center"/>
          </w:tcPr>
          <w:p w:rsidR="004F130A" w:rsidRPr="004F130A" w:rsidRDefault="004F130A" w:rsidP="006E17FC">
            <w:pPr>
              <w:jc w:val="center"/>
              <w:rPr>
                <w:sz w:val="20"/>
                <w:szCs w:val="20"/>
              </w:rPr>
            </w:pPr>
            <w:r w:rsidRPr="004F130A">
              <w:rPr>
                <w:sz w:val="20"/>
                <w:szCs w:val="20"/>
              </w:rPr>
              <w:t>%%</w:t>
            </w:r>
          </w:p>
        </w:tc>
        <w:tc>
          <w:tcPr>
            <w:tcW w:w="920" w:type="dxa"/>
            <w:tcBorders>
              <w:left w:val="double" w:sz="4" w:space="0" w:color="auto"/>
              <w:bottom w:val="double" w:sz="4" w:space="0" w:color="auto"/>
            </w:tcBorders>
            <w:noWrap/>
            <w:vAlign w:val="center"/>
          </w:tcPr>
          <w:p w:rsidR="004F130A" w:rsidRPr="004F130A" w:rsidRDefault="004F130A" w:rsidP="00790C7E">
            <w:pPr>
              <w:jc w:val="center"/>
              <w:rPr>
                <w:sz w:val="20"/>
                <w:szCs w:val="20"/>
              </w:rPr>
            </w:pPr>
            <w:r w:rsidRPr="004F130A">
              <w:rPr>
                <w:sz w:val="20"/>
                <w:szCs w:val="20"/>
              </w:rPr>
              <w:t>-6,3%</w:t>
            </w:r>
          </w:p>
        </w:tc>
        <w:tc>
          <w:tcPr>
            <w:tcW w:w="1000" w:type="dxa"/>
            <w:tcBorders>
              <w:bottom w:val="double" w:sz="4" w:space="0" w:color="auto"/>
            </w:tcBorders>
            <w:noWrap/>
            <w:vAlign w:val="center"/>
          </w:tcPr>
          <w:p w:rsidR="004F130A" w:rsidRPr="004F130A" w:rsidRDefault="004F130A" w:rsidP="00790C7E">
            <w:pPr>
              <w:jc w:val="center"/>
              <w:rPr>
                <w:sz w:val="20"/>
                <w:szCs w:val="20"/>
              </w:rPr>
            </w:pPr>
            <w:r w:rsidRPr="004F130A">
              <w:rPr>
                <w:sz w:val="20"/>
                <w:szCs w:val="20"/>
              </w:rPr>
              <w:t>-6,0%</w:t>
            </w:r>
          </w:p>
        </w:tc>
        <w:tc>
          <w:tcPr>
            <w:tcW w:w="1180" w:type="dxa"/>
            <w:tcBorders>
              <w:bottom w:val="double" w:sz="4" w:space="0" w:color="auto"/>
            </w:tcBorders>
            <w:noWrap/>
            <w:vAlign w:val="center"/>
          </w:tcPr>
          <w:p w:rsidR="004F130A" w:rsidRPr="004F130A" w:rsidRDefault="004F130A" w:rsidP="00790C7E">
            <w:pPr>
              <w:jc w:val="center"/>
              <w:rPr>
                <w:sz w:val="20"/>
                <w:szCs w:val="20"/>
              </w:rPr>
            </w:pPr>
            <w:r w:rsidRPr="004F130A">
              <w:rPr>
                <w:sz w:val="20"/>
                <w:szCs w:val="20"/>
              </w:rPr>
              <w:t>1,5%</w:t>
            </w:r>
          </w:p>
        </w:tc>
        <w:tc>
          <w:tcPr>
            <w:tcW w:w="1578" w:type="dxa"/>
            <w:tcBorders>
              <w:bottom w:val="double" w:sz="4" w:space="0" w:color="auto"/>
              <w:right w:val="double" w:sz="4" w:space="0" w:color="auto"/>
            </w:tcBorders>
            <w:vAlign w:val="center"/>
          </w:tcPr>
          <w:p w:rsidR="004F130A" w:rsidRPr="004F130A" w:rsidRDefault="004F130A" w:rsidP="00790C7E">
            <w:pPr>
              <w:jc w:val="center"/>
              <w:rPr>
                <w:sz w:val="20"/>
                <w:szCs w:val="20"/>
              </w:rPr>
            </w:pPr>
            <w:r w:rsidRPr="004F130A">
              <w:rPr>
                <w:sz w:val="20"/>
                <w:szCs w:val="20"/>
              </w:rPr>
              <w:t>-4,6%</w:t>
            </w:r>
          </w:p>
        </w:tc>
      </w:tr>
    </w:tbl>
    <w:p w:rsidR="004F130A" w:rsidRPr="00B62248" w:rsidRDefault="004F130A" w:rsidP="004F130A">
      <w:pPr>
        <w:autoSpaceDE w:val="0"/>
        <w:autoSpaceDN w:val="0"/>
        <w:adjustRightInd w:val="0"/>
        <w:ind w:firstLine="720"/>
        <w:jc w:val="both"/>
        <w:rPr>
          <w:color w:val="FF0000"/>
        </w:rPr>
      </w:pPr>
    </w:p>
    <w:p w:rsidR="004F130A" w:rsidRDefault="004F130A" w:rsidP="004F130A">
      <w:pPr>
        <w:autoSpaceDE w:val="0"/>
        <w:autoSpaceDN w:val="0"/>
        <w:adjustRightInd w:val="0"/>
        <w:ind w:firstLine="720"/>
        <w:jc w:val="both"/>
      </w:pPr>
      <w:r w:rsidRPr="008B6597">
        <w:t>В 201</w:t>
      </w:r>
      <w:r>
        <w:t>7</w:t>
      </w:r>
      <w:r w:rsidRPr="008B6597">
        <w:t xml:space="preserve"> году о</w:t>
      </w:r>
      <w:r w:rsidRPr="008B6597">
        <w:rPr>
          <w:bCs/>
        </w:rPr>
        <w:t>бщее изменение финансового положения местных бюджетов характеризуется уменьшением финансовых возможностей муниципалитетов на 386,3 млн. руб., или на 4,6 процента. Уменьшение финансовой помощи по муниципальным районам составило 236,5 млн. руб. (-6,3%), по городским округам – 176,5 млн. руб. (-6,0%). Объем финансовой помощи сельским поселениям увеличен на 26,7 млн. руб. (+1,5%)</w:t>
      </w:r>
      <w:r w:rsidRPr="008B6597">
        <w:t>.</w:t>
      </w:r>
    </w:p>
    <w:p w:rsidR="004F130A" w:rsidRDefault="004F130A" w:rsidP="004F130A">
      <w:pPr>
        <w:autoSpaceDE w:val="0"/>
        <w:autoSpaceDN w:val="0"/>
        <w:adjustRightInd w:val="0"/>
        <w:spacing w:line="235" w:lineRule="auto"/>
        <w:ind w:firstLine="709"/>
        <w:jc w:val="both"/>
      </w:pPr>
      <w:r>
        <w:t>Законопроектом предусмотрены новые виды субсидий:</w:t>
      </w:r>
    </w:p>
    <w:p w:rsidR="004F130A" w:rsidRDefault="004F130A" w:rsidP="004F130A">
      <w:pPr>
        <w:autoSpaceDE w:val="0"/>
        <w:autoSpaceDN w:val="0"/>
        <w:adjustRightInd w:val="0"/>
        <w:spacing w:line="235" w:lineRule="auto"/>
        <w:ind w:firstLine="709"/>
        <w:jc w:val="both"/>
      </w:pPr>
      <w:r w:rsidRPr="006075E7">
        <w:rPr>
          <w:b/>
        </w:rPr>
        <w:t>1.</w:t>
      </w:r>
      <w:r>
        <w:t xml:space="preserve"> Субсидии бюджетам муниципальных образований Волгоградской области на благоустройство в объеме 620 млн. руб. на 2017 год. С </w:t>
      </w:r>
      <w:r w:rsidR="00F60A11">
        <w:t>з</w:t>
      </w:r>
      <w:r>
        <w:t xml:space="preserve">аконопроектом представлен проект постановления Администрации Волгоградской </w:t>
      </w:r>
      <w:r w:rsidRPr="000E773D">
        <w:t xml:space="preserve">области </w:t>
      </w:r>
      <w:r>
        <w:t>«</w:t>
      </w:r>
      <w:r w:rsidRPr="000E773D">
        <w:t xml:space="preserve">О предоставлении в </w:t>
      </w:r>
      <w:r w:rsidRPr="000E773D">
        <w:rPr>
          <w:bCs/>
        </w:rPr>
        <w:t xml:space="preserve">2017 году субсидий бюджетам муниципальных образований Волгоградской области на благоустройство», которым предлагается к утверждению </w:t>
      </w:r>
      <w:r w:rsidRPr="000E773D">
        <w:t>порядок предоставления субсидий, методика распределения и методика оценки эффективности их предоставления. Право на получение субсидий имеют</w:t>
      </w:r>
      <w:r>
        <w:t>:</w:t>
      </w:r>
    </w:p>
    <w:p w:rsidR="004F130A" w:rsidRDefault="004F130A" w:rsidP="004F130A">
      <w:pPr>
        <w:autoSpaceDE w:val="0"/>
        <w:autoSpaceDN w:val="0"/>
        <w:adjustRightInd w:val="0"/>
        <w:spacing w:line="235" w:lineRule="auto"/>
        <w:ind w:firstLine="709"/>
        <w:jc w:val="both"/>
        <w:rPr>
          <w:spacing w:val="-6"/>
        </w:rPr>
      </w:pPr>
      <w:r w:rsidRPr="00070F34">
        <w:t>-</w:t>
      </w:r>
      <w:r w:rsidRPr="00070F34">
        <w:rPr>
          <w:spacing w:val="-6"/>
        </w:rPr>
        <w:t>городские и сельские поселения, а также городские округа Волгоградской области, объединившиеся после</w:t>
      </w:r>
      <w:r w:rsidRPr="000E773D">
        <w:rPr>
          <w:spacing w:val="-6"/>
        </w:rPr>
        <w:t xml:space="preserve"> 01 января 2012 г. с муниципальными образованиями Волгоградской области, администрации</w:t>
      </w:r>
      <w:r w:rsidRPr="000E773D">
        <w:t xml:space="preserve"> которых признаны победителями Волгоградского областного конкурса проектов (программ) по благоустройству территорий муниципальных </w:t>
      </w:r>
      <w:r w:rsidRPr="000E773D">
        <w:rPr>
          <w:spacing w:val="-6"/>
        </w:rPr>
        <w:t>образований Волгоградской области в 2017 году</w:t>
      </w:r>
      <w:r>
        <w:rPr>
          <w:spacing w:val="-6"/>
        </w:rPr>
        <w:t>;</w:t>
      </w:r>
    </w:p>
    <w:p w:rsidR="004F130A" w:rsidRPr="000E773D" w:rsidRDefault="004F130A" w:rsidP="004F130A">
      <w:pPr>
        <w:autoSpaceDE w:val="0"/>
        <w:autoSpaceDN w:val="0"/>
        <w:adjustRightInd w:val="0"/>
        <w:spacing w:line="235" w:lineRule="auto"/>
        <w:ind w:firstLine="709"/>
        <w:jc w:val="both"/>
        <w:rPr>
          <w:rFonts w:eastAsia="TimesNewRomanPSMT"/>
        </w:rPr>
      </w:pPr>
      <w:r>
        <w:rPr>
          <w:spacing w:val="-6"/>
        </w:rPr>
        <w:t>-</w:t>
      </w:r>
      <w:r w:rsidRPr="000E773D">
        <w:rPr>
          <w:rFonts w:eastAsia="TimesNewRomanPSMT"/>
        </w:rPr>
        <w:t>городские округа Волгоградской области.</w:t>
      </w:r>
    </w:p>
    <w:p w:rsidR="004F130A" w:rsidRPr="000E773D" w:rsidRDefault="004F130A" w:rsidP="004F130A">
      <w:pPr>
        <w:autoSpaceDE w:val="0"/>
        <w:autoSpaceDN w:val="0"/>
        <w:adjustRightInd w:val="0"/>
        <w:ind w:firstLine="720"/>
        <w:jc w:val="both"/>
      </w:pPr>
      <w:r w:rsidRPr="000E773D">
        <w:t>Размер субсидии бюджету муниципального образования Волгоградской области, имеющего право на получение субсидии, составляет:</w:t>
      </w:r>
    </w:p>
    <w:p w:rsidR="004F130A" w:rsidRPr="000E773D" w:rsidRDefault="004F130A" w:rsidP="004F130A">
      <w:pPr>
        <w:autoSpaceDE w:val="0"/>
        <w:autoSpaceDN w:val="0"/>
        <w:adjustRightInd w:val="0"/>
        <w:ind w:firstLine="720"/>
        <w:jc w:val="both"/>
      </w:pPr>
      <w:r>
        <w:t>-</w:t>
      </w:r>
      <w:r w:rsidRPr="000E773D">
        <w:t xml:space="preserve">для муниципальных образований, администрации которых признаны победителями областного конкурса проектов (программ) по благоустройству территорий в 2017 году, – по 3 </w:t>
      </w:r>
      <w:r>
        <w:t xml:space="preserve">млн. </w:t>
      </w:r>
      <w:r w:rsidRPr="000E773D">
        <w:t>руб</w:t>
      </w:r>
      <w:r>
        <w:t>.</w:t>
      </w:r>
      <w:r w:rsidRPr="000E773D">
        <w:t xml:space="preserve"> за каждый проект, победивший на конкурсе;</w:t>
      </w:r>
    </w:p>
    <w:p w:rsidR="004F130A" w:rsidRPr="000E773D" w:rsidRDefault="004F130A" w:rsidP="004F130A">
      <w:pPr>
        <w:autoSpaceDE w:val="0"/>
        <w:autoSpaceDN w:val="0"/>
        <w:adjustRightInd w:val="0"/>
        <w:ind w:firstLine="720"/>
        <w:jc w:val="both"/>
      </w:pPr>
      <w:r>
        <w:t>-</w:t>
      </w:r>
      <w:r w:rsidRPr="000E773D">
        <w:t>для городских округов с численностью жителей менее 1 млн.</w:t>
      </w:r>
      <w:r>
        <w:t xml:space="preserve"> </w:t>
      </w:r>
      <w:r w:rsidRPr="000E773D">
        <w:t>чел</w:t>
      </w:r>
      <w:r w:rsidR="006A2C5C">
        <w:t>.</w:t>
      </w:r>
      <w:r w:rsidRPr="000E773D">
        <w:t xml:space="preserve"> – по 10 </w:t>
      </w:r>
      <w:r>
        <w:t>млн</w:t>
      </w:r>
      <w:r w:rsidRPr="000E773D">
        <w:t>.</w:t>
      </w:r>
      <w:r>
        <w:t xml:space="preserve"> </w:t>
      </w:r>
      <w:r w:rsidRPr="000E773D">
        <w:t>руб</w:t>
      </w:r>
      <w:r w:rsidR="006A2C5C">
        <w:t>.</w:t>
      </w:r>
      <w:r w:rsidRPr="000E773D">
        <w:t>;</w:t>
      </w:r>
    </w:p>
    <w:p w:rsidR="004F130A" w:rsidRDefault="004F130A" w:rsidP="004F130A">
      <w:pPr>
        <w:autoSpaceDE w:val="0"/>
        <w:autoSpaceDN w:val="0"/>
        <w:adjustRightInd w:val="0"/>
        <w:ind w:firstLine="720"/>
        <w:jc w:val="both"/>
      </w:pPr>
      <w:r>
        <w:t>-</w:t>
      </w:r>
      <w:r w:rsidRPr="000E773D">
        <w:t>для городских округов Волгоградской области с численностью жителей более 1 млн.</w:t>
      </w:r>
      <w:r>
        <w:t xml:space="preserve"> </w:t>
      </w:r>
      <w:r w:rsidRPr="000E773D">
        <w:t>чел</w:t>
      </w:r>
      <w:r>
        <w:t xml:space="preserve">. </w:t>
      </w:r>
      <w:r w:rsidRPr="000E773D">
        <w:t xml:space="preserve">– по 300 </w:t>
      </w:r>
      <w:r>
        <w:t>млн</w:t>
      </w:r>
      <w:r w:rsidRPr="000E773D">
        <w:t>.</w:t>
      </w:r>
      <w:r>
        <w:t xml:space="preserve"> </w:t>
      </w:r>
      <w:r w:rsidRPr="000E773D">
        <w:t>руб</w:t>
      </w:r>
      <w:r>
        <w:t>лей.</w:t>
      </w:r>
    </w:p>
    <w:p w:rsidR="004F130A" w:rsidRDefault="004F130A" w:rsidP="004F130A">
      <w:pPr>
        <w:autoSpaceDE w:val="0"/>
        <w:autoSpaceDN w:val="0"/>
        <w:adjustRightInd w:val="0"/>
        <w:ind w:firstLine="720"/>
        <w:jc w:val="both"/>
      </w:pPr>
      <w:proofErr w:type="gramStart"/>
      <w:r>
        <w:lastRenderedPageBreak/>
        <w:t>Общий объем субсидий на благоустройство предусмотрен в сумме 620</w:t>
      </w:r>
      <w:r w:rsidR="007436AE">
        <w:t xml:space="preserve"> млн. руб., из них 350</w:t>
      </w:r>
      <w:r>
        <w:t xml:space="preserve"> млн. руб. распределены по городским округам.</w:t>
      </w:r>
      <w:proofErr w:type="gramEnd"/>
    </w:p>
    <w:p w:rsidR="004F130A" w:rsidRDefault="004F130A" w:rsidP="004F130A">
      <w:pPr>
        <w:autoSpaceDE w:val="0"/>
        <w:autoSpaceDN w:val="0"/>
        <w:adjustRightInd w:val="0"/>
        <w:ind w:firstLine="720"/>
        <w:jc w:val="both"/>
      </w:pPr>
      <w:r w:rsidRPr="006075E7">
        <w:rPr>
          <w:b/>
        </w:rPr>
        <w:t>2.</w:t>
      </w:r>
      <w:r>
        <w:t xml:space="preserve"> </w:t>
      </w:r>
      <w:r w:rsidRPr="0029111A">
        <w:t>Субсидии</w:t>
      </w:r>
      <w:r w:rsidRPr="0029111A">
        <w:rPr>
          <w:bCs/>
        </w:rPr>
        <w:t xml:space="preserve"> бюджетам муниципальных образований Волгоградской области на решение отдельных вопросов местного значения в сфере дополнительного образования детей</w:t>
      </w:r>
      <w:r>
        <w:rPr>
          <w:bCs/>
        </w:rPr>
        <w:t xml:space="preserve"> в сумме 9,4 млн. руб. на 2017 год. </w:t>
      </w:r>
      <w:r>
        <w:t xml:space="preserve">С </w:t>
      </w:r>
      <w:r w:rsidR="007436AE">
        <w:t>з</w:t>
      </w:r>
      <w:r>
        <w:t xml:space="preserve">аконопроектом представлен проект постановления Администрации Волгоградской </w:t>
      </w:r>
      <w:r w:rsidRPr="000E773D">
        <w:t>области</w:t>
      </w:r>
      <w:r w:rsidRPr="000E773D">
        <w:rPr>
          <w:bCs/>
        </w:rPr>
        <w:t xml:space="preserve">, которым </w:t>
      </w:r>
      <w:r>
        <w:rPr>
          <w:bCs/>
        </w:rPr>
        <w:t>предусмотрен</w:t>
      </w:r>
      <w:r w:rsidRPr="000E773D">
        <w:rPr>
          <w:bCs/>
        </w:rPr>
        <w:t xml:space="preserve"> </w:t>
      </w:r>
      <w:r w:rsidRPr="000E773D">
        <w:t>порядок предоставления субсидий, методика распределения и методика оценки эффективности их предоставления.</w:t>
      </w:r>
      <w:r>
        <w:t xml:space="preserve"> </w:t>
      </w:r>
      <w:r w:rsidRPr="006075E7">
        <w:t xml:space="preserve">Право на получение субсидий имеют </w:t>
      </w:r>
      <w:r w:rsidRPr="006075E7">
        <w:rPr>
          <w:bCs/>
        </w:rPr>
        <w:t>муниципальные районы</w:t>
      </w:r>
      <w:r>
        <w:rPr>
          <w:bCs/>
        </w:rPr>
        <w:t xml:space="preserve"> и</w:t>
      </w:r>
      <w:r w:rsidRPr="006075E7">
        <w:rPr>
          <w:bCs/>
        </w:rPr>
        <w:t xml:space="preserve"> городские округа Волгоградской области</w:t>
      </w:r>
      <w:r w:rsidRPr="006075E7">
        <w:t>.</w:t>
      </w:r>
      <w:r w:rsidRPr="006075E7">
        <w:rPr>
          <w:i/>
        </w:rPr>
        <w:t xml:space="preserve"> </w:t>
      </w:r>
      <w:proofErr w:type="gramStart"/>
      <w:r w:rsidRPr="006075E7">
        <w:t xml:space="preserve">Субсидии расходуются </w:t>
      </w:r>
      <w:r w:rsidRPr="006075E7">
        <w:rPr>
          <w:bCs/>
        </w:rPr>
        <w:t>муниципальными образованиями Волгоградской области</w:t>
      </w:r>
      <w:r w:rsidRPr="006075E7">
        <w:t xml:space="preserve"> на оплату труда с учетом обязательных начислений преподавателям и (или) воспитателям, проводящим в муниципальных образовательных организациях занятия, способствующие повышению финансовой грамотности детей 5–7 лет и 10–15 лет, на подготовку (повышение квалификации) преподавателей и (или) воспитателей, участвующих в проведении занятий, способствующих повышению финансовой грамотности детей 5–7 лет и 10–15 лет, приобретение методических пособий, методической литературы</w:t>
      </w:r>
      <w:proofErr w:type="gramEnd"/>
      <w:r w:rsidRPr="006075E7">
        <w:t>, наглядных пособий и канцелярских товаров, необходимых для проведения занятий.</w:t>
      </w:r>
      <w:r>
        <w:t xml:space="preserve"> </w:t>
      </w:r>
      <w:proofErr w:type="gramStart"/>
      <w:r>
        <w:t>Законопроектом предлагается распределение общего объема субсидии по 206,1 тыс. руб. каждому муниципальному району, по 343,5 тыс. руб. городским округам Камышин, Михайловка, Урюпинск, Фролово, 426,6 тыс. руб. городу Волжский и 988,4 тыс. руб. городу Волгограду.</w:t>
      </w:r>
      <w:proofErr w:type="gramEnd"/>
    </w:p>
    <w:p w:rsidR="004F130A" w:rsidRPr="0029111A" w:rsidRDefault="004F130A" w:rsidP="004F130A">
      <w:pPr>
        <w:autoSpaceDE w:val="0"/>
        <w:autoSpaceDN w:val="0"/>
        <w:adjustRightInd w:val="0"/>
        <w:ind w:firstLine="720"/>
        <w:jc w:val="both"/>
      </w:pPr>
    </w:p>
    <w:p w:rsidR="004F130A" w:rsidRPr="00D75330" w:rsidRDefault="004F130A" w:rsidP="004F130A">
      <w:pPr>
        <w:ind w:firstLine="720"/>
        <w:jc w:val="both"/>
      </w:pPr>
      <w:r w:rsidRPr="00D75330">
        <w:t xml:space="preserve">Законопроектом </w:t>
      </w:r>
      <w:r w:rsidRPr="00D75330">
        <w:rPr>
          <w:b/>
          <w:i/>
        </w:rPr>
        <w:t>общий объем субвенций бюджетам муниципальных образований</w:t>
      </w:r>
      <w:r w:rsidRPr="00D75330">
        <w:t xml:space="preserve"> на 2017 год предусмотрен в сумме 12140,7 млн. руб. с уменьшением к объему 201</w:t>
      </w:r>
      <w:r>
        <w:t>6</w:t>
      </w:r>
      <w:r w:rsidRPr="00D75330">
        <w:t xml:space="preserve"> года на 5033 млн. руб., или на 29,3 процента.</w:t>
      </w:r>
      <w:r w:rsidRPr="00B62248">
        <w:rPr>
          <w:color w:val="FF0000"/>
        </w:rPr>
        <w:t xml:space="preserve"> </w:t>
      </w:r>
      <w:r w:rsidRPr="00D75330">
        <w:t>Субвенции предоставляются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переданных для осуществления органам местного самоуправления.</w:t>
      </w:r>
    </w:p>
    <w:p w:rsidR="004F130A" w:rsidRPr="00F12A47" w:rsidRDefault="004F130A" w:rsidP="004F130A">
      <w:pPr>
        <w:ind w:firstLine="720"/>
        <w:jc w:val="both"/>
      </w:pPr>
      <w:r w:rsidRPr="00F12A47">
        <w:t>В 2017 году планируется финансирование 24 субвенций. По сравнению с 2016 годом (25 субвенци</w:t>
      </w:r>
      <w:r w:rsidR="007436AE">
        <w:t>й</w:t>
      </w:r>
      <w:r w:rsidRPr="00F12A47">
        <w:t>) их количество уменьшилось на 1 субвенцию за счет:</w:t>
      </w:r>
    </w:p>
    <w:p w:rsidR="004F130A" w:rsidRPr="00F12A47" w:rsidRDefault="004F130A" w:rsidP="004F130A">
      <w:pPr>
        <w:ind w:firstLine="720"/>
        <w:jc w:val="both"/>
      </w:pPr>
      <w:r w:rsidRPr="00F12A47">
        <w:t xml:space="preserve">-включения нового вида субвенции </w:t>
      </w:r>
      <w:proofErr w:type="gramStart"/>
      <w:r w:rsidR="00AE7E0E">
        <w:t xml:space="preserve">из </w:t>
      </w:r>
      <w:r w:rsidRPr="00F12A47">
        <w:t>федерально</w:t>
      </w:r>
      <w:r w:rsidR="00AE7E0E">
        <w:t>го</w:t>
      </w:r>
      <w:r w:rsidRPr="00F12A47">
        <w:t xml:space="preserve"> бюджет</w:t>
      </w:r>
      <w:r w:rsidR="00B929EC">
        <w:t>а</w:t>
      </w:r>
      <w:r w:rsidRPr="00F12A47">
        <w:t xml:space="preserve"> на осуществление части полномочий по составлению протоколов об административных правонарушениях в области</w:t>
      </w:r>
      <w:proofErr w:type="gramEnd"/>
      <w:r w:rsidRPr="00F12A47">
        <w:t xml:space="preserve"> общественного порядка и общественной безопасности в сумме 678,8 тыс. руб.;</w:t>
      </w:r>
    </w:p>
    <w:p w:rsidR="004F130A" w:rsidRPr="00F12A47" w:rsidRDefault="004F130A" w:rsidP="004F130A">
      <w:pPr>
        <w:ind w:firstLine="720"/>
        <w:jc w:val="both"/>
      </w:pPr>
      <w:r w:rsidRPr="00F12A47">
        <w:t>-исключения субвенции на проведение всероссийской сельскохозяйственной переписи в 2016 году;</w:t>
      </w:r>
    </w:p>
    <w:p w:rsidR="004F130A" w:rsidRDefault="004F130A" w:rsidP="004F130A">
      <w:pPr>
        <w:ind w:firstLine="720"/>
        <w:jc w:val="both"/>
      </w:pPr>
      <w:r w:rsidRPr="00F12A47">
        <w:t>-непредусмотренной на 2017 год субвенции на составление (изменение) списков кандидатов в присяжные заседатели федеральных</w:t>
      </w:r>
      <w:r>
        <w:t xml:space="preserve"> судов общей юрисдикции.</w:t>
      </w:r>
    </w:p>
    <w:p w:rsidR="004F130A" w:rsidRPr="00597A94" w:rsidRDefault="004F130A" w:rsidP="004F130A">
      <w:pPr>
        <w:ind w:firstLine="720"/>
        <w:jc w:val="both"/>
      </w:pPr>
      <w:r w:rsidRPr="00070F34">
        <w:t>Уменьшение объемов предлагается по 15 из 24 субвенций. В разрезе субвенций</w:t>
      </w:r>
      <w:r w:rsidRPr="0065793F">
        <w:t xml:space="preserve"> наибольшее сокращение объемов в абсолютных величинах отмечается </w:t>
      </w:r>
      <w:r w:rsidRPr="00597A94">
        <w:t>по следующим субвенциям:</w:t>
      </w:r>
    </w:p>
    <w:p w:rsidR="004F130A" w:rsidRPr="00597A94" w:rsidRDefault="004F130A" w:rsidP="004F130A">
      <w:pPr>
        <w:ind w:firstLine="720"/>
        <w:jc w:val="both"/>
        <w:rPr>
          <w:lang w:eastAsia="en-US"/>
        </w:rPr>
      </w:pPr>
      <w:r w:rsidRPr="00597A94">
        <w:t>-</w:t>
      </w:r>
      <w:r w:rsidRPr="00597A94">
        <w:rPr>
          <w:lang w:eastAsia="en-US"/>
        </w:rPr>
        <w:t>осуществление образовательного процесса муниципальными образовательными организациями - на 2766,2 млн. руб. (с 9776,6 до 7010,4 млн. руб., или на 28,3%);</w:t>
      </w:r>
    </w:p>
    <w:p w:rsidR="004F130A" w:rsidRPr="00597A94" w:rsidRDefault="004F130A" w:rsidP="004F130A">
      <w:pPr>
        <w:ind w:firstLine="720"/>
        <w:jc w:val="both"/>
        <w:rPr>
          <w:lang w:eastAsia="en-US"/>
        </w:rPr>
      </w:pPr>
      <w:r w:rsidRPr="00597A94">
        <w:rPr>
          <w:lang w:eastAsia="en-US"/>
        </w:rPr>
        <w:t>-осуществление образовательного процесса муниципальными дошкольными организациями – на 1228,3 млн. руб. (с 4105,6 до 2877,3 млн. руб., или на 29,9%);</w:t>
      </w:r>
    </w:p>
    <w:p w:rsidR="004F130A" w:rsidRPr="00597A94" w:rsidRDefault="004F130A" w:rsidP="004F130A">
      <w:pPr>
        <w:ind w:firstLine="720"/>
        <w:jc w:val="both"/>
        <w:rPr>
          <w:lang w:eastAsia="en-US"/>
        </w:rPr>
      </w:pPr>
      <w:r w:rsidRPr="00597A94">
        <w:rPr>
          <w:lang w:eastAsia="en-US"/>
        </w:rPr>
        <w:t>-предоставление субсидий гражданам на оплату жилого помещения и коммунальных услуг – на 352 млн. руб. (с 930,4 млн. руб. до 578,4 млн. руб., или на 37,8%).</w:t>
      </w:r>
    </w:p>
    <w:p w:rsidR="004F130A" w:rsidRPr="000F5475" w:rsidRDefault="004F130A" w:rsidP="004F130A">
      <w:pPr>
        <w:pStyle w:val="ConsPlusNormal"/>
        <w:ind w:firstLine="709"/>
        <w:jc w:val="both"/>
        <w:rPr>
          <w:rFonts w:ascii="Times New Roman" w:hAnsi="Times New Roman" w:cs="Times New Roman"/>
          <w:sz w:val="24"/>
          <w:szCs w:val="24"/>
        </w:rPr>
      </w:pPr>
      <w:r w:rsidRPr="000F5475">
        <w:rPr>
          <w:rFonts w:ascii="Times New Roman" w:hAnsi="Times New Roman" w:cs="Times New Roman"/>
          <w:sz w:val="24"/>
          <w:szCs w:val="24"/>
        </w:rPr>
        <w:t>Нераспределенный объем субвенций на 2017 год составляет 9,4 млн. руб., или 0,08% от общего объема субвенций. Весь нераспределенный объем субвенций приходится на субвенцию на предоставление субсидий гражданам на оплату жилья и коммунальных услуг (7,5 млн. руб.) в связи с заявочным принципом расходования и субвенцию на государственную регистрацию актов гражданского состояния (1,9 млн. руб.).</w:t>
      </w:r>
    </w:p>
    <w:p w:rsidR="000474E0" w:rsidRDefault="000474E0" w:rsidP="000867CC">
      <w:pPr>
        <w:ind w:firstLine="720"/>
        <w:jc w:val="both"/>
        <w:rPr>
          <w:rFonts w:eastAsia="TimesNewRomanPSMT"/>
        </w:rPr>
      </w:pPr>
    </w:p>
    <w:p w:rsidR="00F11552" w:rsidRPr="00A27310" w:rsidRDefault="00F11552" w:rsidP="00F11552">
      <w:pPr>
        <w:ind w:firstLine="709"/>
        <w:jc w:val="both"/>
        <w:rPr>
          <w:b/>
          <w:i/>
        </w:rPr>
      </w:pPr>
      <w:r w:rsidRPr="00A27310">
        <w:lastRenderedPageBreak/>
        <w:t>По результатам экспертизы законопроекта «Об областном бюджете на 201</w:t>
      </w:r>
      <w:r w:rsidR="00C807ED">
        <w:t>7</w:t>
      </w:r>
      <w:r w:rsidRPr="00A27310">
        <w:t xml:space="preserve"> год и на плановый период 20</w:t>
      </w:r>
      <w:r w:rsidR="0094428F">
        <w:t>1</w:t>
      </w:r>
      <w:r w:rsidR="00C807ED">
        <w:t>8</w:t>
      </w:r>
      <w:r w:rsidR="0094428F">
        <w:t xml:space="preserve"> </w:t>
      </w:r>
      <w:r w:rsidRPr="00A27310">
        <w:t>и 201</w:t>
      </w:r>
      <w:r w:rsidR="00C807ED">
        <w:t>9</w:t>
      </w:r>
      <w:r w:rsidRPr="00A27310">
        <w:t xml:space="preserve"> годов», проведенной </w:t>
      </w:r>
      <w:r w:rsidR="008545B5">
        <w:t>КСП</w:t>
      </w:r>
      <w:r w:rsidRPr="00A27310">
        <w:t xml:space="preserve"> к 1 чтению, можно сделать </w:t>
      </w:r>
      <w:r w:rsidRPr="00A27310">
        <w:rPr>
          <w:b/>
          <w:i/>
          <w:u w:val="single"/>
        </w:rPr>
        <w:t>следующие выводы</w:t>
      </w:r>
      <w:r w:rsidRPr="00A27310">
        <w:rPr>
          <w:b/>
          <w:i/>
        </w:rPr>
        <w:t>:</w:t>
      </w:r>
    </w:p>
    <w:p w:rsidR="00F11552" w:rsidRPr="004C005C" w:rsidRDefault="00F11552" w:rsidP="00BA5F9E">
      <w:pPr>
        <w:ind w:firstLine="708"/>
        <w:jc w:val="center"/>
        <w:rPr>
          <w:b/>
          <w:i/>
          <w:sz w:val="16"/>
          <w:szCs w:val="16"/>
        </w:rPr>
      </w:pPr>
    </w:p>
    <w:p w:rsidR="00292C2A" w:rsidRDefault="00292C2A" w:rsidP="00292C2A">
      <w:pPr>
        <w:ind w:firstLine="708"/>
        <w:jc w:val="both"/>
        <w:rPr>
          <w:b/>
          <w:i/>
        </w:rPr>
      </w:pPr>
      <w:r w:rsidRPr="00A27310">
        <w:t>-</w:t>
      </w:r>
      <w:r w:rsidRPr="00A27310">
        <w:rPr>
          <w:b/>
          <w:i/>
        </w:rPr>
        <w:t>по концепции законопроекта</w:t>
      </w:r>
    </w:p>
    <w:p w:rsidR="00F72188" w:rsidRDefault="003F000D" w:rsidP="00F72188">
      <w:pPr>
        <w:ind w:firstLine="709"/>
        <w:jc w:val="both"/>
      </w:pPr>
      <w:r w:rsidRPr="00563F32">
        <w:rPr>
          <w:b/>
        </w:rPr>
        <w:t>1.</w:t>
      </w:r>
      <w:r>
        <w:t xml:space="preserve"> </w:t>
      </w:r>
      <w:r w:rsidR="00F72188" w:rsidRPr="00DD2784">
        <w:t>Основной особенностью внесенного проекта областного бюджета на 2017 год и плановый период 2018 и 2019 годов является</w:t>
      </w:r>
      <w:r w:rsidR="00F72188" w:rsidRPr="002B1823">
        <w:rPr>
          <w:b/>
          <w:i/>
        </w:rPr>
        <w:t xml:space="preserve"> </w:t>
      </w:r>
      <w:r w:rsidR="00F72188" w:rsidRPr="00F72188">
        <w:t xml:space="preserve">его </w:t>
      </w:r>
      <w:proofErr w:type="spellStart"/>
      <w:r w:rsidR="00F72188" w:rsidRPr="00F72188">
        <w:t>бездефицитность</w:t>
      </w:r>
      <w:proofErr w:type="spellEnd"/>
      <w:r w:rsidR="00F72188" w:rsidRPr="00F72188">
        <w:t>.</w:t>
      </w:r>
      <w:r w:rsidR="00F72188">
        <w:t xml:space="preserve"> При этом объем расходов на 2017 год предусмотрен в размере 73124,3 млн. руб., что на 10419,6 млн. руб. меньше ассигнований текущего года.</w:t>
      </w:r>
    </w:p>
    <w:p w:rsidR="00503F1A" w:rsidRPr="003444BE" w:rsidRDefault="00503F1A" w:rsidP="00503F1A">
      <w:pPr>
        <w:ind w:firstLine="709"/>
        <w:jc w:val="both"/>
      </w:pPr>
      <w:r w:rsidRPr="00503F1A">
        <w:rPr>
          <w:b/>
        </w:rPr>
        <w:t>2.</w:t>
      </w:r>
      <w:r>
        <w:t xml:space="preserve"> Несмотря на то, что Основными направлениями бюджетной политики Волгоградской области на 2017-2019 годы определено «</w:t>
      </w:r>
      <w:r w:rsidRPr="003E22EB">
        <w:t>безусловное выполнение всех социальных обязательств</w:t>
      </w:r>
      <w:r>
        <w:t xml:space="preserve">», </w:t>
      </w:r>
      <w:r w:rsidRPr="003444BE">
        <w:t>расходы на социальную политику на 2017 год</w:t>
      </w:r>
      <w:r w:rsidRPr="00F474FC">
        <w:t xml:space="preserve"> </w:t>
      </w:r>
      <w:r>
        <w:t>(б</w:t>
      </w:r>
      <w:r w:rsidRPr="00F474FC">
        <w:t>ез учета расходов на уплату страховых взносов на обязательное медицинское страхование неработающего населения</w:t>
      </w:r>
      <w:r>
        <w:t xml:space="preserve">) </w:t>
      </w:r>
      <w:r w:rsidRPr="00F474FC">
        <w:t xml:space="preserve">предусмотрены законопроектом </w:t>
      </w:r>
      <w:r w:rsidRPr="003444BE">
        <w:t xml:space="preserve">на 3700,7 млн. руб. меньше аналогичных расходов 2016 года. </w:t>
      </w:r>
    </w:p>
    <w:p w:rsidR="003F000D" w:rsidRPr="00557594" w:rsidRDefault="00503F1A" w:rsidP="003F000D">
      <w:pPr>
        <w:pStyle w:val="Style6"/>
        <w:widowControl/>
        <w:spacing w:line="240" w:lineRule="auto"/>
        <w:ind w:firstLine="709"/>
      </w:pPr>
      <w:r>
        <w:rPr>
          <w:b/>
        </w:rPr>
        <w:t>3</w:t>
      </w:r>
      <w:r w:rsidR="00F72188" w:rsidRPr="00F72188">
        <w:rPr>
          <w:b/>
        </w:rPr>
        <w:t>.</w:t>
      </w:r>
      <w:r w:rsidR="00F72188">
        <w:t xml:space="preserve"> </w:t>
      </w:r>
      <w:proofErr w:type="gramStart"/>
      <w:r w:rsidR="003F000D">
        <w:t>П</w:t>
      </w:r>
      <w:r w:rsidR="003F000D" w:rsidRPr="006A6DD7">
        <w:t>редусмотренный законопроектом объем субвенции на финансовое обеспечение образовательного процесса в муниципальных образовательных организациях</w:t>
      </w:r>
      <w:r w:rsidR="003F000D">
        <w:t xml:space="preserve"> на </w:t>
      </w:r>
      <w:r w:rsidR="003F000D" w:rsidRPr="00557594">
        <w:t>1995 млн. руб. меньше бюджетных ассигнований на 2016 год на эти цели</w:t>
      </w:r>
      <w:r w:rsidR="00305C65">
        <w:t>, что</w:t>
      </w:r>
      <w:r w:rsidR="003F000D" w:rsidRPr="00557594">
        <w:t xml:space="preserve"> не позволит </w:t>
      </w:r>
      <w:r w:rsidR="00305C65">
        <w:t xml:space="preserve">обеспечить </w:t>
      </w:r>
      <w:r w:rsidR="003F000D" w:rsidRPr="00557594">
        <w:t>соблюд</w:t>
      </w:r>
      <w:r w:rsidR="00305C65">
        <w:t>ение</w:t>
      </w:r>
      <w:r w:rsidR="003F000D" w:rsidRPr="00557594">
        <w:t xml:space="preserve"> норматив</w:t>
      </w:r>
      <w:r w:rsidR="00305C65">
        <w:t>ов</w:t>
      </w:r>
      <w:r w:rsidR="003F000D" w:rsidRPr="00557594">
        <w:t xml:space="preserve"> финансового обеспечения, утвержденны</w:t>
      </w:r>
      <w:r w:rsidR="00305C65">
        <w:t>х</w:t>
      </w:r>
      <w:r w:rsidR="003F000D" w:rsidRPr="00557594">
        <w:t xml:space="preserve"> </w:t>
      </w:r>
      <w:r w:rsidR="00B20B66">
        <w:t xml:space="preserve">в рамках реализации </w:t>
      </w:r>
      <w:r w:rsidR="00967529" w:rsidRPr="00557594">
        <w:t>Закон</w:t>
      </w:r>
      <w:r w:rsidR="00B20B66">
        <w:t>а</w:t>
      </w:r>
      <w:r w:rsidR="00967529" w:rsidRPr="00557594">
        <w:t xml:space="preserve"> Волгоградской области от 10.01.2014 №13-ОД «О методиках расчета субвенций, предоставляемых из областного бюджета бюджетам муниципальных образований для обеспечения государственных гарантий реализации</w:t>
      </w:r>
      <w:proofErr w:type="gramEnd"/>
      <w:r w:rsidR="00967529" w:rsidRPr="00557594">
        <w:t xml:space="preserve"> прав на получение общедоступного и бесплатного дошкольного образования</w:t>
      </w:r>
      <w:r w:rsidR="00305C65">
        <w:t>…</w:t>
      </w:r>
      <w:r w:rsidR="00967529">
        <w:t>»</w:t>
      </w:r>
      <w:r w:rsidR="003F000D" w:rsidRPr="00557594">
        <w:t xml:space="preserve">. </w:t>
      </w:r>
    </w:p>
    <w:p w:rsidR="00967529" w:rsidRDefault="00967529" w:rsidP="004F7C73">
      <w:pPr>
        <w:autoSpaceDE w:val="0"/>
        <w:autoSpaceDN w:val="0"/>
        <w:adjustRightInd w:val="0"/>
        <w:ind w:firstLine="709"/>
        <w:jc w:val="both"/>
        <w:rPr>
          <w:b/>
          <w:i/>
        </w:rPr>
      </w:pPr>
    </w:p>
    <w:p w:rsidR="004F7C73" w:rsidRDefault="00AE3E25" w:rsidP="004F7C73">
      <w:pPr>
        <w:autoSpaceDE w:val="0"/>
        <w:autoSpaceDN w:val="0"/>
        <w:adjustRightInd w:val="0"/>
        <w:ind w:firstLine="709"/>
        <w:jc w:val="both"/>
        <w:rPr>
          <w:b/>
          <w:i/>
        </w:rPr>
      </w:pPr>
      <w:r w:rsidRPr="00A27310">
        <w:rPr>
          <w:b/>
          <w:i/>
        </w:rPr>
        <w:t>-по прогнозу социально-экономического развития Волгоградской области</w:t>
      </w:r>
    </w:p>
    <w:p w:rsidR="002750E9" w:rsidRPr="00B17BA9" w:rsidRDefault="00D0557E" w:rsidP="002750E9">
      <w:pPr>
        <w:pStyle w:val="2"/>
        <w:spacing w:after="0" w:line="240" w:lineRule="auto"/>
        <w:ind w:firstLine="680"/>
        <w:jc w:val="both"/>
      </w:pPr>
      <w:r w:rsidRPr="00D0557E">
        <w:rPr>
          <w:b/>
        </w:rPr>
        <w:t xml:space="preserve">4. </w:t>
      </w:r>
      <w:r w:rsidR="002750E9">
        <w:t>Анализ макроэкономических показателей показал, что</w:t>
      </w:r>
      <w:r w:rsidR="002750E9" w:rsidRPr="00537EF5">
        <w:t xml:space="preserve"> </w:t>
      </w:r>
      <w:r w:rsidR="002750E9">
        <w:t>на 2017 год</w:t>
      </w:r>
      <w:r w:rsidR="002750E9" w:rsidRPr="00B17BA9">
        <w:t xml:space="preserve"> практически по всем макроэкономическим показателям </w:t>
      </w:r>
      <w:r w:rsidR="002750E9">
        <w:t xml:space="preserve">(за исключением индекса производства продукции сельского хозяйства и среднегодовой </w:t>
      </w:r>
      <w:proofErr w:type="gramStart"/>
      <w:r w:rsidR="002750E9">
        <w:t>численности</w:t>
      </w:r>
      <w:proofErr w:type="gramEnd"/>
      <w:r w:rsidR="002750E9">
        <w:t xml:space="preserve"> занятых в экономике) </w:t>
      </w:r>
      <w:r w:rsidR="002750E9" w:rsidRPr="00B17BA9">
        <w:t>предусмотрен рост в сопоставимой оценке к 2016 году.</w:t>
      </w:r>
    </w:p>
    <w:p w:rsidR="002750E9" w:rsidRDefault="002750E9" w:rsidP="002750E9">
      <w:pPr>
        <w:pStyle w:val="Style5"/>
        <w:spacing w:line="247" w:lineRule="auto"/>
        <w:jc w:val="both"/>
      </w:pPr>
      <w:r>
        <w:t xml:space="preserve">В </w:t>
      </w:r>
      <w:r w:rsidRPr="00432B12">
        <w:t>2016 году по отдельным показателям ожидается снижение индексов в сопоставимой оценке по отношению к 2015 году (физического объема ВРП, промышленного производства, физического объема инвестиций)</w:t>
      </w:r>
      <w:r>
        <w:t xml:space="preserve"> и</w:t>
      </w:r>
      <w:r w:rsidRPr="00432B12">
        <w:t xml:space="preserve"> темпов роста к предыдущему году (прибыли прибыльных организаций, денежных доходов населения), </w:t>
      </w:r>
      <w:r>
        <w:t>объемов экспорта и импорта товаров.</w:t>
      </w:r>
    </w:p>
    <w:p w:rsidR="002750E9" w:rsidRPr="00304888" w:rsidRDefault="002750E9" w:rsidP="002750E9">
      <w:pPr>
        <w:ind w:firstLine="680"/>
        <w:jc w:val="both"/>
        <w:rPr>
          <w:color w:val="000000"/>
        </w:rPr>
      </w:pPr>
      <w:r w:rsidRPr="002750E9">
        <w:rPr>
          <w:b/>
        </w:rPr>
        <w:t>5.</w:t>
      </w:r>
      <w:r>
        <w:t xml:space="preserve"> По оценке КСП существуют риски </w:t>
      </w:r>
      <w:proofErr w:type="spellStart"/>
      <w:r>
        <w:t>не</w:t>
      </w:r>
      <w:r w:rsidRPr="00304888">
        <w:t>достижения</w:t>
      </w:r>
      <w:proofErr w:type="spellEnd"/>
      <w:r w:rsidRPr="00304888">
        <w:t xml:space="preserve"> </w:t>
      </w:r>
      <w:r w:rsidRPr="00304888">
        <w:rPr>
          <w:color w:val="000000"/>
        </w:rPr>
        <w:t>прогнозных показателей индекса физического объема инвестиций в 201</w:t>
      </w:r>
      <w:r>
        <w:rPr>
          <w:color w:val="000000"/>
        </w:rPr>
        <w:t>7</w:t>
      </w:r>
      <w:r w:rsidRPr="00304888">
        <w:rPr>
          <w:color w:val="000000"/>
        </w:rPr>
        <w:t xml:space="preserve"> году (111%) при снижении его </w:t>
      </w:r>
      <w:r>
        <w:rPr>
          <w:color w:val="000000"/>
        </w:rPr>
        <w:t xml:space="preserve">в 2016 году </w:t>
      </w:r>
      <w:r w:rsidRPr="00304888">
        <w:rPr>
          <w:color w:val="000000"/>
        </w:rPr>
        <w:t>на 9,7%</w:t>
      </w:r>
      <w:r>
        <w:rPr>
          <w:color w:val="000000"/>
        </w:rPr>
        <w:t xml:space="preserve"> и</w:t>
      </w:r>
      <w:r w:rsidRPr="00304888">
        <w:rPr>
          <w:color w:val="000000"/>
        </w:rPr>
        <w:t xml:space="preserve"> показателей экспорта и импорта товаров (соответственно 1260,1 и 630,5 млн. долл. США) при снижении их в 2016 году на 791,9 и 405,5 млн. долл. США.</w:t>
      </w:r>
    </w:p>
    <w:p w:rsidR="002750E9" w:rsidRDefault="002750E9" w:rsidP="002750E9">
      <w:pPr>
        <w:pStyle w:val="12"/>
        <w:jc w:val="both"/>
      </w:pPr>
      <w:r w:rsidRPr="00304888">
        <w:tab/>
      </w:r>
      <w:r w:rsidRPr="002750E9">
        <w:rPr>
          <w:b/>
        </w:rPr>
        <w:t>6.</w:t>
      </w:r>
      <w:r w:rsidRPr="00304888">
        <w:t xml:space="preserve"> Приведенная в Прогнозе СЭР информация о реализуемых инвестиционных проектах не дает четкого представления о сроках ввода в эксплуатацию инвестиционных объектов, объеме инвестиций</w:t>
      </w:r>
      <w:r>
        <w:t xml:space="preserve"> и количестве создаваемых рабочих мест</w:t>
      </w:r>
      <w:r w:rsidRPr="00516BFA">
        <w:t xml:space="preserve"> </w:t>
      </w:r>
      <w:r>
        <w:t xml:space="preserve">в разрезе планируемых периодов, в </w:t>
      </w:r>
      <w:proofErr w:type="gramStart"/>
      <w:r>
        <w:t>связи</w:t>
      </w:r>
      <w:proofErr w:type="gramEnd"/>
      <w:r>
        <w:t xml:space="preserve"> с чем невозможно определить влияние результатов реализации инвестиционных проектов на доходную часть бюджета. </w:t>
      </w:r>
    </w:p>
    <w:p w:rsidR="00D0557E" w:rsidRPr="00D0557E" w:rsidRDefault="00D0557E" w:rsidP="008D28EC">
      <w:pPr>
        <w:autoSpaceDE w:val="0"/>
        <w:autoSpaceDN w:val="0"/>
        <w:adjustRightInd w:val="0"/>
        <w:ind w:firstLine="720"/>
        <w:jc w:val="both"/>
        <w:outlineLvl w:val="0"/>
      </w:pPr>
    </w:p>
    <w:p w:rsidR="008D28EC" w:rsidRDefault="00CB7BDC" w:rsidP="008D28EC">
      <w:pPr>
        <w:autoSpaceDE w:val="0"/>
        <w:autoSpaceDN w:val="0"/>
        <w:adjustRightInd w:val="0"/>
        <w:ind w:firstLine="720"/>
        <w:jc w:val="both"/>
        <w:outlineLvl w:val="0"/>
        <w:rPr>
          <w:b/>
          <w:i/>
        </w:rPr>
      </w:pPr>
      <w:r w:rsidRPr="00A27310">
        <w:rPr>
          <w:b/>
          <w:i/>
        </w:rPr>
        <w:t>-по доходной части областного бюджета</w:t>
      </w:r>
    </w:p>
    <w:p w:rsidR="00800245" w:rsidRPr="00800245" w:rsidRDefault="00800245" w:rsidP="00800245">
      <w:pPr>
        <w:ind w:firstLine="708"/>
        <w:jc w:val="both"/>
      </w:pPr>
      <w:r>
        <w:t>7. П</w:t>
      </w:r>
      <w:r w:rsidRPr="00800245">
        <w:t>о оценке КСП имеются риски завышения налоговых доходов</w:t>
      </w:r>
      <w:r w:rsidRPr="001767B7">
        <w:t xml:space="preserve"> </w:t>
      </w:r>
      <w:r w:rsidRPr="00800245">
        <w:t xml:space="preserve">областного бюджета в 2017 году на сумму порядка </w:t>
      </w:r>
      <w:r w:rsidR="00EB5EF4">
        <w:t>7</w:t>
      </w:r>
      <w:r w:rsidRPr="00EB5EF4">
        <w:t>00 млн. рублей.</w:t>
      </w:r>
      <w:r w:rsidRPr="00800245">
        <w:t xml:space="preserve"> В части неналоговых доходов по виду «Штрафы, санкции, возмещение ущерба» имеются значительные риски по неисполнению повышенных обязательств по поступлению доходов в полном объеме (+864,1 млн. руб. к оценке 2016 года)</w:t>
      </w:r>
      <w:r>
        <w:t>.</w:t>
      </w:r>
      <w:r w:rsidRPr="00800245">
        <w:t xml:space="preserve"> </w:t>
      </w:r>
      <w:r>
        <w:t>О</w:t>
      </w:r>
      <w:r w:rsidRPr="00800245">
        <w:t xml:space="preserve">ценку </w:t>
      </w:r>
      <w:r>
        <w:t>последних</w:t>
      </w:r>
      <w:r w:rsidRPr="00800245">
        <w:t xml:space="preserve"> произвести невозможно из</w:t>
      </w:r>
      <w:r>
        <w:t>-</w:t>
      </w:r>
      <w:r w:rsidRPr="00800245">
        <w:t xml:space="preserve">за </w:t>
      </w:r>
      <w:proofErr w:type="spellStart"/>
      <w:r w:rsidRPr="00800245">
        <w:t>непоступления</w:t>
      </w:r>
      <w:proofErr w:type="spellEnd"/>
      <w:r w:rsidRPr="00800245">
        <w:t xml:space="preserve"> на экспертизу в КСП подпрограммы «Построение (развитие) аппаратно – программного комплекса «Безопасный город» на территории Волгоградской области» и существующими временными затратами на проведение конкурсных процедур.</w:t>
      </w:r>
    </w:p>
    <w:p w:rsidR="00800245" w:rsidRPr="00800245" w:rsidRDefault="00800245" w:rsidP="00800245">
      <w:pPr>
        <w:ind w:firstLine="708"/>
        <w:jc w:val="both"/>
      </w:pPr>
      <w:r w:rsidRPr="00800245">
        <w:rPr>
          <w:b/>
        </w:rPr>
        <w:lastRenderedPageBreak/>
        <w:t>8.</w:t>
      </w:r>
      <w:r>
        <w:t xml:space="preserve"> </w:t>
      </w:r>
      <w:r w:rsidRPr="00800245">
        <w:t xml:space="preserve">На протяжении ряда лет, в том числе и на 2017 год в доходах бюджета не предусматривается вид доходов безвозмездных поступлений - «возврат остатков субсидий, субвенций и иных межбюджетных трансфертов», что свидетельствует о </w:t>
      </w:r>
      <w:r w:rsidRPr="00800245">
        <w:rPr>
          <w:bCs/>
        </w:rPr>
        <w:t>несоблюдении принципа полноты отражения до</w:t>
      </w:r>
      <w:r>
        <w:rPr>
          <w:bCs/>
        </w:rPr>
        <w:t>ходов бюджета, определенного статьей</w:t>
      </w:r>
      <w:r w:rsidRPr="00800245">
        <w:rPr>
          <w:bCs/>
        </w:rPr>
        <w:t xml:space="preserve"> 32 БК РФ. </w:t>
      </w:r>
      <w:r w:rsidRPr="00800245">
        <w:t xml:space="preserve">Вместе с тем значение этого показателя каждый год исчисляется в </w:t>
      </w:r>
      <w:r>
        <w:t>значительных размерах</w:t>
      </w:r>
      <w:r w:rsidRPr="00800245">
        <w:t xml:space="preserve"> со знаком «</w:t>
      </w:r>
      <w:proofErr w:type="gramStart"/>
      <w:r w:rsidRPr="00800245">
        <w:t>- »</w:t>
      </w:r>
      <w:proofErr w:type="gramEnd"/>
      <w:r w:rsidRPr="00800245">
        <w:t>, что уменьшает общий объем доходов.</w:t>
      </w:r>
    </w:p>
    <w:p w:rsidR="00B16F12" w:rsidRDefault="00B16F12" w:rsidP="00B16F12">
      <w:pPr>
        <w:ind w:firstLine="709"/>
        <w:jc w:val="both"/>
        <w:rPr>
          <w:rFonts w:eastAsiaTheme="minorHAnsi"/>
          <w:lang w:eastAsia="en-US"/>
        </w:rPr>
      </w:pPr>
      <w:r w:rsidRPr="00330C07">
        <w:rPr>
          <w:b/>
        </w:rPr>
        <w:t>9.</w:t>
      </w:r>
      <w:r>
        <w:t xml:space="preserve"> На 2017-2019 годы прогнозируется значительное увеличение потерь областного бюджета от предоставления льгот по налогу на имущество организациям, реализующим инвестиционные проекты. Вместе с тем в документах, вносимых одновременно с законопроектом</w:t>
      </w:r>
      <w:r w:rsidR="00A00EF8">
        <w:t>,</w:t>
      </w:r>
      <w:r>
        <w:t xml:space="preserve"> не приведены сведения о реализации инвесторами, заключившими инвестиционные соглашения с Администрацией Волгоградской области, инвестиционных проектов на 2017-2019 годы с указанием предполагаемых сроков и </w:t>
      </w:r>
      <w:proofErr w:type="gramStart"/>
      <w:r>
        <w:t>объемов</w:t>
      </w:r>
      <w:proofErr w:type="gramEnd"/>
      <w:r>
        <w:t xml:space="preserve"> вводимых в действие мощностей, в связи с чем невозможно оценить обоснованность прогнозируемых потерь от предоставления льгот.</w:t>
      </w:r>
    </w:p>
    <w:p w:rsidR="000474E0" w:rsidRPr="0024325E" w:rsidRDefault="000474E0" w:rsidP="00C93A11">
      <w:pPr>
        <w:ind w:firstLine="720"/>
        <w:jc w:val="both"/>
      </w:pPr>
    </w:p>
    <w:p w:rsidR="00292C2A" w:rsidRDefault="00292C2A" w:rsidP="00C93A11">
      <w:pPr>
        <w:ind w:firstLine="720"/>
        <w:jc w:val="both"/>
        <w:rPr>
          <w:b/>
          <w:i/>
        </w:rPr>
      </w:pPr>
      <w:r w:rsidRPr="00A27310">
        <w:rPr>
          <w:b/>
          <w:i/>
        </w:rPr>
        <w:t xml:space="preserve">-по общему объему расходов </w:t>
      </w:r>
      <w:r w:rsidR="00CB7BDC" w:rsidRPr="00A27310">
        <w:rPr>
          <w:b/>
          <w:i/>
        </w:rPr>
        <w:t xml:space="preserve">областного </w:t>
      </w:r>
      <w:r w:rsidRPr="00A27310">
        <w:rPr>
          <w:b/>
          <w:i/>
        </w:rPr>
        <w:t>бюджета</w:t>
      </w:r>
    </w:p>
    <w:p w:rsidR="009D15FF" w:rsidRDefault="00330C07" w:rsidP="009D15FF">
      <w:pPr>
        <w:ind w:firstLine="709"/>
        <w:jc w:val="both"/>
        <w:outlineLvl w:val="1"/>
      </w:pPr>
      <w:r>
        <w:rPr>
          <w:b/>
        </w:rPr>
        <w:t>10</w:t>
      </w:r>
      <w:r w:rsidR="00357C53" w:rsidRPr="00357C53">
        <w:rPr>
          <w:b/>
        </w:rPr>
        <w:t xml:space="preserve">. </w:t>
      </w:r>
      <w:r w:rsidR="009D15FF">
        <w:t xml:space="preserve">В представленном виде реестр расходных обязательств Волгоградской области на 2017-2019 годы не в полной мере отвечает своему основному предназначению, а именно учету расходных обязательств Волгоградской области и определению объема бюджетных ассигнований, необходимых для формирования проекта бюджета. </w:t>
      </w:r>
    </w:p>
    <w:p w:rsidR="009D15FF" w:rsidRPr="009D15FF" w:rsidRDefault="00BE63BA" w:rsidP="009D15FF">
      <w:pPr>
        <w:ind w:firstLine="709"/>
        <w:jc w:val="both"/>
        <w:outlineLvl w:val="1"/>
      </w:pPr>
      <w:r>
        <w:t>Кроме того, в</w:t>
      </w:r>
      <w:r w:rsidR="009D15FF">
        <w:t xml:space="preserve">ыбранный подход к формированию Реестра не соответствует целям и задачам, определенным Основными направлениями бюджетной политики Волгоградской области на 2017-2019 годы, а </w:t>
      </w:r>
      <w:r w:rsidR="009D15FF" w:rsidRPr="009D15FF">
        <w:t>именно повышению открытости и прозрачности бюджета.</w:t>
      </w:r>
    </w:p>
    <w:p w:rsidR="008960E5" w:rsidRPr="00F37790" w:rsidRDefault="008960E5" w:rsidP="00C93A11">
      <w:pPr>
        <w:ind w:firstLine="720"/>
        <w:jc w:val="both"/>
      </w:pPr>
    </w:p>
    <w:p w:rsidR="00A4618E" w:rsidRDefault="00650706" w:rsidP="00C93A11">
      <w:pPr>
        <w:ind w:firstLine="720"/>
        <w:jc w:val="both"/>
        <w:rPr>
          <w:b/>
          <w:i/>
        </w:rPr>
      </w:pPr>
      <w:r w:rsidRPr="00A27310">
        <w:rPr>
          <w:b/>
          <w:i/>
        </w:rPr>
        <w:t>-по дефициту областного бюджета</w:t>
      </w:r>
      <w:r w:rsidR="008E04A6">
        <w:rPr>
          <w:b/>
          <w:i/>
        </w:rPr>
        <w:t xml:space="preserve">, программе государственных внутренних заимствований </w:t>
      </w:r>
      <w:r w:rsidRPr="00A27310">
        <w:rPr>
          <w:b/>
          <w:i/>
        </w:rPr>
        <w:t xml:space="preserve"> и верхнему пределу государственного долга Волгоградской области</w:t>
      </w:r>
    </w:p>
    <w:p w:rsidR="00D0557E" w:rsidRDefault="00357C53" w:rsidP="00D0557E">
      <w:pPr>
        <w:ind w:firstLine="708"/>
        <w:jc w:val="both"/>
      </w:pPr>
      <w:r w:rsidRPr="00357C53">
        <w:rPr>
          <w:b/>
        </w:rPr>
        <w:t>1</w:t>
      </w:r>
      <w:r w:rsidR="00330C07">
        <w:rPr>
          <w:b/>
        </w:rPr>
        <w:t>1</w:t>
      </w:r>
      <w:r w:rsidRPr="00357C53">
        <w:rPr>
          <w:b/>
        </w:rPr>
        <w:t>.</w:t>
      </w:r>
      <w:r>
        <w:t xml:space="preserve"> </w:t>
      </w:r>
      <w:r w:rsidR="00D0557E">
        <w:t>Основной особенностью планируемой структуры заимствований Волгоградской области является погашение в 2017 году бюджетных кредитов 2014-2016 годов в сумме 21330 млн. рублей. При этом срок погашения по условиям соглашений</w:t>
      </w:r>
      <w:r w:rsidR="00796DD9">
        <w:t>, заключенных Администрацией области с Минфином России,</w:t>
      </w:r>
      <w:r w:rsidR="00D0557E">
        <w:t xml:space="preserve"> в 2017 году наступает только по двум бюджетным кредитам 2014 года на </w:t>
      </w:r>
      <w:r w:rsidR="00796DD9">
        <w:t xml:space="preserve">общую </w:t>
      </w:r>
      <w:r w:rsidR="00D0557E">
        <w:t xml:space="preserve">сумму 7606,7 млн. рублей. Досрочное же погашение бюджетных кредитов 2015-2016 годов в сумме 13723,3 млн. руб. со сроком погашения в 2018-2019 годах </w:t>
      </w:r>
      <w:r w:rsidR="0025603C">
        <w:t>связано с</w:t>
      </w:r>
      <w:r w:rsidR="00D0557E">
        <w:t xml:space="preserve"> превышением Волгоградской областью параметров долга, предусмотренных соглашениями о предоставлении бюджетных кредитов.</w:t>
      </w:r>
    </w:p>
    <w:p w:rsidR="00796DD9" w:rsidRDefault="00796DD9" w:rsidP="00796DD9">
      <w:pPr>
        <w:ind w:firstLine="720"/>
        <w:jc w:val="both"/>
      </w:pPr>
      <w:r>
        <w:t xml:space="preserve">При этом по итогам 2016 года </w:t>
      </w:r>
      <w:r w:rsidRPr="002B484A">
        <w:t xml:space="preserve">Волгоградская область </w:t>
      </w:r>
      <w:r>
        <w:t xml:space="preserve">превысит уровень долга, предусмотренного соглашениями, но не превысит предельное значение, установленное </w:t>
      </w:r>
      <w:r w:rsidR="004844FC">
        <w:t xml:space="preserve">постановлением </w:t>
      </w:r>
      <w:r>
        <w:t>Правительств</w:t>
      </w:r>
      <w:r w:rsidR="004844FC">
        <w:t>а</w:t>
      </w:r>
      <w:r>
        <w:t xml:space="preserve"> РФ</w:t>
      </w:r>
      <w:r w:rsidR="004844FC">
        <w:t xml:space="preserve"> </w:t>
      </w:r>
      <w:r w:rsidRPr="002B484A">
        <w:t>от 27.01.2016 №40 «Об утверждении Правил предоставления (использования, возврата) из федерального бюджета бюджетам субъектов Российской Федерации бюджетных кредитов на 2016 год»</w:t>
      </w:r>
      <w:r w:rsidR="004844FC">
        <w:t xml:space="preserve">. </w:t>
      </w:r>
    </w:p>
    <w:p w:rsidR="00800245" w:rsidRDefault="00800245" w:rsidP="00796DD9">
      <w:pPr>
        <w:ind w:firstLine="720"/>
        <w:jc w:val="both"/>
      </w:pPr>
    </w:p>
    <w:p w:rsidR="00650706" w:rsidRDefault="00650706" w:rsidP="00C93A11">
      <w:pPr>
        <w:ind w:firstLine="720"/>
        <w:jc w:val="both"/>
        <w:rPr>
          <w:b/>
          <w:i/>
        </w:rPr>
      </w:pPr>
      <w:r w:rsidRPr="00A27310">
        <w:rPr>
          <w:b/>
          <w:i/>
        </w:rPr>
        <w:t>-по общему объему межбюджетных трансфертов</w:t>
      </w:r>
    </w:p>
    <w:p w:rsidR="007436AE" w:rsidRDefault="00357C53" w:rsidP="007436AE">
      <w:pPr>
        <w:autoSpaceDE w:val="0"/>
        <w:autoSpaceDN w:val="0"/>
        <w:adjustRightInd w:val="0"/>
        <w:ind w:firstLine="720"/>
        <w:jc w:val="both"/>
      </w:pPr>
      <w:r w:rsidRPr="00357C53">
        <w:rPr>
          <w:b/>
        </w:rPr>
        <w:t>1</w:t>
      </w:r>
      <w:r w:rsidR="00330C07">
        <w:rPr>
          <w:b/>
        </w:rPr>
        <w:t>2</w:t>
      </w:r>
      <w:r w:rsidRPr="00357C53">
        <w:rPr>
          <w:b/>
        </w:rPr>
        <w:t>.</w:t>
      </w:r>
      <w:r>
        <w:t xml:space="preserve"> </w:t>
      </w:r>
      <w:r w:rsidR="007436AE" w:rsidRPr="008B6597">
        <w:t>В 201</w:t>
      </w:r>
      <w:r w:rsidR="007436AE">
        <w:t>7</w:t>
      </w:r>
      <w:r w:rsidR="007436AE" w:rsidRPr="008B6597">
        <w:t xml:space="preserve"> году о</w:t>
      </w:r>
      <w:r w:rsidR="007436AE" w:rsidRPr="008B6597">
        <w:rPr>
          <w:bCs/>
        </w:rPr>
        <w:t>бщее изменение финансового положения местных бюджетов характеризуется уменьшением финансовых возможностей муниципалитетов на 386,3 млн. руб., или на 4,6 процента. Уменьшение финансовой помощи по муниципальным районам составило 236,5 млн. руб. (-6,3%), по городским округам – 176,5 млн. руб. (-6,0%). Объем финансовой помощи сельским поселениям увеличен на 26,7 млн. руб. (+1,5%)</w:t>
      </w:r>
      <w:r w:rsidR="007436AE" w:rsidRPr="008B6597">
        <w:t>.</w:t>
      </w:r>
    </w:p>
    <w:p w:rsidR="00E90FDC" w:rsidRDefault="00E90FDC" w:rsidP="00242DCA">
      <w:pPr>
        <w:jc w:val="both"/>
        <w:rPr>
          <w:b/>
          <w:i/>
          <w:color w:val="0070C0"/>
        </w:rPr>
      </w:pPr>
    </w:p>
    <w:p w:rsidR="00154C01" w:rsidRDefault="00154C01" w:rsidP="00242DCA">
      <w:pPr>
        <w:jc w:val="both"/>
        <w:rPr>
          <w:b/>
          <w:i/>
          <w:color w:val="0070C0"/>
        </w:rPr>
      </w:pPr>
    </w:p>
    <w:p w:rsidR="00330C07" w:rsidRPr="005507B6" w:rsidRDefault="00DB14DF" w:rsidP="00DB14DF">
      <w:pPr>
        <w:ind w:firstLine="720"/>
        <w:jc w:val="both"/>
      </w:pPr>
      <w:r>
        <w:t xml:space="preserve">На основании </w:t>
      </w:r>
      <w:proofErr w:type="gramStart"/>
      <w:r>
        <w:t>изложенного</w:t>
      </w:r>
      <w:proofErr w:type="gramEnd"/>
      <w:r>
        <w:t xml:space="preserve"> </w:t>
      </w:r>
      <w:r w:rsidRPr="00DB14DF">
        <w:rPr>
          <w:b/>
          <w:i/>
        </w:rPr>
        <w:t xml:space="preserve">контрольно-счетная палата Волгоградской области </w:t>
      </w:r>
      <w:r>
        <w:rPr>
          <w:b/>
          <w:i/>
        </w:rPr>
        <w:t>предлагает</w:t>
      </w:r>
      <w:r w:rsidRPr="00DB14DF">
        <w:rPr>
          <w:b/>
          <w:i/>
        </w:rPr>
        <w:t xml:space="preserve"> Волгоградской областной Думе принять законопроект в 1 чтении</w:t>
      </w:r>
      <w:r w:rsidR="00330C07">
        <w:rPr>
          <w:b/>
          <w:i/>
        </w:rPr>
        <w:t xml:space="preserve">, </w:t>
      </w:r>
      <w:r w:rsidR="00330C07" w:rsidRPr="005507B6">
        <w:t>рекомендовав Администрации Волгоградской области:</w:t>
      </w:r>
    </w:p>
    <w:p w:rsidR="00330C07" w:rsidRPr="005507B6" w:rsidRDefault="00330C07" w:rsidP="00DB14DF">
      <w:pPr>
        <w:ind w:firstLine="720"/>
        <w:jc w:val="both"/>
      </w:pPr>
    </w:p>
    <w:p w:rsidR="00A00EF8" w:rsidRDefault="00A00EF8" w:rsidP="00DB14DF">
      <w:pPr>
        <w:ind w:firstLine="720"/>
        <w:jc w:val="both"/>
      </w:pPr>
      <w:r>
        <w:lastRenderedPageBreak/>
        <w:t xml:space="preserve">-в процессе исполнения областного бюджета в 2017 году в результате мобилизации доходов и реализации оптимизационных мероприятий по сокращению неэффективных расходов в первоочередном порядке устранить концептуальные недостатки настоящего законопроекта, состоящие в недостаточности бюджетных ассигнований на меры социальной поддержки граждан и субвенции муниципальным образовательным учреждениям на организацию образовательного процесса;  </w:t>
      </w:r>
    </w:p>
    <w:p w:rsidR="00A00EF8" w:rsidRDefault="00A00EF8" w:rsidP="00DB14DF">
      <w:pPr>
        <w:ind w:firstLine="720"/>
        <w:jc w:val="both"/>
      </w:pPr>
      <w:proofErr w:type="gramStart"/>
      <w:r>
        <w:t xml:space="preserve">-при внесении поправок в закон о бюджете на 2017-2019 годы </w:t>
      </w:r>
      <w:r w:rsidR="004D04F8">
        <w:t xml:space="preserve">по итогам </w:t>
      </w:r>
      <w:r w:rsidR="00B3673F">
        <w:t xml:space="preserve">его </w:t>
      </w:r>
      <w:r w:rsidR="004D04F8">
        <w:t xml:space="preserve">исполнения за 1 квартал 2017 года </w:t>
      </w:r>
      <w:r>
        <w:t xml:space="preserve">уточнить доходную часть областного бюджета </w:t>
      </w:r>
      <w:r w:rsidR="00AA3C31">
        <w:t>(</w:t>
      </w:r>
      <w:r>
        <w:t xml:space="preserve">в части </w:t>
      </w:r>
      <w:r w:rsidR="00917EFB">
        <w:t xml:space="preserve">поступлений </w:t>
      </w:r>
      <w:r>
        <w:t xml:space="preserve">налога на прибыль, акцизов на нефтепродукты, </w:t>
      </w:r>
      <w:r w:rsidR="00AA3C31" w:rsidRPr="00800245">
        <w:t>возврат</w:t>
      </w:r>
      <w:r w:rsidR="00AA3C31">
        <w:t>а</w:t>
      </w:r>
      <w:r w:rsidR="00AA3C31" w:rsidRPr="00800245">
        <w:t xml:space="preserve"> остатков субсидий, субвенций и иных межбюджетных трансфертов</w:t>
      </w:r>
      <w:r w:rsidR="004D04F8">
        <w:t>, а также</w:t>
      </w:r>
      <w:r w:rsidR="00AA3C31">
        <w:t xml:space="preserve"> денежных взысканий (штрафов) за нарушение законодательства РФ о безопасности дорожного движения) </w:t>
      </w:r>
      <w:r>
        <w:t>с учетом замечаний КСП, изложенных в</w:t>
      </w:r>
      <w:proofErr w:type="gramEnd"/>
      <w:r>
        <w:t xml:space="preserve"> </w:t>
      </w:r>
      <w:proofErr w:type="gramStart"/>
      <w:r>
        <w:t>настоящем</w:t>
      </w:r>
      <w:proofErr w:type="gramEnd"/>
      <w:r>
        <w:t xml:space="preserve"> заключении;</w:t>
      </w:r>
    </w:p>
    <w:p w:rsidR="00DB14DF" w:rsidRPr="002B484A" w:rsidRDefault="00A00EF8" w:rsidP="00DB14DF">
      <w:pPr>
        <w:ind w:firstLine="720"/>
        <w:jc w:val="both"/>
      </w:pPr>
      <w:r>
        <w:t>-</w:t>
      </w:r>
      <w:r w:rsidR="00CA230F">
        <w:t xml:space="preserve">в целях сокращения расходов на обслуживание государственного долга (только в 2017 году более чем на 1100 млн. руб.) </w:t>
      </w:r>
      <w:r w:rsidR="00DB14DF" w:rsidRPr="00DB14DF">
        <w:t>продолжить работу, направленную на корректировку условий соглашений</w:t>
      </w:r>
      <w:r w:rsidR="0088780A">
        <w:t xml:space="preserve">, заключенных </w:t>
      </w:r>
      <w:r w:rsidR="00D0557E">
        <w:t xml:space="preserve">с Минфином РФ </w:t>
      </w:r>
      <w:r w:rsidR="00DB14DF" w:rsidRPr="00DB14DF">
        <w:t>о предоставлении бюджетных кредитов из федерального бюджета, полученных Волгоградской областью в 2015-2016 годах</w:t>
      </w:r>
      <w:r>
        <w:t>.</w:t>
      </w:r>
      <w:r w:rsidR="00DB14DF" w:rsidRPr="00DB14DF">
        <w:t xml:space="preserve"> </w:t>
      </w:r>
    </w:p>
    <w:p w:rsidR="00C807ED" w:rsidRDefault="00C807ED" w:rsidP="00242DCA">
      <w:pPr>
        <w:jc w:val="both"/>
        <w:rPr>
          <w:b/>
          <w:i/>
          <w:color w:val="0070C0"/>
        </w:rPr>
      </w:pPr>
    </w:p>
    <w:p w:rsidR="00C807ED" w:rsidRDefault="00C807ED" w:rsidP="00242DCA">
      <w:pPr>
        <w:jc w:val="both"/>
        <w:rPr>
          <w:b/>
          <w:i/>
          <w:color w:val="0070C0"/>
        </w:rPr>
      </w:pPr>
    </w:p>
    <w:p w:rsidR="00727ACB" w:rsidRDefault="00727ACB" w:rsidP="00242DCA">
      <w:pPr>
        <w:jc w:val="both"/>
        <w:rPr>
          <w:b/>
          <w:i/>
          <w:color w:val="0070C0"/>
        </w:rPr>
      </w:pPr>
    </w:p>
    <w:p w:rsidR="005507B6" w:rsidRDefault="005507B6" w:rsidP="00242DCA">
      <w:pPr>
        <w:jc w:val="both"/>
        <w:rPr>
          <w:b/>
          <w:i/>
          <w:color w:val="0070C0"/>
        </w:rPr>
      </w:pPr>
    </w:p>
    <w:p w:rsidR="00E862AA" w:rsidRDefault="00E862AA" w:rsidP="00242DCA">
      <w:pPr>
        <w:jc w:val="both"/>
        <w:rPr>
          <w:b/>
          <w:i/>
          <w:color w:val="0070C0"/>
        </w:rPr>
      </w:pPr>
    </w:p>
    <w:p w:rsidR="00727ACB" w:rsidRDefault="00727ACB" w:rsidP="00242DCA">
      <w:pPr>
        <w:jc w:val="both"/>
        <w:rPr>
          <w:b/>
          <w:i/>
          <w:color w:val="0070C0"/>
        </w:rPr>
      </w:pPr>
    </w:p>
    <w:p w:rsidR="007E6588" w:rsidRPr="00A27310" w:rsidRDefault="007E6588" w:rsidP="007E6588">
      <w:pPr>
        <w:jc w:val="both"/>
        <w:rPr>
          <w:b/>
          <w:i/>
        </w:rPr>
      </w:pPr>
      <w:r w:rsidRPr="00A27310">
        <w:rPr>
          <w:b/>
          <w:i/>
        </w:rPr>
        <w:t xml:space="preserve">Председатель                                                                                                </w:t>
      </w:r>
      <w:r w:rsidR="00B61F81" w:rsidRPr="00A27310">
        <w:rPr>
          <w:b/>
          <w:i/>
        </w:rPr>
        <w:t xml:space="preserve">         </w:t>
      </w:r>
      <w:r w:rsidRPr="00A27310">
        <w:rPr>
          <w:b/>
          <w:i/>
        </w:rPr>
        <w:t>И.А. Дьяченко</w:t>
      </w:r>
    </w:p>
    <w:sectPr w:rsidR="007E6588" w:rsidRPr="00A27310" w:rsidSect="00813DA1">
      <w:headerReference w:type="even" r:id="rId12"/>
      <w:headerReference w:type="default" r:id="rId13"/>
      <w:footnotePr>
        <w:numFmt w:val="chicago"/>
      </w:footnotePr>
      <w:pgSz w:w="11906" w:h="16838"/>
      <w:pgMar w:top="1077" w:right="851" w:bottom="1021"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583" w:rsidRDefault="007A2583">
      <w:r>
        <w:separator/>
      </w:r>
    </w:p>
  </w:endnote>
  <w:endnote w:type="continuationSeparator" w:id="0">
    <w:p w:rsidR="007A2583" w:rsidRDefault="007A25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583" w:rsidRDefault="007A2583">
      <w:r>
        <w:separator/>
      </w:r>
    </w:p>
  </w:footnote>
  <w:footnote w:type="continuationSeparator" w:id="0">
    <w:p w:rsidR="007A2583" w:rsidRDefault="007A25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01" w:rsidRDefault="007730E7" w:rsidP="00510C77">
    <w:pPr>
      <w:pStyle w:val="a3"/>
      <w:framePr w:wrap="around" w:vAnchor="text" w:hAnchor="margin" w:xAlign="center" w:y="1"/>
      <w:rPr>
        <w:rStyle w:val="a4"/>
      </w:rPr>
    </w:pPr>
    <w:r>
      <w:rPr>
        <w:rStyle w:val="a4"/>
      </w:rPr>
      <w:fldChar w:fldCharType="begin"/>
    </w:r>
    <w:r w:rsidR="00154C01">
      <w:rPr>
        <w:rStyle w:val="a4"/>
      </w:rPr>
      <w:instrText xml:space="preserve">PAGE  </w:instrText>
    </w:r>
    <w:r>
      <w:rPr>
        <w:rStyle w:val="a4"/>
      </w:rPr>
      <w:fldChar w:fldCharType="end"/>
    </w:r>
  </w:p>
  <w:p w:rsidR="00154C01" w:rsidRDefault="00154C0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01" w:rsidRDefault="007730E7" w:rsidP="00510C77">
    <w:pPr>
      <w:pStyle w:val="a3"/>
      <w:framePr w:wrap="around" w:vAnchor="text" w:hAnchor="margin" w:xAlign="center" w:y="1"/>
      <w:rPr>
        <w:rStyle w:val="a4"/>
      </w:rPr>
    </w:pPr>
    <w:r>
      <w:rPr>
        <w:rStyle w:val="a4"/>
      </w:rPr>
      <w:fldChar w:fldCharType="begin"/>
    </w:r>
    <w:r w:rsidR="00154C01">
      <w:rPr>
        <w:rStyle w:val="a4"/>
      </w:rPr>
      <w:instrText xml:space="preserve">PAGE  </w:instrText>
    </w:r>
    <w:r>
      <w:rPr>
        <w:rStyle w:val="a4"/>
      </w:rPr>
      <w:fldChar w:fldCharType="separate"/>
    </w:r>
    <w:r w:rsidR="00163205">
      <w:rPr>
        <w:rStyle w:val="a4"/>
        <w:noProof/>
      </w:rPr>
      <w:t>28</w:t>
    </w:r>
    <w:r>
      <w:rPr>
        <w:rStyle w:val="a4"/>
      </w:rPr>
      <w:fldChar w:fldCharType="end"/>
    </w:r>
  </w:p>
  <w:p w:rsidR="00154C01" w:rsidRDefault="00154C0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910"/>
    <w:multiLevelType w:val="hybridMultilevel"/>
    <w:tmpl w:val="031202F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4ED1E63"/>
    <w:multiLevelType w:val="hybridMultilevel"/>
    <w:tmpl w:val="42BA4B1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12831"/>
    <w:multiLevelType w:val="hybridMultilevel"/>
    <w:tmpl w:val="FE3A97E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79" w:hanging="360"/>
      </w:pPr>
      <w:rPr>
        <w:rFonts w:ascii="Courier New" w:hAnsi="Courier New" w:cs="Courier New" w:hint="default"/>
      </w:rPr>
    </w:lvl>
    <w:lvl w:ilvl="2" w:tplc="04190005" w:tentative="1">
      <w:start w:val="1"/>
      <w:numFmt w:val="bullet"/>
      <w:lvlText w:val=""/>
      <w:lvlJc w:val="left"/>
      <w:pPr>
        <w:ind w:left="2899" w:hanging="360"/>
      </w:pPr>
      <w:rPr>
        <w:rFonts w:ascii="Wingdings" w:hAnsi="Wingdings" w:hint="default"/>
      </w:rPr>
    </w:lvl>
    <w:lvl w:ilvl="3" w:tplc="04190001" w:tentative="1">
      <w:start w:val="1"/>
      <w:numFmt w:val="bullet"/>
      <w:lvlText w:val=""/>
      <w:lvlJc w:val="left"/>
      <w:pPr>
        <w:ind w:left="3619" w:hanging="360"/>
      </w:pPr>
      <w:rPr>
        <w:rFonts w:ascii="Symbol" w:hAnsi="Symbol" w:hint="default"/>
      </w:rPr>
    </w:lvl>
    <w:lvl w:ilvl="4" w:tplc="04190003" w:tentative="1">
      <w:start w:val="1"/>
      <w:numFmt w:val="bullet"/>
      <w:lvlText w:val="o"/>
      <w:lvlJc w:val="left"/>
      <w:pPr>
        <w:ind w:left="4339" w:hanging="360"/>
      </w:pPr>
      <w:rPr>
        <w:rFonts w:ascii="Courier New" w:hAnsi="Courier New" w:cs="Courier New" w:hint="default"/>
      </w:rPr>
    </w:lvl>
    <w:lvl w:ilvl="5" w:tplc="04190005" w:tentative="1">
      <w:start w:val="1"/>
      <w:numFmt w:val="bullet"/>
      <w:lvlText w:val=""/>
      <w:lvlJc w:val="left"/>
      <w:pPr>
        <w:ind w:left="5059" w:hanging="360"/>
      </w:pPr>
      <w:rPr>
        <w:rFonts w:ascii="Wingdings" w:hAnsi="Wingdings" w:hint="default"/>
      </w:rPr>
    </w:lvl>
    <w:lvl w:ilvl="6" w:tplc="04190001" w:tentative="1">
      <w:start w:val="1"/>
      <w:numFmt w:val="bullet"/>
      <w:lvlText w:val=""/>
      <w:lvlJc w:val="left"/>
      <w:pPr>
        <w:ind w:left="5779" w:hanging="360"/>
      </w:pPr>
      <w:rPr>
        <w:rFonts w:ascii="Symbol" w:hAnsi="Symbol" w:hint="default"/>
      </w:rPr>
    </w:lvl>
    <w:lvl w:ilvl="7" w:tplc="04190003" w:tentative="1">
      <w:start w:val="1"/>
      <w:numFmt w:val="bullet"/>
      <w:lvlText w:val="o"/>
      <w:lvlJc w:val="left"/>
      <w:pPr>
        <w:ind w:left="6499" w:hanging="360"/>
      </w:pPr>
      <w:rPr>
        <w:rFonts w:ascii="Courier New" w:hAnsi="Courier New" w:cs="Courier New" w:hint="default"/>
      </w:rPr>
    </w:lvl>
    <w:lvl w:ilvl="8" w:tplc="04190005" w:tentative="1">
      <w:start w:val="1"/>
      <w:numFmt w:val="bullet"/>
      <w:lvlText w:val=""/>
      <w:lvlJc w:val="left"/>
      <w:pPr>
        <w:ind w:left="7219" w:hanging="360"/>
      </w:pPr>
      <w:rPr>
        <w:rFonts w:ascii="Wingdings" w:hAnsi="Wingdings" w:hint="default"/>
      </w:rPr>
    </w:lvl>
  </w:abstractNum>
  <w:abstractNum w:abstractNumId="3">
    <w:nsid w:val="1ED214A3"/>
    <w:multiLevelType w:val="hybridMultilevel"/>
    <w:tmpl w:val="E33AAAC6"/>
    <w:lvl w:ilvl="0" w:tplc="0824A64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11267CE"/>
    <w:multiLevelType w:val="hybridMultilevel"/>
    <w:tmpl w:val="BF746FCA"/>
    <w:lvl w:ilvl="0" w:tplc="45DEECA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26747708"/>
    <w:multiLevelType w:val="hybridMultilevel"/>
    <w:tmpl w:val="7494F504"/>
    <w:lvl w:ilvl="0" w:tplc="6658A266">
      <w:start w:val="1"/>
      <w:numFmt w:val="decimal"/>
      <w:lvlText w:val="%1."/>
      <w:lvlJc w:val="left"/>
      <w:pPr>
        <w:tabs>
          <w:tab w:val="num" w:pos="3371"/>
        </w:tabs>
        <w:ind w:left="3371" w:hanging="1005"/>
      </w:pPr>
      <w:rPr>
        <w:rFonts w:cs="Times New Roman" w:hint="default"/>
      </w:rPr>
    </w:lvl>
    <w:lvl w:ilvl="1" w:tplc="04190019" w:tentative="1">
      <w:start w:val="1"/>
      <w:numFmt w:val="lowerLetter"/>
      <w:lvlText w:val="%2."/>
      <w:lvlJc w:val="left"/>
      <w:pPr>
        <w:ind w:left="3086" w:hanging="360"/>
      </w:pPr>
      <w:rPr>
        <w:rFonts w:cs="Times New Roman"/>
      </w:rPr>
    </w:lvl>
    <w:lvl w:ilvl="2" w:tplc="0419001B" w:tentative="1">
      <w:start w:val="1"/>
      <w:numFmt w:val="lowerRoman"/>
      <w:lvlText w:val="%3."/>
      <w:lvlJc w:val="right"/>
      <w:pPr>
        <w:ind w:left="3806" w:hanging="180"/>
      </w:pPr>
      <w:rPr>
        <w:rFonts w:cs="Times New Roman"/>
      </w:rPr>
    </w:lvl>
    <w:lvl w:ilvl="3" w:tplc="0419000F" w:tentative="1">
      <w:start w:val="1"/>
      <w:numFmt w:val="decimal"/>
      <w:lvlText w:val="%4."/>
      <w:lvlJc w:val="left"/>
      <w:pPr>
        <w:ind w:left="4526" w:hanging="360"/>
      </w:pPr>
      <w:rPr>
        <w:rFonts w:cs="Times New Roman"/>
      </w:rPr>
    </w:lvl>
    <w:lvl w:ilvl="4" w:tplc="04190019" w:tentative="1">
      <w:start w:val="1"/>
      <w:numFmt w:val="lowerLetter"/>
      <w:lvlText w:val="%5."/>
      <w:lvlJc w:val="left"/>
      <w:pPr>
        <w:ind w:left="5246" w:hanging="360"/>
      </w:pPr>
      <w:rPr>
        <w:rFonts w:cs="Times New Roman"/>
      </w:rPr>
    </w:lvl>
    <w:lvl w:ilvl="5" w:tplc="0419001B" w:tentative="1">
      <w:start w:val="1"/>
      <w:numFmt w:val="lowerRoman"/>
      <w:lvlText w:val="%6."/>
      <w:lvlJc w:val="right"/>
      <w:pPr>
        <w:ind w:left="5966" w:hanging="180"/>
      </w:pPr>
      <w:rPr>
        <w:rFonts w:cs="Times New Roman"/>
      </w:rPr>
    </w:lvl>
    <w:lvl w:ilvl="6" w:tplc="0419000F" w:tentative="1">
      <w:start w:val="1"/>
      <w:numFmt w:val="decimal"/>
      <w:lvlText w:val="%7."/>
      <w:lvlJc w:val="left"/>
      <w:pPr>
        <w:ind w:left="6686" w:hanging="360"/>
      </w:pPr>
      <w:rPr>
        <w:rFonts w:cs="Times New Roman"/>
      </w:rPr>
    </w:lvl>
    <w:lvl w:ilvl="7" w:tplc="04190019" w:tentative="1">
      <w:start w:val="1"/>
      <w:numFmt w:val="lowerLetter"/>
      <w:lvlText w:val="%8."/>
      <w:lvlJc w:val="left"/>
      <w:pPr>
        <w:ind w:left="7406" w:hanging="360"/>
      </w:pPr>
      <w:rPr>
        <w:rFonts w:cs="Times New Roman"/>
      </w:rPr>
    </w:lvl>
    <w:lvl w:ilvl="8" w:tplc="0419001B" w:tentative="1">
      <w:start w:val="1"/>
      <w:numFmt w:val="lowerRoman"/>
      <w:lvlText w:val="%9."/>
      <w:lvlJc w:val="right"/>
      <w:pPr>
        <w:ind w:left="8126" w:hanging="180"/>
      </w:pPr>
      <w:rPr>
        <w:rFonts w:cs="Times New Roman"/>
      </w:rPr>
    </w:lvl>
  </w:abstractNum>
  <w:abstractNum w:abstractNumId="6">
    <w:nsid w:val="2E801991"/>
    <w:multiLevelType w:val="hybridMultilevel"/>
    <w:tmpl w:val="C58E693A"/>
    <w:lvl w:ilvl="0" w:tplc="7B2A8CAA">
      <w:start w:val="1"/>
      <w:numFmt w:val="decimal"/>
      <w:lvlText w:val="%1."/>
      <w:lvlJc w:val="left"/>
      <w:pPr>
        <w:ind w:left="1065" w:hanging="360"/>
      </w:pPr>
      <w:rPr>
        <w:rFonts w:hint="default"/>
        <w:b w:val="0"/>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F574D85"/>
    <w:multiLevelType w:val="hybridMultilevel"/>
    <w:tmpl w:val="CDA0E9B4"/>
    <w:lvl w:ilvl="0" w:tplc="6658A266">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35163E28"/>
    <w:multiLevelType w:val="hybridMultilevel"/>
    <w:tmpl w:val="029C5F12"/>
    <w:lvl w:ilvl="0" w:tplc="F85EF086">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
    <w:nsid w:val="3F4E4F35"/>
    <w:multiLevelType w:val="hybridMultilevel"/>
    <w:tmpl w:val="EA5A04BA"/>
    <w:lvl w:ilvl="0" w:tplc="7D3038C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58474A2"/>
    <w:multiLevelType w:val="hybridMultilevel"/>
    <w:tmpl w:val="81B2065A"/>
    <w:lvl w:ilvl="0" w:tplc="9510FBEC">
      <w:start w:val="1"/>
      <w:numFmt w:val="bullet"/>
      <w:lvlText w:val=""/>
      <w:lvlJc w:val="left"/>
      <w:pPr>
        <w:tabs>
          <w:tab w:val="num" w:pos="2880"/>
        </w:tabs>
        <w:ind w:left="2880" w:hanging="360"/>
      </w:pPr>
      <w:rPr>
        <w:rFonts w:ascii="Symbol" w:hAnsi="Symbol" w:hint="default"/>
        <w:color w:val="auto"/>
      </w:rPr>
    </w:lvl>
    <w:lvl w:ilvl="1" w:tplc="F9D60C1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E7616BD"/>
    <w:multiLevelType w:val="hybridMultilevel"/>
    <w:tmpl w:val="82A6AA78"/>
    <w:lvl w:ilvl="0" w:tplc="625AA12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nsid w:val="5EE11EAE"/>
    <w:multiLevelType w:val="hybridMultilevel"/>
    <w:tmpl w:val="0388C560"/>
    <w:lvl w:ilvl="0" w:tplc="7108A67A">
      <w:start w:val="1"/>
      <w:numFmt w:val="decimal"/>
      <w:lvlText w:val="%1."/>
      <w:lvlJc w:val="left"/>
      <w:pPr>
        <w:ind w:left="928"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
    <w:nsid w:val="62913251"/>
    <w:multiLevelType w:val="hybridMultilevel"/>
    <w:tmpl w:val="2D14AE6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62BF1671"/>
    <w:multiLevelType w:val="hybridMultilevel"/>
    <w:tmpl w:val="DB1C77F6"/>
    <w:lvl w:ilvl="0" w:tplc="C66A6C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680A1620"/>
    <w:multiLevelType w:val="hybridMultilevel"/>
    <w:tmpl w:val="AC4A20FE"/>
    <w:lvl w:ilvl="0" w:tplc="00D64EBA">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6B001ABD"/>
    <w:multiLevelType w:val="hybridMultilevel"/>
    <w:tmpl w:val="188644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EC674C9"/>
    <w:multiLevelType w:val="hybridMultilevel"/>
    <w:tmpl w:val="1D4AF1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741E03D0"/>
    <w:multiLevelType w:val="hybridMultilevel"/>
    <w:tmpl w:val="1A1C00D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75534E30"/>
    <w:multiLevelType w:val="hybridMultilevel"/>
    <w:tmpl w:val="2A6A6CA6"/>
    <w:lvl w:ilvl="0" w:tplc="A058C03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7A1969CF"/>
    <w:multiLevelType w:val="hybridMultilevel"/>
    <w:tmpl w:val="CCBCD28E"/>
    <w:lvl w:ilvl="0" w:tplc="BE2400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B48505B"/>
    <w:multiLevelType w:val="hybridMultilevel"/>
    <w:tmpl w:val="611A81D4"/>
    <w:lvl w:ilvl="0" w:tplc="A22018E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7E777B17"/>
    <w:multiLevelType w:val="hybridMultilevel"/>
    <w:tmpl w:val="D592F054"/>
    <w:lvl w:ilvl="0" w:tplc="A8EC14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15"/>
  </w:num>
  <w:num w:numId="4">
    <w:abstractNumId w:val="19"/>
  </w:num>
  <w:num w:numId="5">
    <w:abstractNumId w:val="16"/>
  </w:num>
  <w:num w:numId="6">
    <w:abstractNumId w:val="10"/>
  </w:num>
  <w:num w:numId="7">
    <w:abstractNumId w:val="17"/>
  </w:num>
  <w:num w:numId="8">
    <w:abstractNumId w:val="18"/>
  </w:num>
  <w:num w:numId="9">
    <w:abstractNumId w:val="1"/>
  </w:num>
  <w:num w:numId="10">
    <w:abstractNumId w:val="21"/>
  </w:num>
  <w:num w:numId="11">
    <w:abstractNumId w:val="6"/>
  </w:num>
  <w:num w:numId="12">
    <w:abstractNumId w:val="7"/>
  </w:num>
  <w:num w:numId="13">
    <w:abstractNumId w:val="5"/>
  </w:num>
  <w:num w:numId="14">
    <w:abstractNumId w:val="4"/>
  </w:num>
  <w:num w:numId="15">
    <w:abstractNumId w:val="20"/>
  </w:num>
  <w:num w:numId="16">
    <w:abstractNumId w:val="9"/>
  </w:num>
  <w:num w:numId="17">
    <w:abstractNumId w:val="8"/>
  </w:num>
  <w:num w:numId="18">
    <w:abstractNumId w:val="14"/>
  </w:num>
  <w:num w:numId="19">
    <w:abstractNumId w:val="13"/>
  </w:num>
  <w:num w:numId="20">
    <w:abstractNumId w:val="11"/>
  </w:num>
  <w:num w:numId="21">
    <w:abstractNumId w:val="12"/>
  </w:num>
  <w:num w:numId="22">
    <w:abstractNumId w:val="2"/>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characterSpacingControl w:val="doNotCompress"/>
  <w:footnotePr>
    <w:numFmt w:val="chicago"/>
    <w:footnote w:id="-1"/>
    <w:footnote w:id="0"/>
  </w:footnotePr>
  <w:endnotePr>
    <w:endnote w:id="-1"/>
    <w:endnote w:id="0"/>
  </w:endnotePr>
  <w:compat/>
  <w:rsids>
    <w:rsidRoot w:val="00F21DC2"/>
    <w:rsid w:val="000000CA"/>
    <w:rsid w:val="00000BE5"/>
    <w:rsid w:val="00001271"/>
    <w:rsid w:val="000020C9"/>
    <w:rsid w:val="00002117"/>
    <w:rsid w:val="00002CB4"/>
    <w:rsid w:val="0000310C"/>
    <w:rsid w:val="000040CC"/>
    <w:rsid w:val="00004B2A"/>
    <w:rsid w:val="00005342"/>
    <w:rsid w:val="00005398"/>
    <w:rsid w:val="0000590E"/>
    <w:rsid w:val="00005EB9"/>
    <w:rsid w:val="000077B1"/>
    <w:rsid w:val="00007FBA"/>
    <w:rsid w:val="00010466"/>
    <w:rsid w:val="000112A8"/>
    <w:rsid w:val="0001136A"/>
    <w:rsid w:val="000124DF"/>
    <w:rsid w:val="000139BD"/>
    <w:rsid w:val="000142F7"/>
    <w:rsid w:val="00014F8D"/>
    <w:rsid w:val="00016D96"/>
    <w:rsid w:val="00016F0B"/>
    <w:rsid w:val="000174D6"/>
    <w:rsid w:val="00017758"/>
    <w:rsid w:val="00017EA5"/>
    <w:rsid w:val="00021147"/>
    <w:rsid w:val="0002271F"/>
    <w:rsid w:val="00022BBA"/>
    <w:rsid w:val="00023A20"/>
    <w:rsid w:val="00024A51"/>
    <w:rsid w:val="0002557B"/>
    <w:rsid w:val="00025E7E"/>
    <w:rsid w:val="000264B6"/>
    <w:rsid w:val="000265EB"/>
    <w:rsid w:val="00026D2E"/>
    <w:rsid w:val="00027D22"/>
    <w:rsid w:val="00030B77"/>
    <w:rsid w:val="0003209E"/>
    <w:rsid w:val="00033A9A"/>
    <w:rsid w:val="000368A5"/>
    <w:rsid w:val="00036A0F"/>
    <w:rsid w:val="00036D42"/>
    <w:rsid w:val="00040C8B"/>
    <w:rsid w:val="00041DA7"/>
    <w:rsid w:val="00042993"/>
    <w:rsid w:val="00042D29"/>
    <w:rsid w:val="00042F43"/>
    <w:rsid w:val="00043615"/>
    <w:rsid w:val="00044A11"/>
    <w:rsid w:val="00044B30"/>
    <w:rsid w:val="00045125"/>
    <w:rsid w:val="00045FCB"/>
    <w:rsid w:val="000465BD"/>
    <w:rsid w:val="0004667B"/>
    <w:rsid w:val="000474E0"/>
    <w:rsid w:val="0004773D"/>
    <w:rsid w:val="00050215"/>
    <w:rsid w:val="00051381"/>
    <w:rsid w:val="000518AF"/>
    <w:rsid w:val="0005234D"/>
    <w:rsid w:val="000523E4"/>
    <w:rsid w:val="00052A16"/>
    <w:rsid w:val="00052D34"/>
    <w:rsid w:val="00053734"/>
    <w:rsid w:val="00053B59"/>
    <w:rsid w:val="00054218"/>
    <w:rsid w:val="00054360"/>
    <w:rsid w:val="0005498E"/>
    <w:rsid w:val="00055303"/>
    <w:rsid w:val="00055AA7"/>
    <w:rsid w:val="00055CE8"/>
    <w:rsid w:val="00055DD5"/>
    <w:rsid w:val="00056244"/>
    <w:rsid w:val="00056EA3"/>
    <w:rsid w:val="00056F6F"/>
    <w:rsid w:val="00060972"/>
    <w:rsid w:val="00062E04"/>
    <w:rsid w:val="00064E7F"/>
    <w:rsid w:val="00064FDA"/>
    <w:rsid w:val="0006536C"/>
    <w:rsid w:val="0006647D"/>
    <w:rsid w:val="00066A4C"/>
    <w:rsid w:val="00071F30"/>
    <w:rsid w:val="00072345"/>
    <w:rsid w:val="00073DDF"/>
    <w:rsid w:val="00073FEC"/>
    <w:rsid w:val="00074AF9"/>
    <w:rsid w:val="00074B8B"/>
    <w:rsid w:val="00074E3B"/>
    <w:rsid w:val="00076928"/>
    <w:rsid w:val="00076C0E"/>
    <w:rsid w:val="00077FC5"/>
    <w:rsid w:val="0008075E"/>
    <w:rsid w:val="000807AD"/>
    <w:rsid w:val="00080EB0"/>
    <w:rsid w:val="00081612"/>
    <w:rsid w:val="00081AA4"/>
    <w:rsid w:val="00082A28"/>
    <w:rsid w:val="00082FC5"/>
    <w:rsid w:val="000830A7"/>
    <w:rsid w:val="0008382A"/>
    <w:rsid w:val="00085C06"/>
    <w:rsid w:val="00086169"/>
    <w:rsid w:val="0008625E"/>
    <w:rsid w:val="0008626D"/>
    <w:rsid w:val="0008668C"/>
    <w:rsid w:val="000867CC"/>
    <w:rsid w:val="000870CD"/>
    <w:rsid w:val="0008739B"/>
    <w:rsid w:val="0009055A"/>
    <w:rsid w:val="00091612"/>
    <w:rsid w:val="000917D3"/>
    <w:rsid w:val="00091EC6"/>
    <w:rsid w:val="00093074"/>
    <w:rsid w:val="00093294"/>
    <w:rsid w:val="000935C0"/>
    <w:rsid w:val="0009479F"/>
    <w:rsid w:val="000950F9"/>
    <w:rsid w:val="0009521D"/>
    <w:rsid w:val="00095252"/>
    <w:rsid w:val="000956B2"/>
    <w:rsid w:val="00095B43"/>
    <w:rsid w:val="000963A0"/>
    <w:rsid w:val="00096A90"/>
    <w:rsid w:val="00096ED2"/>
    <w:rsid w:val="00096F8C"/>
    <w:rsid w:val="000A0235"/>
    <w:rsid w:val="000A2421"/>
    <w:rsid w:val="000A3ABA"/>
    <w:rsid w:val="000A58A5"/>
    <w:rsid w:val="000A58BF"/>
    <w:rsid w:val="000A5BFF"/>
    <w:rsid w:val="000A5D44"/>
    <w:rsid w:val="000A74FB"/>
    <w:rsid w:val="000A7CBE"/>
    <w:rsid w:val="000A7F01"/>
    <w:rsid w:val="000B1309"/>
    <w:rsid w:val="000B1B8B"/>
    <w:rsid w:val="000B2F81"/>
    <w:rsid w:val="000B3935"/>
    <w:rsid w:val="000B3AE6"/>
    <w:rsid w:val="000B485B"/>
    <w:rsid w:val="000B5597"/>
    <w:rsid w:val="000B5606"/>
    <w:rsid w:val="000B6FC1"/>
    <w:rsid w:val="000B7241"/>
    <w:rsid w:val="000B75D9"/>
    <w:rsid w:val="000B78BE"/>
    <w:rsid w:val="000B7F96"/>
    <w:rsid w:val="000C0647"/>
    <w:rsid w:val="000C0F4F"/>
    <w:rsid w:val="000C1631"/>
    <w:rsid w:val="000C3D3A"/>
    <w:rsid w:val="000C42E2"/>
    <w:rsid w:val="000C446A"/>
    <w:rsid w:val="000C5351"/>
    <w:rsid w:val="000C7211"/>
    <w:rsid w:val="000C7386"/>
    <w:rsid w:val="000C7A31"/>
    <w:rsid w:val="000D005F"/>
    <w:rsid w:val="000D095E"/>
    <w:rsid w:val="000D1C80"/>
    <w:rsid w:val="000D20BD"/>
    <w:rsid w:val="000D3371"/>
    <w:rsid w:val="000D45DB"/>
    <w:rsid w:val="000D494D"/>
    <w:rsid w:val="000D561E"/>
    <w:rsid w:val="000D6410"/>
    <w:rsid w:val="000D646C"/>
    <w:rsid w:val="000D681E"/>
    <w:rsid w:val="000E0B3E"/>
    <w:rsid w:val="000E0CA4"/>
    <w:rsid w:val="000E1B05"/>
    <w:rsid w:val="000E1BD9"/>
    <w:rsid w:val="000E1C47"/>
    <w:rsid w:val="000E1FC9"/>
    <w:rsid w:val="000E24C2"/>
    <w:rsid w:val="000E251D"/>
    <w:rsid w:val="000E317F"/>
    <w:rsid w:val="000E369F"/>
    <w:rsid w:val="000E4F64"/>
    <w:rsid w:val="000E5FA8"/>
    <w:rsid w:val="000E63F0"/>
    <w:rsid w:val="000E705F"/>
    <w:rsid w:val="000E720F"/>
    <w:rsid w:val="000E7A7E"/>
    <w:rsid w:val="000E7EE6"/>
    <w:rsid w:val="000F06F8"/>
    <w:rsid w:val="000F0D87"/>
    <w:rsid w:val="000F0F56"/>
    <w:rsid w:val="000F201A"/>
    <w:rsid w:val="000F3621"/>
    <w:rsid w:val="000F4441"/>
    <w:rsid w:val="000F445B"/>
    <w:rsid w:val="000F49BB"/>
    <w:rsid w:val="000F66A1"/>
    <w:rsid w:val="000F7FB9"/>
    <w:rsid w:val="00100F0A"/>
    <w:rsid w:val="0010108E"/>
    <w:rsid w:val="00101345"/>
    <w:rsid w:val="001015FD"/>
    <w:rsid w:val="00101A16"/>
    <w:rsid w:val="00101F2D"/>
    <w:rsid w:val="001020AC"/>
    <w:rsid w:val="00102891"/>
    <w:rsid w:val="00103B53"/>
    <w:rsid w:val="00104487"/>
    <w:rsid w:val="001046B0"/>
    <w:rsid w:val="001052EF"/>
    <w:rsid w:val="00106B17"/>
    <w:rsid w:val="001071A4"/>
    <w:rsid w:val="00107418"/>
    <w:rsid w:val="00107FFC"/>
    <w:rsid w:val="00110604"/>
    <w:rsid w:val="00110B5F"/>
    <w:rsid w:val="00110D75"/>
    <w:rsid w:val="0011130A"/>
    <w:rsid w:val="00111555"/>
    <w:rsid w:val="00111651"/>
    <w:rsid w:val="0011190C"/>
    <w:rsid w:val="00111AC8"/>
    <w:rsid w:val="00111FFF"/>
    <w:rsid w:val="00112931"/>
    <w:rsid w:val="00113D26"/>
    <w:rsid w:val="00114688"/>
    <w:rsid w:val="0011761E"/>
    <w:rsid w:val="00117CE8"/>
    <w:rsid w:val="00117EE5"/>
    <w:rsid w:val="00117FDF"/>
    <w:rsid w:val="0012074C"/>
    <w:rsid w:val="00120F67"/>
    <w:rsid w:val="001211C1"/>
    <w:rsid w:val="00121B0D"/>
    <w:rsid w:val="00122277"/>
    <w:rsid w:val="00122572"/>
    <w:rsid w:val="001230E6"/>
    <w:rsid w:val="0012421D"/>
    <w:rsid w:val="00124BAF"/>
    <w:rsid w:val="00124E6B"/>
    <w:rsid w:val="00125771"/>
    <w:rsid w:val="0012664F"/>
    <w:rsid w:val="00126E5F"/>
    <w:rsid w:val="00126EF4"/>
    <w:rsid w:val="001272FA"/>
    <w:rsid w:val="001273A4"/>
    <w:rsid w:val="0012760A"/>
    <w:rsid w:val="00127828"/>
    <w:rsid w:val="00127F10"/>
    <w:rsid w:val="00130E76"/>
    <w:rsid w:val="00131868"/>
    <w:rsid w:val="001326C2"/>
    <w:rsid w:val="00132851"/>
    <w:rsid w:val="0013399B"/>
    <w:rsid w:val="00136295"/>
    <w:rsid w:val="00137BD7"/>
    <w:rsid w:val="00140C0D"/>
    <w:rsid w:val="001411C2"/>
    <w:rsid w:val="001417ED"/>
    <w:rsid w:val="00141F10"/>
    <w:rsid w:val="00142268"/>
    <w:rsid w:val="00143181"/>
    <w:rsid w:val="001434FB"/>
    <w:rsid w:val="001439A7"/>
    <w:rsid w:val="00143E11"/>
    <w:rsid w:val="00143ED4"/>
    <w:rsid w:val="00144737"/>
    <w:rsid w:val="0014500F"/>
    <w:rsid w:val="00145A81"/>
    <w:rsid w:val="00145C57"/>
    <w:rsid w:val="0014768A"/>
    <w:rsid w:val="00147DC1"/>
    <w:rsid w:val="0015152A"/>
    <w:rsid w:val="00152A7B"/>
    <w:rsid w:val="0015317B"/>
    <w:rsid w:val="00153807"/>
    <w:rsid w:val="00154142"/>
    <w:rsid w:val="00154522"/>
    <w:rsid w:val="00154C01"/>
    <w:rsid w:val="00156E24"/>
    <w:rsid w:val="00157A0E"/>
    <w:rsid w:val="00160485"/>
    <w:rsid w:val="0016071B"/>
    <w:rsid w:val="00160CA5"/>
    <w:rsid w:val="00160E21"/>
    <w:rsid w:val="001618E8"/>
    <w:rsid w:val="00161EC9"/>
    <w:rsid w:val="0016240E"/>
    <w:rsid w:val="00163015"/>
    <w:rsid w:val="00163205"/>
    <w:rsid w:val="0016353B"/>
    <w:rsid w:val="00163A64"/>
    <w:rsid w:val="0016593F"/>
    <w:rsid w:val="00165C83"/>
    <w:rsid w:val="001665CA"/>
    <w:rsid w:val="00166F17"/>
    <w:rsid w:val="00167D37"/>
    <w:rsid w:val="00170AEC"/>
    <w:rsid w:val="00170DC9"/>
    <w:rsid w:val="00171516"/>
    <w:rsid w:val="001716AD"/>
    <w:rsid w:val="00172772"/>
    <w:rsid w:val="00172D3E"/>
    <w:rsid w:val="00173D39"/>
    <w:rsid w:val="00174181"/>
    <w:rsid w:val="0017443A"/>
    <w:rsid w:val="00174982"/>
    <w:rsid w:val="00175A94"/>
    <w:rsid w:val="00175F78"/>
    <w:rsid w:val="00176618"/>
    <w:rsid w:val="00176A13"/>
    <w:rsid w:val="00182B2E"/>
    <w:rsid w:val="00183992"/>
    <w:rsid w:val="001839BF"/>
    <w:rsid w:val="00183DF6"/>
    <w:rsid w:val="00184CA7"/>
    <w:rsid w:val="00184E02"/>
    <w:rsid w:val="001857E9"/>
    <w:rsid w:val="00185835"/>
    <w:rsid w:val="00185F8A"/>
    <w:rsid w:val="0018763A"/>
    <w:rsid w:val="00187EAA"/>
    <w:rsid w:val="00187EC9"/>
    <w:rsid w:val="0019018B"/>
    <w:rsid w:val="00190C24"/>
    <w:rsid w:val="00190D1F"/>
    <w:rsid w:val="00190E8B"/>
    <w:rsid w:val="00192DAD"/>
    <w:rsid w:val="0019347B"/>
    <w:rsid w:val="00193570"/>
    <w:rsid w:val="0019363D"/>
    <w:rsid w:val="001939F2"/>
    <w:rsid w:val="001947D0"/>
    <w:rsid w:val="00194BF7"/>
    <w:rsid w:val="00195450"/>
    <w:rsid w:val="0019703E"/>
    <w:rsid w:val="001A1BD7"/>
    <w:rsid w:val="001A29C0"/>
    <w:rsid w:val="001A339A"/>
    <w:rsid w:val="001A3989"/>
    <w:rsid w:val="001A3EF0"/>
    <w:rsid w:val="001A4459"/>
    <w:rsid w:val="001A4846"/>
    <w:rsid w:val="001A4928"/>
    <w:rsid w:val="001A4A38"/>
    <w:rsid w:val="001A695C"/>
    <w:rsid w:val="001A6BC9"/>
    <w:rsid w:val="001B0016"/>
    <w:rsid w:val="001B00D6"/>
    <w:rsid w:val="001B07F3"/>
    <w:rsid w:val="001B0D19"/>
    <w:rsid w:val="001B168A"/>
    <w:rsid w:val="001B2A98"/>
    <w:rsid w:val="001B31BB"/>
    <w:rsid w:val="001B4164"/>
    <w:rsid w:val="001B42CD"/>
    <w:rsid w:val="001B642D"/>
    <w:rsid w:val="001B6442"/>
    <w:rsid w:val="001B6AA5"/>
    <w:rsid w:val="001B7473"/>
    <w:rsid w:val="001B7E18"/>
    <w:rsid w:val="001C0730"/>
    <w:rsid w:val="001C0908"/>
    <w:rsid w:val="001C1290"/>
    <w:rsid w:val="001C1A12"/>
    <w:rsid w:val="001C25F4"/>
    <w:rsid w:val="001C27CF"/>
    <w:rsid w:val="001C4CC9"/>
    <w:rsid w:val="001C5464"/>
    <w:rsid w:val="001C5AA5"/>
    <w:rsid w:val="001C67AC"/>
    <w:rsid w:val="001C6821"/>
    <w:rsid w:val="001C7320"/>
    <w:rsid w:val="001C75F9"/>
    <w:rsid w:val="001D1140"/>
    <w:rsid w:val="001D1154"/>
    <w:rsid w:val="001D24B9"/>
    <w:rsid w:val="001D2DA0"/>
    <w:rsid w:val="001D410A"/>
    <w:rsid w:val="001D485F"/>
    <w:rsid w:val="001D679B"/>
    <w:rsid w:val="001D6989"/>
    <w:rsid w:val="001D72B0"/>
    <w:rsid w:val="001D739B"/>
    <w:rsid w:val="001D7A8F"/>
    <w:rsid w:val="001E17FC"/>
    <w:rsid w:val="001E2527"/>
    <w:rsid w:val="001E2E61"/>
    <w:rsid w:val="001E3A38"/>
    <w:rsid w:val="001E4086"/>
    <w:rsid w:val="001E4CC8"/>
    <w:rsid w:val="001E63A1"/>
    <w:rsid w:val="001E6539"/>
    <w:rsid w:val="001E6F96"/>
    <w:rsid w:val="001F08E0"/>
    <w:rsid w:val="001F1004"/>
    <w:rsid w:val="001F105B"/>
    <w:rsid w:val="001F221A"/>
    <w:rsid w:val="001F24FB"/>
    <w:rsid w:val="001F4D10"/>
    <w:rsid w:val="001F519A"/>
    <w:rsid w:val="001F5F37"/>
    <w:rsid w:val="001F65FF"/>
    <w:rsid w:val="001F6868"/>
    <w:rsid w:val="001F7E18"/>
    <w:rsid w:val="00200864"/>
    <w:rsid w:val="00200953"/>
    <w:rsid w:val="00200DA3"/>
    <w:rsid w:val="00201269"/>
    <w:rsid w:val="002026EC"/>
    <w:rsid w:val="00202730"/>
    <w:rsid w:val="00202815"/>
    <w:rsid w:val="002054D5"/>
    <w:rsid w:val="00206B69"/>
    <w:rsid w:val="00206D76"/>
    <w:rsid w:val="0020753A"/>
    <w:rsid w:val="002075BC"/>
    <w:rsid w:val="002079C0"/>
    <w:rsid w:val="00210100"/>
    <w:rsid w:val="002106BB"/>
    <w:rsid w:val="002106CD"/>
    <w:rsid w:val="00210863"/>
    <w:rsid w:val="002109CE"/>
    <w:rsid w:val="00212143"/>
    <w:rsid w:val="002134B5"/>
    <w:rsid w:val="00214274"/>
    <w:rsid w:val="002143F6"/>
    <w:rsid w:val="00215A49"/>
    <w:rsid w:val="00215A4D"/>
    <w:rsid w:val="00216D0A"/>
    <w:rsid w:val="00217614"/>
    <w:rsid w:val="0022031E"/>
    <w:rsid w:val="00221CF1"/>
    <w:rsid w:val="002222A2"/>
    <w:rsid w:val="00222828"/>
    <w:rsid w:val="00222B69"/>
    <w:rsid w:val="00223677"/>
    <w:rsid w:val="00223737"/>
    <w:rsid w:val="00223988"/>
    <w:rsid w:val="0022442C"/>
    <w:rsid w:val="00224796"/>
    <w:rsid w:val="0022496C"/>
    <w:rsid w:val="00225C32"/>
    <w:rsid w:val="00225D55"/>
    <w:rsid w:val="00226600"/>
    <w:rsid w:val="0022739A"/>
    <w:rsid w:val="0022742F"/>
    <w:rsid w:val="00232213"/>
    <w:rsid w:val="0023283D"/>
    <w:rsid w:val="002329F9"/>
    <w:rsid w:val="002333FD"/>
    <w:rsid w:val="00234698"/>
    <w:rsid w:val="00234A16"/>
    <w:rsid w:val="00237FB6"/>
    <w:rsid w:val="00240330"/>
    <w:rsid w:val="002404DC"/>
    <w:rsid w:val="00241476"/>
    <w:rsid w:val="00242DCA"/>
    <w:rsid w:val="0024325E"/>
    <w:rsid w:val="002440E5"/>
    <w:rsid w:val="0024450F"/>
    <w:rsid w:val="00245089"/>
    <w:rsid w:val="0024538E"/>
    <w:rsid w:val="002453D4"/>
    <w:rsid w:val="00245A63"/>
    <w:rsid w:val="00245DA9"/>
    <w:rsid w:val="002475D3"/>
    <w:rsid w:val="0024770A"/>
    <w:rsid w:val="00247F63"/>
    <w:rsid w:val="00250164"/>
    <w:rsid w:val="00251520"/>
    <w:rsid w:val="002528DD"/>
    <w:rsid w:val="00252CC9"/>
    <w:rsid w:val="002532B2"/>
    <w:rsid w:val="002535E4"/>
    <w:rsid w:val="00253C87"/>
    <w:rsid w:val="00254A13"/>
    <w:rsid w:val="00254E04"/>
    <w:rsid w:val="00255E2A"/>
    <w:rsid w:val="00255F25"/>
    <w:rsid w:val="00255FCA"/>
    <w:rsid w:val="0025603C"/>
    <w:rsid w:val="002570DB"/>
    <w:rsid w:val="0026093A"/>
    <w:rsid w:val="00261745"/>
    <w:rsid w:val="0026347A"/>
    <w:rsid w:val="002640D3"/>
    <w:rsid w:val="0026470F"/>
    <w:rsid w:val="002653F0"/>
    <w:rsid w:val="00265407"/>
    <w:rsid w:val="00265BD0"/>
    <w:rsid w:val="002665EB"/>
    <w:rsid w:val="00270025"/>
    <w:rsid w:val="00270D0B"/>
    <w:rsid w:val="00270F6F"/>
    <w:rsid w:val="00272675"/>
    <w:rsid w:val="00272C26"/>
    <w:rsid w:val="00275036"/>
    <w:rsid w:val="002750E9"/>
    <w:rsid w:val="002755D7"/>
    <w:rsid w:val="00276518"/>
    <w:rsid w:val="0027681B"/>
    <w:rsid w:val="002772A5"/>
    <w:rsid w:val="00277D62"/>
    <w:rsid w:val="00277DE3"/>
    <w:rsid w:val="00277FA3"/>
    <w:rsid w:val="00280581"/>
    <w:rsid w:val="002806AA"/>
    <w:rsid w:val="00280B37"/>
    <w:rsid w:val="002817BB"/>
    <w:rsid w:val="00281CCA"/>
    <w:rsid w:val="00282293"/>
    <w:rsid w:val="002826A4"/>
    <w:rsid w:val="00282BA8"/>
    <w:rsid w:val="002834DD"/>
    <w:rsid w:val="00283A5D"/>
    <w:rsid w:val="00287A35"/>
    <w:rsid w:val="00287D88"/>
    <w:rsid w:val="002906BB"/>
    <w:rsid w:val="00290824"/>
    <w:rsid w:val="00290867"/>
    <w:rsid w:val="00290FE1"/>
    <w:rsid w:val="00292C2A"/>
    <w:rsid w:val="00293FFF"/>
    <w:rsid w:val="002948AC"/>
    <w:rsid w:val="00294B22"/>
    <w:rsid w:val="00295BFA"/>
    <w:rsid w:val="002A108F"/>
    <w:rsid w:val="002A198E"/>
    <w:rsid w:val="002A1D76"/>
    <w:rsid w:val="002A2EFD"/>
    <w:rsid w:val="002A2FDD"/>
    <w:rsid w:val="002A65E0"/>
    <w:rsid w:val="002A6648"/>
    <w:rsid w:val="002A6E72"/>
    <w:rsid w:val="002A797A"/>
    <w:rsid w:val="002B03C0"/>
    <w:rsid w:val="002B1438"/>
    <w:rsid w:val="002B15A6"/>
    <w:rsid w:val="002B1823"/>
    <w:rsid w:val="002B266D"/>
    <w:rsid w:val="002B2B71"/>
    <w:rsid w:val="002B38B9"/>
    <w:rsid w:val="002B3B98"/>
    <w:rsid w:val="002B55E5"/>
    <w:rsid w:val="002B5BEA"/>
    <w:rsid w:val="002B5D9D"/>
    <w:rsid w:val="002B5FB8"/>
    <w:rsid w:val="002B666A"/>
    <w:rsid w:val="002B7651"/>
    <w:rsid w:val="002B7F8E"/>
    <w:rsid w:val="002C03E4"/>
    <w:rsid w:val="002C0774"/>
    <w:rsid w:val="002C35AE"/>
    <w:rsid w:val="002C4D11"/>
    <w:rsid w:val="002C58DA"/>
    <w:rsid w:val="002C5EDC"/>
    <w:rsid w:val="002C652B"/>
    <w:rsid w:val="002C73E7"/>
    <w:rsid w:val="002C7422"/>
    <w:rsid w:val="002C7563"/>
    <w:rsid w:val="002C7B01"/>
    <w:rsid w:val="002C7E13"/>
    <w:rsid w:val="002D12D2"/>
    <w:rsid w:val="002D22C8"/>
    <w:rsid w:val="002D287E"/>
    <w:rsid w:val="002D352B"/>
    <w:rsid w:val="002D3B30"/>
    <w:rsid w:val="002D477C"/>
    <w:rsid w:val="002D49CB"/>
    <w:rsid w:val="002D49DF"/>
    <w:rsid w:val="002D669C"/>
    <w:rsid w:val="002E1907"/>
    <w:rsid w:val="002E1D83"/>
    <w:rsid w:val="002E2627"/>
    <w:rsid w:val="002E2C83"/>
    <w:rsid w:val="002E323A"/>
    <w:rsid w:val="002E328D"/>
    <w:rsid w:val="002E392D"/>
    <w:rsid w:val="002E4003"/>
    <w:rsid w:val="002E43C4"/>
    <w:rsid w:val="002E4A60"/>
    <w:rsid w:val="002E50FA"/>
    <w:rsid w:val="002E56CA"/>
    <w:rsid w:val="002E5A8F"/>
    <w:rsid w:val="002E5D4B"/>
    <w:rsid w:val="002F0B7D"/>
    <w:rsid w:val="002F0E6D"/>
    <w:rsid w:val="002F1896"/>
    <w:rsid w:val="002F1C1B"/>
    <w:rsid w:val="002F2637"/>
    <w:rsid w:val="002F375F"/>
    <w:rsid w:val="002F4CBC"/>
    <w:rsid w:val="002F51CF"/>
    <w:rsid w:val="002F5DD5"/>
    <w:rsid w:val="002F5EE4"/>
    <w:rsid w:val="002F60AE"/>
    <w:rsid w:val="002F7EFD"/>
    <w:rsid w:val="00301470"/>
    <w:rsid w:val="00301F40"/>
    <w:rsid w:val="0030381B"/>
    <w:rsid w:val="003039E9"/>
    <w:rsid w:val="00303BA3"/>
    <w:rsid w:val="00305811"/>
    <w:rsid w:val="00305B22"/>
    <w:rsid w:val="00305C65"/>
    <w:rsid w:val="00305F48"/>
    <w:rsid w:val="00306A25"/>
    <w:rsid w:val="00307BAB"/>
    <w:rsid w:val="00307F2F"/>
    <w:rsid w:val="00310236"/>
    <w:rsid w:val="003102D8"/>
    <w:rsid w:val="0031031C"/>
    <w:rsid w:val="00310963"/>
    <w:rsid w:val="00310DA9"/>
    <w:rsid w:val="0031211F"/>
    <w:rsid w:val="003123DD"/>
    <w:rsid w:val="003127FD"/>
    <w:rsid w:val="00313130"/>
    <w:rsid w:val="0031355B"/>
    <w:rsid w:val="00313E21"/>
    <w:rsid w:val="003142D9"/>
    <w:rsid w:val="00315052"/>
    <w:rsid w:val="00316121"/>
    <w:rsid w:val="00316346"/>
    <w:rsid w:val="0031676D"/>
    <w:rsid w:val="00316FDC"/>
    <w:rsid w:val="00317A12"/>
    <w:rsid w:val="00317AA6"/>
    <w:rsid w:val="00317D07"/>
    <w:rsid w:val="00320141"/>
    <w:rsid w:val="003207F0"/>
    <w:rsid w:val="00320C94"/>
    <w:rsid w:val="003237EC"/>
    <w:rsid w:val="00323DFF"/>
    <w:rsid w:val="00324F6C"/>
    <w:rsid w:val="00325169"/>
    <w:rsid w:val="00325585"/>
    <w:rsid w:val="0032674F"/>
    <w:rsid w:val="003270E2"/>
    <w:rsid w:val="003271E9"/>
    <w:rsid w:val="00327E87"/>
    <w:rsid w:val="00330127"/>
    <w:rsid w:val="00330399"/>
    <w:rsid w:val="00330C07"/>
    <w:rsid w:val="00330C85"/>
    <w:rsid w:val="00331166"/>
    <w:rsid w:val="00331497"/>
    <w:rsid w:val="00332D5F"/>
    <w:rsid w:val="003336D3"/>
    <w:rsid w:val="0033375B"/>
    <w:rsid w:val="003339C2"/>
    <w:rsid w:val="00333FF0"/>
    <w:rsid w:val="00334867"/>
    <w:rsid w:val="00335633"/>
    <w:rsid w:val="00337D3B"/>
    <w:rsid w:val="0034127E"/>
    <w:rsid w:val="00341673"/>
    <w:rsid w:val="003419AE"/>
    <w:rsid w:val="00343AFE"/>
    <w:rsid w:val="003444BE"/>
    <w:rsid w:val="00344F2F"/>
    <w:rsid w:val="003465B2"/>
    <w:rsid w:val="003468F0"/>
    <w:rsid w:val="00346AEF"/>
    <w:rsid w:val="00347C35"/>
    <w:rsid w:val="00347CFB"/>
    <w:rsid w:val="00347EDA"/>
    <w:rsid w:val="00350101"/>
    <w:rsid w:val="0035036B"/>
    <w:rsid w:val="00350B54"/>
    <w:rsid w:val="00350D2F"/>
    <w:rsid w:val="00351BDC"/>
    <w:rsid w:val="0035431A"/>
    <w:rsid w:val="00355D9D"/>
    <w:rsid w:val="0035668C"/>
    <w:rsid w:val="00356D51"/>
    <w:rsid w:val="00357C53"/>
    <w:rsid w:val="00360007"/>
    <w:rsid w:val="003614B7"/>
    <w:rsid w:val="0036173B"/>
    <w:rsid w:val="00361BB9"/>
    <w:rsid w:val="00361D55"/>
    <w:rsid w:val="003623E3"/>
    <w:rsid w:val="00363227"/>
    <w:rsid w:val="00363EF2"/>
    <w:rsid w:val="003653E3"/>
    <w:rsid w:val="00366C78"/>
    <w:rsid w:val="00370A3A"/>
    <w:rsid w:val="00371E2E"/>
    <w:rsid w:val="003746A8"/>
    <w:rsid w:val="003750CC"/>
    <w:rsid w:val="003760A1"/>
    <w:rsid w:val="003760B2"/>
    <w:rsid w:val="00380E8C"/>
    <w:rsid w:val="003810C1"/>
    <w:rsid w:val="003824C5"/>
    <w:rsid w:val="0038310D"/>
    <w:rsid w:val="00383AAF"/>
    <w:rsid w:val="00384040"/>
    <w:rsid w:val="00384803"/>
    <w:rsid w:val="003854C9"/>
    <w:rsid w:val="00385B6D"/>
    <w:rsid w:val="00387910"/>
    <w:rsid w:val="00387CD9"/>
    <w:rsid w:val="00390464"/>
    <w:rsid w:val="00390C43"/>
    <w:rsid w:val="00390CCF"/>
    <w:rsid w:val="003912E5"/>
    <w:rsid w:val="00391F3C"/>
    <w:rsid w:val="0039255C"/>
    <w:rsid w:val="00392654"/>
    <w:rsid w:val="0039329C"/>
    <w:rsid w:val="00393710"/>
    <w:rsid w:val="00393760"/>
    <w:rsid w:val="00394CCB"/>
    <w:rsid w:val="003961FB"/>
    <w:rsid w:val="00396DA0"/>
    <w:rsid w:val="00396E4D"/>
    <w:rsid w:val="00396FC3"/>
    <w:rsid w:val="00396FDB"/>
    <w:rsid w:val="00397CDA"/>
    <w:rsid w:val="003A2184"/>
    <w:rsid w:val="003A2781"/>
    <w:rsid w:val="003A2884"/>
    <w:rsid w:val="003A38B0"/>
    <w:rsid w:val="003A39C6"/>
    <w:rsid w:val="003A3EA5"/>
    <w:rsid w:val="003A4345"/>
    <w:rsid w:val="003A5DF3"/>
    <w:rsid w:val="003A68AB"/>
    <w:rsid w:val="003A7F32"/>
    <w:rsid w:val="003B022A"/>
    <w:rsid w:val="003B0E4B"/>
    <w:rsid w:val="003B1993"/>
    <w:rsid w:val="003B31C7"/>
    <w:rsid w:val="003B3BDE"/>
    <w:rsid w:val="003B3FC0"/>
    <w:rsid w:val="003B5AA2"/>
    <w:rsid w:val="003B6195"/>
    <w:rsid w:val="003C0922"/>
    <w:rsid w:val="003C1668"/>
    <w:rsid w:val="003C3E73"/>
    <w:rsid w:val="003C452B"/>
    <w:rsid w:val="003C6598"/>
    <w:rsid w:val="003C7BAE"/>
    <w:rsid w:val="003D0AAE"/>
    <w:rsid w:val="003D0E66"/>
    <w:rsid w:val="003D2153"/>
    <w:rsid w:val="003D2CD1"/>
    <w:rsid w:val="003D3616"/>
    <w:rsid w:val="003D4B6A"/>
    <w:rsid w:val="003D728E"/>
    <w:rsid w:val="003E0E97"/>
    <w:rsid w:val="003E12A8"/>
    <w:rsid w:val="003E22EB"/>
    <w:rsid w:val="003E28EC"/>
    <w:rsid w:val="003E3A7E"/>
    <w:rsid w:val="003E4592"/>
    <w:rsid w:val="003E479D"/>
    <w:rsid w:val="003E6FC0"/>
    <w:rsid w:val="003E73B4"/>
    <w:rsid w:val="003E7B33"/>
    <w:rsid w:val="003E7D15"/>
    <w:rsid w:val="003F000D"/>
    <w:rsid w:val="003F01BA"/>
    <w:rsid w:val="003F1ABB"/>
    <w:rsid w:val="003F22D9"/>
    <w:rsid w:val="003F443D"/>
    <w:rsid w:val="003F4EAB"/>
    <w:rsid w:val="003F755B"/>
    <w:rsid w:val="003F78B4"/>
    <w:rsid w:val="00400051"/>
    <w:rsid w:val="004000B0"/>
    <w:rsid w:val="00400F0F"/>
    <w:rsid w:val="00401A58"/>
    <w:rsid w:val="00402215"/>
    <w:rsid w:val="00402A6D"/>
    <w:rsid w:val="0040315F"/>
    <w:rsid w:val="00403488"/>
    <w:rsid w:val="00404BD5"/>
    <w:rsid w:val="00406092"/>
    <w:rsid w:val="00406D11"/>
    <w:rsid w:val="0040735F"/>
    <w:rsid w:val="00407B56"/>
    <w:rsid w:val="004101F2"/>
    <w:rsid w:val="0041070D"/>
    <w:rsid w:val="00410AA9"/>
    <w:rsid w:val="00411CF4"/>
    <w:rsid w:val="00411D86"/>
    <w:rsid w:val="004137CA"/>
    <w:rsid w:val="00413BC0"/>
    <w:rsid w:val="004148C8"/>
    <w:rsid w:val="00415057"/>
    <w:rsid w:val="0041593B"/>
    <w:rsid w:val="00415EFB"/>
    <w:rsid w:val="0041696E"/>
    <w:rsid w:val="004170A0"/>
    <w:rsid w:val="00421A2A"/>
    <w:rsid w:val="004241B8"/>
    <w:rsid w:val="00424D26"/>
    <w:rsid w:val="00424EB4"/>
    <w:rsid w:val="00425D49"/>
    <w:rsid w:val="00425E98"/>
    <w:rsid w:val="004264C4"/>
    <w:rsid w:val="00426F1F"/>
    <w:rsid w:val="00427533"/>
    <w:rsid w:val="00427638"/>
    <w:rsid w:val="00427C21"/>
    <w:rsid w:val="004301FE"/>
    <w:rsid w:val="0043120E"/>
    <w:rsid w:val="0043161A"/>
    <w:rsid w:val="0043308F"/>
    <w:rsid w:val="00434253"/>
    <w:rsid w:val="004344AA"/>
    <w:rsid w:val="0043466E"/>
    <w:rsid w:val="004349A6"/>
    <w:rsid w:val="00434B9A"/>
    <w:rsid w:val="00434BCA"/>
    <w:rsid w:val="00434DC4"/>
    <w:rsid w:val="004355C4"/>
    <w:rsid w:val="0043682E"/>
    <w:rsid w:val="004371E2"/>
    <w:rsid w:val="00437778"/>
    <w:rsid w:val="00440CD4"/>
    <w:rsid w:val="00443520"/>
    <w:rsid w:val="00443A6B"/>
    <w:rsid w:val="00443B09"/>
    <w:rsid w:val="004441FB"/>
    <w:rsid w:val="0044490C"/>
    <w:rsid w:val="0044519B"/>
    <w:rsid w:val="00445214"/>
    <w:rsid w:val="00445368"/>
    <w:rsid w:val="004466C2"/>
    <w:rsid w:val="004472AE"/>
    <w:rsid w:val="00452A90"/>
    <w:rsid w:val="004530D4"/>
    <w:rsid w:val="00453357"/>
    <w:rsid w:val="00454691"/>
    <w:rsid w:val="00455103"/>
    <w:rsid w:val="00455D96"/>
    <w:rsid w:val="00455DA7"/>
    <w:rsid w:val="004571B3"/>
    <w:rsid w:val="00457303"/>
    <w:rsid w:val="00457974"/>
    <w:rsid w:val="00457D1E"/>
    <w:rsid w:val="00460227"/>
    <w:rsid w:val="004603AC"/>
    <w:rsid w:val="00464BD6"/>
    <w:rsid w:val="00465B41"/>
    <w:rsid w:val="00466C99"/>
    <w:rsid w:val="004676A2"/>
    <w:rsid w:val="00470001"/>
    <w:rsid w:val="00470CFF"/>
    <w:rsid w:val="00470FBE"/>
    <w:rsid w:val="0047114F"/>
    <w:rsid w:val="004711C4"/>
    <w:rsid w:val="00471907"/>
    <w:rsid w:val="00471945"/>
    <w:rsid w:val="00471CEF"/>
    <w:rsid w:val="00471FC9"/>
    <w:rsid w:val="0047280A"/>
    <w:rsid w:val="00472B96"/>
    <w:rsid w:val="00472CAE"/>
    <w:rsid w:val="0047372F"/>
    <w:rsid w:val="0047407B"/>
    <w:rsid w:val="0047559F"/>
    <w:rsid w:val="00476429"/>
    <w:rsid w:val="00477314"/>
    <w:rsid w:val="0047749B"/>
    <w:rsid w:val="004778DE"/>
    <w:rsid w:val="00480074"/>
    <w:rsid w:val="004805A7"/>
    <w:rsid w:val="00481054"/>
    <w:rsid w:val="004817AD"/>
    <w:rsid w:val="00483826"/>
    <w:rsid w:val="00483CF2"/>
    <w:rsid w:val="00483D62"/>
    <w:rsid w:val="004844FC"/>
    <w:rsid w:val="00485848"/>
    <w:rsid w:val="004860DE"/>
    <w:rsid w:val="00486811"/>
    <w:rsid w:val="00487465"/>
    <w:rsid w:val="00487969"/>
    <w:rsid w:val="00487B0F"/>
    <w:rsid w:val="00487EE7"/>
    <w:rsid w:val="0049018C"/>
    <w:rsid w:val="00491E98"/>
    <w:rsid w:val="00491F19"/>
    <w:rsid w:val="0049411F"/>
    <w:rsid w:val="00494A6E"/>
    <w:rsid w:val="004963FD"/>
    <w:rsid w:val="0049762B"/>
    <w:rsid w:val="004A0796"/>
    <w:rsid w:val="004A1B20"/>
    <w:rsid w:val="004A208B"/>
    <w:rsid w:val="004A233E"/>
    <w:rsid w:val="004A2777"/>
    <w:rsid w:val="004A3303"/>
    <w:rsid w:val="004A3613"/>
    <w:rsid w:val="004A5631"/>
    <w:rsid w:val="004A56BC"/>
    <w:rsid w:val="004A5D96"/>
    <w:rsid w:val="004A6528"/>
    <w:rsid w:val="004A7E75"/>
    <w:rsid w:val="004B1863"/>
    <w:rsid w:val="004B1ACF"/>
    <w:rsid w:val="004B1B6A"/>
    <w:rsid w:val="004B1E12"/>
    <w:rsid w:val="004B2112"/>
    <w:rsid w:val="004B4F79"/>
    <w:rsid w:val="004B4FA3"/>
    <w:rsid w:val="004B643A"/>
    <w:rsid w:val="004B6FFD"/>
    <w:rsid w:val="004B773C"/>
    <w:rsid w:val="004B7DBF"/>
    <w:rsid w:val="004B7FBC"/>
    <w:rsid w:val="004C005C"/>
    <w:rsid w:val="004C036A"/>
    <w:rsid w:val="004C053C"/>
    <w:rsid w:val="004C1462"/>
    <w:rsid w:val="004C1479"/>
    <w:rsid w:val="004C1B3F"/>
    <w:rsid w:val="004C29DB"/>
    <w:rsid w:val="004C2A1C"/>
    <w:rsid w:val="004C53B2"/>
    <w:rsid w:val="004C5C8F"/>
    <w:rsid w:val="004C605D"/>
    <w:rsid w:val="004C77A5"/>
    <w:rsid w:val="004D04F8"/>
    <w:rsid w:val="004D1646"/>
    <w:rsid w:val="004D2B8B"/>
    <w:rsid w:val="004D4B67"/>
    <w:rsid w:val="004D59DE"/>
    <w:rsid w:val="004E0528"/>
    <w:rsid w:val="004E0860"/>
    <w:rsid w:val="004E094B"/>
    <w:rsid w:val="004E1069"/>
    <w:rsid w:val="004E129A"/>
    <w:rsid w:val="004E2B42"/>
    <w:rsid w:val="004E397A"/>
    <w:rsid w:val="004E4A2D"/>
    <w:rsid w:val="004E50C1"/>
    <w:rsid w:val="004E5D44"/>
    <w:rsid w:val="004E5D58"/>
    <w:rsid w:val="004E643B"/>
    <w:rsid w:val="004E6B6C"/>
    <w:rsid w:val="004E7310"/>
    <w:rsid w:val="004E7949"/>
    <w:rsid w:val="004F0AA2"/>
    <w:rsid w:val="004F130A"/>
    <w:rsid w:val="004F1C0F"/>
    <w:rsid w:val="004F21AE"/>
    <w:rsid w:val="004F2BBE"/>
    <w:rsid w:val="004F372A"/>
    <w:rsid w:val="004F3863"/>
    <w:rsid w:val="004F5396"/>
    <w:rsid w:val="004F676C"/>
    <w:rsid w:val="004F6AB4"/>
    <w:rsid w:val="004F6C1B"/>
    <w:rsid w:val="004F7C73"/>
    <w:rsid w:val="005013AD"/>
    <w:rsid w:val="005029F1"/>
    <w:rsid w:val="00502DD3"/>
    <w:rsid w:val="00503AFF"/>
    <w:rsid w:val="00503DD1"/>
    <w:rsid w:val="00503E72"/>
    <w:rsid w:val="00503F1A"/>
    <w:rsid w:val="0050485A"/>
    <w:rsid w:val="005056E7"/>
    <w:rsid w:val="00506137"/>
    <w:rsid w:val="00506DC4"/>
    <w:rsid w:val="00506FD6"/>
    <w:rsid w:val="005072E3"/>
    <w:rsid w:val="00507973"/>
    <w:rsid w:val="00507CD3"/>
    <w:rsid w:val="00510282"/>
    <w:rsid w:val="00510984"/>
    <w:rsid w:val="00510C77"/>
    <w:rsid w:val="00510FD4"/>
    <w:rsid w:val="00511FC7"/>
    <w:rsid w:val="005122EE"/>
    <w:rsid w:val="005137C5"/>
    <w:rsid w:val="00514C8C"/>
    <w:rsid w:val="00515E58"/>
    <w:rsid w:val="005163F7"/>
    <w:rsid w:val="0051690D"/>
    <w:rsid w:val="00517181"/>
    <w:rsid w:val="005219B6"/>
    <w:rsid w:val="00521B25"/>
    <w:rsid w:val="005228FE"/>
    <w:rsid w:val="00522FB8"/>
    <w:rsid w:val="005237F0"/>
    <w:rsid w:val="00523BBF"/>
    <w:rsid w:val="00524667"/>
    <w:rsid w:val="00525419"/>
    <w:rsid w:val="005264C7"/>
    <w:rsid w:val="00526A9E"/>
    <w:rsid w:val="00530C2F"/>
    <w:rsid w:val="00531EF9"/>
    <w:rsid w:val="00532299"/>
    <w:rsid w:val="00533517"/>
    <w:rsid w:val="005358DC"/>
    <w:rsid w:val="00536FFE"/>
    <w:rsid w:val="0053703A"/>
    <w:rsid w:val="00537BCA"/>
    <w:rsid w:val="00537D6E"/>
    <w:rsid w:val="00540D49"/>
    <w:rsid w:val="005412AB"/>
    <w:rsid w:val="005427C7"/>
    <w:rsid w:val="005434A6"/>
    <w:rsid w:val="005439DD"/>
    <w:rsid w:val="00544308"/>
    <w:rsid w:val="0054451B"/>
    <w:rsid w:val="00544D73"/>
    <w:rsid w:val="00545A1A"/>
    <w:rsid w:val="00546268"/>
    <w:rsid w:val="005472DA"/>
    <w:rsid w:val="005472E6"/>
    <w:rsid w:val="00547AA4"/>
    <w:rsid w:val="005507B6"/>
    <w:rsid w:val="00550D0D"/>
    <w:rsid w:val="00553DEF"/>
    <w:rsid w:val="00554020"/>
    <w:rsid w:val="0055403E"/>
    <w:rsid w:val="005541D1"/>
    <w:rsid w:val="005551C2"/>
    <w:rsid w:val="00555EF9"/>
    <w:rsid w:val="0055659D"/>
    <w:rsid w:val="005577D9"/>
    <w:rsid w:val="005601BE"/>
    <w:rsid w:val="00562B64"/>
    <w:rsid w:val="00563F32"/>
    <w:rsid w:val="005661B7"/>
    <w:rsid w:val="00566D3F"/>
    <w:rsid w:val="00570AEC"/>
    <w:rsid w:val="00570D79"/>
    <w:rsid w:val="00570F4B"/>
    <w:rsid w:val="00570F68"/>
    <w:rsid w:val="00571261"/>
    <w:rsid w:val="00571C49"/>
    <w:rsid w:val="00571D0C"/>
    <w:rsid w:val="00572129"/>
    <w:rsid w:val="0057307B"/>
    <w:rsid w:val="005730D3"/>
    <w:rsid w:val="00573B3D"/>
    <w:rsid w:val="005766E9"/>
    <w:rsid w:val="00576872"/>
    <w:rsid w:val="005777DE"/>
    <w:rsid w:val="00580A26"/>
    <w:rsid w:val="0058183B"/>
    <w:rsid w:val="005833E0"/>
    <w:rsid w:val="005837B7"/>
    <w:rsid w:val="00584D06"/>
    <w:rsid w:val="00584E1A"/>
    <w:rsid w:val="005858E9"/>
    <w:rsid w:val="00585D4B"/>
    <w:rsid w:val="00586FDF"/>
    <w:rsid w:val="00587470"/>
    <w:rsid w:val="005902CB"/>
    <w:rsid w:val="0059031A"/>
    <w:rsid w:val="00591CCA"/>
    <w:rsid w:val="00591EE5"/>
    <w:rsid w:val="00591F4B"/>
    <w:rsid w:val="005920BB"/>
    <w:rsid w:val="0059215A"/>
    <w:rsid w:val="0059228D"/>
    <w:rsid w:val="005926B9"/>
    <w:rsid w:val="00592860"/>
    <w:rsid w:val="00593561"/>
    <w:rsid w:val="005935D6"/>
    <w:rsid w:val="00594000"/>
    <w:rsid w:val="005964FB"/>
    <w:rsid w:val="0059669E"/>
    <w:rsid w:val="00596FC1"/>
    <w:rsid w:val="005974FB"/>
    <w:rsid w:val="00597E3A"/>
    <w:rsid w:val="005A046B"/>
    <w:rsid w:val="005A3497"/>
    <w:rsid w:val="005A4377"/>
    <w:rsid w:val="005A5694"/>
    <w:rsid w:val="005A5BE7"/>
    <w:rsid w:val="005A6A2C"/>
    <w:rsid w:val="005A6E23"/>
    <w:rsid w:val="005A71D4"/>
    <w:rsid w:val="005A7553"/>
    <w:rsid w:val="005B00F3"/>
    <w:rsid w:val="005B02FA"/>
    <w:rsid w:val="005B12E1"/>
    <w:rsid w:val="005B20FB"/>
    <w:rsid w:val="005B2773"/>
    <w:rsid w:val="005B37E3"/>
    <w:rsid w:val="005B38C4"/>
    <w:rsid w:val="005B3D78"/>
    <w:rsid w:val="005B65B2"/>
    <w:rsid w:val="005B65D0"/>
    <w:rsid w:val="005B66B7"/>
    <w:rsid w:val="005B6F43"/>
    <w:rsid w:val="005B7FFC"/>
    <w:rsid w:val="005C092A"/>
    <w:rsid w:val="005C0E55"/>
    <w:rsid w:val="005C1645"/>
    <w:rsid w:val="005C259F"/>
    <w:rsid w:val="005C2C6B"/>
    <w:rsid w:val="005C5536"/>
    <w:rsid w:val="005C6AB5"/>
    <w:rsid w:val="005C706C"/>
    <w:rsid w:val="005D253E"/>
    <w:rsid w:val="005D2787"/>
    <w:rsid w:val="005D2A3F"/>
    <w:rsid w:val="005D37DB"/>
    <w:rsid w:val="005D39BA"/>
    <w:rsid w:val="005D3B4B"/>
    <w:rsid w:val="005D4362"/>
    <w:rsid w:val="005D554A"/>
    <w:rsid w:val="005D6703"/>
    <w:rsid w:val="005E13BF"/>
    <w:rsid w:val="005E23DF"/>
    <w:rsid w:val="005E2552"/>
    <w:rsid w:val="005E2B50"/>
    <w:rsid w:val="005E30CD"/>
    <w:rsid w:val="005E33DE"/>
    <w:rsid w:val="005E58A1"/>
    <w:rsid w:val="005E7B52"/>
    <w:rsid w:val="005F1C02"/>
    <w:rsid w:val="005F1CDC"/>
    <w:rsid w:val="005F30A5"/>
    <w:rsid w:val="005F3CBE"/>
    <w:rsid w:val="005F3D65"/>
    <w:rsid w:val="005F4307"/>
    <w:rsid w:val="005F499B"/>
    <w:rsid w:val="005F51E1"/>
    <w:rsid w:val="005F577A"/>
    <w:rsid w:val="005F636A"/>
    <w:rsid w:val="005F720E"/>
    <w:rsid w:val="005F72A8"/>
    <w:rsid w:val="005F7484"/>
    <w:rsid w:val="00601058"/>
    <w:rsid w:val="00601A12"/>
    <w:rsid w:val="00602586"/>
    <w:rsid w:val="0060355B"/>
    <w:rsid w:val="00603A16"/>
    <w:rsid w:val="00603F8C"/>
    <w:rsid w:val="00605713"/>
    <w:rsid w:val="0060667F"/>
    <w:rsid w:val="00607F31"/>
    <w:rsid w:val="006100BB"/>
    <w:rsid w:val="00611536"/>
    <w:rsid w:val="00612084"/>
    <w:rsid w:val="00612122"/>
    <w:rsid w:val="006125E9"/>
    <w:rsid w:val="006128FF"/>
    <w:rsid w:val="006130DC"/>
    <w:rsid w:val="00613710"/>
    <w:rsid w:val="00613B5A"/>
    <w:rsid w:val="00613C6E"/>
    <w:rsid w:val="00613F03"/>
    <w:rsid w:val="00614918"/>
    <w:rsid w:val="00614A2F"/>
    <w:rsid w:val="00614AC9"/>
    <w:rsid w:val="00614E04"/>
    <w:rsid w:val="00614ECB"/>
    <w:rsid w:val="00616710"/>
    <w:rsid w:val="00617D1C"/>
    <w:rsid w:val="00620EED"/>
    <w:rsid w:val="00621582"/>
    <w:rsid w:val="006215B1"/>
    <w:rsid w:val="006220DB"/>
    <w:rsid w:val="006226B5"/>
    <w:rsid w:val="00623BB0"/>
    <w:rsid w:val="00624279"/>
    <w:rsid w:val="00624403"/>
    <w:rsid w:val="00626407"/>
    <w:rsid w:val="00626487"/>
    <w:rsid w:val="00626976"/>
    <w:rsid w:val="0062705F"/>
    <w:rsid w:val="0063122F"/>
    <w:rsid w:val="00631B15"/>
    <w:rsid w:val="0063386E"/>
    <w:rsid w:val="00633CE4"/>
    <w:rsid w:val="00634368"/>
    <w:rsid w:val="00637717"/>
    <w:rsid w:val="00637743"/>
    <w:rsid w:val="00637B6C"/>
    <w:rsid w:val="00637C99"/>
    <w:rsid w:val="00640504"/>
    <w:rsid w:val="0064118D"/>
    <w:rsid w:val="00641850"/>
    <w:rsid w:val="00642329"/>
    <w:rsid w:val="00643CD5"/>
    <w:rsid w:val="0064429C"/>
    <w:rsid w:val="00645EC6"/>
    <w:rsid w:val="006463BC"/>
    <w:rsid w:val="00646DCD"/>
    <w:rsid w:val="00647FAA"/>
    <w:rsid w:val="00650706"/>
    <w:rsid w:val="006508BD"/>
    <w:rsid w:val="00650B7A"/>
    <w:rsid w:val="00651509"/>
    <w:rsid w:val="0065464D"/>
    <w:rsid w:val="00654991"/>
    <w:rsid w:val="006553AC"/>
    <w:rsid w:val="0065570B"/>
    <w:rsid w:val="00655834"/>
    <w:rsid w:val="00655EDB"/>
    <w:rsid w:val="00656BB1"/>
    <w:rsid w:val="006600FC"/>
    <w:rsid w:val="006603FB"/>
    <w:rsid w:val="006618C5"/>
    <w:rsid w:val="00662550"/>
    <w:rsid w:val="006639F6"/>
    <w:rsid w:val="00664D25"/>
    <w:rsid w:val="00664F04"/>
    <w:rsid w:val="0066686B"/>
    <w:rsid w:val="006676AD"/>
    <w:rsid w:val="00670B52"/>
    <w:rsid w:val="00670FE0"/>
    <w:rsid w:val="0067153A"/>
    <w:rsid w:val="00671DD3"/>
    <w:rsid w:val="006721AD"/>
    <w:rsid w:val="006736F9"/>
    <w:rsid w:val="0067377A"/>
    <w:rsid w:val="006738E8"/>
    <w:rsid w:val="00673E74"/>
    <w:rsid w:val="00673F7F"/>
    <w:rsid w:val="00674749"/>
    <w:rsid w:val="00674BF6"/>
    <w:rsid w:val="00674D96"/>
    <w:rsid w:val="00675599"/>
    <w:rsid w:val="0067584B"/>
    <w:rsid w:val="006761E2"/>
    <w:rsid w:val="0067662D"/>
    <w:rsid w:val="006768E2"/>
    <w:rsid w:val="00676BDF"/>
    <w:rsid w:val="00680EA1"/>
    <w:rsid w:val="006815D4"/>
    <w:rsid w:val="00682C0B"/>
    <w:rsid w:val="00682D04"/>
    <w:rsid w:val="006834DE"/>
    <w:rsid w:val="006842C5"/>
    <w:rsid w:val="006842C9"/>
    <w:rsid w:val="00685881"/>
    <w:rsid w:val="00686090"/>
    <w:rsid w:val="00687A1B"/>
    <w:rsid w:val="00690997"/>
    <w:rsid w:val="00690B0F"/>
    <w:rsid w:val="00690D71"/>
    <w:rsid w:val="0069155D"/>
    <w:rsid w:val="00691958"/>
    <w:rsid w:val="00691D16"/>
    <w:rsid w:val="00691F7E"/>
    <w:rsid w:val="00692214"/>
    <w:rsid w:val="00692357"/>
    <w:rsid w:val="006933B5"/>
    <w:rsid w:val="00694982"/>
    <w:rsid w:val="00694D4E"/>
    <w:rsid w:val="00696081"/>
    <w:rsid w:val="0069691C"/>
    <w:rsid w:val="00696A31"/>
    <w:rsid w:val="00697100"/>
    <w:rsid w:val="00697271"/>
    <w:rsid w:val="00697743"/>
    <w:rsid w:val="006A00DF"/>
    <w:rsid w:val="006A0A48"/>
    <w:rsid w:val="006A0B47"/>
    <w:rsid w:val="006A1076"/>
    <w:rsid w:val="006A1AD6"/>
    <w:rsid w:val="006A2C57"/>
    <w:rsid w:val="006A2C5C"/>
    <w:rsid w:val="006A35D1"/>
    <w:rsid w:val="006A372C"/>
    <w:rsid w:val="006A3ED2"/>
    <w:rsid w:val="006A3F52"/>
    <w:rsid w:val="006A4896"/>
    <w:rsid w:val="006A4B03"/>
    <w:rsid w:val="006A5EDA"/>
    <w:rsid w:val="006A63E7"/>
    <w:rsid w:val="006A6D22"/>
    <w:rsid w:val="006A6FAE"/>
    <w:rsid w:val="006B069F"/>
    <w:rsid w:val="006B0C09"/>
    <w:rsid w:val="006B0DA1"/>
    <w:rsid w:val="006B1DA5"/>
    <w:rsid w:val="006B265B"/>
    <w:rsid w:val="006B27B3"/>
    <w:rsid w:val="006B3636"/>
    <w:rsid w:val="006B3A1F"/>
    <w:rsid w:val="006B4446"/>
    <w:rsid w:val="006B4A20"/>
    <w:rsid w:val="006B4A27"/>
    <w:rsid w:val="006B5A3F"/>
    <w:rsid w:val="006B7592"/>
    <w:rsid w:val="006B7C3B"/>
    <w:rsid w:val="006C0125"/>
    <w:rsid w:val="006C0A3D"/>
    <w:rsid w:val="006C1416"/>
    <w:rsid w:val="006C1420"/>
    <w:rsid w:val="006C148D"/>
    <w:rsid w:val="006C1A4C"/>
    <w:rsid w:val="006C1C75"/>
    <w:rsid w:val="006C1FA1"/>
    <w:rsid w:val="006C28BB"/>
    <w:rsid w:val="006C2AC9"/>
    <w:rsid w:val="006C2E06"/>
    <w:rsid w:val="006C3023"/>
    <w:rsid w:val="006C34F5"/>
    <w:rsid w:val="006C4F6B"/>
    <w:rsid w:val="006C5BCE"/>
    <w:rsid w:val="006C5C6D"/>
    <w:rsid w:val="006C7378"/>
    <w:rsid w:val="006C7A80"/>
    <w:rsid w:val="006D038F"/>
    <w:rsid w:val="006D06AA"/>
    <w:rsid w:val="006D0C8A"/>
    <w:rsid w:val="006D13F6"/>
    <w:rsid w:val="006D2038"/>
    <w:rsid w:val="006D210D"/>
    <w:rsid w:val="006D25FE"/>
    <w:rsid w:val="006D28D0"/>
    <w:rsid w:val="006D2CF3"/>
    <w:rsid w:val="006D33E6"/>
    <w:rsid w:val="006D3594"/>
    <w:rsid w:val="006D4AA5"/>
    <w:rsid w:val="006D51B6"/>
    <w:rsid w:val="006D6200"/>
    <w:rsid w:val="006D73FB"/>
    <w:rsid w:val="006E0B1F"/>
    <w:rsid w:val="006E17FC"/>
    <w:rsid w:val="006E2D68"/>
    <w:rsid w:val="006E30C6"/>
    <w:rsid w:val="006E3472"/>
    <w:rsid w:val="006E401C"/>
    <w:rsid w:val="006E431D"/>
    <w:rsid w:val="006E4886"/>
    <w:rsid w:val="006E4B15"/>
    <w:rsid w:val="006E4E97"/>
    <w:rsid w:val="006F0081"/>
    <w:rsid w:val="006F0347"/>
    <w:rsid w:val="006F03C5"/>
    <w:rsid w:val="006F04AB"/>
    <w:rsid w:val="006F1550"/>
    <w:rsid w:val="006F16BE"/>
    <w:rsid w:val="006F2AB3"/>
    <w:rsid w:val="006F2D8D"/>
    <w:rsid w:val="006F33E4"/>
    <w:rsid w:val="006F342B"/>
    <w:rsid w:val="006F34D8"/>
    <w:rsid w:val="006F43B7"/>
    <w:rsid w:val="006F4696"/>
    <w:rsid w:val="006F505F"/>
    <w:rsid w:val="006F50B7"/>
    <w:rsid w:val="006F55E8"/>
    <w:rsid w:val="006F7A74"/>
    <w:rsid w:val="00700478"/>
    <w:rsid w:val="00700AFC"/>
    <w:rsid w:val="00701545"/>
    <w:rsid w:val="007015AE"/>
    <w:rsid w:val="00701C90"/>
    <w:rsid w:val="0070360F"/>
    <w:rsid w:val="007038A0"/>
    <w:rsid w:val="00703CBC"/>
    <w:rsid w:val="00703E93"/>
    <w:rsid w:val="00704BA9"/>
    <w:rsid w:val="00705EB0"/>
    <w:rsid w:val="007067B2"/>
    <w:rsid w:val="00707402"/>
    <w:rsid w:val="0071030E"/>
    <w:rsid w:val="007106FA"/>
    <w:rsid w:val="00711752"/>
    <w:rsid w:val="00711824"/>
    <w:rsid w:val="0071184F"/>
    <w:rsid w:val="00711919"/>
    <w:rsid w:val="00712206"/>
    <w:rsid w:val="00712D1A"/>
    <w:rsid w:val="00713F1A"/>
    <w:rsid w:val="00713FB4"/>
    <w:rsid w:val="00715620"/>
    <w:rsid w:val="0071567E"/>
    <w:rsid w:val="00716245"/>
    <w:rsid w:val="00717D93"/>
    <w:rsid w:val="00722346"/>
    <w:rsid w:val="00722C6D"/>
    <w:rsid w:val="00722DCF"/>
    <w:rsid w:val="0072502A"/>
    <w:rsid w:val="0072548C"/>
    <w:rsid w:val="00726D18"/>
    <w:rsid w:val="00727ACB"/>
    <w:rsid w:val="00727DD9"/>
    <w:rsid w:val="00730102"/>
    <w:rsid w:val="00730481"/>
    <w:rsid w:val="00730DEA"/>
    <w:rsid w:val="007315C5"/>
    <w:rsid w:val="00732106"/>
    <w:rsid w:val="00732930"/>
    <w:rsid w:val="00732E3C"/>
    <w:rsid w:val="007332F5"/>
    <w:rsid w:val="0073359B"/>
    <w:rsid w:val="00734089"/>
    <w:rsid w:val="00734C99"/>
    <w:rsid w:val="00734FD0"/>
    <w:rsid w:val="00735B19"/>
    <w:rsid w:val="00736863"/>
    <w:rsid w:val="00736C31"/>
    <w:rsid w:val="007379B8"/>
    <w:rsid w:val="00737F18"/>
    <w:rsid w:val="00741AE5"/>
    <w:rsid w:val="007425B5"/>
    <w:rsid w:val="00742882"/>
    <w:rsid w:val="00742F86"/>
    <w:rsid w:val="007436AE"/>
    <w:rsid w:val="007444DB"/>
    <w:rsid w:val="007447C7"/>
    <w:rsid w:val="007458A3"/>
    <w:rsid w:val="007468AB"/>
    <w:rsid w:val="00746D52"/>
    <w:rsid w:val="00746FB8"/>
    <w:rsid w:val="007470A2"/>
    <w:rsid w:val="007508E6"/>
    <w:rsid w:val="007516C0"/>
    <w:rsid w:val="00751E4B"/>
    <w:rsid w:val="00752FBA"/>
    <w:rsid w:val="00753A9C"/>
    <w:rsid w:val="0075461A"/>
    <w:rsid w:val="00754FFE"/>
    <w:rsid w:val="00756404"/>
    <w:rsid w:val="00756641"/>
    <w:rsid w:val="00756F18"/>
    <w:rsid w:val="0075775B"/>
    <w:rsid w:val="007578F1"/>
    <w:rsid w:val="007578F6"/>
    <w:rsid w:val="0076231C"/>
    <w:rsid w:val="007623A3"/>
    <w:rsid w:val="00762E96"/>
    <w:rsid w:val="007633B2"/>
    <w:rsid w:val="0076474F"/>
    <w:rsid w:val="00764EF8"/>
    <w:rsid w:val="00765C09"/>
    <w:rsid w:val="00765C41"/>
    <w:rsid w:val="00765CAD"/>
    <w:rsid w:val="007679C4"/>
    <w:rsid w:val="00772288"/>
    <w:rsid w:val="00772EED"/>
    <w:rsid w:val="007730E7"/>
    <w:rsid w:val="0077385F"/>
    <w:rsid w:val="00773AC0"/>
    <w:rsid w:val="007744DB"/>
    <w:rsid w:val="00775194"/>
    <w:rsid w:val="007753D5"/>
    <w:rsid w:val="007766A2"/>
    <w:rsid w:val="007771AC"/>
    <w:rsid w:val="00777F35"/>
    <w:rsid w:val="0078079F"/>
    <w:rsid w:val="00780ED4"/>
    <w:rsid w:val="007814FE"/>
    <w:rsid w:val="00781B8A"/>
    <w:rsid w:val="007828CD"/>
    <w:rsid w:val="00783A4C"/>
    <w:rsid w:val="00783A72"/>
    <w:rsid w:val="00784396"/>
    <w:rsid w:val="0078451C"/>
    <w:rsid w:val="00785FA3"/>
    <w:rsid w:val="007864F5"/>
    <w:rsid w:val="00786EEA"/>
    <w:rsid w:val="007871DB"/>
    <w:rsid w:val="00787716"/>
    <w:rsid w:val="00787BDA"/>
    <w:rsid w:val="00790AAC"/>
    <w:rsid w:val="00790C7E"/>
    <w:rsid w:val="00790ECA"/>
    <w:rsid w:val="007936FD"/>
    <w:rsid w:val="0079375C"/>
    <w:rsid w:val="00793868"/>
    <w:rsid w:val="00793ACB"/>
    <w:rsid w:val="0079516B"/>
    <w:rsid w:val="0079600E"/>
    <w:rsid w:val="00796B52"/>
    <w:rsid w:val="00796DD9"/>
    <w:rsid w:val="00797005"/>
    <w:rsid w:val="0079791A"/>
    <w:rsid w:val="007A0DEA"/>
    <w:rsid w:val="007A1593"/>
    <w:rsid w:val="007A1919"/>
    <w:rsid w:val="007A1EA8"/>
    <w:rsid w:val="007A2583"/>
    <w:rsid w:val="007A2CE0"/>
    <w:rsid w:val="007A32C9"/>
    <w:rsid w:val="007A36D6"/>
    <w:rsid w:val="007A3A88"/>
    <w:rsid w:val="007A54E9"/>
    <w:rsid w:val="007A55A0"/>
    <w:rsid w:val="007A5961"/>
    <w:rsid w:val="007A5ECC"/>
    <w:rsid w:val="007A6893"/>
    <w:rsid w:val="007A73FD"/>
    <w:rsid w:val="007A7A9A"/>
    <w:rsid w:val="007B0B4C"/>
    <w:rsid w:val="007B220E"/>
    <w:rsid w:val="007B2336"/>
    <w:rsid w:val="007B27FC"/>
    <w:rsid w:val="007B29BD"/>
    <w:rsid w:val="007B2E2C"/>
    <w:rsid w:val="007B3B78"/>
    <w:rsid w:val="007B5541"/>
    <w:rsid w:val="007B7144"/>
    <w:rsid w:val="007B7450"/>
    <w:rsid w:val="007C1F40"/>
    <w:rsid w:val="007C2125"/>
    <w:rsid w:val="007C2431"/>
    <w:rsid w:val="007C25CB"/>
    <w:rsid w:val="007C3187"/>
    <w:rsid w:val="007C358B"/>
    <w:rsid w:val="007C3AD6"/>
    <w:rsid w:val="007C3FC4"/>
    <w:rsid w:val="007C482E"/>
    <w:rsid w:val="007C4A89"/>
    <w:rsid w:val="007C55CE"/>
    <w:rsid w:val="007C58D1"/>
    <w:rsid w:val="007C5ECA"/>
    <w:rsid w:val="007C6248"/>
    <w:rsid w:val="007C723F"/>
    <w:rsid w:val="007C753E"/>
    <w:rsid w:val="007C7810"/>
    <w:rsid w:val="007D12E2"/>
    <w:rsid w:val="007D15DA"/>
    <w:rsid w:val="007D1DA6"/>
    <w:rsid w:val="007D2226"/>
    <w:rsid w:val="007D2F9C"/>
    <w:rsid w:val="007D3852"/>
    <w:rsid w:val="007D3EF7"/>
    <w:rsid w:val="007D4BA7"/>
    <w:rsid w:val="007D513C"/>
    <w:rsid w:val="007D6F32"/>
    <w:rsid w:val="007E1400"/>
    <w:rsid w:val="007E16DE"/>
    <w:rsid w:val="007E19FF"/>
    <w:rsid w:val="007E2E82"/>
    <w:rsid w:val="007E5AFD"/>
    <w:rsid w:val="007E5D7F"/>
    <w:rsid w:val="007E5D91"/>
    <w:rsid w:val="007E5E5A"/>
    <w:rsid w:val="007E5F42"/>
    <w:rsid w:val="007E6029"/>
    <w:rsid w:val="007E6588"/>
    <w:rsid w:val="007E6689"/>
    <w:rsid w:val="007E6691"/>
    <w:rsid w:val="007E7DE2"/>
    <w:rsid w:val="007F0FA7"/>
    <w:rsid w:val="007F228C"/>
    <w:rsid w:val="007F3089"/>
    <w:rsid w:val="007F32A0"/>
    <w:rsid w:val="007F35D6"/>
    <w:rsid w:val="007F6724"/>
    <w:rsid w:val="007F7AAB"/>
    <w:rsid w:val="007F7D3D"/>
    <w:rsid w:val="00800245"/>
    <w:rsid w:val="00800875"/>
    <w:rsid w:val="00800A1D"/>
    <w:rsid w:val="008011D2"/>
    <w:rsid w:val="008014B7"/>
    <w:rsid w:val="008018C7"/>
    <w:rsid w:val="008029CB"/>
    <w:rsid w:val="0080386D"/>
    <w:rsid w:val="00804387"/>
    <w:rsid w:val="00804746"/>
    <w:rsid w:val="008047DB"/>
    <w:rsid w:val="00804A1A"/>
    <w:rsid w:val="00804FEB"/>
    <w:rsid w:val="00805194"/>
    <w:rsid w:val="008070DC"/>
    <w:rsid w:val="00807119"/>
    <w:rsid w:val="008072B2"/>
    <w:rsid w:val="008075AF"/>
    <w:rsid w:val="008102D2"/>
    <w:rsid w:val="008107B1"/>
    <w:rsid w:val="008114F0"/>
    <w:rsid w:val="0081298D"/>
    <w:rsid w:val="008139B5"/>
    <w:rsid w:val="00813DA1"/>
    <w:rsid w:val="00814871"/>
    <w:rsid w:val="00814B8F"/>
    <w:rsid w:val="008156D3"/>
    <w:rsid w:val="008158B9"/>
    <w:rsid w:val="0081607D"/>
    <w:rsid w:val="00816930"/>
    <w:rsid w:val="00817008"/>
    <w:rsid w:val="00817C98"/>
    <w:rsid w:val="00820126"/>
    <w:rsid w:val="00820237"/>
    <w:rsid w:val="0082047C"/>
    <w:rsid w:val="00820D5D"/>
    <w:rsid w:val="00821497"/>
    <w:rsid w:val="00823027"/>
    <w:rsid w:val="00823046"/>
    <w:rsid w:val="00823ED0"/>
    <w:rsid w:val="0082468D"/>
    <w:rsid w:val="00824B92"/>
    <w:rsid w:val="00826824"/>
    <w:rsid w:val="008274FA"/>
    <w:rsid w:val="00827D88"/>
    <w:rsid w:val="0083083D"/>
    <w:rsid w:val="008308AC"/>
    <w:rsid w:val="0083138B"/>
    <w:rsid w:val="00831604"/>
    <w:rsid w:val="0083165B"/>
    <w:rsid w:val="00832483"/>
    <w:rsid w:val="0083280A"/>
    <w:rsid w:val="00833612"/>
    <w:rsid w:val="00835DD2"/>
    <w:rsid w:val="00836761"/>
    <w:rsid w:val="00837549"/>
    <w:rsid w:val="00841972"/>
    <w:rsid w:val="0084275C"/>
    <w:rsid w:val="008428C8"/>
    <w:rsid w:val="00842C7E"/>
    <w:rsid w:val="00843633"/>
    <w:rsid w:val="0084400C"/>
    <w:rsid w:val="00844562"/>
    <w:rsid w:val="008456C4"/>
    <w:rsid w:val="008463E0"/>
    <w:rsid w:val="008472A8"/>
    <w:rsid w:val="008474CB"/>
    <w:rsid w:val="008510A3"/>
    <w:rsid w:val="0085407A"/>
    <w:rsid w:val="008545B5"/>
    <w:rsid w:val="00854EA6"/>
    <w:rsid w:val="00854EDF"/>
    <w:rsid w:val="008552F9"/>
    <w:rsid w:val="008555A3"/>
    <w:rsid w:val="008574FE"/>
    <w:rsid w:val="00857D4E"/>
    <w:rsid w:val="0086073D"/>
    <w:rsid w:val="00860D47"/>
    <w:rsid w:val="00860E3C"/>
    <w:rsid w:val="00861EDA"/>
    <w:rsid w:val="0086252B"/>
    <w:rsid w:val="00863C08"/>
    <w:rsid w:val="0086441B"/>
    <w:rsid w:val="008645FF"/>
    <w:rsid w:val="0086544B"/>
    <w:rsid w:val="00866F00"/>
    <w:rsid w:val="008673FA"/>
    <w:rsid w:val="008673FB"/>
    <w:rsid w:val="00867714"/>
    <w:rsid w:val="00867E86"/>
    <w:rsid w:val="0087006D"/>
    <w:rsid w:val="00871874"/>
    <w:rsid w:val="00872215"/>
    <w:rsid w:val="00872230"/>
    <w:rsid w:val="00873154"/>
    <w:rsid w:val="00873175"/>
    <w:rsid w:val="00873AC3"/>
    <w:rsid w:val="00874183"/>
    <w:rsid w:val="008751DA"/>
    <w:rsid w:val="0087523E"/>
    <w:rsid w:val="0087597F"/>
    <w:rsid w:val="008764EB"/>
    <w:rsid w:val="008771E4"/>
    <w:rsid w:val="00877790"/>
    <w:rsid w:val="008778CF"/>
    <w:rsid w:val="00877914"/>
    <w:rsid w:val="00877ADF"/>
    <w:rsid w:val="0088039F"/>
    <w:rsid w:val="008810CD"/>
    <w:rsid w:val="008848BE"/>
    <w:rsid w:val="00884EB3"/>
    <w:rsid w:val="00884FA7"/>
    <w:rsid w:val="0088540E"/>
    <w:rsid w:val="00886248"/>
    <w:rsid w:val="00886549"/>
    <w:rsid w:val="0088739B"/>
    <w:rsid w:val="0088780A"/>
    <w:rsid w:val="00887C95"/>
    <w:rsid w:val="00887CBB"/>
    <w:rsid w:val="008906F1"/>
    <w:rsid w:val="00891160"/>
    <w:rsid w:val="00892028"/>
    <w:rsid w:val="0089233F"/>
    <w:rsid w:val="00893015"/>
    <w:rsid w:val="00893815"/>
    <w:rsid w:val="00894F55"/>
    <w:rsid w:val="00895AF5"/>
    <w:rsid w:val="00895CB8"/>
    <w:rsid w:val="008960E5"/>
    <w:rsid w:val="008969FA"/>
    <w:rsid w:val="008A0444"/>
    <w:rsid w:val="008A08EE"/>
    <w:rsid w:val="008A1143"/>
    <w:rsid w:val="008A1A42"/>
    <w:rsid w:val="008A40EE"/>
    <w:rsid w:val="008A5075"/>
    <w:rsid w:val="008A518C"/>
    <w:rsid w:val="008A54C3"/>
    <w:rsid w:val="008A5579"/>
    <w:rsid w:val="008A6183"/>
    <w:rsid w:val="008A6812"/>
    <w:rsid w:val="008A692C"/>
    <w:rsid w:val="008A6DC0"/>
    <w:rsid w:val="008A78A3"/>
    <w:rsid w:val="008B17AA"/>
    <w:rsid w:val="008B1B67"/>
    <w:rsid w:val="008B2024"/>
    <w:rsid w:val="008B205A"/>
    <w:rsid w:val="008B2CA5"/>
    <w:rsid w:val="008B2F1E"/>
    <w:rsid w:val="008B30C9"/>
    <w:rsid w:val="008B31C5"/>
    <w:rsid w:val="008B411C"/>
    <w:rsid w:val="008B429B"/>
    <w:rsid w:val="008C057C"/>
    <w:rsid w:val="008C0F9C"/>
    <w:rsid w:val="008C325D"/>
    <w:rsid w:val="008C327C"/>
    <w:rsid w:val="008C410C"/>
    <w:rsid w:val="008C4995"/>
    <w:rsid w:val="008C51AE"/>
    <w:rsid w:val="008C5C6C"/>
    <w:rsid w:val="008C6025"/>
    <w:rsid w:val="008C69D5"/>
    <w:rsid w:val="008C6A49"/>
    <w:rsid w:val="008C766E"/>
    <w:rsid w:val="008D17AF"/>
    <w:rsid w:val="008D2719"/>
    <w:rsid w:val="008D28EC"/>
    <w:rsid w:val="008D51AF"/>
    <w:rsid w:val="008D58D6"/>
    <w:rsid w:val="008D5E54"/>
    <w:rsid w:val="008E04A6"/>
    <w:rsid w:val="008E0E68"/>
    <w:rsid w:val="008E2701"/>
    <w:rsid w:val="008E2C26"/>
    <w:rsid w:val="008E31D7"/>
    <w:rsid w:val="008E3E68"/>
    <w:rsid w:val="008E4B9B"/>
    <w:rsid w:val="008E5915"/>
    <w:rsid w:val="008E601A"/>
    <w:rsid w:val="008E60A8"/>
    <w:rsid w:val="008E6D53"/>
    <w:rsid w:val="008E6E8F"/>
    <w:rsid w:val="008F02CB"/>
    <w:rsid w:val="008F15CC"/>
    <w:rsid w:val="008F1AC3"/>
    <w:rsid w:val="008F1B4E"/>
    <w:rsid w:val="008F26CF"/>
    <w:rsid w:val="008F2FC4"/>
    <w:rsid w:val="008F50E5"/>
    <w:rsid w:val="008F5653"/>
    <w:rsid w:val="008F5E34"/>
    <w:rsid w:val="008F6E6C"/>
    <w:rsid w:val="008F6EC5"/>
    <w:rsid w:val="008F7490"/>
    <w:rsid w:val="008F7FB6"/>
    <w:rsid w:val="009005BD"/>
    <w:rsid w:val="009010F2"/>
    <w:rsid w:val="009014A7"/>
    <w:rsid w:val="009014A9"/>
    <w:rsid w:val="00902458"/>
    <w:rsid w:val="00902833"/>
    <w:rsid w:val="00902F90"/>
    <w:rsid w:val="0090386F"/>
    <w:rsid w:val="00903AE7"/>
    <w:rsid w:val="00904632"/>
    <w:rsid w:val="009049B7"/>
    <w:rsid w:val="00905220"/>
    <w:rsid w:val="00905E5E"/>
    <w:rsid w:val="00906026"/>
    <w:rsid w:val="00906E04"/>
    <w:rsid w:val="0091060D"/>
    <w:rsid w:val="00910965"/>
    <w:rsid w:val="00910F94"/>
    <w:rsid w:val="009111C9"/>
    <w:rsid w:val="0091219D"/>
    <w:rsid w:val="0091278A"/>
    <w:rsid w:val="0091351C"/>
    <w:rsid w:val="0091397D"/>
    <w:rsid w:val="00914012"/>
    <w:rsid w:val="0091451F"/>
    <w:rsid w:val="009160F4"/>
    <w:rsid w:val="009163A4"/>
    <w:rsid w:val="00916AF8"/>
    <w:rsid w:val="00917EFB"/>
    <w:rsid w:val="009221FB"/>
    <w:rsid w:val="00922210"/>
    <w:rsid w:val="00922A29"/>
    <w:rsid w:val="00922DC5"/>
    <w:rsid w:val="00923267"/>
    <w:rsid w:val="009233B2"/>
    <w:rsid w:val="00923F89"/>
    <w:rsid w:val="009248AB"/>
    <w:rsid w:val="009258CE"/>
    <w:rsid w:val="00925BF8"/>
    <w:rsid w:val="00925C58"/>
    <w:rsid w:val="009274FE"/>
    <w:rsid w:val="009279B1"/>
    <w:rsid w:val="0093022A"/>
    <w:rsid w:val="009310CF"/>
    <w:rsid w:val="00934465"/>
    <w:rsid w:val="009348E0"/>
    <w:rsid w:val="0093519E"/>
    <w:rsid w:val="00935754"/>
    <w:rsid w:val="00935A9B"/>
    <w:rsid w:val="00936B45"/>
    <w:rsid w:val="009375CD"/>
    <w:rsid w:val="009376C4"/>
    <w:rsid w:val="00941040"/>
    <w:rsid w:val="00941610"/>
    <w:rsid w:val="00941D77"/>
    <w:rsid w:val="00941DAB"/>
    <w:rsid w:val="009423B5"/>
    <w:rsid w:val="0094246F"/>
    <w:rsid w:val="00942CA7"/>
    <w:rsid w:val="0094346C"/>
    <w:rsid w:val="00943B1B"/>
    <w:rsid w:val="00943C24"/>
    <w:rsid w:val="0094428F"/>
    <w:rsid w:val="00944348"/>
    <w:rsid w:val="00944592"/>
    <w:rsid w:val="009446FC"/>
    <w:rsid w:val="00945229"/>
    <w:rsid w:val="00945687"/>
    <w:rsid w:val="00946E6D"/>
    <w:rsid w:val="0094726E"/>
    <w:rsid w:val="00950352"/>
    <w:rsid w:val="009514D7"/>
    <w:rsid w:val="009523B4"/>
    <w:rsid w:val="0095275D"/>
    <w:rsid w:val="00952CAC"/>
    <w:rsid w:val="00953033"/>
    <w:rsid w:val="00953645"/>
    <w:rsid w:val="0095430C"/>
    <w:rsid w:val="009555C1"/>
    <w:rsid w:val="00955C08"/>
    <w:rsid w:val="00956201"/>
    <w:rsid w:val="00956B84"/>
    <w:rsid w:val="009575E9"/>
    <w:rsid w:val="009616BA"/>
    <w:rsid w:val="009622CE"/>
    <w:rsid w:val="00962565"/>
    <w:rsid w:val="00962837"/>
    <w:rsid w:val="009628DE"/>
    <w:rsid w:val="009638CA"/>
    <w:rsid w:val="00963AD7"/>
    <w:rsid w:val="00963C8A"/>
    <w:rsid w:val="00965D35"/>
    <w:rsid w:val="00967529"/>
    <w:rsid w:val="0096766A"/>
    <w:rsid w:val="00967AF9"/>
    <w:rsid w:val="00967C49"/>
    <w:rsid w:val="00967E55"/>
    <w:rsid w:val="009701AE"/>
    <w:rsid w:val="00972ACA"/>
    <w:rsid w:val="00973478"/>
    <w:rsid w:val="0097368C"/>
    <w:rsid w:val="00973ACA"/>
    <w:rsid w:val="00973AE7"/>
    <w:rsid w:val="00973B54"/>
    <w:rsid w:val="009742A2"/>
    <w:rsid w:val="0097455C"/>
    <w:rsid w:val="00974CD2"/>
    <w:rsid w:val="00975239"/>
    <w:rsid w:val="00975C7E"/>
    <w:rsid w:val="00977BEB"/>
    <w:rsid w:val="00977D55"/>
    <w:rsid w:val="00981AC9"/>
    <w:rsid w:val="0098258C"/>
    <w:rsid w:val="009828B2"/>
    <w:rsid w:val="00982CDD"/>
    <w:rsid w:val="00982E42"/>
    <w:rsid w:val="00982ED7"/>
    <w:rsid w:val="00983CE4"/>
    <w:rsid w:val="009847A3"/>
    <w:rsid w:val="00984BA8"/>
    <w:rsid w:val="00984E3C"/>
    <w:rsid w:val="00985B10"/>
    <w:rsid w:val="009862BB"/>
    <w:rsid w:val="00986DBE"/>
    <w:rsid w:val="00987F18"/>
    <w:rsid w:val="009917CE"/>
    <w:rsid w:val="00993092"/>
    <w:rsid w:val="009939D1"/>
    <w:rsid w:val="00995A28"/>
    <w:rsid w:val="00995C39"/>
    <w:rsid w:val="00996191"/>
    <w:rsid w:val="00996379"/>
    <w:rsid w:val="009963FD"/>
    <w:rsid w:val="00996902"/>
    <w:rsid w:val="00996CB4"/>
    <w:rsid w:val="00997148"/>
    <w:rsid w:val="00997292"/>
    <w:rsid w:val="0099767F"/>
    <w:rsid w:val="0099782A"/>
    <w:rsid w:val="009A012A"/>
    <w:rsid w:val="009A1F4F"/>
    <w:rsid w:val="009A3284"/>
    <w:rsid w:val="009A36EE"/>
    <w:rsid w:val="009A4B93"/>
    <w:rsid w:val="009A4C6A"/>
    <w:rsid w:val="009A63FB"/>
    <w:rsid w:val="009A6558"/>
    <w:rsid w:val="009A6FC2"/>
    <w:rsid w:val="009A74BC"/>
    <w:rsid w:val="009A771C"/>
    <w:rsid w:val="009A7D35"/>
    <w:rsid w:val="009B0208"/>
    <w:rsid w:val="009B04DA"/>
    <w:rsid w:val="009B0D88"/>
    <w:rsid w:val="009B0DB6"/>
    <w:rsid w:val="009B1181"/>
    <w:rsid w:val="009B27F5"/>
    <w:rsid w:val="009B39D1"/>
    <w:rsid w:val="009B53C5"/>
    <w:rsid w:val="009B5765"/>
    <w:rsid w:val="009B72E7"/>
    <w:rsid w:val="009B746E"/>
    <w:rsid w:val="009B75AF"/>
    <w:rsid w:val="009B7B99"/>
    <w:rsid w:val="009C2391"/>
    <w:rsid w:val="009C27BC"/>
    <w:rsid w:val="009C39C6"/>
    <w:rsid w:val="009C43C5"/>
    <w:rsid w:val="009C4AB8"/>
    <w:rsid w:val="009C4AEB"/>
    <w:rsid w:val="009C59F0"/>
    <w:rsid w:val="009C6C89"/>
    <w:rsid w:val="009C6E7F"/>
    <w:rsid w:val="009C7943"/>
    <w:rsid w:val="009D0884"/>
    <w:rsid w:val="009D0B1C"/>
    <w:rsid w:val="009D15FF"/>
    <w:rsid w:val="009D1609"/>
    <w:rsid w:val="009D257F"/>
    <w:rsid w:val="009D25A6"/>
    <w:rsid w:val="009D360B"/>
    <w:rsid w:val="009D3D17"/>
    <w:rsid w:val="009D550D"/>
    <w:rsid w:val="009D7071"/>
    <w:rsid w:val="009D7230"/>
    <w:rsid w:val="009D7696"/>
    <w:rsid w:val="009E0FA7"/>
    <w:rsid w:val="009E1672"/>
    <w:rsid w:val="009E173C"/>
    <w:rsid w:val="009E1A04"/>
    <w:rsid w:val="009E1CE3"/>
    <w:rsid w:val="009E3073"/>
    <w:rsid w:val="009E310C"/>
    <w:rsid w:val="009E325A"/>
    <w:rsid w:val="009E34A6"/>
    <w:rsid w:val="009E461B"/>
    <w:rsid w:val="009E52CA"/>
    <w:rsid w:val="009E5927"/>
    <w:rsid w:val="009E682A"/>
    <w:rsid w:val="009E6FB2"/>
    <w:rsid w:val="009E7572"/>
    <w:rsid w:val="009E791C"/>
    <w:rsid w:val="009F054D"/>
    <w:rsid w:val="009F0552"/>
    <w:rsid w:val="009F0E24"/>
    <w:rsid w:val="009F1763"/>
    <w:rsid w:val="009F1FFF"/>
    <w:rsid w:val="009F2756"/>
    <w:rsid w:val="009F3714"/>
    <w:rsid w:val="009F4FE9"/>
    <w:rsid w:val="009F69A9"/>
    <w:rsid w:val="00A00261"/>
    <w:rsid w:val="00A00EF8"/>
    <w:rsid w:val="00A023F3"/>
    <w:rsid w:val="00A04119"/>
    <w:rsid w:val="00A0412A"/>
    <w:rsid w:val="00A041D6"/>
    <w:rsid w:val="00A051D6"/>
    <w:rsid w:val="00A055ED"/>
    <w:rsid w:val="00A06088"/>
    <w:rsid w:val="00A06702"/>
    <w:rsid w:val="00A07DD7"/>
    <w:rsid w:val="00A12C55"/>
    <w:rsid w:val="00A14655"/>
    <w:rsid w:val="00A15C52"/>
    <w:rsid w:val="00A15E37"/>
    <w:rsid w:val="00A163CE"/>
    <w:rsid w:val="00A16695"/>
    <w:rsid w:val="00A17A7E"/>
    <w:rsid w:val="00A203DB"/>
    <w:rsid w:val="00A213CB"/>
    <w:rsid w:val="00A21856"/>
    <w:rsid w:val="00A21FCB"/>
    <w:rsid w:val="00A22060"/>
    <w:rsid w:val="00A2220E"/>
    <w:rsid w:val="00A226E3"/>
    <w:rsid w:val="00A2271A"/>
    <w:rsid w:val="00A22BCB"/>
    <w:rsid w:val="00A23497"/>
    <w:rsid w:val="00A23DCF"/>
    <w:rsid w:val="00A24BD6"/>
    <w:rsid w:val="00A25DFF"/>
    <w:rsid w:val="00A26E51"/>
    <w:rsid w:val="00A26F70"/>
    <w:rsid w:val="00A27310"/>
    <w:rsid w:val="00A2767F"/>
    <w:rsid w:val="00A30068"/>
    <w:rsid w:val="00A31A18"/>
    <w:rsid w:val="00A31C24"/>
    <w:rsid w:val="00A31FB7"/>
    <w:rsid w:val="00A3323D"/>
    <w:rsid w:val="00A341F7"/>
    <w:rsid w:val="00A34BB3"/>
    <w:rsid w:val="00A3523B"/>
    <w:rsid w:val="00A352A0"/>
    <w:rsid w:val="00A36F49"/>
    <w:rsid w:val="00A37891"/>
    <w:rsid w:val="00A378F3"/>
    <w:rsid w:val="00A40694"/>
    <w:rsid w:val="00A40BC6"/>
    <w:rsid w:val="00A41AA6"/>
    <w:rsid w:val="00A41F57"/>
    <w:rsid w:val="00A445A2"/>
    <w:rsid w:val="00A44A5F"/>
    <w:rsid w:val="00A45946"/>
    <w:rsid w:val="00A45E3F"/>
    <w:rsid w:val="00A460BE"/>
    <w:rsid w:val="00A4618E"/>
    <w:rsid w:val="00A46B4D"/>
    <w:rsid w:val="00A46FB1"/>
    <w:rsid w:val="00A47149"/>
    <w:rsid w:val="00A47654"/>
    <w:rsid w:val="00A47763"/>
    <w:rsid w:val="00A479AA"/>
    <w:rsid w:val="00A5028E"/>
    <w:rsid w:val="00A503EC"/>
    <w:rsid w:val="00A507C8"/>
    <w:rsid w:val="00A5162C"/>
    <w:rsid w:val="00A5206B"/>
    <w:rsid w:val="00A52B65"/>
    <w:rsid w:val="00A52D44"/>
    <w:rsid w:val="00A52F08"/>
    <w:rsid w:val="00A536C1"/>
    <w:rsid w:val="00A556F5"/>
    <w:rsid w:val="00A562BB"/>
    <w:rsid w:val="00A56A84"/>
    <w:rsid w:val="00A56B11"/>
    <w:rsid w:val="00A56D70"/>
    <w:rsid w:val="00A57544"/>
    <w:rsid w:val="00A6011F"/>
    <w:rsid w:val="00A60581"/>
    <w:rsid w:val="00A60972"/>
    <w:rsid w:val="00A611EB"/>
    <w:rsid w:val="00A61700"/>
    <w:rsid w:val="00A61915"/>
    <w:rsid w:val="00A61D85"/>
    <w:rsid w:val="00A63201"/>
    <w:rsid w:val="00A653CC"/>
    <w:rsid w:val="00A65BCE"/>
    <w:rsid w:val="00A65C7F"/>
    <w:rsid w:val="00A667D8"/>
    <w:rsid w:val="00A66831"/>
    <w:rsid w:val="00A67F0B"/>
    <w:rsid w:val="00A70AE4"/>
    <w:rsid w:val="00A70EEE"/>
    <w:rsid w:val="00A714BB"/>
    <w:rsid w:val="00A730F3"/>
    <w:rsid w:val="00A73A13"/>
    <w:rsid w:val="00A7475E"/>
    <w:rsid w:val="00A748FE"/>
    <w:rsid w:val="00A74A1D"/>
    <w:rsid w:val="00A751C8"/>
    <w:rsid w:val="00A75AE3"/>
    <w:rsid w:val="00A75FEA"/>
    <w:rsid w:val="00A76600"/>
    <w:rsid w:val="00A76D8D"/>
    <w:rsid w:val="00A80230"/>
    <w:rsid w:val="00A80265"/>
    <w:rsid w:val="00A8083E"/>
    <w:rsid w:val="00A80CB6"/>
    <w:rsid w:val="00A81538"/>
    <w:rsid w:val="00A81DDA"/>
    <w:rsid w:val="00A81EC5"/>
    <w:rsid w:val="00A81EFE"/>
    <w:rsid w:val="00A8235D"/>
    <w:rsid w:val="00A82361"/>
    <w:rsid w:val="00A84505"/>
    <w:rsid w:val="00A84A28"/>
    <w:rsid w:val="00A85737"/>
    <w:rsid w:val="00A85C0D"/>
    <w:rsid w:val="00A86A9D"/>
    <w:rsid w:val="00A903BA"/>
    <w:rsid w:val="00A90DF2"/>
    <w:rsid w:val="00A918BF"/>
    <w:rsid w:val="00A92475"/>
    <w:rsid w:val="00A92951"/>
    <w:rsid w:val="00A92BA3"/>
    <w:rsid w:val="00A946F4"/>
    <w:rsid w:val="00A948BE"/>
    <w:rsid w:val="00A9574F"/>
    <w:rsid w:val="00A96094"/>
    <w:rsid w:val="00A969EA"/>
    <w:rsid w:val="00A97339"/>
    <w:rsid w:val="00A97F2F"/>
    <w:rsid w:val="00A97F9F"/>
    <w:rsid w:val="00AA0066"/>
    <w:rsid w:val="00AA04AC"/>
    <w:rsid w:val="00AA0AF8"/>
    <w:rsid w:val="00AA14FE"/>
    <w:rsid w:val="00AA1E67"/>
    <w:rsid w:val="00AA229B"/>
    <w:rsid w:val="00AA238A"/>
    <w:rsid w:val="00AA2E32"/>
    <w:rsid w:val="00AA31F1"/>
    <w:rsid w:val="00AA3C31"/>
    <w:rsid w:val="00AA4287"/>
    <w:rsid w:val="00AA4482"/>
    <w:rsid w:val="00AA483F"/>
    <w:rsid w:val="00AA4B12"/>
    <w:rsid w:val="00AA5967"/>
    <w:rsid w:val="00AA6202"/>
    <w:rsid w:val="00AA6F53"/>
    <w:rsid w:val="00AA6F78"/>
    <w:rsid w:val="00AA70D6"/>
    <w:rsid w:val="00AA71C5"/>
    <w:rsid w:val="00AB1607"/>
    <w:rsid w:val="00AB1CA6"/>
    <w:rsid w:val="00AB29BB"/>
    <w:rsid w:val="00AB2D0F"/>
    <w:rsid w:val="00AB2DE4"/>
    <w:rsid w:val="00AB30E5"/>
    <w:rsid w:val="00AB3BBE"/>
    <w:rsid w:val="00AB47DA"/>
    <w:rsid w:val="00AB5744"/>
    <w:rsid w:val="00AC0D70"/>
    <w:rsid w:val="00AC13C8"/>
    <w:rsid w:val="00AC25B4"/>
    <w:rsid w:val="00AC2837"/>
    <w:rsid w:val="00AC2991"/>
    <w:rsid w:val="00AC2A78"/>
    <w:rsid w:val="00AC2CF3"/>
    <w:rsid w:val="00AC3328"/>
    <w:rsid w:val="00AC3F62"/>
    <w:rsid w:val="00AC4D95"/>
    <w:rsid w:val="00AC5010"/>
    <w:rsid w:val="00AC5736"/>
    <w:rsid w:val="00AC5D65"/>
    <w:rsid w:val="00AC6608"/>
    <w:rsid w:val="00AC69DB"/>
    <w:rsid w:val="00AC6CA4"/>
    <w:rsid w:val="00AC7245"/>
    <w:rsid w:val="00AC7D69"/>
    <w:rsid w:val="00AD03B3"/>
    <w:rsid w:val="00AD0764"/>
    <w:rsid w:val="00AD1B55"/>
    <w:rsid w:val="00AD2A20"/>
    <w:rsid w:val="00AD2B25"/>
    <w:rsid w:val="00AD4D42"/>
    <w:rsid w:val="00AD4E43"/>
    <w:rsid w:val="00AD5E49"/>
    <w:rsid w:val="00AD6C09"/>
    <w:rsid w:val="00AD722C"/>
    <w:rsid w:val="00AD7508"/>
    <w:rsid w:val="00AE059B"/>
    <w:rsid w:val="00AE0DD9"/>
    <w:rsid w:val="00AE183C"/>
    <w:rsid w:val="00AE198F"/>
    <w:rsid w:val="00AE19C1"/>
    <w:rsid w:val="00AE2356"/>
    <w:rsid w:val="00AE2654"/>
    <w:rsid w:val="00AE3CCF"/>
    <w:rsid w:val="00AE3E25"/>
    <w:rsid w:val="00AE40F5"/>
    <w:rsid w:val="00AE4C9C"/>
    <w:rsid w:val="00AE57BB"/>
    <w:rsid w:val="00AE6505"/>
    <w:rsid w:val="00AE74AB"/>
    <w:rsid w:val="00AE7BDA"/>
    <w:rsid w:val="00AE7E0E"/>
    <w:rsid w:val="00AF0023"/>
    <w:rsid w:val="00AF103B"/>
    <w:rsid w:val="00AF1A7A"/>
    <w:rsid w:val="00AF20A3"/>
    <w:rsid w:val="00AF25CD"/>
    <w:rsid w:val="00AF2627"/>
    <w:rsid w:val="00AF2D03"/>
    <w:rsid w:val="00AF4CC7"/>
    <w:rsid w:val="00AF4D0C"/>
    <w:rsid w:val="00AF729F"/>
    <w:rsid w:val="00AF7B85"/>
    <w:rsid w:val="00B008AF"/>
    <w:rsid w:val="00B01626"/>
    <w:rsid w:val="00B042B7"/>
    <w:rsid w:val="00B04B0E"/>
    <w:rsid w:val="00B04C08"/>
    <w:rsid w:val="00B05296"/>
    <w:rsid w:val="00B05468"/>
    <w:rsid w:val="00B06ACC"/>
    <w:rsid w:val="00B07BB0"/>
    <w:rsid w:val="00B07CD3"/>
    <w:rsid w:val="00B11BE3"/>
    <w:rsid w:val="00B12BDC"/>
    <w:rsid w:val="00B13321"/>
    <w:rsid w:val="00B138A3"/>
    <w:rsid w:val="00B14059"/>
    <w:rsid w:val="00B14536"/>
    <w:rsid w:val="00B14934"/>
    <w:rsid w:val="00B16033"/>
    <w:rsid w:val="00B164A2"/>
    <w:rsid w:val="00B167DA"/>
    <w:rsid w:val="00B16F12"/>
    <w:rsid w:val="00B1775E"/>
    <w:rsid w:val="00B20A44"/>
    <w:rsid w:val="00B20B66"/>
    <w:rsid w:val="00B20F7C"/>
    <w:rsid w:val="00B21409"/>
    <w:rsid w:val="00B217D4"/>
    <w:rsid w:val="00B22459"/>
    <w:rsid w:val="00B22666"/>
    <w:rsid w:val="00B226B3"/>
    <w:rsid w:val="00B233CF"/>
    <w:rsid w:val="00B23979"/>
    <w:rsid w:val="00B23D3D"/>
    <w:rsid w:val="00B2431A"/>
    <w:rsid w:val="00B2438F"/>
    <w:rsid w:val="00B245C5"/>
    <w:rsid w:val="00B25635"/>
    <w:rsid w:val="00B25B2F"/>
    <w:rsid w:val="00B267AC"/>
    <w:rsid w:val="00B26A99"/>
    <w:rsid w:val="00B26F83"/>
    <w:rsid w:val="00B27454"/>
    <w:rsid w:val="00B2745D"/>
    <w:rsid w:val="00B277CA"/>
    <w:rsid w:val="00B27BBE"/>
    <w:rsid w:val="00B303DD"/>
    <w:rsid w:val="00B306F5"/>
    <w:rsid w:val="00B30B3D"/>
    <w:rsid w:val="00B31FEE"/>
    <w:rsid w:val="00B33150"/>
    <w:rsid w:val="00B33640"/>
    <w:rsid w:val="00B33AA7"/>
    <w:rsid w:val="00B3444E"/>
    <w:rsid w:val="00B34521"/>
    <w:rsid w:val="00B34550"/>
    <w:rsid w:val="00B347B2"/>
    <w:rsid w:val="00B34847"/>
    <w:rsid w:val="00B34D23"/>
    <w:rsid w:val="00B35CCE"/>
    <w:rsid w:val="00B3673F"/>
    <w:rsid w:val="00B36CFC"/>
    <w:rsid w:val="00B3730E"/>
    <w:rsid w:val="00B37784"/>
    <w:rsid w:val="00B37805"/>
    <w:rsid w:val="00B37C90"/>
    <w:rsid w:val="00B43A2F"/>
    <w:rsid w:val="00B43EA1"/>
    <w:rsid w:val="00B44305"/>
    <w:rsid w:val="00B449BB"/>
    <w:rsid w:val="00B44D48"/>
    <w:rsid w:val="00B45362"/>
    <w:rsid w:val="00B45D5D"/>
    <w:rsid w:val="00B45EC2"/>
    <w:rsid w:val="00B4638E"/>
    <w:rsid w:val="00B50A59"/>
    <w:rsid w:val="00B51E17"/>
    <w:rsid w:val="00B53274"/>
    <w:rsid w:val="00B53A2C"/>
    <w:rsid w:val="00B550CD"/>
    <w:rsid w:val="00B570DE"/>
    <w:rsid w:val="00B613AC"/>
    <w:rsid w:val="00B61CAF"/>
    <w:rsid w:val="00B61F81"/>
    <w:rsid w:val="00B61FF7"/>
    <w:rsid w:val="00B62018"/>
    <w:rsid w:val="00B6218E"/>
    <w:rsid w:val="00B632BA"/>
    <w:rsid w:val="00B63384"/>
    <w:rsid w:val="00B66CBD"/>
    <w:rsid w:val="00B66E68"/>
    <w:rsid w:val="00B67660"/>
    <w:rsid w:val="00B67867"/>
    <w:rsid w:val="00B707DD"/>
    <w:rsid w:val="00B7410D"/>
    <w:rsid w:val="00B74ED3"/>
    <w:rsid w:val="00B772B4"/>
    <w:rsid w:val="00B801F6"/>
    <w:rsid w:val="00B81BF9"/>
    <w:rsid w:val="00B81DEB"/>
    <w:rsid w:val="00B82917"/>
    <w:rsid w:val="00B837E6"/>
    <w:rsid w:val="00B840E8"/>
    <w:rsid w:val="00B841DD"/>
    <w:rsid w:val="00B8584B"/>
    <w:rsid w:val="00B8639F"/>
    <w:rsid w:val="00B872FF"/>
    <w:rsid w:val="00B8749A"/>
    <w:rsid w:val="00B91343"/>
    <w:rsid w:val="00B913A5"/>
    <w:rsid w:val="00B91BB5"/>
    <w:rsid w:val="00B929EC"/>
    <w:rsid w:val="00B930D7"/>
    <w:rsid w:val="00B94E7C"/>
    <w:rsid w:val="00B96097"/>
    <w:rsid w:val="00B9655B"/>
    <w:rsid w:val="00B973B4"/>
    <w:rsid w:val="00B97C40"/>
    <w:rsid w:val="00BA087D"/>
    <w:rsid w:val="00BA1F89"/>
    <w:rsid w:val="00BA2261"/>
    <w:rsid w:val="00BA2526"/>
    <w:rsid w:val="00BA2768"/>
    <w:rsid w:val="00BA2CE9"/>
    <w:rsid w:val="00BA4633"/>
    <w:rsid w:val="00BA474E"/>
    <w:rsid w:val="00BA4D99"/>
    <w:rsid w:val="00BA5159"/>
    <w:rsid w:val="00BA5CAB"/>
    <w:rsid w:val="00BA5F9E"/>
    <w:rsid w:val="00BA6129"/>
    <w:rsid w:val="00BA6704"/>
    <w:rsid w:val="00BA7946"/>
    <w:rsid w:val="00BA79EA"/>
    <w:rsid w:val="00BB0CDC"/>
    <w:rsid w:val="00BB1F91"/>
    <w:rsid w:val="00BB1FB5"/>
    <w:rsid w:val="00BB2013"/>
    <w:rsid w:val="00BB2116"/>
    <w:rsid w:val="00BB2484"/>
    <w:rsid w:val="00BB2755"/>
    <w:rsid w:val="00BB31D2"/>
    <w:rsid w:val="00BB345F"/>
    <w:rsid w:val="00BB3CA3"/>
    <w:rsid w:val="00BB3EAE"/>
    <w:rsid w:val="00BB459A"/>
    <w:rsid w:val="00BB5815"/>
    <w:rsid w:val="00BB586F"/>
    <w:rsid w:val="00BB5FEA"/>
    <w:rsid w:val="00BB6CE4"/>
    <w:rsid w:val="00BB6E5C"/>
    <w:rsid w:val="00BB71C0"/>
    <w:rsid w:val="00BB7FAD"/>
    <w:rsid w:val="00BC0012"/>
    <w:rsid w:val="00BC00BF"/>
    <w:rsid w:val="00BC1F99"/>
    <w:rsid w:val="00BC22A2"/>
    <w:rsid w:val="00BC26FF"/>
    <w:rsid w:val="00BC2806"/>
    <w:rsid w:val="00BC2E25"/>
    <w:rsid w:val="00BC2EB4"/>
    <w:rsid w:val="00BC39B0"/>
    <w:rsid w:val="00BC4973"/>
    <w:rsid w:val="00BC4E17"/>
    <w:rsid w:val="00BC58B6"/>
    <w:rsid w:val="00BD01CE"/>
    <w:rsid w:val="00BD0244"/>
    <w:rsid w:val="00BD1A04"/>
    <w:rsid w:val="00BD1D12"/>
    <w:rsid w:val="00BD2257"/>
    <w:rsid w:val="00BD232D"/>
    <w:rsid w:val="00BD2FB8"/>
    <w:rsid w:val="00BD2FC5"/>
    <w:rsid w:val="00BD3590"/>
    <w:rsid w:val="00BD3FBF"/>
    <w:rsid w:val="00BD42B7"/>
    <w:rsid w:val="00BD5C3D"/>
    <w:rsid w:val="00BD61BD"/>
    <w:rsid w:val="00BD7434"/>
    <w:rsid w:val="00BD7675"/>
    <w:rsid w:val="00BD78AE"/>
    <w:rsid w:val="00BD7D6D"/>
    <w:rsid w:val="00BE0106"/>
    <w:rsid w:val="00BE1C9E"/>
    <w:rsid w:val="00BE210B"/>
    <w:rsid w:val="00BE368B"/>
    <w:rsid w:val="00BE36A8"/>
    <w:rsid w:val="00BE63BA"/>
    <w:rsid w:val="00BE6FDB"/>
    <w:rsid w:val="00BF0599"/>
    <w:rsid w:val="00BF0D0E"/>
    <w:rsid w:val="00BF103B"/>
    <w:rsid w:val="00BF11DD"/>
    <w:rsid w:val="00BF13C1"/>
    <w:rsid w:val="00BF1A77"/>
    <w:rsid w:val="00BF20E1"/>
    <w:rsid w:val="00BF281A"/>
    <w:rsid w:val="00BF2ACE"/>
    <w:rsid w:val="00BF2E93"/>
    <w:rsid w:val="00BF3369"/>
    <w:rsid w:val="00BF4229"/>
    <w:rsid w:val="00BF71DB"/>
    <w:rsid w:val="00BF7B51"/>
    <w:rsid w:val="00C001C5"/>
    <w:rsid w:val="00C01084"/>
    <w:rsid w:val="00C01786"/>
    <w:rsid w:val="00C02562"/>
    <w:rsid w:val="00C0295A"/>
    <w:rsid w:val="00C02D65"/>
    <w:rsid w:val="00C031EB"/>
    <w:rsid w:val="00C033E3"/>
    <w:rsid w:val="00C04C34"/>
    <w:rsid w:val="00C04E01"/>
    <w:rsid w:val="00C060CE"/>
    <w:rsid w:val="00C0698E"/>
    <w:rsid w:val="00C079A3"/>
    <w:rsid w:val="00C115EE"/>
    <w:rsid w:val="00C119FF"/>
    <w:rsid w:val="00C11A89"/>
    <w:rsid w:val="00C12D44"/>
    <w:rsid w:val="00C134AB"/>
    <w:rsid w:val="00C135D1"/>
    <w:rsid w:val="00C1428F"/>
    <w:rsid w:val="00C146C0"/>
    <w:rsid w:val="00C16B37"/>
    <w:rsid w:val="00C17A02"/>
    <w:rsid w:val="00C20A53"/>
    <w:rsid w:val="00C20C93"/>
    <w:rsid w:val="00C219DD"/>
    <w:rsid w:val="00C21D4E"/>
    <w:rsid w:val="00C223DF"/>
    <w:rsid w:val="00C22E0D"/>
    <w:rsid w:val="00C23405"/>
    <w:rsid w:val="00C23642"/>
    <w:rsid w:val="00C23DD8"/>
    <w:rsid w:val="00C24FF1"/>
    <w:rsid w:val="00C259F6"/>
    <w:rsid w:val="00C25F97"/>
    <w:rsid w:val="00C26212"/>
    <w:rsid w:val="00C26637"/>
    <w:rsid w:val="00C2679E"/>
    <w:rsid w:val="00C27467"/>
    <w:rsid w:val="00C2779E"/>
    <w:rsid w:val="00C30116"/>
    <w:rsid w:val="00C31089"/>
    <w:rsid w:val="00C3162A"/>
    <w:rsid w:val="00C3177B"/>
    <w:rsid w:val="00C338C0"/>
    <w:rsid w:val="00C33D41"/>
    <w:rsid w:val="00C357B1"/>
    <w:rsid w:val="00C377D4"/>
    <w:rsid w:val="00C37DFF"/>
    <w:rsid w:val="00C401BD"/>
    <w:rsid w:val="00C402F9"/>
    <w:rsid w:val="00C419FA"/>
    <w:rsid w:val="00C41A92"/>
    <w:rsid w:val="00C42021"/>
    <w:rsid w:val="00C425D4"/>
    <w:rsid w:val="00C42D33"/>
    <w:rsid w:val="00C42EA0"/>
    <w:rsid w:val="00C43471"/>
    <w:rsid w:val="00C43512"/>
    <w:rsid w:val="00C43BE8"/>
    <w:rsid w:val="00C44AC8"/>
    <w:rsid w:val="00C4525C"/>
    <w:rsid w:val="00C45B22"/>
    <w:rsid w:val="00C4624C"/>
    <w:rsid w:val="00C4635C"/>
    <w:rsid w:val="00C4670E"/>
    <w:rsid w:val="00C46A9E"/>
    <w:rsid w:val="00C46B32"/>
    <w:rsid w:val="00C46CB7"/>
    <w:rsid w:val="00C478A5"/>
    <w:rsid w:val="00C50B41"/>
    <w:rsid w:val="00C51127"/>
    <w:rsid w:val="00C5385F"/>
    <w:rsid w:val="00C54008"/>
    <w:rsid w:val="00C554CE"/>
    <w:rsid w:val="00C55587"/>
    <w:rsid w:val="00C55F21"/>
    <w:rsid w:val="00C570E5"/>
    <w:rsid w:val="00C57881"/>
    <w:rsid w:val="00C57ECD"/>
    <w:rsid w:val="00C60544"/>
    <w:rsid w:val="00C61973"/>
    <w:rsid w:val="00C61C61"/>
    <w:rsid w:val="00C61D43"/>
    <w:rsid w:val="00C61D78"/>
    <w:rsid w:val="00C6202E"/>
    <w:rsid w:val="00C62611"/>
    <w:rsid w:val="00C627B1"/>
    <w:rsid w:val="00C6284E"/>
    <w:rsid w:val="00C633C9"/>
    <w:rsid w:val="00C65672"/>
    <w:rsid w:val="00C65BB3"/>
    <w:rsid w:val="00C66691"/>
    <w:rsid w:val="00C66B4E"/>
    <w:rsid w:val="00C679B6"/>
    <w:rsid w:val="00C70A28"/>
    <w:rsid w:val="00C7436D"/>
    <w:rsid w:val="00C74E46"/>
    <w:rsid w:val="00C76241"/>
    <w:rsid w:val="00C76C4A"/>
    <w:rsid w:val="00C76C80"/>
    <w:rsid w:val="00C7765F"/>
    <w:rsid w:val="00C778BD"/>
    <w:rsid w:val="00C807ED"/>
    <w:rsid w:val="00C81B31"/>
    <w:rsid w:val="00C8215D"/>
    <w:rsid w:val="00C83698"/>
    <w:rsid w:val="00C85BA5"/>
    <w:rsid w:val="00C8610E"/>
    <w:rsid w:val="00C8618A"/>
    <w:rsid w:val="00C861EF"/>
    <w:rsid w:val="00C866F7"/>
    <w:rsid w:val="00C87AA0"/>
    <w:rsid w:val="00C87C35"/>
    <w:rsid w:val="00C87D8F"/>
    <w:rsid w:val="00C905B0"/>
    <w:rsid w:val="00C908AB"/>
    <w:rsid w:val="00C90BBD"/>
    <w:rsid w:val="00C90EB0"/>
    <w:rsid w:val="00C9167E"/>
    <w:rsid w:val="00C916D0"/>
    <w:rsid w:val="00C91BFB"/>
    <w:rsid w:val="00C92340"/>
    <w:rsid w:val="00C92AB8"/>
    <w:rsid w:val="00C935DF"/>
    <w:rsid w:val="00C93A11"/>
    <w:rsid w:val="00C940F6"/>
    <w:rsid w:val="00C9427A"/>
    <w:rsid w:val="00C94830"/>
    <w:rsid w:val="00C94F4E"/>
    <w:rsid w:val="00C95CA0"/>
    <w:rsid w:val="00C95CC0"/>
    <w:rsid w:val="00C96F8C"/>
    <w:rsid w:val="00CA03AD"/>
    <w:rsid w:val="00CA05E4"/>
    <w:rsid w:val="00CA06A4"/>
    <w:rsid w:val="00CA09DB"/>
    <w:rsid w:val="00CA0DC7"/>
    <w:rsid w:val="00CA22B0"/>
    <w:rsid w:val="00CA230F"/>
    <w:rsid w:val="00CA231A"/>
    <w:rsid w:val="00CA3763"/>
    <w:rsid w:val="00CA3CAF"/>
    <w:rsid w:val="00CA456B"/>
    <w:rsid w:val="00CA48F1"/>
    <w:rsid w:val="00CA5F46"/>
    <w:rsid w:val="00CA7B0C"/>
    <w:rsid w:val="00CB0481"/>
    <w:rsid w:val="00CB061E"/>
    <w:rsid w:val="00CB1769"/>
    <w:rsid w:val="00CB27BD"/>
    <w:rsid w:val="00CB2B62"/>
    <w:rsid w:val="00CB2D8A"/>
    <w:rsid w:val="00CB2DDB"/>
    <w:rsid w:val="00CB305B"/>
    <w:rsid w:val="00CB3689"/>
    <w:rsid w:val="00CB4FA6"/>
    <w:rsid w:val="00CB6566"/>
    <w:rsid w:val="00CB74F8"/>
    <w:rsid w:val="00CB763D"/>
    <w:rsid w:val="00CB7BDC"/>
    <w:rsid w:val="00CC0165"/>
    <w:rsid w:val="00CC0410"/>
    <w:rsid w:val="00CC18B6"/>
    <w:rsid w:val="00CC2360"/>
    <w:rsid w:val="00CC2D8E"/>
    <w:rsid w:val="00CC315E"/>
    <w:rsid w:val="00CC36A5"/>
    <w:rsid w:val="00CC4953"/>
    <w:rsid w:val="00CC4A98"/>
    <w:rsid w:val="00CC6B5B"/>
    <w:rsid w:val="00CC6B85"/>
    <w:rsid w:val="00CC6E4A"/>
    <w:rsid w:val="00CC6EFF"/>
    <w:rsid w:val="00CC73FE"/>
    <w:rsid w:val="00CC74C9"/>
    <w:rsid w:val="00CD0086"/>
    <w:rsid w:val="00CD071F"/>
    <w:rsid w:val="00CD080F"/>
    <w:rsid w:val="00CD09EF"/>
    <w:rsid w:val="00CD0E8B"/>
    <w:rsid w:val="00CD122F"/>
    <w:rsid w:val="00CD1691"/>
    <w:rsid w:val="00CD3294"/>
    <w:rsid w:val="00CD4A83"/>
    <w:rsid w:val="00CD56FE"/>
    <w:rsid w:val="00CD60AB"/>
    <w:rsid w:val="00CD784F"/>
    <w:rsid w:val="00CE006B"/>
    <w:rsid w:val="00CE10A6"/>
    <w:rsid w:val="00CE45F6"/>
    <w:rsid w:val="00CE499C"/>
    <w:rsid w:val="00CE5620"/>
    <w:rsid w:val="00CE5946"/>
    <w:rsid w:val="00CE645A"/>
    <w:rsid w:val="00CE6D1E"/>
    <w:rsid w:val="00CE6EA9"/>
    <w:rsid w:val="00CF0758"/>
    <w:rsid w:val="00CF2A8B"/>
    <w:rsid w:val="00CF2CFA"/>
    <w:rsid w:val="00CF3D3D"/>
    <w:rsid w:val="00CF456F"/>
    <w:rsid w:val="00CF58DF"/>
    <w:rsid w:val="00CF7489"/>
    <w:rsid w:val="00CF77DA"/>
    <w:rsid w:val="00D002BB"/>
    <w:rsid w:val="00D01284"/>
    <w:rsid w:val="00D013A3"/>
    <w:rsid w:val="00D019ED"/>
    <w:rsid w:val="00D01B60"/>
    <w:rsid w:val="00D01DF9"/>
    <w:rsid w:val="00D022CC"/>
    <w:rsid w:val="00D0233C"/>
    <w:rsid w:val="00D028B3"/>
    <w:rsid w:val="00D029F3"/>
    <w:rsid w:val="00D0308F"/>
    <w:rsid w:val="00D031C7"/>
    <w:rsid w:val="00D045B6"/>
    <w:rsid w:val="00D04789"/>
    <w:rsid w:val="00D04CB3"/>
    <w:rsid w:val="00D05305"/>
    <w:rsid w:val="00D0557E"/>
    <w:rsid w:val="00D05B6D"/>
    <w:rsid w:val="00D07691"/>
    <w:rsid w:val="00D07E11"/>
    <w:rsid w:val="00D10512"/>
    <w:rsid w:val="00D10B08"/>
    <w:rsid w:val="00D12857"/>
    <w:rsid w:val="00D12C4F"/>
    <w:rsid w:val="00D1310B"/>
    <w:rsid w:val="00D14486"/>
    <w:rsid w:val="00D158E2"/>
    <w:rsid w:val="00D16509"/>
    <w:rsid w:val="00D16AA4"/>
    <w:rsid w:val="00D16EF4"/>
    <w:rsid w:val="00D203AE"/>
    <w:rsid w:val="00D20855"/>
    <w:rsid w:val="00D20AAC"/>
    <w:rsid w:val="00D21B31"/>
    <w:rsid w:val="00D21C57"/>
    <w:rsid w:val="00D23E72"/>
    <w:rsid w:val="00D242F0"/>
    <w:rsid w:val="00D24BFC"/>
    <w:rsid w:val="00D25641"/>
    <w:rsid w:val="00D2606A"/>
    <w:rsid w:val="00D260C0"/>
    <w:rsid w:val="00D26B95"/>
    <w:rsid w:val="00D26D7B"/>
    <w:rsid w:val="00D2714E"/>
    <w:rsid w:val="00D277EE"/>
    <w:rsid w:val="00D27FBA"/>
    <w:rsid w:val="00D304F5"/>
    <w:rsid w:val="00D31687"/>
    <w:rsid w:val="00D31E45"/>
    <w:rsid w:val="00D31EB9"/>
    <w:rsid w:val="00D32CAA"/>
    <w:rsid w:val="00D3425A"/>
    <w:rsid w:val="00D348EB"/>
    <w:rsid w:val="00D349E4"/>
    <w:rsid w:val="00D35FB5"/>
    <w:rsid w:val="00D366B7"/>
    <w:rsid w:val="00D36EF9"/>
    <w:rsid w:val="00D37B7E"/>
    <w:rsid w:val="00D37E64"/>
    <w:rsid w:val="00D40BD3"/>
    <w:rsid w:val="00D40BFD"/>
    <w:rsid w:val="00D41FE0"/>
    <w:rsid w:val="00D423EA"/>
    <w:rsid w:val="00D42D20"/>
    <w:rsid w:val="00D42E27"/>
    <w:rsid w:val="00D42EDC"/>
    <w:rsid w:val="00D4372D"/>
    <w:rsid w:val="00D43918"/>
    <w:rsid w:val="00D43CFC"/>
    <w:rsid w:val="00D43D5C"/>
    <w:rsid w:val="00D43F3C"/>
    <w:rsid w:val="00D44207"/>
    <w:rsid w:val="00D443EB"/>
    <w:rsid w:val="00D450E8"/>
    <w:rsid w:val="00D45F41"/>
    <w:rsid w:val="00D46A92"/>
    <w:rsid w:val="00D47949"/>
    <w:rsid w:val="00D51A23"/>
    <w:rsid w:val="00D5248D"/>
    <w:rsid w:val="00D53874"/>
    <w:rsid w:val="00D53E19"/>
    <w:rsid w:val="00D54296"/>
    <w:rsid w:val="00D5435A"/>
    <w:rsid w:val="00D55E14"/>
    <w:rsid w:val="00D57B0A"/>
    <w:rsid w:val="00D63293"/>
    <w:rsid w:val="00D64FD8"/>
    <w:rsid w:val="00D65752"/>
    <w:rsid w:val="00D65C9A"/>
    <w:rsid w:val="00D66398"/>
    <w:rsid w:val="00D663B3"/>
    <w:rsid w:val="00D6715A"/>
    <w:rsid w:val="00D6762B"/>
    <w:rsid w:val="00D67794"/>
    <w:rsid w:val="00D706D6"/>
    <w:rsid w:val="00D72737"/>
    <w:rsid w:val="00D75059"/>
    <w:rsid w:val="00D76BE1"/>
    <w:rsid w:val="00D7723D"/>
    <w:rsid w:val="00D7752C"/>
    <w:rsid w:val="00D77B7C"/>
    <w:rsid w:val="00D77CA4"/>
    <w:rsid w:val="00D816D9"/>
    <w:rsid w:val="00D81A80"/>
    <w:rsid w:val="00D81B06"/>
    <w:rsid w:val="00D825F0"/>
    <w:rsid w:val="00D84AA9"/>
    <w:rsid w:val="00D84CD1"/>
    <w:rsid w:val="00D84ED4"/>
    <w:rsid w:val="00D8549A"/>
    <w:rsid w:val="00D86CF8"/>
    <w:rsid w:val="00D873AF"/>
    <w:rsid w:val="00D927AD"/>
    <w:rsid w:val="00D927FF"/>
    <w:rsid w:val="00D93E72"/>
    <w:rsid w:val="00D94A7D"/>
    <w:rsid w:val="00D951B8"/>
    <w:rsid w:val="00D95CCD"/>
    <w:rsid w:val="00D965AB"/>
    <w:rsid w:val="00D96C21"/>
    <w:rsid w:val="00D96FAE"/>
    <w:rsid w:val="00D97135"/>
    <w:rsid w:val="00D9721E"/>
    <w:rsid w:val="00D97AB0"/>
    <w:rsid w:val="00D97E27"/>
    <w:rsid w:val="00D97E4C"/>
    <w:rsid w:val="00DA0660"/>
    <w:rsid w:val="00DA09DC"/>
    <w:rsid w:val="00DA1257"/>
    <w:rsid w:val="00DA1721"/>
    <w:rsid w:val="00DA1BB8"/>
    <w:rsid w:val="00DA2460"/>
    <w:rsid w:val="00DA305E"/>
    <w:rsid w:val="00DA46A4"/>
    <w:rsid w:val="00DA4A0B"/>
    <w:rsid w:val="00DA5121"/>
    <w:rsid w:val="00DA7AC6"/>
    <w:rsid w:val="00DB00D6"/>
    <w:rsid w:val="00DB1087"/>
    <w:rsid w:val="00DB14DF"/>
    <w:rsid w:val="00DB1C0E"/>
    <w:rsid w:val="00DB3175"/>
    <w:rsid w:val="00DB5249"/>
    <w:rsid w:val="00DB52AC"/>
    <w:rsid w:val="00DB597E"/>
    <w:rsid w:val="00DB7477"/>
    <w:rsid w:val="00DC032A"/>
    <w:rsid w:val="00DC0366"/>
    <w:rsid w:val="00DC0E1A"/>
    <w:rsid w:val="00DC164C"/>
    <w:rsid w:val="00DC2333"/>
    <w:rsid w:val="00DC2901"/>
    <w:rsid w:val="00DC2F1C"/>
    <w:rsid w:val="00DC349E"/>
    <w:rsid w:val="00DC4C49"/>
    <w:rsid w:val="00DC4E9F"/>
    <w:rsid w:val="00DC4EE9"/>
    <w:rsid w:val="00DC5F79"/>
    <w:rsid w:val="00DC67BC"/>
    <w:rsid w:val="00DC6C94"/>
    <w:rsid w:val="00DC7238"/>
    <w:rsid w:val="00DC72E3"/>
    <w:rsid w:val="00DD002C"/>
    <w:rsid w:val="00DD0086"/>
    <w:rsid w:val="00DD04EA"/>
    <w:rsid w:val="00DD0746"/>
    <w:rsid w:val="00DD2784"/>
    <w:rsid w:val="00DD326A"/>
    <w:rsid w:val="00DD3CBF"/>
    <w:rsid w:val="00DD48E2"/>
    <w:rsid w:val="00DD4A56"/>
    <w:rsid w:val="00DD5604"/>
    <w:rsid w:val="00DD6048"/>
    <w:rsid w:val="00DD6B4C"/>
    <w:rsid w:val="00DD6E20"/>
    <w:rsid w:val="00DD7DD6"/>
    <w:rsid w:val="00DE2041"/>
    <w:rsid w:val="00DE372A"/>
    <w:rsid w:val="00DE38F0"/>
    <w:rsid w:val="00DE3C91"/>
    <w:rsid w:val="00DE413D"/>
    <w:rsid w:val="00DE4620"/>
    <w:rsid w:val="00DE492B"/>
    <w:rsid w:val="00DE516C"/>
    <w:rsid w:val="00DE6529"/>
    <w:rsid w:val="00DE7813"/>
    <w:rsid w:val="00DE7FE7"/>
    <w:rsid w:val="00DF012D"/>
    <w:rsid w:val="00DF1122"/>
    <w:rsid w:val="00DF143E"/>
    <w:rsid w:val="00DF1460"/>
    <w:rsid w:val="00DF2BF7"/>
    <w:rsid w:val="00DF3A50"/>
    <w:rsid w:val="00DF3F11"/>
    <w:rsid w:val="00DF4BBF"/>
    <w:rsid w:val="00DF60C4"/>
    <w:rsid w:val="00DF633F"/>
    <w:rsid w:val="00DF70D5"/>
    <w:rsid w:val="00DF79C3"/>
    <w:rsid w:val="00E00480"/>
    <w:rsid w:val="00E01984"/>
    <w:rsid w:val="00E01A21"/>
    <w:rsid w:val="00E0295F"/>
    <w:rsid w:val="00E02DA7"/>
    <w:rsid w:val="00E03580"/>
    <w:rsid w:val="00E03C92"/>
    <w:rsid w:val="00E04161"/>
    <w:rsid w:val="00E04208"/>
    <w:rsid w:val="00E04E45"/>
    <w:rsid w:val="00E05392"/>
    <w:rsid w:val="00E053E9"/>
    <w:rsid w:val="00E055EF"/>
    <w:rsid w:val="00E05B16"/>
    <w:rsid w:val="00E06625"/>
    <w:rsid w:val="00E06FAE"/>
    <w:rsid w:val="00E075E3"/>
    <w:rsid w:val="00E07AFE"/>
    <w:rsid w:val="00E105D9"/>
    <w:rsid w:val="00E10AB8"/>
    <w:rsid w:val="00E11986"/>
    <w:rsid w:val="00E121FE"/>
    <w:rsid w:val="00E12D59"/>
    <w:rsid w:val="00E12E24"/>
    <w:rsid w:val="00E13EC5"/>
    <w:rsid w:val="00E14378"/>
    <w:rsid w:val="00E143A4"/>
    <w:rsid w:val="00E15461"/>
    <w:rsid w:val="00E15893"/>
    <w:rsid w:val="00E158A6"/>
    <w:rsid w:val="00E16E82"/>
    <w:rsid w:val="00E175EC"/>
    <w:rsid w:val="00E1778B"/>
    <w:rsid w:val="00E17F27"/>
    <w:rsid w:val="00E21CDE"/>
    <w:rsid w:val="00E22533"/>
    <w:rsid w:val="00E22BB9"/>
    <w:rsid w:val="00E23400"/>
    <w:rsid w:val="00E24407"/>
    <w:rsid w:val="00E2486A"/>
    <w:rsid w:val="00E25323"/>
    <w:rsid w:val="00E25341"/>
    <w:rsid w:val="00E26514"/>
    <w:rsid w:val="00E26A69"/>
    <w:rsid w:val="00E27288"/>
    <w:rsid w:val="00E2744C"/>
    <w:rsid w:val="00E30675"/>
    <w:rsid w:val="00E314E5"/>
    <w:rsid w:val="00E31591"/>
    <w:rsid w:val="00E31729"/>
    <w:rsid w:val="00E3246A"/>
    <w:rsid w:val="00E332BD"/>
    <w:rsid w:val="00E33C16"/>
    <w:rsid w:val="00E34A09"/>
    <w:rsid w:val="00E34D74"/>
    <w:rsid w:val="00E35026"/>
    <w:rsid w:val="00E35847"/>
    <w:rsid w:val="00E4073E"/>
    <w:rsid w:val="00E4137C"/>
    <w:rsid w:val="00E42C68"/>
    <w:rsid w:val="00E432D2"/>
    <w:rsid w:val="00E45B88"/>
    <w:rsid w:val="00E468E6"/>
    <w:rsid w:val="00E46A22"/>
    <w:rsid w:val="00E4706A"/>
    <w:rsid w:val="00E4710D"/>
    <w:rsid w:val="00E471EC"/>
    <w:rsid w:val="00E474B8"/>
    <w:rsid w:val="00E47918"/>
    <w:rsid w:val="00E47945"/>
    <w:rsid w:val="00E47CD5"/>
    <w:rsid w:val="00E47D8B"/>
    <w:rsid w:val="00E51336"/>
    <w:rsid w:val="00E51B12"/>
    <w:rsid w:val="00E526A0"/>
    <w:rsid w:val="00E52968"/>
    <w:rsid w:val="00E5331D"/>
    <w:rsid w:val="00E536BF"/>
    <w:rsid w:val="00E53CD4"/>
    <w:rsid w:val="00E540D1"/>
    <w:rsid w:val="00E56333"/>
    <w:rsid w:val="00E56BFF"/>
    <w:rsid w:val="00E57319"/>
    <w:rsid w:val="00E57453"/>
    <w:rsid w:val="00E60BD8"/>
    <w:rsid w:val="00E613EB"/>
    <w:rsid w:val="00E61DBD"/>
    <w:rsid w:val="00E62EBC"/>
    <w:rsid w:val="00E63785"/>
    <w:rsid w:val="00E637DA"/>
    <w:rsid w:val="00E64E04"/>
    <w:rsid w:val="00E65AE6"/>
    <w:rsid w:val="00E668A5"/>
    <w:rsid w:val="00E677C9"/>
    <w:rsid w:val="00E67E9D"/>
    <w:rsid w:val="00E67F89"/>
    <w:rsid w:val="00E70E46"/>
    <w:rsid w:val="00E72A59"/>
    <w:rsid w:val="00E72F72"/>
    <w:rsid w:val="00E73282"/>
    <w:rsid w:val="00E7360C"/>
    <w:rsid w:val="00E73C62"/>
    <w:rsid w:val="00E73F3D"/>
    <w:rsid w:val="00E7425C"/>
    <w:rsid w:val="00E74BEE"/>
    <w:rsid w:val="00E751DF"/>
    <w:rsid w:val="00E754E5"/>
    <w:rsid w:val="00E758B6"/>
    <w:rsid w:val="00E766D6"/>
    <w:rsid w:val="00E7696A"/>
    <w:rsid w:val="00E772C1"/>
    <w:rsid w:val="00E77929"/>
    <w:rsid w:val="00E80303"/>
    <w:rsid w:val="00E80BCC"/>
    <w:rsid w:val="00E8110F"/>
    <w:rsid w:val="00E82ECE"/>
    <w:rsid w:val="00E83421"/>
    <w:rsid w:val="00E835C2"/>
    <w:rsid w:val="00E84878"/>
    <w:rsid w:val="00E8575B"/>
    <w:rsid w:val="00E862AA"/>
    <w:rsid w:val="00E86399"/>
    <w:rsid w:val="00E86ABE"/>
    <w:rsid w:val="00E90A4A"/>
    <w:rsid w:val="00E90AC0"/>
    <w:rsid w:val="00E90FDC"/>
    <w:rsid w:val="00E911A2"/>
    <w:rsid w:val="00E9143F"/>
    <w:rsid w:val="00E9262C"/>
    <w:rsid w:val="00E92A71"/>
    <w:rsid w:val="00E94047"/>
    <w:rsid w:val="00E9472C"/>
    <w:rsid w:val="00E9607B"/>
    <w:rsid w:val="00E9685D"/>
    <w:rsid w:val="00E9699E"/>
    <w:rsid w:val="00E97A66"/>
    <w:rsid w:val="00EA06A8"/>
    <w:rsid w:val="00EA0AC4"/>
    <w:rsid w:val="00EA0FE0"/>
    <w:rsid w:val="00EA1642"/>
    <w:rsid w:val="00EA20EB"/>
    <w:rsid w:val="00EA2C04"/>
    <w:rsid w:val="00EA3262"/>
    <w:rsid w:val="00EA388D"/>
    <w:rsid w:val="00EA3903"/>
    <w:rsid w:val="00EA3E7F"/>
    <w:rsid w:val="00EA42AC"/>
    <w:rsid w:val="00EA575F"/>
    <w:rsid w:val="00EA62DA"/>
    <w:rsid w:val="00EA7D0B"/>
    <w:rsid w:val="00EB225F"/>
    <w:rsid w:val="00EB26F8"/>
    <w:rsid w:val="00EB2CA9"/>
    <w:rsid w:val="00EB2E56"/>
    <w:rsid w:val="00EB2EA7"/>
    <w:rsid w:val="00EB3557"/>
    <w:rsid w:val="00EB425A"/>
    <w:rsid w:val="00EB43F5"/>
    <w:rsid w:val="00EB4EAC"/>
    <w:rsid w:val="00EB5AE5"/>
    <w:rsid w:val="00EB5EF4"/>
    <w:rsid w:val="00EB5F09"/>
    <w:rsid w:val="00EB6286"/>
    <w:rsid w:val="00EB6340"/>
    <w:rsid w:val="00EB674F"/>
    <w:rsid w:val="00EB6DAC"/>
    <w:rsid w:val="00EB7828"/>
    <w:rsid w:val="00EC0495"/>
    <w:rsid w:val="00EC1530"/>
    <w:rsid w:val="00EC1ABD"/>
    <w:rsid w:val="00EC22E1"/>
    <w:rsid w:val="00EC2769"/>
    <w:rsid w:val="00EC371D"/>
    <w:rsid w:val="00EC403B"/>
    <w:rsid w:val="00EC44E1"/>
    <w:rsid w:val="00EC4BA0"/>
    <w:rsid w:val="00EC5820"/>
    <w:rsid w:val="00EC59DD"/>
    <w:rsid w:val="00EC5EA9"/>
    <w:rsid w:val="00EC6889"/>
    <w:rsid w:val="00EC688D"/>
    <w:rsid w:val="00EC6D47"/>
    <w:rsid w:val="00EC6EDB"/>
    <w:rsid w:val="00EC72B5"/>
    <w:rsid w:val="00ED1A52"/>
    <w:rsid w:val="00ED1FF4"/>
    <w:rsid w:val="00ED22E4"/>
    <w:rsid w:val="00ED35E3"/>
    <w:rsid w:val="00ED391F"/>
    <w:rsid w:val="00ED4F31"/>
    <w:rsid w:val="00ED5953"/>
    <w:rsid w:val="00ED6384"/>
    <w:rsid w:val="00ED63B1"/>
    <w:rsid w:val="00ED7270"/>
    <w:rsid w:val="00ED7C69"/>
    <w:rsid w:val="00EE1256"/>
    <w:rsid w:val="00EE1886"/>
    <w:rsid w:val="00EE1A7B"/>
    <w:rsid w:val="00EE37EE"/>
    <w:rsid w:val="00EE3AAB"/>
    <w:rsid w:val="00EE50FB"/>
    <w:rsid w:val="00EE719B"/>
    <w:rsid w:val="00EE75D7"/>
    <w:rsid w:val="00EF0084"/>
    <w:rsid w:val="00EF121E"/>
    <w:rsid w:val="00EF1938"/>
    <w:rsid w:val="00EF3334"/>
    <w:rsid w:val="00EF3C0D"/>
    <w:rsid w:val="00EF3CC9"/>
    <w:rsid w:val="00EF429A"/>
    <w:rsid w:val="00EF4608"/>
    <w:rsid w:val="00EF4DAA"/>
    <w:rsid w:val="00EF613E"/>
    <w:rsid w:val="00F023FF"/>
    <w:rsid w:val="00F02742"/>
    <w:rsid w:val="00F033A6"/>
    <w:rsid w:val="00F03478"/>
    <w:rsid w:val="00F037AD"/>
    <w:rsid w:val="00F05916"/>
    <w:rsid w:val="00F06419"/>
    <w:rsid w:val="00F0678F"/>
    <w:rsid w:val="00F06D5A"/>
    <w:rsid w:val="00F075CC"/>
    <w:rsid w:val="00F11183"/>
    <w:rsid w:val="00F11552"/>
    <w:rsid w:val="00F11610"/>
    <w:rsid w:val="00F11788"/>
    <w:rsid w:val="00F129A9"/>
    <w:rsid w:val="00F13261"/>
    <w:rsid w:val="00F14040"/>
    <w:rsid w:val="00F14706"/>
    <w:rsid w:val="00F149C6"/>
    <w:rsid w:val="00F15020"/>
    <w:rsid w:val="00F151DB"/>
    <w:rsid w:val="00F15DCC"/>
    <w:rsid w:val="00F16D88"/>
    <w:rsid w:val="00F17F9F"/>
    <w:rsid w:val="00F21CED"/>
    <w:rsid w:val="00F21DC2"/>
    <w:rsid w:val="00F221A7"/>
    <w:rsid w:val="00F23957"/>
    <w:rsid w:val="00F243EC"/>
    <w:rsid w:val="00F2572A"/>
    <w:rsid w:val="00F25B2D"/>
    <w:rsid w:val="00F262B9"/>
    <w:rsid w:val="00F26340"/>
    <w:rsid w:val="00F27592"/>
    <w:rsid w:val="00F310A5"/>
    <w:rsid w:val="00F312EF"/>
    <w:rsid w:val="00F32255"/>
    <w:rsid w:val="00F33321"/>
    <w:rsid w:val="00F35B6C"/>
    <w:rsid w:val="00F35D37"/>
    <w:rsid w:val="00F37790"/>
    <w:rsid w:val="00F379EB"/>
    <w:rsid w:val="00F37A0B"/>
    <w:rsid w:val="00F37A40"/>
    <w:rsid w:val="00F40988"/>
    <w:rsid w:val="00F411B0"/>
    <w:rsid w:val="00F415F4"/>
    <w:rsid w:val="00F41871"/>
    <w:rsid w:val="00F41B7E"/>
    <w:rsid w:val="00F41C1F"/>
    <w:rsid w:val="00F41D0E"/>
    <w:rsid w:val="00F42393"/>
    <w:rsid w:val="00F43368"/>
    <w:rsid w:val="00F45866"/>
    <w:rsid w:val="00F4593F"/>
    <w:rsid w:val="00F45D59"/>
    <w:rsid w:val="00F474FC"/>
    <w:rsid w:val="00F4761F"/>
    <w:rsid w:val="00F47EC3"/>
    <w:rsid w:val="00F50657"/>
    <w:rsid w:val="00F514D8"/>
    <w:rsid w:val="00F51552"/>
    <w:rsid w:val="00F51B40"/>
    <w:rsid w:val="00F52D62"/>
    <w:rsid w:val="00F53F08"/>
    <w:rsid w:val="00F544DE"/>
    <w:rsid w:val="00F54788"/>
    <w:rsid w:val="00F54795"/>
    <w:rsid w:val="00F54E9F"/>
    <w:rsid w:val="00F56CED"/>
    <w:rsid w:val="00F573E8"/>
    <w:rsid w:val="00F57F11"/>
    <w:rsid w:val="00F601DE"/>
    <w:rsid w:val="00F602EB"/>
    <w:rsid w:val="00F60549"/>
    <w:rsid w:val="00F60A11"/>
    <w:rsid w:val="00F60CF7"/>
    <w:rsid w:val="00F6141D"/>
    <w:rsid w:val="00F61455"/>
    <w:rsid w:val="00F61764"/>
    <w:rsid w:val="00F64AD6"/>
    <w:rsid w:val="00F64CAD"/>
    <w:rsid w:val="00F64CDD"/>
    <w:rsid w:val="00F64E00"/>
    <w:rsid w:val="00F65467"/>
    <w:rsid w:val="00F66B46"/>
    <w:rsid w:val="00F6730B"/>
    <w:rsid w:val="00F70CC3"/>
    <w:rsid w:val="00F7142A"/>
    <w:rsid w:val="00F7210A"/>
    <w:rsid w:val="00F72188"/>
    <w:rsid w:val="00F72553"/>
    <w:rsid w:val="00F733C7"/>
    <w:rsid w:val="00F73426"/>
    <w:rsid w:val="00F75385"/>
    <w:rsid w:val="00F754C8"/>
    <w:rsid w:val="00F75573"/>
    <w:rsid w:val="00F75A5B"/>
    <w:rsid w:val="00F75FF2"/>
    <w:rsid w:val="00F76D20"/>
    <w:rsid w:val="00F7735D"/>
    <w:rsid w:val="00F7751E"/>
    <w:rsid w:val="00F775FA"/>
    <w:rsid w:val="00F77D7D"/>
    <w:rsid w:val="00F80412"/>
    <w:rsid w:val="00F80937"/>
    <w:rsid w:val="00F81942"/>
    <w:rsid w:val="00F81D7C"/>
    <w:rsid w:val="00F81FA9"/>
    <w:rsid w:val="00F82704"/>
    <w:rsid w:val="00F82724"/>
    <w:rsid w:val="00F829A1"/>
    <w:rsid w:val="00F82D39"/>
    <w:rsid w:val="00F830F2"/>
    <w:rsid w:val="00F85369"/>
    <w:rsid w:val="00F859C6"/>
    <w:rsid w:val="00F911E9"/>
    <w:rsid w:val="00F92032"/>
    <w:rsid w:val="00F9314D"/>
    <w:rsid w:val="00F934BD"/>
    <w:rsid w:val="00F935EC"/>
    <w:rsid w:val="00F95034"/>
    <w:rsid w:val="00F960A7"/>
    <w:rsid w:val="00F9660A"/>
    <w:rsid w:val="00F967B8"/>
    <w:rsid w:val="00F96AE6"/>
    <w:rsid w:val="00F9781E"/>
    <w:rsid w:val="00FA3F24"/>
    <w:rsid w:val="00FA4677"/>
    <w:rsid w:val="00FA6312"/>
    <w:rsid w:val="00FA70A6"/>
    <w:rsid w:val="00FB0372"/>
    <w:rsid w:val="00FB03D8"/>
    <w:rsid w:val="00FB0490"/>
    <w:rsid w:val="00FB0FE6"/>
    <w:rsid w:val="00FB12E3"/>
    <w:rsid w:val="00FB1835"/>
    <w:rsid w:val="00FB19AC"/>
    <w:rsid w:val="00FB2756"/>
    <w:rsid w:val="00FB34E8"/>
    <w:rsid w:val="00FB3DE9"/>
    <w:rsid w:val="00FB4C0D"/>
    <w:rsid w:val="00FB4F46"/>
    <w:rsid w:val="00FB54FF"/>
    <w:rsid w:val="00FB5A80"/>
    <w:rsid w:val="00FB5BA4"/>
    <w:rsid w:val="00FB6762"/>
    <w:rsid w:val="00FB6B18"/>
    <w:rsid w:val="00FB7DFD"/>
    <w:rsid w:val="00FC0540"/>
    <w:rsid w:val="00FC12A5"/>
    <w:rsid w:val="00FC1BB3"/>
    <w:rsid w:val="00FC73F1"/>
    <w:rsid w:val="00FC7720"/>
    <w:rsid w:val="00FD0755"/>
    <w:rsid w:val="00FD0AC4"/>
    <w:rsid w:val="00FD1841"/>
    <w:rsid w:val="00FD1A89"/>
    <w:rsid w:val="00FD23E7"/>
    <w:rsid w:val="00FD2DBF"/>
    <w:rsid w:val="00FD3639"/>
    <w:rsid w:val="00FD4914"/>
    <w:rsid w:val="00FD5551"/>
    <w:rsid w:val="00FD66A6"/>
    <w:rsid w:val="00FD7948"/>
    <w:rsid w:val="00FD7BB8"/>
    <w:rsid w:val="00FD7EE0"/>
    <w:rsid w:val="00FE4A7E"/>
    <w:rsid w:val="00FE4F2B"/>
    <w:rsid w:val="00FE4FCE"/>
    <w:rsid w:val="00FE55E0"/>
    <w:rsid w:val="00FE5BEE"/>
    <w:rsid w:val="00FE7565"/>
    <w:rsid w:val="00FE75DE"/>
    <w:rsid w:val="00FE7930"/>
    <w:rsid w:val="00FF020E"/>
    <w:rsid w:val="00FF0A7B"/>
    <w:rsid w:val="00FF1692"/>
    <w:rsid w:val="00FF1A50"/>
    <w:rsid w:val="00FF1D6A"/>
    <w:rsid w:val="00FF1E43"/>
    <w:rsid w:val="00FF26B3"/>
    <w:rsid w:val="00FF4638"/>
    <w:rsid w:val="00FF5E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99" w:qFormat="1"/>
    <w:lsdException w:name="Subtitle" w:qFormat="1"/>
    <w:lsdException w:name="Body Text 2" w:uiPriority="99"/>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7F8E"/>
    <w:rPr>
      <w:sz w:val="24"/>
      <w:szCs w:val="24"/>
    </w:rPr>
  </w:style>
  <w:style w:type="paragraph" w:styleId="1">
    <w:name w:val="heading 1"/>
    <w:basedOn w:val="a"/>
    <w:next w:val="a"/>
    <w:link w:val="10"/>
    <w:uiPriority w:val="99"/>
    <w:qFormat/>
    <w:rsid w:val="00BC2E25"/>
    <w:pPr>
      <w:autoSpaceDE w:val="0"/>
      <w:autoSpaceDN w:val="0"/>
      <w:adjustRightInd w:val="0"/>
      <w:spacing w:before="108" w:after="108"/>
      <w:jc w:val="center"/>
      <w:outlineLvl w:val="0"/>
    </w:pPr>
    <w:rPr>
      <w:rFonts w:ascii="Arial" w:hAnsi="Arial"/>
      <w:b/>
      <w:bCs/>
      <w:color w:val="00008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80303"/>
    <w:pPr>
      <w:tabs>
        <w:tab w:val="center" w:pos="4677"/>
        <w:tab w:val="right" w:pos="9355"/>
      </w:tabs>
    </w:pPr>
  </w:style>
  <w:style w:type="character" w:styleId="a4">
    <w:name w:val="page number"/>
    <w:basedOn w:val="a0"/>
    <w:rsid w:val="00E80303"/>
  </w:style>
  <w:style w:type="paragraph" w:customStyle="1" w:styleId="11">
    <w:name w:val="Обычный1"/>
    <w:rsid w:val="00E80303"/>
    <w:pPr>
      <w:widowControl w:val="0"/>
      <w:snapToGrid w:val="0"/>
    </w:pPr>
  </w:style>
  <w:style w:type="paragraph" w:styleId="3">
    <w:name w:val="Body Text Indent 3"/>
    <w:basedOn w:val="a"/>
    <w:rsid w:val="00E80303"/>
    <w:pPr>
      <w:ind w:firstLine="708"/>
      <w:jc w:val="both"/>
    </w:pPr>
  </w:style>
  <w:style w:type="paragraph" w:styleId="a5">
    <w:name w:val="Title"/>
    <w:basedOn w:val="a"/>
    <w:link w:val="a6"/>
    <w:uiPriority w:val="99"/>
    <w:qFormat/>
    <w:rsid w:val="00E80303"/>
    <w:pPr>
      <w:jc w:val="center"/>
    </w:pPr>
  </w:style>
  <w:style w:type="paragraph" w:customStyle="1" w:styleId="12">
    <w:name w:val="1"/>
    <w:rsid w:val="00E80303"/>
    <w:rPr>
      <w:sz w:val="24"/>
    </w:rPr>
  </w:style>
  <w:style w:type="paragraph" w:customStyle="1" w:styleId="21">
    <w:name w:val="Заголовок 21"/>
    <w:basedOn w:val="a"/>
    <w:next w:val="a"/>
    <w:rsid w:val="00E80303"/>
    <w:pPr>
      <w:keepNext/>
      <w:jc w:val="center"/>
      <w:outlineLvl w:val="1"/>
    </w:pPr>
    <w:rPr>
      <w:b/>
      <w:caps/>
      <w:sz w:val="34"/>
      <w:szCs w:val="20"/>
    </w:rPr>
  </w:style>
  <w:style w:type="paragraph" w:styleId="a7">
    <w:name w:val="Body Text"/>
    <w:aliases w:val="Основной текст Знак"/>
    <w:basedOn w:val="a"/>
    <w:link w:val="13"/>
    <w:rsid w:val="006A3F52"/>
    <w:pPr>
      <w:spacing w:after="120"/>
    </w:pPr>
  </w:style>
  <w:style w:type="table" w:styleId="a8">
    <w:name w:val="Table Grid"/>
    <w:basedOn w:val="a1"/>
    <w:uiPriority w:val="59"/>
    <w:rsid w:val="003F4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Список_без_б"/>
    <w:basedOn w:val="a"/>
    <w:rsid w:val="008E31D7"/>
    <w:pPr>
      <w:spacing w:before="40" w:after="40"/>
      <w:ind w:left="357"/>
      <w:jc w:val="both"/>
    </w:pPr>
    <w:rPr>
      <w:sz w:val="22"/>
      <w:szCs w:val="20"/>
    </w:rPr>
  </w:style>
  <w:style w:type="paragraph" w:styleId="aa">
    <w:name w:val="caption"/>
    <w:basedOn w:val="a"/>
    <w:next w:val="a"/>
    <w:qFormat/>
    <w:rsid w:val="00C627B1"/>
    <w:rPr>
      <w:b/>
      <w:bCs/>
      <w:sz w:val="20"/>
      <w:szCs w:val="20"/>
    </w:rPr>
  </w:style>
  <w:style w:type="paragraph" w:styleId="ab">
    <w:name w:val="footer"/>
    <w:basedOn w:val="a"/>
    <w:rsid w:val="0051690D"/>
    <w:pPr>
      <w:tabs>
        <w:tab w:val="center" w:pos="4677"/>
        <w:tab w:val="right" w:pos="9355"/>
      </w:tabs>
    </w:pPr>
  </w:style>
  <w:style w:type="paragraph" w:customStyle="1" w:styleId="ConsPlusTitle">
    <w:name w:val="ConsPlusTitle"/>
    <w:rsid w:val="00F92032"/>
    <w:pPr>
      <w:autoSpaceDE w:val="0"/>
      <w:autoSpaceDN w:val="0"/>
      <w:adjustRightInd w:val="0"/>
    </w:pPr>
    <w:rPr>
      <w:b/>
      <w:bCs/>
      <w:sz w:val="24"/>
      <w:szCs w:val="24"/>
    </w:rPr>
  </w:style>
  <w:style w:type="paragraph" w:customStyle="1" w:styleId="ConsNormal">
    <w:name w:val="ConsNormal"/>
    <w:rsid w:val="00EF1938"/>
    <w:pPr>
      <w:autoSpaceDE w:val="0"/>
      <w:autoSpaceDN w:val="0"/>
      <w:adjustRightInd w:val="0"/>
      <w:ind w:firstLine="720"/>
    </w:pPr>
    <w:rPr>
      <w:rFonts w:ascii="Arial" w:hAnsi="Arial" w:cs="Arial"/>
    </w:rPr>
  </w:style>
  <w:style w:type="paragraph" w:customStyle="1" w:styleId="ConsPlusNormal">
    <w:name w:val="ConsPlusNormal"/>
    <w:link w:val="ConsPlusNormal0"/>
    <w:uiPriority w:val="99"/>
    <w:rsid w:val="0058183B"/>
    <w:pPr>
      <w:widowControl w:val="0"/>
      <w:autoSpaceDE w:val="0"/>
      <w:autoSpaceDN w:val="0"/>
      <w:adjustRightInd w:val="0"/>
      <w:ind w:firstLine="720"/>
    </w:pPr>
    <w:rPr>
      <w:rFonts w:ascii="Arial" w:hAnsi="Arial" w:cs="Arial"/>
    </w:rPr>
  </w:style>
  <w:style w:type="paragraph" w:styleId="ac">
    <w:name w:val="footnote text"/>
    <w:basedOn w:val="a"/>
    <w:semiHidden/>
    <w:rsid w:val="00EB5F09"/>
    <w:rPr>
      <w:sz w:val="20"/>
      <w:szCs w:val="20"/>
    </w:rPr>
  </w:style>
  <w:style w:type="character" w:styleId="ad">
    <w:name w:val="footnote reference"/>
    <w:basedOn w:val="a0"/>
    <w:semiHidden/>
    <w:rsid w:val="00EB5F09"/>
    <w:rPr>
      <w:vertAlign w:val="superscript"/>
    </w:rPr>
  </w:style>
  <w:style w:type="character" w:customStyle="1" w:styleId="ConsPlusNormal0">
    <w:name w:val="ConsPlusNormal Знак"/>
    <w:basedOn w:val="a0"/>
    <w:link w:val="ConsPlusNormal"/>
    <w:uiPriority w:val="99"/>
    <w:rsid w:val="00A12C55"/>
    <w:rPr>
      <w:rFonts w:ascii="Arial" w:hAnsi="Arial" w:cs="Arial"/>
      <w:lang w:val="ru-RU" w:eastAsia="ru-RU" w:bidi="ar-SA"/>
    </w:rPr>
  </w:style>
  <w:style w:type="character" w:customStyle="1" w:styleId="ae">
    <w:name w:val="Не вступил в силу"/>
    <w:basedOn w:val="a0"/>
    <w:uiPriority w:val="99"/>
    <w:rsid w:val="00A12C55"/>
    <w:rPr>
      <w:b/>
      <w:bCs/>
      <w:color w:val="008080"/>
      <w:sz w:val="20"/>
      <w:szCs w:val="20"/>
    </w:rPr>
  </w:style>
  <w:style w:type="paragraph" w:styleId="af">
    <w:name w:val="No Spacing"/>
    <w:qFormat/>
    <w:rsid w:val="00C30116"/>
    <w:rPr>
      <w:sz w:val="24"/>
      <w:szCs w:val="24"/>
    </w:rPr>
  </w:style>
  <w:style w:type="paragraph" w:styleId="af0">
    <w:name w:val="List Paragraph"/>
    <w:basedOn w:val="a"/>
    <w:uiPriority w:val="34"/>
    <w:qFormat/>
    <w:rsid w:val="0022442C"/>
    <w:pPr>
      <w:spacing w:line="360" w:lineRule="auto"/>
      <w:ind w:left="720" w:firstLine="720"/>
      <w:contextualSpacing/>
    </w:pPr>
    <w:rPr>
      <w:sz w:val="28"/>
      <w:szCs w:val="20"/>
    </w:rPr>
  </w:style>
  <w:style w:type="paragraph" w:customStyle="1" w:styleId="ConsPlusNonformat">
    <w:name w:val="ConsPlusNonformat"/>
    <w:rsid w:val="0018763A"/>
    <w:pPr>
      <w:autoSpaceDE w:val="0"/>
      <w:autoSpaceDN w:val="0"/>
      <w:adjustRightInd w:val="0"/>
    </w:pPr>
    <w:rPr>
      <w:rFonts w:ascii="Courier New" w:eastAsia="Calibri" w:hAnsi="Courier New" w:cs="Courier New"/>
    </w:rPr>
  </w:style>
  <w:style w:type="paragraph" w:customStyle="1" w:styleId="af1">
    <w:name w:val="Прижатый влево"/>
    <w:basedOn w:val="a"/>
    <w:next w:val="a"/>
    <w:uiPriority w:val="99"/>
    <w:rsid w:val="009E682A"/>
    <w:pPr>
      <w:autoSpaceDE w:val="0"/>
      <w:autoSpaceDN w:val="0"/>
      <w:adjustRightInd w:val="0"/>
    </w:pPr>
    <w:rPr>
      <w:rFonts w:ascii="Arial" w:hAnsi="Arial"/>
    </w:rPr>
  </w:style>
  <w:style w:type="paragraph" w:styleId="af2">
    <w:name w:val="Body Text Indent"/>
    <w:aliases w:val="Основной текст 1"/>
    <w:basedOn w:val="a"/>
    <w:link w:val="af3"/>
    <w:rsid w:val="005B2773"/>
    <w:pPr>
      <w:spacing w:after="120"/>
      <w:ind w:left="283"/>
    </w:pPr>
  </w:style>
  <w:style w:type="character" w:customStyle="1" w:styleId="13">
    <w:name w:val="Основной текст Знак1"/>
    <w:aliases w:val="Основной текст Знак Знак"/>
    <w:basedOn w:val="a0"/>
    <w:link w:val="a7"/>
    <w:rsid w:val="0076231C"/>
    <w:rPr>
      <w:sz w:val="24"/>
      <w:szCs w:val="24"/>
      <w:lang w:val="ru-RU" w:eastAsia="ru-RU" w:bidi="ar-SA"/>
    </w:rPr>
  </w:style>
  <w:style w:type="paragraph" w:styleId="af4">
    <w:name w:val="Normal (Web)"/>
    <w:basedOn w:val="a"/>
    <w:uiPriority w:val="99"/>
    <w:unhideWhenUsed/>
    <w:rsid w:val="0076231C"/>
    <w:pPr>
      <w:spacing w:before="100" w:beforeAutospacing="1" w:after="100" w:afterAutospacing="1"/>
    </w:pPr>
  </w:style>
  <w:style w:type="paragraph" w:styleId="2">
    <w:name w:val="Body Text 2"/>
    <w:basedOn w:val="a"/>
    <w:link w:val="20"/>
    <w:uiPriority w:val="99"/>
    <w:rsid w:val="0076231C"/>
    <w:pPr>
      <w:spacing w:after="120" w:line="480" w:lineRule="auto"/>
    </w:pPr>
  </w:style>
  <w:style w:type="character" w:customStyle="1" w:styleId="14">
    <w:name w:val="Основной текст Знак Знак Знак1"/>
    <w:basedOn w:val="a0"/>
    <w:semiHidden/>
    <w:locked/>
    <w:rsid w:val="00471945"/>
    <w:rPr>
      <w:sz w:val="24"/>
      <w:szCs w:val="24"/>
      <w:lang w:val="ru-RU" w:eastAsia="ru-RU" w:bidi="ar-SA"/>
    </w:rPr>
  </w:style>
  <w:style w:type="character" w:customStyle="1" w:styleId="af5">
    <w:name w:val="Гипертекстовая ссылка"/>
    <w:basedOn w:val="a0"/>
    <w:uiPriority w:val="99"/>
    <w:rsid w:val="000265EB"/>
    <w:rPr>
      <w:color w:val="008000"/>
    </w:rPr>
  </w:style>
  <w:style w:type="paragraph" w:customStyle="1" w:styleId="ConsPlusCell">
    <w:name w:val="ConsPlusCell"/>
    <w:uiPriority w:val="99"/>
    <w:rsid w:val="000265EB"/>
    <w:pPr>
      <w:autoSpaceDE w:val="0"/>
      <w:autoSpaceDN w:val="0"/>
      <w:adjustRightInd w:val="0"/>
    </w:pPr>
    <w:rPr>
      <w:sz w:val="24"/>
      <w:szCs w:val="24"/>
    </w:rPr>
  </w:style>
  <w:style w:type="character" w:customStyle="1" w:styleId="20">
    <w:name w:val="Основной текст 2 Знак"/>
    <w:basedOn w:val="a0"/>
    <w:link w:val="2"/>
    <w:uiPriority w:val="99"/>
    <w:rsid w:val="008274FA"/>
    <w:rPr>
      <w:sz w:val="24"/>
      <w:szCs w:val="24"/>
    </w:rPr>
  </w:style>
  <w:style w:type="character" w:customStyle="1" w:styleId="FontStyle25">
    <w:name w:val="Font Style25"/>
    <w:basedOn w:val="a0"/>
    <w:rsid w:val="00594000"/>
    <w:rPr>
      <w:rFonts w:ascii="Times New Roman" w:hAnsi="Times New Roman" w:cs="Times New Roman"/>
      <w:sz w:val="26"/>
      <w:szCs w:val="26"/>
    </w:rPr>
  </w:style>
  <w:style w:type="paragraph" w:customStyle="1" w:styleId="Style9">
    <w:name w:val="Style9"/>
    <w:basedOn w:val="a"/>
    <w:rsid w:val="00594000"/>
    <w:pPr>
      <w:widowControl w:val="0"/>
      <w:autoSpaceDE w:val="0"/>
      <w:autoSpaceDN w:val="0"/>
      <w:adjustRightInd w:val="0"/>
      <w:jc w:val="center"/>
    </w:pPr>
  </w:style>
  <w:style w:type="character" w:customStyle="1" w:styleId="FontStyle28">
    <w:name w:val="Font Style28"/>
    <w:basedOn w:val="a0"/>
    <w:rsid w:val="00594000"/>
    <w:rPr>
      <w:rFonts w:ascii="Times New Roman" w:hAnsi="Times New Roman" w:cs="Times New Roman"/>
      <w:b/>
      <w:bCs/>
      <w:sz w:val="26"/>
      <w:szCs w:val="26"/>
    </w:rPr>
  </w:style>
  <w:style w:type="character" w:customStyle="1" w:styleId="FontStyle13">
    <w:name w:val="Font Style13"/>
    <w:basedOn w:val="a0"/>
    <w:uiPriority w:val="99"/>
    <w:rsid w:val="002C73E7"/>
    <w:rPr>
      <w:rFonts w:ascii="Times New Roman" w:hAnsi="Times New Roman" w:cs="Times New Roman"/>
      <w:sz w:val="26"/>
      <w:szCs w:val="26"/>
    </w:rPr>
  </w:style>
  <w:style w:type="character" w:customStyle="1" w:styleId="CharAttribute2">
    <w:name w:val="CharAttribute2"/>
    <w:uiPriority w:val="99"/>
    <w:rsid w:val="0032674F"/>
    <w:rPr>
      <w:rFonts w:ascii="Times New Roman" w:eastAsia="Times New Roman"/>
      <w:sz w:val="24"/>
    </w:rPr>
  </w:style>
  <w:style w:type="character" w:customStyle="1" w:styleId="CharAttribute14">
    <w:name w:val="CharAttribute14"/>
    <w:uiPriority w:val="99"/>
    <w:rsid w:val="0032674F"/>
    <w:rPr>
      <w:rFonts w:ascii="Times New Roman" w:eastAsia="Times New Roman"/>
      <w:i/>
      <w:sz w:val="24"/>
      <w:u w:val="single"/>
    </w:rPr>
  </w:style>
  <w:style w:type="paragraph" w:customStyle="1" w:styleId="ParaAttribute2">
    <w:name w:val="ParaAttribute2"/>
    <w:uiPriority w:val="99"/>
    <w:rsid w:val="0032674F"/>
    <w:pPr>
      <w:jc w:val="center"/>
    </w:pPr>
  </w:style>
  <w:style w:type="character" w:customStyle="1" w:styleId="CharAttribute8">
    <w:name w:val="CharAttribute8"/>
    <w:uiPriority w:val="99"/>
    <w:rsid w:val="0032674F"/>
    <w:rPr>
      <w:rFonts w:ascii="Times New Roman" w:eastAsia="Times New Roman"/>
      <w:b/>
      <w:i/>
      <w:sz w:val="24"/>
    </w:rPr>
  </w:style>
  <w:style w:type="paragraph" w:styleId="af6">
    <w:name w:val="Balloon Text"/>
    <w:basedOn w:val="a"/>
    <w:link w:val="af7"/>
    <w:rsid w:val="00C46A9E"/>
    <w:rPr>
      <w:rFonts w:ascii="Tahoma" w:hAnsi="Tahoma" w:cs="Tahoma"/>
      <w:sz w:val="16"/>
      <w:szCs w:val="16"/>
    </w:rPr>
  </w:style>
  <w:style w:type="character" w:customStyle="1" w:styleId="af7">
    <w:name w:val="Текст выноски Знак"/>
    <w:basedOn w:val="a0"/>
    <w:link w:val="af6"/>
    <w:rsid w:val="00C46A9E"/>
    <w:rPr>
      <w:rFonts w:ascii="Tahoma" w:hAnsi="Tahoma" w:cs="Tahoma"/>
      <w:sz w:val="16"/>
      <w:szCs w:val="16"/>
    </w:rPr>
  </w:style>
  <w:style w:type="character" w:customStyle="1" w:styleId="af3">
    <w:name w:val="Основной текст с отступом Знак"/>
    <w:aliases w:val="Основной текст 1 Знак"/>
    <w:link w:val="af2"/>
    <w:rsid w:val="00AA238A"/>
    <w:rPr>
      <w:sz w:val="24"/>
      <w:szCs w:val="24"/>
    </w:rPr>
  </w:style>
  <w:style w:type="paragraph" w:customStyle="1" w:styleId="Style6">
    <w:name w:val="Style6"/>
    <w:basedOn w:val="a"/>
    <w:uiPriority w:val="99"/>
    <w:rsid w:val="00AA238A"/>
    <w:pPr>
      <w:widowControl w:val="0"/>
      <w:autoSpaceDE w:val="0"/>
      <w:autoSpaceDN w:val="0"/>
      <w:adjustRightInd w:val="0"/>
      <w:spacing w:line="670" w:lineRule="exact"/>
      <w:ind w:firstLine="1440"/>
      <w:jc w:val="both"/>
    </w:pPr>
  </w:style>
  <w:style w:type="character" w:customStyle="1" w:styleId="a6">
    <w:name w:val="Название Знак"/>
    <w:basedOn w:val="a0"/>
    <w:link w:val="a5"/>
    <w:uiPriority w:val="99"/>
    <w:locked/>
    <w:rsid w:val="002A108F"/>
    <w:rPr>
      <w:sz w:val="24"/>
      <w:szCs w:val="24"/>
    </w:rPr>
  </w:style>
  <w:style w:type="paragraph" w:customStyle="1" w:styleId="ConsNonformat">
    <w:name w:val="ConsNonformat"/>
    <w:uiPriority w:val="99"/>
    <w:rsid w:val="005F1C02"/>
    <w:pPr>
      <w:widowControl w:val="0"/>
      <w:autoSpaceDE w:val="0"/>
      <w:autoSpaceDN w:val="0"/>
      <w:adjustRightInd w:val="0"/>
    </w:pPr>
    <w:rPr>
      <w:rFonts w:ascii="Courier New" w:hAnsi="Courier New"/>
    </w:rPr>
  </w:style>
  <w:style w:type="character" w:styleId="af8">
    <w:name w:val="Emphasis"/>
    <w:basedOn w:val="a0"/>
    <w:uiPriority w:val="20"/>
    <w:qFormat/>
    <w:rsid w:val="005F1C02"/>
    <w:rPr>
      <w:i/>
      <w:iCs/>
    </w:rPr>
  </w:style>
  <w:style w:type="character" w:customStyle="1" w:styleId="10">
    <w:name w:val="Заголовок 1 Знак"/>
    <w:basedOn w:val="a0"/>
    <w:link w:val="1"/>
    <w:uiPriority w:val="99"/>
    <w:rsid w:val="00BB0CDC"/>
    <w:rPr>
      <w:rFonts w:ascii="Arial" w:hAnsi="Arial"/>
      <w:b/>
      <w:bCs/>
      <w:color w:val="000080"/>
      <w:sz w:val="22"/>
      <w:szCs w:val="22"/>
    </w:rPr>
  </w:style>
  <w:style w:type="character" w:styleId="af9">
    <w:name w:val="Strong"/>
    <w:basedOn w:val="a0"/>
    <w:qFormat/>
    <w:rsid w:val="00BB0CDC"/>
    <w:rPr>
      <w:rFonts w:cs="Times New Roman"/>
      <w:b/>
      <w:bCs/>
    </w:rPr>
  </w:style>
  <w:style w:type="character" w:styleId="afa">
    <w:name w:val="Hyperlink"/>
    <w:basedOn w:val="a0"/>
    <w:uiPriority w:val="99"/>
    <w:rsid w:val="00BB0CDC"/>
    <w:rPr>
      <w:rFonts w:cs="Times New Roman"/>
      <w:color w:val="0000FF"/>
      <w:u w:val="single"/>
    </w:rPr>
  </w:style>
  <w:style w:type="paragraph" w:customStyle="1" w:styleId="Style5">
    <w:name w:val="Style5"/>
    <w:basedOn w:val="a"/>
    <w:uiPriority w:val="99"/>
    <w:rsid w:val="00A31A18"/>
    <w:pPr>
      <w:widowControl w:val="0"/>
      <w:autoSpaceDE w:val="0"/>
      <w:autoSpaceDN w:val="0"/>
      <w:adjustRightInd w:val="0"/>
      <w:spacing w:line="348" w:lineRule="exact"/>
      <w:ind w:firstLine="701"/>
    </w:pPr>
  </w:style>
</w:styles>
</file>

<file path=word/webSettings.xml><?xml version="1.0" encoding="utf-8"?>
<w:webSettings xmlns:r="http://schemas.openxmlformats.org/officeDocument/2006/relationships" xmlns:w="http://schemas.openxmlformats.org/wordprocessingml/2006/main">
  <w:divs>
    <w:div w:id="143158245">
      <w:bodyDiv w:val="1"/>
      <w:marLeft w:val="0"/>
      <w:marRight w:val="0"/>
      <w:marTop w:val="0"/>
      <w:marBottom w:val="0"/>
      <w:divBdr>
        <w:top w:val="none" w:sz="0" w:space="0" w:color="auto"/>
        <w:left w:val="none" w:sz="0" w:space="0" w:color="auto"/>
        <w:bottom w:val="none" w:sz="0" w:space="0" w:color="auto"/>
        <w:right w:val="none" w:sz="0" w:space="0" w:color="auto"/>
      </w:divBdr>
    </w:div>
    <w:div w:id="985477675">
      <w:bodyDiv w:val="1"/>
      <w:marLeft w:val="0"/>
      <w:marRight w:val="0"/>
      <w:marTop w:val="0"/>
      <w:marBottom w:val="0"/>
      <w:divBdr>
        <w:top w:val="none" w:sz="0" w:space="0" w:color="auto"/>
        <w:left w:val="none" w:sz="0" w:space="0" w:color="auto"/>
        <w:bottom w:val="none" w:sz="0" w:space="0" w:color="auto"/>
        <w:right w:val="none" w:sz="0" w:space="0" w:color="auto"/>
      </w:divBdr>
    </w:div>
    <w:div w:id="1016078794">
      <w:bodyDiv w:val="1"/>
      <w:marLeft w:val="0"/>
      <w:marRight w:val="0"/>
      <w:marTop w:val="0"/>
      <w:marBottom w:val="0"/>
      <w:divBdr>
        <w:top w:val="none" w:sz="0" w:space="0" w:color="auto"/>
        <w:left w:val="none" w:sz="0" w:space="0" w:color="auto"/>
        <w:bottom w:val="none" w:sz="0" w:space="0" w:color="auto"/>
        <w:right w:val="none" w:sz="0" w:space="0" w:color="auto"/>
      </w:divBdr>
    </w:div>
    <w:div w:id="1114321799">
      <w:bodyDiv w:val="1"/>
      <w:marLeft w:val="0"/>
      <w:marRight w:val="0"/>
      <w:marTop w:val="0"/>
      <w:marBottom w:val="0"/>
      <w:divBdr>
        <w:top w:val="none" w:sz="0" w:space="0" w:color="auto"/>
        <w:left w:val="none" w:sz="0" w:space="0" w:color="auto"/>
        <w:bottom w:val="none" w:sz="0" w:space="0" w:color="auto"/>
        <w:right w:val="none" w:sz="0" w:space="0" w:color="auto"/>
      </w:divBdr>
    </w:div>
    <w:div w:id="164227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0049183.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garantF1://70308460.100200"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278799459113755"/>
          <c:y val="5.5631038962666517E-2"/>
          <c:w val="0.84166118337637663"/>
          <c:h val="0.70510263455269662"/>
        </c:manualLayout>
      </c:layout>
      <c:barChart>
        <c:barDir val="bar"/>
        <c:grouping val="stacked"/>
        <c:ser>
          <c:idx val="0"/>
          <c:order val="0"/>
          <c:tx>
            <c:strRef>
              <c:f>Лист1!$B$1</c:f>
              <c:strCache>
                <c:ptCount val="1"/>
                <c:pt idx="0">
                  <c:v>Дотации</c:v>
                </c:pt>
              </c:strCache>
            </c:strRef>
          </c:tx>
          <c:spPr>
            <a:gradFill flip="none" rotWithShape="1">
              <a:gsLst>
                <a:gs pos="0">
                  <a:srgbClr val="DDEBCF"/>
                </a:gs>
                <a:gs pos="50000">
                  <a:srgbClr val="9CB86E"/>
                </a:gs>
                <a:gs pos="100000">
                  <a:srgbClr val="156B13"/>
                </a:gs>
              </a:gsLst>
              <a:lin ang="5400000" scaled="0"/>
              <a:tileRect r="-100000" b="-100000"/>
            </a:gradFill>
            <a:ln>
              <a:noFill/>
            </a:ln>
            <a:effectLst/>
            <a:scene3d>
              <a:camera prst="orthographicFront"/>
              <a:lightRig rig="threePt" dir="t">
                <a:rot lat="0" lon="0" rev="1200000"/>
              </a:lightRig>
            </a:scene3d>
            <a:sp3d>
              <a:bevelT w="88900" h="63500"/>
              <a:bevelB w="88900" h="63500" prst="artDeco"/>
            </a:sp3d>
          </c:spPr>
          <c:dLbls>
            <c:dLbl>
              <c:idx val="0"/>
              <c:tx>
                <c:rich>
                  <a:bodyPr/>
                  <a:lstStyle/>
                  <a:p>
                    <a:r>
                      <a:rPr lang="ru-RU"/>
                      <a:t>1</a:t>
                    </a:r>
                    <a:r>
                      <a:rPr lang="en-US"/>
                      <a:t> 587,4</a:t>
                    </a:r>
                  </a:p>
                </c:rich>
              </c:tx>
              <c:dLblPos val="ctr"/>
              <c:showVal val="1"/>
            </c:dLbl>
            <c:dLbl>
              <c:idx val="1"/>
              <c:tx>
                <c:rich>
                  <a:bodyPr/>
                  <a:lstStyle/>
                  <a:p>
                    <a:r>
                      <a:rPr lang="ru-RU"/>
                      <a:t>1</a:t>
                    </a:r>
                    <a:r>
                      <a:rPr lang="en-US"/>
                      <a:t> 928,9</a:t>
                    </a:r>
                  </a:p>
                </c:rich>
              </c:tx>
              <c:dLblPos val="ctr"/>
              <c:showVal val="1"/>
            </c:dLbl>
            <c:dLbl>
              <c:idx val="2"/>
              <c:tx>
                <c:rich>
                  <a:bodyPr/>
                  <a:lstStyle/>
                  <a:p>
                    <a:r>
                      <a:rPr lang="ru-RU"/>
                      <a:t>2</a:t>
                    </a:r>
                    <a:r>
                      <a:rPr lang="en-US"/>
                      <a:t> 002,2</a:t>
                    </a:r>
                  </a:p>
                </c:rich>
              </c:tx>
              <c:dLblPos val="ctr"/>
              <c:showVal val="1"/>
            </c:dLbl>
            <c:numFmt formatCode="#,##0.0" sourceLinked="0"/>
            <c:txPr>
              <a:bodyPr/>
              <a:lstStyle/>
              <a:p>
                <a:pPr>
                  <a:defRPr sz="800" b="1"/>
                </a:pPr>
                <a:endParaRPr lang="ru-RU"/>
              </a:p>
            </c:txPr>
            <c:dLblPos val="ctr"/>
            <c:showVal val="1"/>
          </c:dLbls>
          <c:cat>
            <c:strRef>
              <c:f>Лист1!$A$2:$A$4</c:f>
              <c:strCache>
                <c:ptCount val="3"/>
                <c:pt idx="0">
                  <c:v>2015 год факт</c:v>
                </c:pt>
                <c:pt idx="1">
                  <c:v>2016 год план</c:v>
                </c:pt>
                <c:pt idx="2">
                  <c:v>2017 год проект</c:v>
                </c:pt>
              </c:strCache>
            </c:strRef>
          </c:cat>
          <c:val>
            <c:numRef>
              <c:f>Лист1!$B$2:$B$4</c:f>
              <c:numCache>
                <c:formatCode>0.0</c:formatCode>
                <c:ptCount val="3"/>
                <c:pt idx="0" formatCode="General">
                  <c:v>1587.4</c:v>
                </c:pt>
                <c:pt idx="1">
                  <c:v>1928.9</c:v>
                </c:pt>
                <c:pt idx="2" formatCode="General">
                  <c:v>2002.2</c:v>
                </c:pt>
              </c:numCache>
            </c:numRef>
          </c:val>
        </c:ser>
        <c:ser>
          <c:idx val="1"/>
          <c:order val="1"/>
          <c:tx>
            <c:strRef>
              <c:f>Лист1!$C$1</c:f>
              <c:strCache>
                <c:ptCount val="1"/>
                <c:pt idx="0">
                  <c:v>Субвенции</c:v>
                </c:pt>
              </c:strCache>
            </c:strRef>
          </c:tx>
          <c:spPr>
            <a:gradFill flip="none" rotWithShape="1">
              <a:gsLst>
                <a:gs pos="0">
                  <a:schemeClr val="tx2">
                    <a:lumMod val="20000"/>
                    <a:lumOff val="80000"/>
                  </a:schemeClr>
                </a:gs>
                <a:gs pos="25000">
                  <a:srgbClr val="21D6E0"/>
                </a:gs>
                <a:gs pos="75000">
                  <a:srgbClr val="0087E6"/>
                </a:gs>
                <a:gs pos="100000">
                  <a:srgbClr val="005CBF"/>
                </a:gs>
              </a:gsLst>
              <a:lin ang="5400000" scaled="1"/>
              <a:tileRect/>
            </a:gradFill>
            <a:effectLst/>
            <a:scene3d>
              <a:camera prst="orthographicFront"/>
              <a:lightRig rig="threePt" dir="t"/>
            </a:scene3d>
            <a:sp3d>
              <a:bevelT/>
              <a:bevelB w="114300" prst="artDeco"/>
            </a:sp3d>
          </c:spPr>
          <c:dLbls>
            <c:numFmt formatCode="#,##0.0" sourceLinked="0"/>
            <c:txPr>
              <a:bodyPr/>
              <a:lstStyle/>
              <a:p>
                <a:pPr>
                  <a:defRPr sz="800" b="1"/>
                </a:pPr>
                <a:endParaRPr lang="ru-RU"/>
              </a:p>
            </c:txPr>
            <c:dLblPos val="ctr"/>
            <c:showVal val="1"/>
          </c:dLbls>
          <c:cat>
            <c:strRef>
              <c:f>Лист1!$A$2:$A$4</c:f>
              <c:strCache>
                <c:ptCount val="3"/>
                <c:pt idx="0">
                  <c:v>2015 год факт</c:v>
                </c:pt>
                <c:pt idx="1">
                  <c:v>2016 год план</c:v>
                </c:pt>
                <c:pt idx="2">
                  <c:v>2017 год проект</c:v>
                </c:pt>
              </c:strCache>
            </c:strRef>
          </c:cat>
          <c:val>
            <c:numRef>
              <c:f>Лист1!$C$2:$C$4</c:f>
              <c:numCache>
                <c:formatCode>General</c:formatCode>
                <c:ptCount val="3"/>
                <c:pt idx="0">
                  <c:v>18229.480000000021</c:v>
                </c:pt>
                <c:pt idx="1">
                  <c:v>17173.72</c:v>
                </c:pt>
                <c:pt idx="2">
                  <c:v>12115.78</c:v>
                </c:pt>
              </c:numCache>
            </c:numRef>
          </c:val>
        </c:ser>
        <c:ser>
          <c:idx val="2"/>
          <c:order val="2"/>
          <c:tx>
            <c:strRef>
              <c:f>Лист1!$D$1</c:f>
              <c:strCache>
                <c:ptCount val="1"/>
                <c:pt idx="0">
                  <c:v>Субсидии</c:v>
                </c:pt>
              </c:strCache>
            </c:strRef>
          </c:tx>
          <c:spPr>
            <a:gradFill>
              <a:gsLst>
                <a:gs pos="0">
                  <a:srgbClr val="D6B19C"/>
                </a:gs>
                <a:gs pos="30000">
                  <a:srgbClr val="D49E6C"/>
                </a:gs>
                <a:gs pos="70000">
                  <a:srgbClr val="A65528"/>
                </a:gs>
                <a:gs pos="100000">
                  <a:srgbClr val="663012"/>
                </a:gs>
              </a:gsLst>
              <a:lin ang="5400000" scaled="0"/>
            </a:gradFill>
            <a:effectLst/>
            <a:scene3d>
              <a:camera prst="orthographicFront"/>
              <a:lightRig rig="threePt" dir="t"/>
            </a:scene3d>
            <a:sp3d>
              <a:bevelT/>
              <a:bevelB w="114300" prst="artDeco"/>
            </a:sp3d>
          </c:spPr>
          <c:dLbls>
            <c:numFmt formatCode="#,##0.0" sourceLinked="0"/>
            <c:txPr>
              <a:bodyPr/>
              <a:lstStyle/>
              <a:p>
                <a:pPr>
                  <a:defRPr sz="800" b="1"/>
                </a:pPr>
                <a:endParaRPr lang="ru-RU"/>
              </a:p>
            </c:txPr>
            <c:dLblPos val="ctr"/>
            <c:showVal val="1"/>
          </c:dLbls>
          <c:cat>
            <c:strRef>
              <c:f>Лист1!$A$2:$A$4</c:f>
              <c:strCache>
                <c:ptCount val="3"/>
                <c:pt idx="0">
                  <c:v>2015 год факт</c:v>
                </c:pt>
                <c:pt idx="1">
                  <c:v>2016 год план</c:v>
                </c:pt>
                <c:pt idx="2">
                  <c:v>2017 год проект</c:v>
                </c:pt>
              </c:strCache>
            </c:strRef>
          </c:cat>
          <c:val>
            <c:numRef>
              <c:f>Лист1!$D$2:$D$4</c:f>
              <c:numCache>
                <c:formatCode>General</c:formatCode>
                <c:ptCount val="3"/>
                <c:pt idx="0">
                  <c:v>6466.1710000000003</c:v>
                </c:pt>
                <c:pt idx="1">
                  <c:v>6076.9260000000004</c:v>
                </c:pt>
                <c:pt idx="2">
                  <c:v>4070.636</c:v>
                </c:pt>
              </c:numCache>
            </c:numRef>
          </c:val>
        </c:ser>
        <c:ser>
          <c:idx val="3"/>
          <c:order val="3"/>
          <c:tx>
            <c:strRef>
              <c:f>Лист1!$E$1</c:f>
              <c:strCache>
                <c:ptCount val="1"/>
                <c:pt idx="0">
                  <c:v>Иные</c:v>
                </c:pt>
              </c:strCache>
            </c:strRef>
          </c:tx>
          <c:spPr>
            <a:gradFill>
              <a:gsLst>
                <a:gs pos="0">
                  <a:srgbClr val="8488C4"/>
                </a:gs>
                <a:gs pos="53000">
                  <a:srgbClr val="D4DEFF"/>
                </a:gs>
                <a:gs pos="83000">
                  <a:srgbClr val="D4DEFF"/>
                </a:gs>
                <a:gs pos="100000">
                  <a:srgbClr val="96AB94"/>
                </a:gs>
              </a:gsLst>
              <a:lin ang="5400000" scaled="0"/>
            </a:gradFill>
            <a:scene3d>
              <a:camera prst="orthographicFront"/>
              <a:lightRig rig="threePt" dir="t"/>
            </a:scene3d>
            <a:sp3d>
              <a:bevelT/>
              <a:bevelB w="114300" prst="artDeco"/>
            </a:sp3d>
          </c:spPr>
          <c:dLbls>
            <c:dLbl>
              <c:idx val="0"/>
              <c:layout>
                <c:manualLayout>
                  <c:x val="3.9729431539834062E-2"/>
                  <c:y val="0"/>
                </c:manualLayout>
              </c:layout>
              <c:dLblPos val="ctr"/>
              <c:showVal val="1"/>
            </c:dLbl>
            <c:dLbl>
              <c:idx val="1"/>
              <c:layout>
                <c:manualLayout>
                  <c:x val="3.1365340689342908E-2"/>
                  <c:y val="-1.3263264308660325E-2"/>
                </c:manualLayout>
              </c:layout>
              <c:dLblPos val="ctr"/>
              <c:showVal val="1"/>
            </c:dLbl>
            <c:dLbl>
              <c:idx val="2"/>
              <c:layout>
                <c:manualLayout>
                  <c:x val="2.0910227126228496E-2"/>
                  <c:y val="-3.0394629585992329E-17"/>
                </c:manualLayout>
              </c:layout>
              <c:tx>
                <c:rich>
                  <a:bodyPr/>
                  <a:lstStyle/>
                  <a:p>
                    <a:r>
                      <a:rPr lang="ru-RU"/>
                      <a:t>6</a:t>
                    </a:r>
                    <a:r>
                      <a:rPr lang="en-US"/>
                      <a:t>,8</a:t>
                    </a:r>
                  </a:p>
                </c:rich>
              </c:tx>
              <c:dLblPos val="ctr"/>
              <c:showVal val="1"/>
            </c:dLbl>
            <c:numFmt formatCode="#,##0.0" sourceLinked="0"/>
            <c:txPr>
              <a:bodyPr/>
              <a:lstStyle/>
              <a:p>
                <a:pPr>
                  <a:defRPr sz="800" b="1"/>
                </a:pPr>
                <a:endParaRPr lang="ru-RU"/>
              </a:p>
            </c:txPr>
            <c:dLblPos val="ctr"/>
            <c:showVal val="1"/>
          </c:dLbls>
          <c:cat>
            <c:strRef>
              <c:f>Лист1!$A$2:$A$4</c:f>
              <c:strCache>
                <c:ptCount val="3"/>
                <c:pt idx="0">
                  <c:v>2015 год факт</c:v>
                </c:pt>
                <c:pt idx="1">
                  <c:v>2016 год план</c:v>
                </c:pt>
                <c:pt idx="2">
                  <c:v>2017 год проект</c:v>
                </c:pt>
              </c:strCache>
            </c:strRef>
          </c:cat>
          <c:val>
            <c:numRef>
              <c:f>Лист1!$E$2:$E$4</c:f>
              <c:numCache>
                <c:formatCode>General</c:formatCode>
                <c:ptCount val="3"/>
                <c:pt idx="0">
                  <c:v>323.88240000000002</c:v>
                </c:pt>
                <c:pt idx="1">
                  <c:v>422.73059999999828</c:v>
                </c:pt>
                <c:pt idx="2">
                  <c:v>200.84389999999999</c:v>
                </c:pt>
              </c:numCache>
            </c:numRef>
          </c:val>
        </c:ser>
        <c:dLbls>
          <c:showVal val="1"/>
        </c:dLbls>
        <c:gapWidth val="53"/>
        <c:overlap val="100"/>
        <c:axId val="147784064"/>
        <c:axId val="147785600"/>
      </c:barChart>
      <c:catAx>
        <c:axId val="147784064"/>
        <c:scaling>
          <c:orientation val="minMax"/>
        </c:scaling>
        <c:axPos val="l"/>
        <c:tickLblPos val="nextTo"/>
        <c:spPr>
          <a:ln>
            <a:solidFill>
              <a:schemeClr val="bg1">
                <a:lumMod val="85000"/>
              </a:schemeClr>
            </a:solidFill>
          </a:ln>
        </c:spPr>
        <c:txPr>
          <a:bodyPr/>
          <a:lstStyle/>
          <a:p>
            <a:pPr>
              <a:defRPr sz="900" b="1"/>
            </a:pPr>
            <a:endParaRPr lang="ru-RU"/>
          </a:p>
        </c:txPr>
        <c:crossAx val="147785600"/>
        <c:crosses val="autoZero"/>
        <c:auto val="1"/>
        <c:lblAlgn val="ctr"/>
        <c:lblOffset val="100"/>
      </c:catAx>
      <c:valAx>
        <c:axId val="147785600"/>
        <c:scaling>
          <c:orientation val="minMax"/>
        </c:scaling>
        <c:axPos val="b"/>
        <c:majorGridlines>
          <c:spPr>
            <a:ln>
              <a:solidFill>
                <a:schemeClr val="bg1">
                  <a:lumMod val="85000"/>
                </a:schemeClr>
              </a:solidFill>
            </a:ln>
          </c:spPr>
        </c:majorGridlines>
        <c:numFmt formatCode="#,##0" sourceLinked="0"/>
        <c:tickLblPos val="nextTo"/>
        <c:spPr>
          <a:ln>
            <a:solidFill>
              <a:schemeClr val="bg1">
                <a:lumMod val="85000"/>
              </a:schemeClr>
            </a:solidFill>
          </a:ln>
        </c:spPr>
        <c:txPr>
          <a:bodyPr/>
          <a:lstStyle/>
          <a:p>
            <a:pPr>
              <a:defRPr sz="800"/>
            </a:pPr>
            <a:endParaRPr lang="ru-RU"/>
          </a:p>
        </c:txPr>
        <c:crossAx val="147784064"/>
        <c:crosses val="autoZero"/>
        <c:crossBetween val="between"/>
      </c:valAx>
      <c:spPr>
        <a:gradFill flip="none" rotWithShape="1">
          <a:gsLst>
            <a:gs pos="0">
              <a:sysClr val="window" lastClr="FFFFFF">
                <a:alpha val="50000"/>
              </a:sysClr>
            </a:gs>
            <a:gs pos="7001">
              <a:srgbClr val="E6E6E6">
                <a:alpha val="50000"/>
              </a:srgbClr>
            </a:gs>
            <a:gs pos="32001">
              <a:srgbClr val="7D8496">
                <a:alpha val="50000"/>
              </a:srgbClr>
            </a:gs>
            <a:gs pos="47000">
              <a:srgbClr val="E6E6E6">
                <a:alpha val="50000"/>
              </a:srgbClr>
            </a:gs>
            <a:gs pos="85001">
              <a:srgbClr val="7D8496">
                <a:alpha val="50000"/>
              </a:srgbClr>
            </a:gs>
            <a:gs pos="100000">
              <a:srgbClr val="E6E6E6">
                <a:alpha val="50000"/>
              </a:srgbClr>
            </a:gs>
          </a:gsLst>
          <a:lin ang="3000000" scaled="0"/>
          <a:tileRect/>
        </a:gradFill>
      </c:spPr>
    </c:plotArea>
    <c:legend>
      <c:legendPos val="b"/>
    </c:legend>
    <c:plotVisOnly val="1"/>
    <c:dispBlanksAs val="gap"/>
  </c:chart>
  <c:spPr>
    <a:ln>
      <a:noFill/>
    </a:ln>
  </c:spPr>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Расчетные</a:t>
            </a:r>
            <a:r>
              <a:rPr lang="ru-RU" baseline="0"/>
              <a:t> размеры областных фондов финансовой поддержки</a:t>
            </a:r>
            <a:endParaRPr lang="ru-RU"/>
          </a:p>
        </c:rich>
      </c:tx>
      <c:layout>
        <c:manualLayout>
          <c:xMode val="edge"/>
          <c:yMode val="edge"/>
          <c:x val="0.14619374416212944"/>
          <c:y val="0"/>
        </c:manualLayout>
      </c:layout>
    </c:title>
    <c:plotArea>
      <c:layout>
        <c:manualLayout>
          <c:layoutTarget val="inner"/>
          <c:xMode val="edge"/>
          <c:yMode val="edge"/>
          <c:x val="8.1703597466280004E-2"/>
          <c:y val="0.13870427513664901"/>
          <c:w val="0.89284112756119161"/>
          <c:h val="0.6373481182699956"/>
        </c:manualLayout>
      </c:layout>
      <c:lineChart>
        <c:grouping val="standard"/>
        <c:ser>
          <c:idx val="0"/>
          <c:order val="0"/>
          <c:tx>
            <c:strRef>
              <c:f>Лист1!$B$1</c:f>
              <c:strCache>
                <c:ptCount val="1"/>
                <c:pt idx="0">
                  <c:v>ФФПП (в части ГО)</c:v>
                </c:pt>
              </c:strCache>
            </c:strRef>
          </c:tx>
          <c:spPr>
            <a:ln w="34925" cmpd="dbl">
              <a:solidFill>
                <a:srgbClr val="FF0000"/>
              </a:solidFill>
              <a:prstDash val="sysDash"/>
            </a:ln>
          </c:spPr>
          <c:marker>
            <c:symbol val="circle"/>
            <c:size val="5"/>
            <c:spPr>
              <a:solidFill>
                <a:srgbClr val="FF0000"/>
              </a:solidFill>
              <a:ln>
                <a:solidFill>
                  <a:schemeClr val="tx1"/>
                </a:solidFill>
              </a:ln>
            </c:spPr>
          </c:marker>
          <c:dLbls>
            <c:dLbl>
              <c:idx val="0"/>
              <c:layout>
                <c:manualLayout>
                  <c:x val="-6.0997976719987503E-2"/>
                  <c:y val="-3.9822409726131845E-2"/>
                </c:manualLayout>
              </c:layout>
              <c:dLblPos val="r"/>
              <c:showVal val="1"/>
            </c:dLbl>
            <c:numFmt formatCode="#,##0.0" sourceLinked="0"/>
            <c:txPr>
              <a:bodyPr/>
              <a:lstStyle/>
              <a:p>
                <a:pPr>
                  <a:defRPr sz="900" b="1"/>
                </a:pPr>
                <a:endParaRPr lang="ru-RU"/>
              </a:p>
            </c:txPr>
            <c:dLblPos val="t"/>
            <c:showVal val="1"/>
          </c:dLbls>
          <c:cat>
            <c:strRef>
              <c:f>Лист1!$A$2:$A$6</c:f>
              <c:strCache>
                <c:ptCount val="5"/>
                <c:pt idx="0">
                  <c:v>2015 год</c:v>
                </c:pt>
                <c:pt idx="1">
                  <c:v>2016 год</c:v>
                </c:pt>
                <c:pt idx="2">
                  <c:v>2017 год</c:v>
                </c:pt>
                <c:pt idx="3">
                  <c:v>2018 год</c:v>
                </c:pt>
                <c:pt idx="4">
                  <c:v>2019 год</c:v>
                </c:pt>
              </c:strCache>
            </c:strRef>
          </c:cat>
          <c:val>
            <c:numRef>
              <c:f>Лист1!$B$2:$B$6</c:f>
              <c:numCache>
                <c:formatCode>General</c:formatCode>
                <c:ptCount val="5"/>
                <c:pt idx="0">
                  <c:v>50.4</c:v>
                </c:pt>
                <c:pt idx="1">
                  <c:v>1704.7</c:v>
                </c:pt>
                <c:pt idx="2">
                  <c:v>1862.6969999999999</c:v>
                </c:pt>
                <c:pt idx="3">
                  <c:v>1862.6969999999999</c:v>
                </c:pt>
                <c:pt idx="4">
                  <c:v>1862.6969999999999</c:v>
                </c:pt>
              </c:numCache>
            </c:numRef>
          </c:val>
        </c:ser>
        <c:ser>
          <c:idx val="1"/>
          <c:order val="1"/>
          <c:tx>
            <c:strRef>
              <c:f>Лист1!$C$1</c:f>
              <c:strCache>
                <c:ptCount val="1"/>
                <c:pt idx="0">
                  <c:v>ФФПП (в части поселений)</c:v>
                </c:pt>
              </c:strCache>
            </c:strRef>
          </c:tx>
          <c:spPr>
            <a:ln w="34925" cmpd="dbl">
              <a:solidFill>
                <a:srgbClr val="0070C0"/>
              </a:solidFill>
              <a:prstDash val="solid"/>
            </a:ln>
          </c:spPr>
          <c:marker>
            <c:symbol val="circle"/>
            <c:size val="5"/>
            <c:spPr>
              <a:solidFill>
                <a:srgbClr val="0070C0"/>
              </a:solidFill>
              <a:ln>
                <a:solidFill>
                  <a:schemeClr val="tx1"/>
                </a:solidFill>
              </a:ln>
            </c:spPr>
          </c:marker>
          <c:dLbls>
            <c:dLbl>
              <c:idx val="0"/>
              <c:layout>
                <c:manualLayout>
                  <c:x val="-3.8252968451517592E-2"/>
                  <c:y val="-6.2750463810874513E-2"/>
                </c:manualLayout>
              </c:layout>
              <c:dLblPos val="r"/>
              <c:showVal val="1"/>
            </c:dLbl>
            <c:numFmt formatCode="#,##0.0" sourceLinked="0"/>
            <c:txPr>
              <a:bodyPr/>
              <a:lstStyle/>
              <a:p>
                <a:pPr>
                  <a:defRPr sz="900" b="1"/>
                </a:pPr>
                <a:endParaRPr lang="ru-RU"/>
              </a:p>
            </c:txPr>
            <c:dLblPos val="b"/>
            <c:showVal val="1"/>
          </c:dLbls>
          <c:cat>
            <c:strRef>
              <c:f>Лист1!$A$2:$A$6</c:f>
              <c:strCache>
                <c:ptCount val="5"/>
                <c:pt idx="0">
                  <c:v>2015 год</c:v>
                </c:pt>
                <c:pt idx="1">
                  <c:v>2016 год</c:v>
                </c:pt>
                <c:pt idx="2">
                  <c:v>2017 год</c:v>
                </c:pt>
                <c:pt idx="3">
                  <c:v>2018 год</c:v>
                </c:pt>
                <c:pt idx="4">
                  <c:v>2019 год</c:v>
                </c:pt>
              </c:strCache>
            </c:strRef>
          </c:cat>
          <c:val>
            <c:numRef>
              <c:f>Лист1!$C$2:$C$6</c:f>
              <c:numCache>
                <c:formatCode>General</c:formatCode>
                <c:ptCount val="5"/>
                <c:pt idx="0">
                  <c:v>941.2</c:v>
                </c:pt>
                <c:pt idx="1">
                  <c:v>991.1</c:v>
                </c:pt>
                <c:pt idx="2">
                  <c:v>1066.4680000000001</c:v>
                </c:pt>
                <c:pt idx="3">
                  <c:v>1066.4680000000001</c:v>
                </c:pt>
                <c:pt idx="4">
                  <c:v>1066.4680000000001</c:v>
                </c:pt>
              </c:numCache>
            </c:numRef>
          </c:val>
        </c:ser>
        <c:ser>
          <c:idx val="2"/>
          <c:order val="2"/>
          <c:tx>
            <c:strRef>
              <c:f>Лист1!$D$1</c:f>
              <c:strCache>
                <c:ptCount val="1"/>
                <c:pt idx="0">
                  <c:v>ФФП МР(ГО)</c:v>
                </c:pt>
              </c:strCache>
            </c:strRef>
          </c:tx>
          <c:spPr>
            <a:ln w="34925">
              <a:solidFill>
                <a:srgbClr val="00B050"/>
              </a:solidFill>
              <a:prstDash val="solid"/>
            </a:ln>
          </c:spPr>
          <c:marker>
            <c:symbol val="circle"/>
            <c:size val="5"/>
            <c:spPr>
              <a:solidFill>
                <a:srgbClr val="00B050"/>
              </a:solidFill>
              <a:ln>
                <a:solidFill>
                  <a:schemeClr val="tx1"/>
                </a:solidFill>
              </a:ln>
            </c:spPr>
          </c:marker>
          <c:dLbls>
            <c:numFmt formatCode="#,##0.0" sourceLinked="0"/>
            <c:txPr>
              <a:bodyPr/>
              <a:lstStyle/>
              <a:p>
                <a:pPr>
                  <a:defRPr sz="900" b="1"/>
                </a:pPr>
                <a:endParaRPr lang="ru-RU"/>
              </a:p>
            </c:txPr>
            <c:dLblPos val="t"/>
            <c:showVal val="1"/>
          </c:dLbls>
          <c:cat>
            <c:strRef>
              <c:f>Лист1!$A$2:$A$6</c:f>
              <c:strCache>
                <c:ptCount val="5"/>
                <c:pt idx="0">
                  <c:v>2015 год</c:v>
                </c:pt>
                <c:pt idx="1">
                  <c:v>2016 год</c:v>
                </c:pt>
                <c:pt idx="2">
                  <c:v>2017 год</c:v>
                </c:pt>
                <c:pt idx="3">
                  <c:v>2018 год</c:v>
                </c:pt>
                <c:pt idx="4">
                  <c:v>2019 год</c:v>
                </c:pt>
              </c:strCache>
            </c:strRef>
          </c:cat>
          <c:val>
            <c:numRef>
              <c:f>Лист1!$D$2:$D$6</c:f>
              <c:numCache>
                <c:formatCode>General</c:formatCode>
                <c:ptCount val="5"/>
                <c:pt idx="0">
                  <c:v>4973.1000000000004</c:v>
                </c:pt>
                <c:pt idx="1">
                  <c:v>4494.4000000000005</c:v>
                </c:pt>
                <c:pt idx="2">
                  <c:v>4438.7</c:v>
                </c:pt>
                <c:pt idx="3">
                  <c:v>4438.7</c:v>
                </c:pt>
                <c:pt idx="4">
                  <c:v>4438.7</c:v>
                </c:pt>
              </c:numCache>
            </c:numRef>
          </c:val>
        </c:ser>
        <c:dLbls>
          <c:showVal val="1"/>
        </c:dLbls>
        <c:marker val="1"/>
        <c:axId val="143605760"/>
        <c:axId val="143607296"/>
      </c:lineChart>
      <c:catAx>
        <c:axId val="143605760"/>
        <c:scaling>
          <c:orientation val="minMax"/>
        </c:scaling>
        <c:axPos val="b"/>
        <c:numFmt formatCode="dd/mm/yyyy" sourceLinked="1"/>
        <c:tickLblPos val="nextTo"/>
        <c:spPr>
          <a:ln>
            <a:solidFill>
              <a:schemeClr val="bg1">
                <a:lumMod val="85000"/>
              </a:schemeClr>
            </a:solidFill>
          </a:ln>
        </c:spPr>
        <c:txPr>
          <a:bodyPr/>
          <a:lstStyle/>
          <a:p>
            <a:pPr>
              <a:defRPr sz="800" b="1"/>
            </a:pPr>
            <a:endParaRPr lang="ru-RU"/>
          </a:p>
        </c:txPr>
        <c:crossAx val="143607296"/>
        <c:crosses val="autoZero"/>
        <c:lblAlgn val="ctr"/>
        <c:lblOffset val="100"/>
      </c:catAx>
      <c:valAx>
        <c:axId val="143607296"/>
        <c:scaling>
          <c:orientation val="minMax"/>
        </c:scaling>
        <c:axPos val="l"/>
        <c:majorGridlines>
          <c:spPr>
            <a:ln>
              <a:solidFill>
                <a:schemeClr val="bg1">
                  <a:lumMod val="85000"/>
                </a:schemeClr>
              </a:solidFill>
            </a:ln>
          </c:spPr>
        </c:majorGridlines>
        <c:title>
          <c:tx>
            <c:rich>
              <a:bodyPr rot="-5400000" vert="horz"/>
              <a:lstStyle/>
              <a:p>
                <a:pPr>
                  <a:defRPr sz="800" b="0">
                    <a:latin typeface="Times New Roman" pitchFamily="18" charset="0"/>
                    <a:cs typeface="Times New Roman" pitchFamily="18" charset="0"/>
                  </a:defRPr>
                </a:pPr>
                <a:r>
                  <a:rPr lang="ru-RU" sz="800" b="0">
                    <a:latin typeface="Times New Roman" pitchFamily="18" charset="0"/>
                    <a:cs typeface="Times New Roman" pitchFamily="18" charset="0"/>
                  </a:rPr>
                  <a:t>млн.</a:t>
                </a:r>
                <a:r>
                  <a:rPr lang="ru-RU" sz="800" b="0" baseline="0">
                    <a:latin typeface="Times New Roman" pitchFamily="18" charset="0"/>
                    <a:cs typeface="Times New Roman" pitchFamily="18" charset="0"/>
                  </a:rPr>
                  <a:t> руб.</a:t>
                </a:r>
                <a:endParaRPr lang="ru-RU" sz="800" b="0">
                  <a:latin typeface="Times New Roman" pitchFamily="18" charset="0"/>
                  <a:cs typeface="Times New Roman" pitchFamily="18" charset="0"/>
                </a:endParaRPr>
              </a:p>
            </c:rich>
          </c:tx>
        </c:title>
        <c:numFmt formatCode="#,##0" sourceLinked="0"/>
        <c:tickLblPos val="nextTo"/>
        <c:spPr>
          <a:ln>
            <a:solidFill>
              <a:schemeClr val="bg1">
                <a:lumMod val="85000"/>
              </a:schemeClr>
            </a:solidFill>
          </a:ln>
        </c:spPr>
        <c:txPr>
          <a:bodyPr/>
          <a:lstStyle/>
          <a:p>
            <a:pPr>
              <a:defRPr sz="750"/>
            </a:pPr>
            <a:endParaRPr lang="ru-RU"/>
          </a:p>
        </c:txPr>
        <c:crossAx val="143605760"/>
        <c:crossesAt val="1"/>
        <c:crossBetween val="between"/>
      </c:valAx>
      <c:spPr>
        <a:gradFill>
          <a:gsLst>
            <a:gs pos="0">
              <a:srgbClr val="FFFFFF">
                <a:alpha val="50000"/>
              </a:srgbClr>
            </a:gs>
            <a:gs pos="7001">
              <a:srgbClr val="E6E6E6">
                <a:alpha val="50000"/>
              </a:srgbClr>
            </a:gs>
            <a:gs pos="32001">
              <a:srgbClr val="7D8496">
                <a:alpha val="50000"/>
              </a:srgbClr>
            </a:gs>
            <a:gs pos="47000">
              <a:srgbClr val="E6E6E6">
                <a:alpha val="50000"/>
              </a:srgbClr>
            </a:gs>
            <a:gs pos="85001">
              <a:srgbClr val="7D8496">
                <a:alpha val="50000"/>
              </a:srgbClr>
            </a:gs>
            <a:gs pos="100000">
              <a:srgbClr val="E6E6E6">
                <a:alpha val="50000"/>
              </a:srgbClr>
            </a:gs>
          </a:gsLst>
          <a:lin ang="2700000" scaled="0"/>
        </a:gradFill>
        <a:ln>
          <a:noFill/>
        </a:ln>
      </c:spPr>
    </c:plotArea>
    <c:legend>
      <c:legendPos val="b"/>
      <c:txPr>
        <a:bodyPr/>
        <a:lstStyle/>
        <a:p>
          <a:pPr>
            <a:defRPr sz="900" b="1"/>
          </a:pPr>
          <a:endParaRPr lang="ru-RU"/>
        </a:p>
      </c:txPr>
    </c:legend>
    <c:plotVisOnly val="1"/>
    <c:dispBlanksAs val="gap"/>
  </c:chart>
  <c:spPr>
    <a:ln>
      <a:noFill/>
    </a:ln>
  </c:spPr>
  <c:txPr>
    <a:bodyPr/>
    <a:lstStyle/>
    <a:p>
      <a:pPr>
        <a:defRPr sz="10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13577</Words>
  <Characters>77392</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Контрольно-счетная палата ВО</Company>
  <LinksUpToDate>false</LinksUpToDate>
  <CharactersWithSpaces>90788</CharactersWithSpaces>
  <SharedDoc>false</SharedDoc>
  <HLinks>
    <vt:vector size="24" baseType="variant">
      <vt:variant>
        <vt:i4>7143462</vt:i4>
      </vt:variant>
      <vt:variant>
        <vt:i4>9</vt:i4>
      </vt:variant>
      <vt:variant>
        <vt:i4>0</vt:i4>
      </vt:variant>
      <vt:variant>
        <vt:i4>5</vt:i4>
      </vt:variant>
      <vt:variant>
        <vt:lpwstr>garantf1://99799.0/</vt:lpwstr>
      </vt:variant>
      <vt:variant>
        <vt:lpwstr/>
      </vt:variant>
      <vt:variant>
        <vt:i4>6750256</vt:i4>
      </vt:variant>
      <vt:variant>
        <vt:i4>6</vt:i4>
      </vt:variant>
      <vt:variant>
        <vt:i4>0</vt:i4>
      </vt:variant>
      <vt:variant>
        <vt:i4>5</vt:i4>
      </vt:variant>
      <vt:variant>
        <vt:lpwstr>garantf1://55070694.80000/</vt:lpwstr>
      </vt:variant>
      <vt:variant>
        <vt:lpwstr/>
      </vt:variant>
      <vt:variant>
        <vt:i4>2752529</vt:i4>
      </vt:variant>
      <vt:variant>
        <vt:i4>3</vt:i4>
      </vt:variant>
      <vt:variant>
        <vt:i4>0</vt:i4>
      </vt:variant>
      <vt:variant>
        <vt:i4>5</vt:i4>
      </vt:variant>
      <vt:variant>
        <vt:lpwstr/>
      </vt:variant>
      <vt:variant>
        <vt:lpwstr>sub_0</vt:lpwstr>
      </vt:variant>
      <vt:variant>
        <vt:i4>3407968</vt:i4>
      </vt:variant>
      <vt:variant>
        <vt:i4>0</vt:i4>
      </vt:variant>
      <vt:variant>
        <vt:i4>0</vt:i4>
      </vt:variant>
      <vt:variant>
        <vt:i4>5</vt:i4>
      </vt:variant>
      <vt:variant>
        <vt:lpwstr>consultantplus://offline/main?base=LAW;n=111328;fld=134;dst=100010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Горгоцкая</dc:creator>
  <cp:lastModifiedBy>User</cp:lastModifiedBy>
  <cp:revision>2</cp:revision>
  <cp:lastPrinted>2015-11-20T10:37:00Z</cp:lastPrinted>
  <dcterms:created xsi:type="dcterms:W3CDTF">2016-11-28T11:00:00Z</dcterms:created>
  <dcterms:modified xsi:type="dcterms:W3CDTF">2016-11-28T11:00:00Z</dcterms:modified>
</cp:coreProperties>
</file>