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2069"/>
        <w:gridCol w:w="4394"/>
      </w:tblGrid>
      <w:tr w:rsidR="005A2459" w:rsidRPr="001B5440" w:rsidTr="00435CE0">
        <w:tc>
          <w:tcPr>
            <w:tcW w:w="3284" w:type="dxa"/>
          </w:tcPr>
          <w:p w:rsidR="005A2459" w:rsidRPr="001B5440" w:rsidRDefault="005A2459" w:rsidP="00435CE0">
            <w:pPr>
              <w:tabs>
                <w:tab w:val="left" w:pos="2505"/>
              </w:tabs>
              <w:jc w:val="right"/>
              <w:rPr>
                <w:b/>
                <w:i/>
              </w:rPr>
            </w:pPr>
          </w:p>
        </w:tc>
        <w:tc>
          <w:tcPr>
            <w:tcW w:w="2069" w:type="dxa"/>
          </w:tcPr>
          <w:p w:rsidR="005A2459" w:rsidRPr="001B5440" w:rsidRDefault="005A2459" w:rsidP="00435CE0">
            <w:pPr>
              <w:tabs>
                <w:tab w:val="left" w:pos="2505"/>
              </w:tabs>
              <w:jc w:val="right"/>
              <w:rPr>
                <w:b/>
                <w:i/>
              </w:rPr>
            </w:pPr>
          </w:p>
        </w:tc>
        <w:tc>
          <w:tcPr>
            <w:tcW w:w="4394" w:type="dxa"/>
          </w:tcPr>
          <w:p w:rsidR="005A2459" w:rsidRPr="001B5440" w:rsidRDefault="005A2459" w:rsidP="00435CE0">
            <w:pPr>
              <w:tabs>
                <w:tab w:val="left" w:pos="2505"/>
              </w:tabs>
              <w:rPr>
                <w:b/>
                <w:i/>
              </w:rPr>
            </w:pPr>
            <w:r w:rsidRPr="001B5440">
              <w:rPr>
                <w:b/>
                <w:i/>
              </w:rPr>
              <w:t>Утверждаю</w:t>
            </w:r>
          </w:p>
          <w:p w:rsidR="005A2459" w:rsidRPr="001B5440" w:rsidRDefault="005A2459" w:rsidP="00435CE0">
            <w:pPr>
              <w:tabs>
                <w:tab w:val="left" w:pos="2505"/>
              </w:tabs>
              <w:rPr>
                <w:b/>
                <w:i/>
              </w:rPr>
            </w:pPr>
            <w:r w:rsidRPr="001B5440">
              <w:rPr>
                <w:b/>
                <w:i/>
              </w:rPr>
              <w:t xml:space="preserve">председатель контрольно - </w:t>
            </w:r>
            <w:proofErr w:type="gramStart"/>
            <w:r w:rsidRPr="001B5440">
              <w:rPr>
                <w:b/>
                <w:i/>
              </w:rPr>
              <w:t>счетной</w:t>
            </w:r>
            <w:proofErr w:type="gramEnd"/>
            <w:r w:rsidRPr="001B5440">
              <w:rPr>
                <w:b/>
                <w:i/>
              </w:rPr>
              <w:t xml:space="preserve"> </w:t>
            </w:r>
          </w:p>
          <w:p w:rsidR="005A2459" w:rsidRPr="001B5440" w:rsidRDefault="005A2459" w:rsidP="00435CE0">
            <w:pPr>
              <w:tabs>
                <w:tab w:val="left" w:pos="2505"/>
              </w:tabs>
              <w:rPr>
                <w:b/>
                <w:i/>
              </w:rPr>
            </w:pPr>
            <w:r w:rsidRPr="001B5440">
              <w:rPr>
                <w:b/>
                <w:i/>
              </w:rPr>
              <w:t>палаты Волгоградской области</w:t>
            </w:r>
          </w:p>
          <w:p w:rsidR="005A2459" w:rsidRPr="001B5440" w:rsidRDefault="005A2459" w:rsidP="00435CE0">
            <w:pPr>
              <w:tabs>
                <w:tab w:val="left" w:pos="2505"/>
              </w:tabs>
              <w:rPr>
                <w:b/>
                <w:i/>
              </w:rPr>
            </w:pPr>
            <w:r w:rsidRPr="001B5440">
              <w:rPr>
                <w:b/>
                <w:i/>
              </w:rPr>
              <w:t>______________ И. А. Дьяченко</w:t>
            </w:r>
          </w:p>
          <w:p w:rsidR="005A2459" w:rsidRPr="001B5440" w:rsidRDefault="00154015" w:rsidP="00435CE0">
            <w:pPr>
              <w:tabs>
                <w:tab w:val="left" w:pos="2505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« 23 </w:t>
            </w:r>
            <w:r w:rsidR="005A2459" w:rsidRPr="00C36C36">
              <w:rPr>
                <w:b/>
                <w:i/>
              </w:rPr>
              <w:t>»  марта</w:t>
            </w:r>
            <w:r w:rsidR="005A2459" w:rsidRPr="001B5440">
              <w:rPr>
                <w:b/>
                <w:i/>
              </w:rPr>
              <w:t xml:space="preserve">  2016 года </w:t>
            </w:r>
          </w:p>
          <w:p w:rsidR="005A2459" w:rsidRPr="001B5440" w:rsidRDefault="005A2459" w:rsidP="00435CE0">
            <w:pPr>
              <w:tabs>
                <w:tab w:val="left" w:pos="2505"/>
              </w:tabs>
              <w:jc w:val="right"/>
              <w:rPr>
                <w:b/>
                <w:i/>
              </w:rPr>
            </w:pPr>
          </w:p>
        </w:tc>
      </w:tr>
    </w:tbl>
    <w:p w:rsidR="002119C7" w:rsidRDefault="002119C7" w:rsidP="005A2459">
      <w:pPr>
        <w:tabs>
          <w:tab w:val="left" w:pos="2505"/>
        </w:tabs>
        <w:jc w:val="center"/>
        <w:rPr>
          <w:b/>
          <w:i/>
        </w:rPr>
      </w:pPr>
    </w:p>
    <w:p w:rsidR="005A2459" w:rsidRPr="001B5440" w:rsidRDefault="005A2459" w:rsidP="005A2459">
      <w:pPr>
        <w:tabs>
          <w:tab w:val="left" w:pos="2505"/>
        </w:tabs>
        <w:jc w:val="center"/>
        <w:rPr>
          <w:b/>
          <w:i/>
        </w:rPr>
      </w:pPr>
      <w:r w:rsidRPr="001B5440">
        <w:rPr>
          <w:b/>
          <w:i/>
        </w:rPr>
        <w:t>ЗАКЛЮЧЕНИЕ</w:t>
      </w:r>
    </w:p>
    <w:p w:rsidR="005A2459" w:rsidRPr="001B5440" w:rsidRDefault="005A2459" w:rsidP="005A2459">
      <w:pPr>
        <w:jc w:val="center"/>
        <w:rPr>
          <w:b/>
          <w:i/>
        </w:rPr>
      </w:pPr>
      <w:r w:rsidRPr="001B5440">
        <w:rPr>
          <w:b/>
          <w:i/>
        </w:rPr>
        <w:t>о результатах внешней  проверки бюджетной отчетности</w:t>
      </w:r>
      <w:r w:rsidRPr="001B5440">
        <w:rPr>
          <w:b/>
        </w:rPr>
        <w:t xml:space="preserve"> </w:t>
      </w:r>
      <w:r w:rsidRPr="001B5440">
        <w:rPr>
          <w:b/>
          <w:i/>
        </w:rPr>
        <w:t>и</w:t>
      </w:r>
      <w:r w:rsidRPr="001B5440">
        <w:rPr>
          <w:b/>
        </w:rPr>
        <w:t xml:space="preserve"> </w:t>
      </w:r>
      <w:r w:rsidRPr="001B5440">
        <w:rPr>
          <w:b/>
          <w:i/>
        </w:rPr>
        <w:t>отдельных вопросов исполнения</w:t>
      </w:r>
      <w:r w:rsidRPr="001B5440">
        <w:rPr>
          <w:b/>
        </w:rPr>
        <w:t xml:space="preserve"> областного бюджета</w:t>
      </w:r>
      <w:r w:rsidRPr="001B5440">
        <w:rPr>
          <w:b/>
          <w:i/>
        </w:rPr>
        <w:t xml:space="preserve"> главным администратором средств областного бюджета – аппаратом Губернатора</w:t>
      </w:r>
      <w:r w:rsidRPr="001B5440">
        <w:rPr>
          <w:b/>
        </w:rPr>
        <w:t xml:space="preserve"> </w:t>
      </w:r>
      <w:r w:rsidRPr="001B5440">
        <w:rPr>
          <w:b/>
          <w:i/>
        </w:rPr>
        <w:t>Волгоградской области за 201</w:t>
      </w:r>
      <w:r w:rsidR="006676DE">
        <w:rPr>
          <w:b/>
          <w:i/>
        </w:rPr>
        <w:t>5</w:t>
      </w:r>
      <w:r w:rsidRPr="001B5440">
        <w:rPr>
          <w:b/>
          <w:i/>
        </w:rPr>
        <w:t xml:space="preserve"> год</w:t>
      </w:r>
    </w:p>
    <w:p w:rsidR="005A2459" w:rsidRPr="001B5440" w:rsidRDefault="005A2459" w:rsidP="005A2459">
      <w:pPr>
        <w:jc w:val="center"/>
        <w:rPr>
          <w:b/>
        </w:rPr>
      </w:pPr>
    </w:p>
    <w:p w:rsidR="00CA4F3D" w:rsidRPr="001B5440" w:rsidRDefault="00CA4F3D" w:rsidP="00CA4F3D"/>
    <w:p w:rsidR="00CA4F3D" w:rsidRPr="001B5440" w:rsidRDefault="00CA4F3D" w:rsidP="00CA4F3D">
      <w:pPr>
        <w:ind w:firstLine="708"/>
        <w:jc w:val="both"/>
      </w:pPr>
      <w:proofErr w:type="gramStart"/>
      <w:r w:rsidRPr="001B5440">
        <w:t>На основании статьи 264.4 Бюджетного Кодекса РФ (далее – БК РФ) и в соответствии с планом работы на 201</w:t>
      </w:r>
      <w:r w:rsidR="000E488A" w:rsidRPr="001B5440">
        <w:t>6</w:t>
      </w:r>
      <w:r w:rsidRPr="001B5440">
        <w:t xml:space="preserve"> год, утвержденным постановлением коллегии контрольно-счетной палаты Волгоградской области от</w:t>
      </w:r>
      <w:r w:rsidRPr="001B5440">
        <w:rPr>
          <w:sz w:val="28"/>
          <w:szCs w:val="28"/>
        </w:rPr>
        <w:t xml:space="preserve"> </w:t>
      </w:r>
      <w:r w:rsidR="00FC72BE" w:rsidRPr="001B5440">
        <w:t>29.12.2015 №34/1</w:t>
      </w:r>
      <w:r w:rsidR="001A4907">
        <w:t>,</w:t>
      </w:r>
      <w:r w:rsidR="005A2459" w:rsidRPr="001B5440">
        <w:t xml:space="preserve"> </w:t>
      </w:r>
      <w:r w:rsidRPr="001B5440">
        <w:t>проведена внешняя проверка бюджетной отчетности и отдельных вопросов исполнения областного бюджета за 201</w:t>
      </w:r>
      <w:r w:rsidR="008A3667" w:rsidRPr="001B5440">
        <w:t>5</w:t>
      </w:r>
      <w:r w:rsidRPr="001B5440">
        <w:t xml:space="preserve"> год главным администратором средств областного бюджета – аппаратом Губернатора Волгоградской области (далее - Аппарат).</w:t>
      </w:r>
      <w:proofErr w:type="gramEnd"/>
    </w:p>
    <w:p w:rsidR="000E488A" w:rsidRPr="001B5440" w:rsidRDefault="000E488A" w:rsidP="00CA4F3D">
      <w:pPr>
        <w:jc w:val="center"/>
        <w:rPr>
          <w:b/>
        </w:rPr>
      </w:pPr>
    </w:p>
    <w:p w:rsidR="00CA4F3D" w:rsidRDefault="00CA4F3D" w:rsidP="00CA4F3D">
      <w:pPr>
        <w:jc w:val="center"/>
        <w:rPr>
          <w:b/>
        </w:rPr>
      </w:pPr>
      <w:r w:rsidRPr="001B5440">
        <w:rPr>
          <w:b/>
        </w:rPr>
        <w:t>Общие сведения</w:t>
      </w:r>
    </w:p>
    <w:p w:rsidR="002119C7" w:rsidRPr="001B5440" w:rsidRDefault="002119C7" w:rsidP="00CA4F3D">
      <w:pPr>
        <w:jc w:val="center"/>
        <w:rPr>
          <w:b/>
        </w:rPr>
      </w:pPr>
    </w:p>
    <w:p w:rsidR="00CA4F3D" w:rsidRPr="001B5440" w:rsidRDefault="00CA4F3D" w:rsidP="00CA4F3D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1B5440">
        <w:rPr>
          <w:rFonts w:ascii="Times New Roman" w:hAnsi="Times New Roman"/>
          <w:b w:val="0"/>
          <w:color w:val="auto"/>
          <w:sz w:val="24"/>
          <w:szCs w:val="24"/>
        </w:rPr>
        <w:t>Предельная штатная численность государственных гражданских служащих Волгоградской области, содержание которых осуществляется за счет средств областного бюджета, по Аппарату утверждена Законом</w:t>
      </w:r>
      <w:r w:rsidR="00691F44" w:rsidRPr="001B5440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AF6C90" w:rsidRPr="001B5440">
        <w:rPr>
          <w:rFonts w:ascii="Times New Roman" w:hAnsi="Times New Roman"/>
          <w:b w:val="0"/>
          <w:color w:val="auto"/>
          <w:sz w:val="24"/>
          <w:szCs w:val="24"/>
        </w:rPr>
        <w:t xml:space="preserve">Волгоградской области от 20.11.2014 </w:t>
      </w:r>
      <w:r w:rsidR="00691F44" w:rsidRPr="001B5440">
        <w:rPr>
          <w:rFonts w:ascii="Times New Roman" w:hAnsi="Times New Roman"/>
          <w:b w:val="0"/>
          <w:color w:val="auto"/>
          <w:sz w:val="24"/>
          <w:szCs w:val="24"/>
        </w:rPr>
        <w:t>№</w:t>
      </w:r>
      <w:r w:rsidR="00AF6C90" w:rsidRPr="001B5440">
        <w:rPr>
          <w:rFonts w:ascii="Times New Roman" w:hAnsi="Times New Roman"/>
          <w:b w:val="0"/>
          <w:color w:val="auto"/>
          <w:sz w:val="24"/>
          <w:szCs w:val="24"/>
        </w:rPr>
        <w:t>151</w:t>
      </w:r>
      <w:r w:rsidRPr="001B5440">
        <w:rPr>
          <w:rFonts w:ascii="Times New Roman" w:hAnsi="Times New Roman"/>
          <w:b w:val="0"/>
          <w:color w:val="auto"/>
          <w:sz w:val="24"/>
          <w:szCs w:val="24"/>
        </w:rPr>
        <w:t xml:space="preserve">-ОД </w:t>
      </w:r>
      <w:r w:rsidR="00AF6C90" w:rsidRPr="001B5440">
        <w:rPr>
          <w:rFonts w:ascii="Times New Roman" w:hAnsi="Times New Roman"/>
          <w:b w:val="0"/>
          <w:color w:val="auto"/>
          <w:sz w:val="24"/>
          <w:szCs w:val="24"/>
        </w:rPr>
        <w:t>«</w:t>
      </w:r>
      <w:proofErr w:type="gramStart"/>
      <w:r w:rsidR="00AF6C90" w:rsidRPr="001B5440">
        <w:rPr>
          <w:rFonts w:ascii="Times New Roman" w:hAnsi="Times New Roman"/>
          <w:b w:val="0"/>
          <w:color w:val="auto"/>
          <w:sz w:val="24"/>
          <w:szCs w:val="24"/>
        </w:rPr>
        <w:t>Об</w:t>
      </w:r>
      <w:proofErr w:type="gramEnd"/>
      <w:r w:rsidR="00AF6C90" w:rsidRPr="001B5440">
        <w:rPr>
          <w:rFonts w:ascii="Times New Roman" w:hAnsi="Times New Roman"/>
          <w:b w:val="0"/>
          <w:color w:val="auto"/>
          <w:sz w:val="24"/>
          <w:szCs w:val="24"/>
        </w:rPr>
        <w:t xml:space="preserve"> областном </w:t>
      </w:r>
      <w:proofErr w:type="gramStart"/>
      <w:r w:rsidR="00AF6C90" w:rsidRPr="001B5440">
        <w:rPr>
          <w:rFonts w:ascii="Times New Roman" w:hAnsi="Times New Roman"/>
          <w:b w:val="0"/>
          <w:color w:val="auto"/>
          <w:sz w:val="24"/>
          <w:szCs w:val="24"/>
        </w:rPr>
        <w:t>бюджете</w:t>
      </w:r>
      <w:proofErr w:type="gramEnd"/>
      <w:r w:rsidR="00AF6C90" w:rsidRPr="001B5440">
        <w:rPr>
          <w:rFonts w:ascii="Times New Roman" w:hAnsi="Times New Roman"/>
          <w:b w:val="0"/>
          <w:color w:val="auto"/>
          <w:sz w:val="24"/>
          <w:szCs w:val="24"/>
        </w:rPr>
        <w:t xml:space="preserve"> на 2015 год и на плановый период 2016 и 2017 годов» (далее – Закон о бюджете на 2015 год) </w:t>
      </w:r>
      <w:r w:rsidRPr="001B5440">
        <w:rPr>
          <w:rFonts w:ascii="Times New Roman" w:hAnsi="Times New Roman"/>
          <w:b w:val="0"/>
          <w:color w:val="auto"/>
          <w:sz w:val="24"/>
          <w:szCs w:val="24"/>
        </w:rPr>
        <w:t xml:space="preserve">в количестве </w:t>
      </w:r>
      <w:r w:rsidR="00AF6C90" w:rsidRPr="001B5440">
        <w:rPr>
          <w:rFonts w:ascii="Times New Roman" w:hAnsi="Times New Roman"/>
          <w:b w:val="0"/>
          <w:color w:val="auto"/>
          <w:sz w:val="24"/>
          <w:szCs w:val="24"/>
        </w:rPr>
        <w:t>275</w:t>
      </w:r>
      <w:r w:rsidRPr="001B5440">
        <w:rPr>
          <w:rFonts w:ascii="Times New Roman" w:hAnsi="Times New Roman"/>
          <w:b w:val="0"/>
          <w:color w:val="auto"/>
          <w:sz w:val="24"/>
          <w:szCs w:val="24"/>
        </w:rPr>
        <w:t xml:space="preserve"> единиц</w:t>
      </w:r>
      <w:r w:rsidR="001A4907">
        <w:rPr>
          <w:rFonts w:ascii="Times New Roman" w:hAnsi="Times New Roman"/>
          <w:b w:val="0"/>
          <w:color w:val="auto"/>
          <w:sz w:val="24"/>
          <w:szCs w:val="24"/>
        </w:rPr>
        <w:t>, фактическая численность Аппарата в 2015 году составила 266 единиц</w:t>
      </w:r>
      <w:r w:rsidRPr="001B5440">
        <w:rPr>
          <w:rFonts w:ascii="Times New Roman" w:hAnsi="Times New Roman"/>
          <w:b w:val="0"/>
          <w:color w:val="auto"/>
          <w:sz w:val="24"/>
          <w:szCs w:val="24"/>
        </w:rPr>
        <w:t xml:space="preserve">. </w:t>
      </w:r>
    </w:p>
    <w:p w:rsidR="00CA4F3D" w:rsidRPr="001B5440" w:rsidRDefault="00CA4F3D" w:rsidP="00CA4F3D">
      <w:pPr>
        <w:ind w:firstLine="720"/>
        <w:jc w:val="both"/>
      </w:pPr>
      <w:r w:rsidRPr="001B5440">
        <w:t>На 01.01.201</w:t>
      </w:r>
      <w:r w:rsidR="00691F44" w:rsidRPr="001B5440">
        <w:t>5</w:t>
      </w:r>
      <w:r w:rsidRPr="001B5440">
        <w:t xml:space="preserve"> в состав получателей бюджетных средств, подведомственных Аппарату</w:t>
      </w:r>
      <w:r w:rsidR="001A4907">
        <w:t>,</w:t>
      </w:r>
      <w:r w:rsidRPr="001B5440">
        <w:t xml:space="preserve"> входило государственное бюджетное учреждение Волгоградской области «Общепит – 1» (далее – ГБУ «Общепит</w:t>
      </w:r>
      <w:r w:rsidR="00691F44" w:rsidRPr="001B5440">
        <w:t>-1»</w:t>
      </w:r>
      <w:r w:rsidRPr="001B5440">
        <w:t>).</w:t>
      </w:r>
      <w:r w:rsidR="00AF6C90" w:rsidRPr="001B5440">
        <w:t xml:space="preserve"> С 30.01.2015 Аппарат осуществляет также функции учредителя ГБУ Волгоградской области «Исполнительная дирекция Администрации Волгоградской области» (далее – ГБУ «Исполнительная дирекция»</w:t>
      </w:r>
      <w:r w:rsidR="005A2459" w:rsidRPr="001B5440">
        <w:t>)</w:t>
      </w:r>
      <w:r w:rsidR="00AF6C90" w:rsidRPr="001B5440">
        <w:t>.</w:t>
      </w:r>
    </w:p>
    <w:p w:rsidR="00F0306B" w:rsidRPr="001B5440" w:rsidRDefault="00F0306B" w:rsidP="00CA4F3D">
      <w:pPr>
        <w:ind w:firstLine="720"/>
        <w:jc w:val="both"/>
      </w:pPr>
    </w:p>
    <w:p w:rsidR="008A65BF" w:rsidRPr="001B5440" w:rsidRDefault="008A65BF" w:rsidP="008A65BF">
      <w:pPr>
        <w:jc w:val="center"/>
        <w:rPr>
          <w:b/>
        </w:rPr>
      </w:pPr>
      <w:r w:rsidRPr="001B5440">
        <w:rPr>
          <w:b/>
        </w:rPr>
        <w:t>Проверка полноты бюджетной отчетности. Визуальный контроль бюджетной отчетности</w:t>
      </w:r>
      <w:r w:rsidR="005742E2" w:rsidRPr="001B5440">
        <w:rPr>
          <w:b/>
        </w:rPr>
        <w:t>.</w:t>
      </w:r>
    </w:p>
    <w:p w:rsidR="0037482A" w:rsidRPr="001B5440" w:rsidRDefault="0037482A" w:rsidP="008A65BF">
      <w:pPr>
        <w:jc w:val="center"/>
        <w:rPr>
          <w:b/>
          <w:i/>
        </w:rPr>
      </w:pPr>
    </w:p>
    <w:p w:rsidR="005742E2" w:rsidRPr="001B5440" w:rsidRDefault="005742E2" w:rsidP="008A65BF">
      <w:pPr>
        <w:jc w:val="center"/>
        <w:rPr>
          <w:b/>
          <w:i/>
        </w:rPr>
      </w:pPr>
      <w:r w:rsidRPr="001B5440">
        <w:rPr>
          <w:b/>
          <w:i/>
        </w:rPr>
        <w:t>Бюджетная отчётность Аппарата.</w:t>
      </w:r>
    </w:p>
    <w:p w:rsidR="004E7834" w:rsidRPr="001B5440" w:rsidRDefault="004E7834" w:rsidP="008A65BF">
      <w:pPr>
        <w:ind w:firstLine="720"/>
        <w:jc w:val="both"/>
      </w:pPr>
      <w:r w:rsidRPr="001B5440">
        <w:t xml:space="preserve">К проверке представлена отчетность, </w:t>
      </w:r>
      <w:r w:rsidR="00C36C36">
        <w:t>направленная</w:t>
      </w:r>
      <w:r w:rsidRPr="001B5440">
        <w:t xml:space="preserve"> Аппаратом в комитет финансов Волгоградской обла</w:t>
      </w:r>
      <w:r w:rsidR="00C36C36">
        <w:t xml:space="preserve">сти в составе, предусмотренном </w:t>
      </w:r>
      <w:r w:rsidRPr="001B5440">
        <w:t xml:space="preserve">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 (далее Инструкция </w:t>
      </w:r>
      <w:r w:rsidR="00CC1640" w:rsidRPr="001B5440">
        <w:t>№</w:t>
      </w:r>
      <w:r w:rsidRPr="001B5440">
        <w:t xml:space="preserve"> 191н).</w:t>
      </w:r>
    </w:p>
    <w:p w:rsidR="004E7834" w:rsidRPr="001B5440" w:rsidRDefault="004E7834" w:rsidP="008A65BF">
      <w:pPr>
        <w:ind w:firstLine="720"/>
        <w:jc w:val="both"/>
      </w:pPr>
      <w:r w:rsidRPr="001B5440">
        <w:t xml:space="preserve">Также представлена отчетность подведомственных учреждений и сводная отчетность по подведомственным учреждениям, составленная в соответствии с </w:t>
      </w:r>
      <w:r w:rsidR="008701DA" w:rsidRPr="001B5440">
        <w:t>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№ 33н (далее – Инструкция № 33н).</w:t>
      </w:r>
    </w:p>
    <w:p w:rsidR="008701DA" w:rsidRPr="001B5440" w:rsidRDefault="00E057E1" w:rsidP="008310EA">
      <w:pPr>
        <w:autoSpaceDE w:val="0"/>
        <w:autoSpaceDN w:val="0"/>
        <w:adjustRightInd w:val="0"/>
        <w:ind w:firstLine="720"/>
        <w:jc w:val="both"/>
      </w:pPr>
      <w:r w:rsidRPr="001B5440">
        <w:t xml:space="preserve">При визуальном контроле бюджетной отчётности </w:t>
      </w:r>
      <w:r w:rsidR="008701DA" w:rsidRPr="001B5440">
        <w:t>Аппарата нарушений</w:t>
      </w:r>
      <w:r w:rsidR="001A4907">
        <w:t xml:space="preserve"> в части соответствия данным учета </w:t>
      </w:r>
      <w:r w:rsidR="008701DA" w:rsidRPr="001B5440">
        <w:t>не установлено</w:t>
      </w:r>
      <w:r w:rsidR="004F5226" w:rsidRPr="001B5440">
        <w:t xml:space="preserve">, отчетность соответствует требованиям Инструкции № 191н и представленным </w:t>
      </w:r>
      <w:r w:rsidR="008C6BC7">
        <w:t>к проверке регистрам</w:t>
      </w:r>
      <w:r w:rsidR="004F5226" w:rsidRPr="001B5440">
        <w:t xml:space="preserve"> бюджетного учета</w:t>
      </w:r>
      <w:r w:rsidR="008C6BC7">
        <w:t xml:space="preserve"> (главная книга, отдельные данные аналитического учета)</w:t>
      </w:r>
      <w:r w:rsidR="008701DA" w:rsidRPr="001B5440">
        <w:t>.</w:t>
      </w:r>
    </w:p>
    <w:p w:rsidR="00251637" w:rsidRPr="001B5440" w:rsidRDefault="004F5226" w:rsidP="008310EA">
      <w:pPr>
        <w:ind w:firstLine="720"/>
        <w:jc w:val="both"/>
        <w:rPr>
          <w:rFonts w:eastAsiaTheme="minorHAnsi"/>
          <w:lang w:eastAsia="en-US"/>
        </w:rPr>
      </w:pPr>
      <w:r w:rsidRPr="001B5440">
        <w:t xml:space="preserve">При этом согласно представленным данным аналитического учета по </w:t>
      </w:r>
      <w:proofErr w:type="spellStart"/>
      <w:r w:rsidRPr="001B5440">
        <w:t>забалансовым</w:t>
      </w:r>
      <w:proofErr w:type="spellEnd"/>
      <w:r w:rsidRPr="001B5440">
        <w:t xml:space="preserve"> счетам по счету 01 «Имущество, полученное в пользование» за Аппаратом по состоянию на 01.01.2016 числятся 7 административных и нежилых помещений, </w:t>
      </w:r>
      <w:r w:rsidR="00251637" w:rsidRPr="001B5440">
        <w:t>находящихся в пользовании Аппарата</w:t>
      </w:r>
      <w:r w:rsidR="001A4907">
        <w:t>,</w:t>
      </w:r>
      <w:r w:rsidR="00251637" w:rsidRPr="001B5440">
        <w:t xml:space="preserve"> и </w:t>
      </w:r>
      <w:r w:rsidRPr="001B5440">
        <w:t>учитываемых без стоимости в натуральном выражении (кв. м.).</w:t>
      </w:r>
      <w:r w:rsidR="00251637" w:rsidRPr="001B5440">
        <w:t xml:space="preserve"> </w:t>
      </w:r>
      <w:r w:rsidR="008310EA" w:rsidRPr="001B5440">
        <w:t xml:space="preserve">Согласно пояснениям Аппарата указанный подход к учету находящегося в пользовании недвижимого </w:t>
      </w:r>
      <w:r w:rsidR="008310EA" w:rsidRPr="001B5440">
        <w:lastRenderedPageBreak/>
        <w:t>имущества обусловлен отсутствием стоимости имущества в договорах безвозмездного пользования. При этом данный подход к учету имуществ</w:t>
      </w:r>
      <w:r w:rsidR="00410AD7" w:rsidRPr="001B5440">
        <w:t>а</w:t>
      </w:r>
      <w:r w:rsidR="008310EA" w:rsidRPr="001B5440">
        <w:t xml:space="preserve"> противоречит положениям ст. 12 Федерального закона от 06.12.2011 № 402-ФЗ «О бухгалтерском учете»</w:t>
      </w:r>
      <w:r w:rsidR="001A4907">
        <w:t xml:space="preserve"> (далее – Закон о бухгалтерском учете)</w:t>
      </w:r>
      <w:r w:rsidR="008310EA" w:rsidRPr="001B5440">
        <w:t xml:space="preserve">, согласно </w:t>
      </w:r>
      <w:proofErr w:type="gramStart"/>
      <w:r w:rsidR="008310EA" w:rsidRPr="001B5440">
        <w:t>которой</w:t>
      </w:r>
      <w:proofErr w:type="gramEnd"/>
      <w:r w:rsidR="008310EA" w:rsidRPr="001B5440">
        <w:t xml:space="preserve"> </w:t>
      </w:r>
      <w:r w:rsidR="008310EA" w:rsidRPr="001B5440">
        <w:rPr>
          <w:rFonts w:eastAsiaTheme="minorHAnsi"/>
          <w:lang w:eastAsia="en-US"/>
        </w:rPr>
        <w:t xml:space="preserve">объекты бухгалтерского учета подлежат денежному измерению. </w:t>
      </w:r>
      <w:proofErr w:type="gramStart"/>
      <w:r w:rsidR="008310EA" w:rsidRPr="001B5440">
        <w:rPr>
          <w:rFonts w:eastAsiaTheme="minorHAnsi"/>
          <w:lang w:eastAsia="en-US"/>
        </w:rPr>
        <w:t>П</w:t>
      </w:r>
      <w:r w:rsidR="00251637" w:rsidRPr="001B5440">
        <w:rPr>
          <w:rFonts w:eastAsiaTheme="minorHAnsi"/>
          <w:lang w:eastAsia="en-US"/>
        </w:rPr>
        <w:t xml:space="preserve">риказом Минфина России от 01.12.2010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(п. 333) предусмотрено, что объект имущества, полученный учреждением от балансодержателя (собственника) имущества, учитывается на </w:t>
      </w:r>
      <w:proofErr w:type="spellStart"/>
      <w:r w:rsidR="00251637" w:rsidRPr="001B5440">
        <w:rPr>
          <w:rFonts w:eastAsiaTheme="minorHAnsi"/>
          <w:lang w:eastAsia="en-US"/>
        </w:rPr>
        <w:t>забалансовом</w:t>
      </w:r>
      <w:proofErr w:type="spellEnd"/>
      <w:r w:rsidR="00251637" w:rsidRPr="001B5440">
        <w:rPr>
          <w:rFonts w:eastAsiaTheme="minorHAnsi"/>
          <w:lang w:eastAsia="en-US"/>
        </w:rPr>
        <w:t xml:space="preserve"> счете на основании акта приема-передачи (иного документа</w:t>
      </w:r>
      <w:proofErr w:type="gramEnd"/>
      <w:r w:rsidR="00251637" w:rsidRPr="001B5440">
        <w:rPr>
          <w:rFonts w:eastAsiaTheme="minorHAnsi"/>
          <w:lang w:eastAsia="en-US"/>
        </w:rPr>
        <w:t xml:space="preserve">, </w:t>
      </w:r>
      <w:proofErr w:type="gramStart"/>
      <w:r w:rsidR="00251637" w:rsidRPr="001B5440">
        <w:rPr>
          <w:rFonts w:eastAsiaTheme="minorHAnsi"/>
          <w:lang w:eastAsia="en-US"/>
        </w:rPr>
        <w:t>подтверждающего получение имущества и (или) права его пользования) по стоимости, указанной (определенной) передающей стороной (собственником).</w:t>
      </w:r>
      <w:proofErr w:type="gramEnd"/>
      <w:r w:rsidR="00251637" w:rsidRPr="001B5440">
        <w:rPr>
          <w:rFonts w:eastAsiaTheme="minorHAnsi"/>
          <w:lang w:eastAsia="en-US"/>
        </w:rPr>
        <w:t xml:space="preserve"> </w:t>
      </w:r>
      <w:r w:rsidR="008310EA" w:rsidRPr="001B5440">
        <w:rPr>
          <w:rFonts w:eastAsiaTheme="minorHAnsi"/>
          <w:lang w:eastAsia="en-US"/>
        </w:rPr>
        <w:t>Таким образом, договор</w:t>
      </w:r>
      <w:r w:rsidR="001A4907">
        <w:rPr>
          <w:rFonts w:eastAsiaTheme="minorHAnsi"/>
          <w:lang w:eastAsia="en-US"/>
        </w:rPr>
        <w:t>ы</w:t>
      </w:r>
      <w:r w:rsidR="008310EA" w:rsidRPr="001B5440">
        <w:rPr>
          <w:rFonts w:eastAsiaTheme="minorHAnsi"/>
          <w:lang w:eastAsia="en-US"/>
        </w:rPr>
        <w:t xml:space="preserve"> безвозмездного пользования нежилыми помещениями с балансодержателями этих помещений требуют уточнения в части стоимости находящихся в пользовании Аппарата помещений.</w:t>
      </w:r>
    </w:p>
    <w:p w:rsidR="004F5226" w:rsidRPr="001B5440" w:rsidRDefault="004F5226" w:rsidP="00251637">
      <w:pPr>
        <w:autoSpaceDE w:val="0"/>
        <w:autoSpaceDN w:val="0"/>
        <w:adjustRightInd w:val="0"/>
        <w:ind w:firstLine="709"/>
        <w:jc w:val="both"/>
      </w:pPr>
    </w:p>
    <w:p w:rsidR="00670DE3" w:rsidRPr="001B5440" w:rsidRDefault="002C7F2E" w:rsidP="003E1553">
      <w:pPr>
        <w:autoSpaceDE w:val="0"/>
        <w:autoSpaceDN w:val="0"/>
        <w:adjustRightInd w:val="0"/>
        <w:jc w:val="center"/>
        <w:rPr>
          <w:b/>
          <w:i/>
        </w:rPr>
      </w:pPr>
      <w:r w:rsidRPr="001B5440">
        <w:rPr>
          <w:b/>
          <w:i/>
        </w:rPr>
        <w:t xml:space="preserve">Бюджетная отчётность </w:t>
      </w:r>
      <w:r w:rsidR="008701DA" w:rsidRPr="001B5440">
        <w:rPr>
          <w:b/>
          <w:i/>
        </w:rPr>
        <w:t>подведомственных учреждений</w:t>
      </w:r>
    </w:p>
    <w:p w:rsidR="002C7F2E" w:rsidRPr="001B5440" w:rsidRDefault="008701DA" w:rsidP="00F64C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B5440">
        <w:rPr>
          <w:rFonts w:eastAsiaTheme="minorHAnsi"/>
          <w:lang w:eastAsia="en-US"/>
        </w:rPr>
        <w:t>Проверкой отчетности ГБУ «Исполнительная дирекция» нарушений не установлено.</w:t>
      </w:r>
      <w:r w:rsidR="004C568E" w:rsidRPr="001B5440">
        <w:rPr>
          <w:rFonts w:eastAsiaTheme="minorHAnsi"/>
          <w:lang w:eastAsia="en-US"/>
        </w:rPr>
        <w:t xml:space="preserve">  </w:t>
      </w:r>
      <w:r w:rsidRPr="001B5440">
        <w:rPr>
          <w:rFonts w:eastAsiaTheme="minorHAnsi"/>
          <w:lang w:eastAsia="en-US"/>
        </w:rPr>
        <w:t xml:space="preserve">Проверкой </w:t>
      </w:r>
      <w:r w:rsidR="00F727CE" w:rsidRPr="001B5440">
        <w:rPr>
          <w:rFonts w:eastAsiaTheme="minorHAnsi"/>
          <w:lang w:eastAsia="en-US"/>
        </w:rPr>
        <w:t xml:space="preserve">отчётности  ГБУ «Общепит-1» </w:t>
      </w:r>
      <w:r w:rsidR="00160D9F" w:rsidRPr="001B5440">
        <w:rPr>
          <w:rFonts w:eastAsiaTheme="minorHAnsi"/>
          <w:lang w:eastAsia="en-US"/>
        </w:rPr>
        <w:t>были ус</w:t>
      </w:r>
      <w:r w:rsidR="001A4907">
        <w:rPr>
          <w:rFonts w:eastAsiaTheme="minorHAnsi"/>
          <w:lang w:eastAsia="en-US"/>
        </w:rPr>
        <w:t>тановлены следующие нарушения.</w:t>
      </w:r>
    </w:p>
    <w:p w:rsidR="008310EA" w:rsidRPr="001B5440" w:rsidRDefault="008310EA" w:rsidP="008310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B5440">
        <w:rPr>
          <w:rFonts w:eastAsiaTheme="minorHAnsi"/>
          <w:lang w:eastAsia="en-US"/>
        </w:rPr>
        <w:t xml:space="preserve">Согласно требованиям п. 21 Инструкции №33н в Справке о наличии имущества и обязательств на </w:t>
      </w:r>
      <w:proofErr w:type="spellStart"/>
      <w:r w:rsidRPr="001B5440">
        <w:rPr>
          <w:rFonts w:eastAsiaTheme="minorHAnsi"/>
          <w:lang w:eastAsia="en-US"/>
        </w:rPr>
        <w:t>забалансовых</w:t>
      </w:r>
      <w:proofErr w:type="spellEnd"/>
      <w:r w:rsidRPr="001B5440">
        <w:rPr>
          <w:rFonts w:eastAsiaTheme="minorHAnsi"/>
          <w:lang w:eastAsia="en-US"/>
        </w:rPr>
        <w:t xml:space="preserve"> счетах (ф. 0503</w:t>
      </w:r>
      <w:r w:rsidR="006676DE">
        <w:rPr>
          <w:rFonts w:eastAsiaTheme="minorHAnsi"/>
          <w:lang w:eastAsia="en-US"/>
        </w:rPr>
        <w:t>73</w:t>
      </w:r>
      <w:r w:rsidRPr="001B5440">
        <w:rPr>
          <w:rFonts w:eastAsiaTheme="minorHAnsi"/>
          <w:lang w:eastAsia="en-US"/>
        </w:rPr>
        <w:t>0) по счетам 17 и 18 должно отражаться поступление и выбытие денежных средств на счета учреждения.</w:t>
      </w:r>
      <w:r w:rsidR="001A4907">
        <w:rPr>
          <w:rFonts w:eastAsiaTheme="minorHAnsi"/>
          <w:lang w:eastAsia="en-US"/>
        </w:rPr>
        <w:t xml:space="preserve"> В нарушение указанного пункта </w:t>
      </w:r>
      <w:r w:rsidRPr="001B5440">
        <w:rPr>
          <w:rFonts w:eastAsiaTheme="minorHAnsi"/>
          <w:lang w:eastAsia="en-US"/>
        </w:rPr>
        <w:t xml:space="preserve">в первоначально представленной ГБУ «Общепит-1» Справке о наличии имущества и обязательств на </w:t>
      </w:r>
      <w:proofErr w:type="spellStart"/>
      <w:r w:rsidRPr="001B5440">
        <w:rPr>
          <w:rFonts w:eastAsiaTheme="minorHAnsi"/>
          <w:lang w:eastAsia="en-US"/>
        </w:rPr>
        <w:t>забалансовых</w:t>
      </w:r>
      <w:proofErr w:type="spellEnd"/>
      <w:r w:rsidRPr="001B5440">
        <w:rPr>
          <w:rFonts w:eastAsiaTheme="minorHAnsi"/>
          <w:lang w:eastAsia="en-US"/>
        </w:rPr>
        <w:t xml:space="preserve"> счетах отсутствовала информация о поступивших и выбывших суммах на счета учреждения.</w:t>
      </w:r>
      <w:r w:rsidR="001A4907">
        <w:rPr>
          <w:rFonts w:eastAsiaTheme="minorHAnsi"/>
          <w:lang w:eastAsia="en-US"/>
        </w:rPr>
        <w:t xml:space="preserve"> </w:t>
      </w:r>
    </w:p>
    <w:p w:rsidR="008310EA" w:rsidRPr="001B5440" w:rsidRDefault="008310EA" w:rsidP="001B5440">
      <w:pPr>
        <w:pStyle w:val="a3"/>
        <w:autoSpaceDE w:val="0"/>
        <w:autoSpaceDN w:val="0"/>
        <w:adjustRightInd w:val="0"/>
        <w:ind w:left="0" w:firstLine="705"/>
        <w:jc w:val="both"/>
      </w:pPr>
      <w:r w:rsidRPr="001B5440">
        <w:rPr>
          <w:rFonts w:eastAsiaTheme="minorHAnsi"/>
          <w:lang w:eastAsia="en-US"/>
        </w:rPr>
        <w:t xml:space="preserve">В ходе проверки нарушение устранено, </w:t>
      </w:r>
      <w:r w:rsidR="00333FF7">
        <w:rPr>
          <w:rFonts w:eastAsiaTheme="minorHAnsi"/>
          <w:lang w:eastAsia="en-US"/>
        </w:rPr>
        <w:t>уточненная</w:t>
      </w:r>
      <w:r w:rsidRPr="001B5440">
        <w:rPr>
          <w:rFonts w:eastAsiaTheme="minorHAnsi"/>
          <w:lang w:eastAsia="en-US"/>
        </w:rPr>
        <w:t xml:space="preserve"> форм</w:t>
      </w:r>
      <w:r w:rsidR="00333FF7">
        <w:rPr>
          <w:rFonts w:eastAsiaTheme="minorHAnsi"/>
          <w:lang w:eastAsia="en-US"/>
        </w:rPr>
        <w:t>а</w:t>
      </w:r>
      <w:r w:rsidRPr="001B5440">
        <w:rPr>
          <w:rFonts w:eastAsiaTheme="minorHAnsi"/>
          <w:lang w:eastAsia="en-US"/>
        </w:rPr>
        <w:t xml:space="preserve"> 0503</w:t>
      </w:r>
      <w:r w:rsidR="001B5440" w:rsidRPr="001B5440">
        <w:rPr>
          <w:rFonts w:eastAsiaTheme="minorHAnsi"/>
          <w:lang w:eastAsia="en-US"/>
        </w:rPr>
        <w:t>73</w:t>
      </w:r>
      <w:r w:rsidRPr="001B5440">
        <w:rPr>
          <w:rFonts w:eastAsiaTheme="minorHAnsi"/>
          <w:lang w:eastAsia="en-US"/>
        </w:rPr>
        <w:t>0 представлена</w:t>
      </w:r>
      <w:r w:rsidRPr="001B5440">
        <w:t xml:space="preserve"> в Комитет финансов Волгоградской области 17.02.2016.</w:t>
      </w:r>
    </w:p>
    <w:p w:rsidR="008310EA" w:rsidRPr="006676DE" w:rsidRDefault="008310EA" w:rsidP="008310EA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5"/>
        <w:jc w:val="both"/>
        <w:rPr>
          <w:rFonts w:eastAsiaTheme="minorHAnsi"/>
          <w:lang w:eastAsia="en-US"/>
        </w:rPr>
      </w:pPr>
      <w:r w:rsidRPr="006676DE">
        <w:rPr>
          <w:rFonts w:eastAsiaTheme="minorHAnsi"/>
          <w:lang w:eastAsia="en-US"/>
        </w:rPr>
        <w:t xml:space="preserve">Согласно требованиям п. 47 Инструкции №33н показатели в Отчете об обязательствах учреждения (ф. 0503738) отражаются на основании данных обязательств, подлежащих исполнению в соответствующем финансовом году. </w:t>
      </w:r>
    </w:p>
    <w:p w:rsidR="008310EA" w:rsidRPr="006676DE" w:rsidRDefault="008310EA" w:rsidP="001A4907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676DE">
        <w:rPr>
          <w:rFonts w:eastAsiaTheme="minorHAnsi"/>
          <w:lang w:eastAsia="en-US"/>
        </w:rPr>
        <w:t>Пунктом 48 указанной инструкции предусмотрено, что</w:t>
      </w:r>
      <w:r w:rsidR="006676DE" w:rsidRPr="006676DE">
        <w:rPr>
          <w:rFonts w:eastAsiaTheme="minorHAnsi"/>
          <w:lang w:eastAsia="en-US"/>
        </w:rPr>
        <w:t xml:space="preserve"> графы 4, 6, 8 отчета заполняются на основании данных счетов 050200000 и 050400000.</w:t>
      </w:r>
      <w:r w:rsidR="001A4907">
        <w:rPr>
          <w:rFonts w:eastAsiaTheme="minorHAnsi"/>
          <w:lang w:eastAsia="en-US"/>
        </w:rPr>
        <w:t xml:space="preserve"> </w:t>
      </w:r>
      <w:r w:rsidRPr="006676DE">
        <w:rPr>
          <w:rFonts w:eastAsiaTheme="minorHAnsi"/>
          <w:lang w:eastAsia="en-US"/>
        </w:rPr>
        <w:t xml:space="preserve">В ходе проверки Учреждением представлены </w:t>
      </w:r>
      <w:proofErr w:type="spellStart"/>
      <w:r w:rsidRPr="006676DE">
        <w:rPr>
          <w:rFonts w:eastAsiaTheme="minorHAnsi"/>
          <w:lang w:eastAsia="en-US"/>
        </w:rPr>
        <w:t>оборотно-сальдовые</w:t>
      </w:r>
      <w:proofErr w:type="spellEnd"/>
      <w:r w:rsidRPr="006676DE">
        <w:rPr>
          <w:rFonts w:eastAsiaTheme="minorHAnsi"/>
          <w:lang w:eastAsia="en-US"/>
        </w:rPr>
        <w:t xml:space="preserve"> ведомости по счетам 050200000 и 050400000, согласно которым было установлено, что обороты по вышеуказанным счетам за 2015 год не соответствуют данным граф 4, 6, 8 </w:t>
      </w:r>
      <w:r w:rsidR="006676DE" w:rsidRPr="006676DE">
        <w:rPr>
          <w:rFonts w:eastAsiaTheme="minorHAnsi"/>
          <w:lang w:eastAsia="en-US"/>
        </w:rPr>
        <w:t xml:space="preserve">отчета </w:t>
      </w:r>
      <w:r w:rsidRPr="006676DE">
        <w:rPr>
          <w:rFonts w:eastAsiaTheme="minorHAnsi"/>
          <w:lang w:eastAsia="en-US"/>
        </w:rPr>
        <w:t>ф. 0503738.</w:t>
      </w:r>
    </w:p>
    <w:p w:rsidR="008310EA" w:rsidRPr="006676DE" w:rsidRDefault="008310EA" w:rsidP="008310EA">
      <w:pPr>
        <w:autoSpaceDE w:val="0"/>
        <w:autoSpaceDN w:val="0"/>
        <w:adjustRightInd w:val="0"/>
        <w:ind w:firstLine="720"/>
        <w:jc w:val="both"/>
      </w:pPr>
      <w:r w:rsidRPr="006676DE">
        <w:rPr>
          <w:rFonts w:eastAsiaTheme="minorHAnsi"/>
          <w:lang w:eastAsia="en-US"/>
        </w:rPr>
        <w:t xml:space="preserve">Пунктом 1 статьи 13 </w:t>
      </w:r>
      <w:r w:rsidRPr="006676DE">
        <w:t>Закон</w:t>
      </w:r>
      <w:r w:rsidR="001A4907">
        <w:t>а</w:t>
      </w:r>
      <w:r w:rsidRPr="006676DE">
        <w:t xml:space="preserve"> о бухгалтерском учете предусмотрено, что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 </w:t>
      </w:r>
      <w:r w:rsidRPr="006676DE">
        <w:rPr>
          <w:u w:val="single"/>
        </w:rPr>
        <w:t>Бухгалтерская (финансовая) отчетность должна составляться на основе данных, содержащихся в регистрах бухгалтерского учета</w:t>
      </w:r>
      <w:r w:rsidRPr="006676DE">
        <w:t>, а также информации, определенной федеральными и отраслевыми стандартами.</w:t>
      </w:r>
    </w:p>
    <w:p w:rsidR="008310EA" w:rsidRPr="006676DE" w:rsidRDefault="008310EA" w:rsidP="008310EA">
      <w:pPr>
        <w:pStyle w:val="a3"/>
        <w:autoSpaceDE w:val="0"/>
        <w:autoSpaceDN w:val="0"/>
        <w:adjustRightInd w:val="0"/>
        <w:ind w:left="0" w:firstLine="705"/>
        <w:jc w:val="both"/>
        <w:rPr>
          <w:rFonts w:eastAsiaTheme="minorHAnsi"/>
          <w:lang w:eastAsia="en-US"/>
        </w:rPr>
      </w:pPr>
      <w:r w:rsidRPr="006676DE">
        <w:rPr>
          <w:rFonts w:eastAsiaTheme="minorHAnsi"/>
          <w:lang w:eastAsia="en-US"/>
        </w:rPr>
        <w:t xml:space="preserve">В нижеприведенной таблице представлены расхождения по вышеуказанным счетам согласно </w:t>
      </w:r>
      <w:proofErr w:type="spellStart"/>
      <w:r w:rsidRPr="006676DE">
        <w:rPr>
          <w:rFonts w:eastAsiaTheme="minorHAnsi"/>
          <w:lang w:eastAsia="en-US"/>
        </w:rPr>
        <w:t>оборотно-сальдовы</w:t>
      </w:r>
      <w:r w:rsidR="00C36C36">
        <w:rPr>
          <w:rFonts w:eastAsiaTheme="minorHAnsi"/>
          <w:lang w:eastAsia="en-US"/>
        </w:rPr>
        <w:t>м</w:t>
      </w:r>
      <w:proofErr w:type="spellEnd"/>
      <w:r w:rsidRPr="006676DE">
        <w:rPr>
          <w:rFonts w:eastAsiaTheme="minorHAnsi"/>
          <w:lang w:eastAsia="en-US"/>
        </w:rPr>
        <w:t xml:space="preserve"> ведомост</w:t>
      </w:r>
      <w:r w:rsidR="00C36C36">
        <w:rPr>
          <w:rFonts w:eastAsiaTheme="minorHAnsi"/>
          <w:lang w:eastAsia="en-US"/>
        </w:rPr>
        <w:t>ям</w:t>
      </w:r>
      <w:r w:rsidRPr="006676DE">
        <w:rPr>
          <w:rFonts w:eastAsiaTheme="minorHAnsi"/>
          <w:lang w:eastAsia="en-US"/>
        </w:rPr>
        <w:t xml:space="preserve"> и граф</w:t>
      </w:r>
      <w:r w:rsidR="00C36C36">
        <w:rPr>
          <w:rFonts w:eastAsiaTheme="minorHAnsi"/>
          <w:lang w:eastAsia="en-US"/>
        </w:rPr>
        <w:t>ам</w:t>
      </w:r>
      <w:r w:rsidRPr="006676DE">
        <w:rPr>
          <w:rFonts w:eastAsiaTheme="minorHAnsi"/>
          <w:lang w:eastAsia="en-US"/>
        </w:rPr>
        <w:t xml:space="preserve"> 4, 6, 8 </w:t>
      </w:r>
      <w:r w:rsidR="006676DE">
        <w:rPr>
          <w:rFonts w:eastAsiaTheme="minorHAnsi"/>
          <w:lang w:eastAsia="en-US"/>
        </w:rPr>
        <w:t xml:space="preserve">отчета </w:t>
      </w:r>
      <w:r w:rsidRPr="006676DE">
        <w:rPr>
          <w:rFonts w:eastAsiaTheme="minorHAnsi"/>
          <w:lang w:eastAsia="en-US"/>
        </w:rPr>
        <w:t>ф. 0503738.</w:t>
      </w:r>
    </w:p>
    <w:p w:rsidR="008310EA" w:rsidRPr="006676DE" w:rsidRDefault="008310EA" w:rsidP="008310EA">
      <w:pPr>
        <w:pStyle w:val="a3"/>
        <w:autoSpaceDE w:val="0"/>
        <w:autoSpaceDN w:val="0"/>
        <w:adjustRightInd w:val="0"/>
        <w:ind w:left="0" w:firstLine="705"/>
        <w:jc w:val="right"/>
        <w:rPr>
          <w:rFonts w:eastAsiaTheme="minorHAnsi"/>
          <w:lang w:eastAsia="en-US"/>
        </w:rPr>
      </w:pPr>
      <w:r w:rsidRPr="006676DE">
        <w:rPr>
          <w:rFonts w:eastAsiaTheme="minorHAnsi"/>
          <w:lang w:eastAsia="en-US"/>
        </w:rPr>
        <w:t>таблица</w:t>
      </w:r>
    </w:p>
    <w:tbl>
      <w:tblPr>
        <w:tblStyle w:val="a5"/>
        <w:tblW w:w="97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526"/>
        <w:gridCol w:w="1984"/>
        <w:gridCol w:w="3366"/>
        <w:gridCol w:w="1879"/>
        <w:gridCol w:w="957"/>
      </w:tblGrid>
      <w:tr w:rsidR="008310EA" w:rsidRPr="006676DE" w:rsidTr="008C51CA">
        <w:tc>
          <w:tcPr>
            <w:tcW w:w="1526" w:type="dxa"/>
            <w:vMerge w:val="restart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8310EA" w:rsidRPr="006676DE" w:rsidRDefault="008310EA" w:rsidP="008310E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5350" w:type="dxa"/>
            <w:gridSpan w:val="2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8310EA" w:rsidRPr="006676DE" w:rsidRDefault="008310EA" w:rsidP="008310E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6676DE">
              <w:rPr>
                <w:rFonts w:eastAsiaTheme="minorHAnsi"/>
                <w:b/>
                <w:i/>
                <w:lang w:eastAsia="en-US"/>
              </w:rPr>
              <w:t>Показатели</w:t>
            </w:r>
          </w:p>
        </w:tc>
        <w:tc>
          <w:tcPr>
            <w:tcW w:w="2836" w:type="dxa"/>
            <w:gridSpan w:val="2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8310EA" w:rsidRPr="006676DE" w:rsidRDefault="008310EA" w:rsidP="008310E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6676DE">
              <w:rPr>
                <w:rFonts w:eastAsiaTheme="minorHAnsi"/>
                <w:b/>
                <w:i/>
                <w:lang w:eastAsia="en-US"/>
              </w:rPr>
              <w:t>Отклонение</w:t>
            </w:r>
          </w:p>
        </w:tc>
      </w:tr>
      <w:tr w:rsidR="008310EA" w:rsidRPr="006676DE" w:rsidTr="008C51CA">
        <w:tc>
          <w:tcPr>
            <w:tcW w:w="1526" w:type="dxa"/>
            <w:vMerge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:rsidR="008310EA" w:rsidRPr="006676DE" w:rsidRDefault="008310EA" w:rsidP="008310E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:rsidR="008310EA" w:rsidRPr="006676DE" w:rsidRDefault="008310EA" w:rsidP="008310E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6676DE">
              <w:rPr>
                <w:rFonts w:eastAsiaTheme="minorHAnsi"/>
                <w:b/>
                <w:i/>
                <w:lang w:eastAsia="en-US"/>
              </w:rPr>
              <w:t>Ф. 0503738</w:t>
            </w:r>
          </w:p>
        </w:tc>
        <w:tc>
          <w:tcPr>
            <w:tcW w:w="3366" w:type="dxa"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:rsidR="008310EA" w:rsidRPr="006676DE" w:rsidRDefault="008310EA" w:rsidP="008310E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6676DE">
              <w:rPr>
                <w:rFonts w:eastAsiaTheme="minorHAnsi"/>
                <w:b/>
                <w:i/>
                <w:lang w:eastAsia="en-US"/>
              </w:rPr>
              <w:t>Кредитовый оборот соответствующего счета</w:t>
            </w:r>
          </w:p>
        </w:tc>
        <w:tc>
          <w:tcPr>
            <w:tcW w:w="1879" w:type="dxa"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:rsidR="008310EA" w:rsidRPr="006676DE" w:rsidRDefault="008310EA" w:rsidP="008310E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6676DE">
              <w:rPr>
                <w:rFonts w:eastAsiaTheme="minorHAnsi"/>
                <w:b/>
                <w:i/>
                <w:lang w:eastAsia="en-US"/>
              </w:rPr>
              <w:t>Сумма</w:t>
            </w:r>
          </w:p>
        </w:tc>
        <w:tc>
          <w:tcPr>
            <w:tcW w:w="957" w:type="dxa"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:rsidR="008310EA" w:rsidRPr="006676DE" w:rsidRDefault="008310EA" w:rsidP="008310E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6676DE">
              <w:rPr>
                <w:rFonts w:eastAsiaTheme="minorHAnsi"/>
                <w:b/>
                <w:i/>
                <w:lang w:eastAsia="en-US"/>
              </w:rPr>
              <w:t>%</w:t>
            </w:r>
          </w:p>
        </w:tc>
      </w:tr>
      <w:tr w:rsidR="008310EA" w:rsidRPr="006676DE" w:rsidTr="008C51CA">
        <w:tc>
          <w:tcPr>
            <w:tcW w:w="1526" w:type="dxa"/>
            <w:tcBorders>
              <w:top w:val="double" w:sz="6" w:space="0" w:color="000000"/>
            </w:tcBorders>
          </w:tcPr>
          <w:p w:rsidR="008310EA" w:rsidRPr="006676DE" w:rsidRDefault="008310EA" w:rsidP="008310E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6676DE">
              <w:rPr>
                <w:rFonts w:eastAsiaTheme="minorHAnsi"/>
                <w:b/>
                <w:i/>
                <w:lang w:eastAsia="en-US"/>
              </w:rPr>
              <w:t>Графа 4</w:t>
            </w:r>
          </w:p>
        </w:tc>
        <w:tc>
          <w:tcPr>
            <w:tcW w:w="1984" w:type="dxa"/>
            <w:tcBorders>
              <w:top w:val="double" w:sz="6" w:space="0" w:color="000000"/>
            </w:tcBorders>
          </w:tcPr>
          <w:p w:rsidR="008310EA" w:rsidRPr="006676DE" w:rsidRDefault="008310EA" w:rsidP="008310E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6676DE">
              <w:rPr>
                <w:rFonts w:eastAsiaTheme="minorHAnsi"/>
                <w:b/>
                <w:lang w:eastAsia="en-US"/>
              </w:rPr>
              <w:t>12 002 804,32</w:t>
            </w:r>
          </w:p>
        </w:tc>
        <w:tc>
          <w:tcPr>
            <w:tcW w:w="3366" w:type="dxa"/>
            <w:tcBorders>
              <w:top w:val="double" w:sz="6" w:space="0" w:color="000000"/>
            </w:tcBorders>
          </w:tcPr>
          <w:p w:rsidR="008310EA" w:rsidRPr="006676DE" w:rsidRDefault="008310EA" w:rsidP="008310EA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6676DE">
              <w:rPr>
                <w:rFonts w:eastAsiaTheme="minorHAnsi"/>
                <w:b/>
                <w:lang w:eastAsia="en-US"/>
              </w:rPr>
              <w:t>12</w:t>
            </w:r>
            <w:r w:rsidRPr="006676DE">
              <w:rPr>
                <w:b/>
              </w:rPr>
              <w:t> 060 300,00</w:t>
            </w:r>
            <w:r w:rsidRPr="006676DE">
              <w:t xml:space="preserve"> (Кт</w:t>
            </w:r>
            <w:r w:rsidR="006676DE" w:rsidRPr="006676DE">
              <w:t xml:space="preserve"> </w:t>
            </w:r>
            <w:r w:rsidRPr="006676DE">
              <w:t>504.00)</w:t>
            </w:r>
          </w:p>
        </w:tc>
        <w:tc>
          <w:tcPr>
            <w:tcW w:w="1879" w:type="dxa"/>
            <w:tcBorders>
              <w:top w:val="double" w:sz="6" w:space="0" w:color="000000"/>
            </w:tcBorders>
          </w:tcPr>
          <w:p w:rsidR="008310EA" w:rsidRPr="006676DE" w:rsidRDefault="008310EA" w:rsidP="008310E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6676DE">
              <w:rPr>
                <w:rFonts w:eastAsiaTheme="minorHAnsi"/>
                <w:b/>
                <w:lang w:eastAsia="en-US"/>
              </w:rPr>
              <w:t>57 495,68</w:t>
            </w:r>
          </w:p>
        </w:tc>
        <w:tc>
          <w:tcPr>
            <w:tcW w:w="957" w:type="dxa"/>
            <w:tcBorders>
              <w:top w:val="double" w:sz="6" w:space="0" w:color="000000"/>
            </w:tcBorders>
          </w:tcPr>
          <w:p w:rsidR="008310EA" w:rsidRPr="006676DE" w:rsidRDefault="008310EA" w:rsidP="008310E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lang w:eastAsia="en-US"/>
              </w:rPr>
            </w:pPr>
            <w:r w:rsidRPr="006676DE">
              <w:rPr>
                <w:rFonts w:eastAsiaTheme="minorHAnsi"/>
                <w:lang w:eastAsia="en-US"/>
              </w:rPr>
              <w:t>0,5</w:t>
            </w:r>
          </w:p>
        </w:tc>
      </w:tr>
      <w:tr w:rsidR="008310EA" w:rsidRPr="006676DE" w:rsidTr="008C51CA">
        <w:tc>
          <w:tcPr>
            <w:tcW w:w="1526" w:type="dxa"/>
          </w:tcPr>
          <w:p w:rsidR="008310EA" w:rsidRPr="006676DE" w:rsidRDefault="008310EA" w:rsidP="008310E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6676DE">
              <w:rPr>
                <w:rFonts w:eastAsiaTheme="minorHAnsi"/>
                <w:b/>
                <w:i/>
                <w:lang w:eastAsia="en-US"/>
              </w:rPr>
              <w:t>Графа 6</w:t>
            </w:r>
          </w:p>
        </w:tc>
        <w:tc>
          <w:tcPr>
            <w:tcW w:w="1984" w:type="dxa"/>
          </w:tcPr>
          <w:p w:rsidR="008310EA" w:rsidRPr="006676DE" w:rsidRDefault="008310EA" w:rsidP="008310E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6676DE">
              <w:rPr>
                <w:rFonts w:eastAsiaTheme="minorHAnsi"/>
                <w:b/>
                <w:lang w:eastAsia="en-US"/>
              </w:rPr>
              <w:t>11 381 914,49</w:t>
            </w:r>
          </w:p>
        </w:tc>
        <w:tc>
          <w:tcPr>
            <w:tcW w:w="3366" w:type="dxa"/>
          </w:tcPr>
          <w:p w:rsidR="008310EA" w:rsidRPr="006676DE" w:rsidRDefault="008310EA" w:rsidP="008310E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lang w:eastAsia="en-US"/>
              </w:rPr>
            </w:pPr>
            <w:r w:rsidRPr="006676DE">
              <w:rPr>
                <w:rFonts w:eastAsiaTheme="minorHAnsi"/>
                <w:b/>
                <w:lang w:eastAsia="en-US"/>
              </w:rPr>
              <w:t>13 386 716,73</w:t>
            </w:r>
            <w:r w:rsidRPr="006676DE">
              <w:rPr>
                <w:rFonts w:eastAsiaTheme="minorHAnsi"/>
                <w:lang w:eastAsia="en-US"/>
              </w:rPr>
              <w:t xml:space="preserve"> (Кт</w:t>
            </w:r>
            <w:r w:rsidR="006676DE" w:rsidRPr="006676DE">
              <w:rPr>
                <w:rFonts w:eastAsiaTheme="minorHAnsi"/>
                <w:lang w:eastAsia="en-US"/>
              </w:rPr>
              <w:t xml:space="preserve"> </w:t>
            </w:r>
            <w:r w:rsidRPr="006676DE">
              <w:rPr>
                <w:rFonts w:eastAsiaTheme="minorHAnsi"/>
                <w:lang w:eastAsia="en-US"/>
              </w:rPr>
              <w:t>502.11)</w:t>
            </w:r>
          </w:p>
        </w:tc>
        <w:tc>
          <w:tcPr>
            <w:tcW w:w="1879" w:type="dxa"/>
          </w:tcPr>
          <w:p w:rsidR="008310EA" w:rsidRPr="006676DE" w:rsidRDefault="008310EA" w:rsidP="008310E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6676DE">
              <w:rPr>
                <w:rFonts w:eastAsiaTheme="minorHAnsi"/>
                <w:b/>
                <w:lang w:eastAsia="en-US"/>
              </w:rPr>
              <w:t>2 004 802,24</w:t>
            </w:r>
          </w:p>
        </w:tc>
        <w:tc>
          <w:tcPr>
            <w:tcW w:w="957" w:type="dxa"/>
          </w:tcPr>
          <w:p w:rsidR="008310EA" w:rsidRPr="006676DE" w:rsidRDefault="008310EA" w:rsidP="008310E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lang w:eastAsia="en-US"/>
              </w:rPr>
            </w:pPr>
            <w:r w:rsidRPr="006676DE">
              <w:rPr>
                <w:rFonts w:eastAsiaTheme="minorHAnsi"/>
                <w:lang w:eastAsia="en-US"/>
              </w:rPr>
              <w:t>17,6</w:t>
            </w:r>
          </w:p>
        </w:tc>
      </w:tr>
      <w:tr w:rsidR="008310EA" w:rsidRPr="006676DE" w:rsidTr="008C51CA">
        <w:tc>
          <w:tcPr>
            <w:tcW w:w="1526" w:type="dxa"/>
          </w:tcPr>
          <w:p w:rsidR="008310EA" w:rsidRPr="006676DE" w:rsidRDefault="008310EA" w:rsidP="008310E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6676DE">
              <w:rPr>
                <w:rFonts w:eastAsiaTheme="minorHAnsi"/>
                <w:b/>
                <w:i/>
                <w:lang w:eastAsia="en-US"/>
              </w:rPr>
              <w:t>Графа 8</w:t>
            </w:r>
          </w:p>
        </w:tc>
        <w:tc>
          <w:tcPr>
            <w:tcW w:w="1984" w:type="dxa"/>
          </w:tcPr>
          <w:p w:rsidR="008310EA" w:rsidRPr="006676DE" w:rsidRDefault="008310EA" w:rsidP="008310E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6676DE">
              <w:rPr>
                <w:rFonts w:eastAsiaTheme="minorHAnsi"/>
                <w:b/>
                <w:lang w:eastAsia="en-US"/>
              </w:rPr>
              <w:t>11 381 914,49</w:t>
            </w:r>
          </w:p>
        </w:tc>
        <w:tc>
          <w:tcPr>
            <w:tcW w:w="3366" w:type="dxa"/>
          </w:tcPr>
          <w:p w:rsidR="008310EA" w:rsidRPr="006676DE" w:rsidRDefault="008310EA" w:rsidP="008310E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lang w:eastAsia="en-US"/>
              </w:rPr>
            </w:pPr>
            <w:r w:rsidRPr="006676DE">
              <w:rPr>
                <w:rFonts w:eastAsiaTheme="minorHAnsi"/>
                <w:b/>
                <w:lang w:eastAsia="en-US"/>
              </w:rPr>
              <w:t>13 381 054,76</w:t>
            </w:r>
            <w:r w:rsidRPr="006676DE">
              <w:rPr>
                <w:rFonts w:eastAsiaTheme="minorHAnsi"/>
                <w:lang w:eastAsia="en-US"/>
              </w:rPr>
              <w:t xml:space="preserve"> (Кт</w:t>
            </w:r>
            <w:r w:rsidR="006676DE" w:rsidRPr="006676DE">
              <w:rPr>
                <w:rFonts w:eastAsiaTheme="minorHAnsi"/>
                <w:lang w:eastAsia="en-US"/>
              </w:rPr>
              <w:t xml:space="preserve"> </w:t>
            </w:r>
            <w:r w:rsidRPr="006676DE">
              <w:rPr>
                <w:rFonts w:eastAsiaTheme="minorHAnsi"/>
                <w:lang w:eastAsia="en-US"/>
              </w:rPr>
              <w:t>502.12)</w:t>
            </w:r>
          </w:p>
        </w:tc>
        <w:tc>
          <w:tcPr>
            <w:tcW w:w="1879" w:type="dxa"/>
          </w:tcPr>
          <w:p w:rsidR="008310EA" w:rsidRPr="006676DE" w:rsidRDefault="008310EA" w:rsidP="008310E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6676DE">
              <w:rPr>
                <w:rFonts w:eastAsiaTheme="minorHAnsi"/>
                <w:b/>
                <w:lang w:eastAsia="en-US"/>
              </w:rPr>
              <w:t>1 999 140,27</w:t>
            </w:r>
          </w:p>
        </w:tc>
        <w:tc>
          <w:tcPr>
            <w:tcW w:w="957" w:type="dxa"/>
          </w:tcPr>
          <w:p w:rsidR="008310EA" w:rsidRPr="006676DE" w:rsidRDefault="008310EA" w:rsidP="008310E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lang w:eastAsia="en-US"/>
              </w:rPr>
            </w:pPr>
            <w:r w:rsidRPr="006676DE">
              <w:rPr>
                <w:rFonts w:eastAsiaTheme="minorHAnsi"/>
                <w:lang w:eastAsia="en-US"/>
              </w:rPr>
              <w:t>17,6</w:t>
            </w:r>
          </w:p>
        </w:tc>
      </w:tr>
      <w:tr w:rsidR="008310EA" w:rsidRPr="006676DE" w:rsidTr="008C51CA">
        <w:tc>
          <w:tcPr>
            <w:tcW w:w="1526" w:type="dxa"/>
          </w:tcPr>
          <w:p w:rsidR="008310EA" w:rsidRPr="006676DE" w:rsidRDefault="008310EA" w:rsidP="008310E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6676DE">
              <w:rPr>
                <w:rFonts w:eastAsiaTheme="minorHAnsi"/>
                <w:b/>
                <w:i/>
                <w:lang w:eastAsia="en-US"/>
              </w:rPr>
              <w:t>Графа 11</w:t>
            </w:r>
          </w:p>
          <w:p w:rsidR="008310EA" w:rsidRPr="006676DE" w:rsidRDefault="008310EA" w:rsidP="008310E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6676DE">
              <w:rPr>
                <w:rFonts w:eastAsiaTheme="minorHAnsi"/>
                <w:b/>
                <w:i/>
                <w:lang w:eastAsia="en-US"/>
              </w:rPr>
              <w:t>(гр.8-гр.9)</w:t>
            </w:r>
          </w:p>
        </w:tc>
        <w:tc>
          <w:tcPr>
            <w:tcW w:w="1984" w:type="dxa"/>
            <w:vAlign w:val="center"/>
          </w:tcPr>
          <w:p w:rsidR="008310EA" w:rsidRPr="006676DE" w:rsidRDefault="008310EA" w:rsidP="008310E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6676DE">
              <w:rPr>
                <w:rFonts w:eastAsiaTheme="minorHAnsi"/>
                <w:b/>
                <w:lang w:eastAsia="en-US"/>
              </w:rPr>
              <w:t>356 753,51</w:t>
            </w:r>
          </w:p>
        </w:tc>
        <w:tc>
          <w:tcPr>
            <w:tcW w:w="3366" w:type="dxa"/>
            <w:vAlign w:val="center"/>
          </w:tcPr>
          <w:p w:rsidR="008310EA" w:rsidRPr="006676DE" w:rsidRDefault="008310EA" w:rsidP="008310E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lang w:eastAsia="en-US"/>
              </w:rPr>
            </w:pPr>
            <w:r w:rsidRPr="006676DE">
              <w:rPr>
                <w:rFonts w:eastAsiaTheme="minorHAnsi"/>
                <w:b/>
                <w:lang w:eastAsia="en-US"/>
              </w:rPr>
              <w:t>2 355 893,78</w:t>
            </w:r>
            <w:r w:rsidRPr="006676DE">
              <w:rPr>
                <w:rFonts w:eastAsiaTheme="minorHAnsi"/>
                <w:lang w:eastAsia="en-US"/>
              </w:rPr>
              <w:t xml:space="preserve"> (Кт.302.00, 303.00)</w:t>
            </w:r>
          </w:p>
        </w:tc>
        <w:tc>
          <w:tcPr>
            <w:tcW w:w="1879" w:type="dxa"/>
            <w:vAlign w:val="center"/>
          </w:tcPr>
          <w:p w:rsidR="008310EA" w:rsidRPr="006676DE" w:rsidRDefault="008310EA" w:rsidP="008310E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6676DE">
              <w:rPr>
                <w:rFonts w:eastAsiaTheme="minorHAnsi"/>
                <w:b/>
                <w:lang w:eastAsia="en-US"/>
              </w:rPr>
              <w:t>1 999 140,27</w:t>
            </w:r>
          </w:p>
        </w:tc>
        <w:tc>
          <w:tcPr>
            <w:tcW w:w="957" w:type="dxa"/>
            <w:vAlign w:val="center"/>
          </w:tcPr>
          <w:p w:rsidR="008310EA" w:rsidRPr="006676DE" w:rsidRDefault="008310EA" w:rsidP="008310E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lang w:eastAsia="en-US"/>
              </w:rPr>
            </w:pPr>
            <w:r w:rsidRPr="006676DE">
              <w:rPr>
                <w:rFonts w:eastAsiaTheme="minorHAnsi"/>
                <w:lang w:eastAsia="en-US"/>
              </w:rPr>
              <w:t>6,6 раза</w:t>
            </w:r>
          </w:p>
        </w:tc>
      </w:tr>
    </w:tbl>
    <w:p w:rsidR="008310EA" w:rsidRPr="006676DE" w:rsidRDefault="008310EA" w:rsidP="008310E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310EA" w:rsidRPr="005735B1" w:rsidRDefault="008310EA" w:rsidP="008310EA">
      <w:pPr>
        <w:ind w:firstLine="709"/>
        <w:jc w:val="both"/>
      </w:pPr>
      <w:proofErr w:type="gramStart"/>
      <w:r w:rsidRPr="006676DE">
        <w:rPr>
          <w:rFonts w:eastAsiaTheme="minorHAnsi"/>
          <w:lang w:eastAsia="en-US"/>
        </w:rPr>
        <w:lastRenderedPageBreak/>
        <w:t>Несоответствие данных отчетности данным регистров бухгалтерского учета по графе 6 составило 2 004,8 тыс. руб. (17,6%), по граф</w:t>
      </w:r>
      <w:r w:rsidR="001A4907">
        <w:rPr>
          <w:rFonts w:eastAsiaTheme="minorHAnsi"/>
          <w:lang w:eastAsia="en-US"/>
        </w:rPr>
        <w:t xml:space="preserve">е 8 – 1 999,1 тыс. руб. (17,6%), что </w:t>
      </w:r>
      <w:r w:rsidRPr="006676DE">
        <w:rPr>
          <w:rFonts w:eastAsiaTheme="minorHAnsi"/>
          <w:lang w:eastAsia="en-US"/>
        </w:rPr>
        <w:t xml:space="preserve">привело к искажению данных графы 11 «Не исполнено принятых денежных обязательств» на 1 999,1 тыс. </w:t>
      </w:r>
      <w:r w:rsidRPr="005735B1">
        <w:rPr>
          <w:rFonts w:eastAsiaTheme="minorHAnsi"/>
          <w:lang w:eastAsia="en-US"/>
        </w:rPr>
        <w:t>руб.</w:t>
      </w:r>
      <w:r w:rsidR="00C36C36">
        <w:rPr>
          <w:rFonts w:eastAsiaTheme="minorHAnsi"/>
          <w:lang w:eastAsia="en-US"/>
        </w:rPr>
        <w:t>,</w:t>
      </w:r>
      <w:r w:rsidRPr="005735B1">
        <w:rPr>
          <w:rFonts w:eastAsiaTheme="minorHAnsi"/>
          <w:lang w:eastAsia="en-US"/>
        </w:rPr>
        <w:t xml:space="preserve"> </w:t>
      </w:r>
      <w:r w:rsidR="006676DE" w:rsidRPr="005735B1">
        <w:rPr>
          <w:rFonts w:eastAsiaTheme="minorHAnsi"/>
          <w:lang w:eastAsia="en-US"/>
        </w:rPr>
        <w:t xml:space="preserve">или </w:t>
      </w:r>
      <w:r w:rsidRPr="005735B1">
        <w:rPr>
          <w:rFonts w:eastAsiaTheme="minorHAnsi"/>
          <w:lang w:eastAsia="en-US"/>
        </w:rPr>
        <w:t xml:space="preserve">в 6,6 раза, то есть к недостоверному представлению о финансовом положении Учреждения, чем нарушен </w:t>
      </w:r>
      <w:r w:rsidRPr="005735B1">
        <w:t>п.1 ст.13</w:t>
      </w:r>
      <w:proofErr w:type="gramEnd"/>
      <w:r w:rsidRPr="005735B1">
        <w:t xml:space="preserve"> Закона о бухгалтерском учете</w:t>
      </w:r>
      <w:r w:rsidR="00D2333A">
        <w:t xml:space="preserve"> и требования Инструкции № 33н</w:t>
      </w:r>
      <w:r w:rsidRPr="005735B1">
        <w:t>.</w:t>
      </w:r>
    </w:p>
    <w:p w:rsidR="005735B1" w:rsidRPr="005735B1" w:rsidRDefault="005735B1" w:rsidP="005735B1">
      <w:pPr>
        <w:ind w:firstLine="709"/>
        <w:jc w:val="both"/>
      </w:pPr>
      <w:proofErr w:type="gramStart"/>
      <w:r w:rsidRPr="005735B1">
        <w:t xml:space="preserve">В результате главный бухгалтер ГБУ «Общепит-1», на которую были возложены обязанности по достоверному осуществлению бухгалтерского учета и составление бухгалтерской и бюджетной отчетности учреждения, совершила грубое нарушение правил ведения бухгалтерского учета и представления бухгалтерской отчетности, выразившееся в искажении бухгалтерской отчетности (ф. 0503738) более чем на 10 процентов, за которое установлена административная ответственность, предусмотренная ст. 15.11 </w:t>
      </w:r>
      <w:proofErr w:type="spellStart"/>
      <w:r w:rsidRPr="005735B1">
        <w:t>КоАП</w:t>
      </w:r>
      <w:proofErr w:type="spellEnd"/>
      <w:r w:rsidRPr="005735B1">
        <w:t xml:space="preserve"> РФ.</w:t>
      </w:r>
      <w:proofErr w:type="gramEnd"/>
    </w:p>
    <w:p w:rsidR="006676DE" w:rsidRPr="005735B1" w:rsidRDefault="005735B1" w:rsidP="005735B1">
      <w:pPr>
        <w:ind w:firstLine="709"/>
        <w:jc w:val="both"/>
      </w:pPr>
      <w:r w:rsidRPr="005735B1">
        <w:t>По итогам проверки в отношении главного бухгалтера ГБУ «Общепит-1» составлен протокол об административном правонарушении.</w:t>
      </w:r>
    </w:p>
    <w:p w:rsidR="008310EA" w:rsidRPr="006676DE" w:rsidRDefault="008310EA" w:rsidP="008310EA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5"/>
        <w:jc w:val="both"/>
        <w:rPr>
          <w:rFonts w:eastAsiaTheme="minorHAnsi"/>
          <w:lang w:eastAsia="en-US"/>
        </w:rPr>
      </w:pPr>
      <w:r w:rsidRPr="006676DE">
        <w:rPr>
          <w:rFonts w:eastAsiaTheme="minorHAnsi"/>
          <w:lang w:eastAsia="en-US"/>
        </w:rPr>
        <w:t>Согласно п. 69 Инструкции № 33н «Сведения по дебиторской и кредиторской задолженности»</w:t>
      </w:r>
      <w:r w:rsidR="001A4907">
        <w:rPr>
          <w:rFonts w:eastAsiaTheme="minorHAnsi"/>
          <w:lang w:eastAsia="en-US"/>
        </w:rPr>
        <w:t xml:space="preserve"> форм</w:t>
      </w:r>
      <w:r w:rsidR="0064679A">
        <w:rPr>
          <w:rFonts w:eastAsiaTheme="minorHAnsi"/>
          <w:lang w:eastAsia="en-US"/>
        </w:rPr>
        <w:t>а</w:t>
      </w:r>
      <w:r w:rsidRPr="006676DE">
        <w:rPr>
          <w:rFonts w:eastAsiaTheme="minorHAnsi"/>
          <w:lang w:eastAsia="en-US"/>
        </w:rPr>
        <w:t xml:space="preserve"> 0503769 должна содержать информацию </w:t>
      </w:r>
      <w:r w:rsidRPr="006676DE">
        <w:rPr>
          <w:rFonts w:eastAsiaTheme="minorHAnsi"/>
          <w:u w:val="single"/>
          <w:lang w:eastAsia="en-US"/>
        </w:rPr>
        <w:t>о состоянии расчетов по дебиторской и кредиторской задолженности</w:t>
      </w:r>
      <w:r w:rsidRPr="006676DE">
        <w:rPr>
          <w:rFonts w:eastAsiaTheme="minorHAnsi"/>
          <w:lang w:eastAsia="en-US"/>
        </w:rPr>
        <w:t xml:space="preserve"> учреждения в разрезе видов расчетов. Указанная форма отчетности состоит из двух разделов:</w:t>
      </w:r>
    </w:p>
    <w:p w:rsidR="008310EA" w:rsidRPr="006676DE" w:rsidRDefault="008310EA" w:rsidP="008310EA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676DE">
        <w:rPr>
          <w:rFonts w:eastAsiaTheme="minorHAnsi"/>
          <w:lang w:eastAsia="en-US"/>
        </w:rPr>
        <w:t>«Сведения о дебиторской (кредиторской) задолженности учреждения», в котором отражаются суммы дебиторской и кредиторской задолженности</w:t>
      </w:r>
      <w:r w:rsidR="0064679A">
        <w:rPr>
          <w:rFonts w:eastAsiaTheme="minorHAnsi"/>
          <w:lang w:eastAsia="en-US"/>
        </w:rPr>
        <w:t xml:space="preserve"> </w:t>
      </w:r>
      <w:r w:rsidRPr="006676DE">
        <w:rPr>
          <w:rFonts w:eastAsiaTheme="minorHAnsi"/>
          <w:lang w:eastAsia="en-US"/>
        </w:rPr>
        <w:t xml:space="preserve"> </w:t>
      </w:r>
      <w:proofErr w:type="gramStart"/>
      <w:r w:rsidRPr="006676DE">
        <w:rPr>
          <w:rFonts w:eastAsiaTheme="minorHAnsi"/>
          <w:lang w:eastAsia="en-US"/>
        </w:rPr>
        <w:t>учреждения</w:t>
      </w:r>
      <w:proofErr w:type="gramEnd"/>
      <w:r w:rsidRPr="006676DE">
        <w:rPr>
          <w:rFonts w:eastAsiaTheme="minorHAnsi"/>
          <w:lang w:eastAsia="en-US"/>
        </w:rPr>
        <w:t xml:space="preserve"> с выделением сумм просроченной кредиторской (дебиторской) задолженности.</w:t>
      </w:r>
    </w:p>
    <w:p w:rsidR="008310EA" w:rsidRPr="006676DE" w:rsidRDefault="008310EA" w:rsidP="008310EA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676DE">
        <w:rPr>
          <w:rFonts w:eastAsiaTheme="minorHAnsi"/>
          <w:lang w:eastAsia="en-US"/>
        </w:rPr>
        <w:t>«Аналитическая информация о просроченной задолженности» с указанием соответствующих аналитических счетов, даты возникновения просроченной задолженности, наименование кредитора (дебитора), причина образования просроченной задолженности учреждения.</w:t>
      </w:r>
    </w:p>
    <w:p w:rsidR="008310EA" w:rsidRPr="006676DE" w:rsidRDefault="008310EA" w:rsidP="008310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676DE">
        <w:rPr>
          <w:rFonts w:eastAsiaTheme="minorHAnsi"/>
          <w:lang w:eastAsia="en-US"/>
        </w:rPr>
        <w:t xml:space="preserve">В рамках визуальной проверки отчетности установлено, что в нарушение п.69 Инструкции № 33н в форме отчетности Учреждения «Сведения по дебиторской и кредиторской задолженности» (ф. 0503769) отсутствует аналитическая информация о просроченной </w:t>
      </w:r>
      <w:r w:rsidR="0064679A">
        <w:rPr>
          <w:rFonts w:eastAsiaTheme="minorHAnsi"/>
          <w:lang w:eastAsia="en-US"/>
        </w:rPr>
        <w:t>кредиторской задолженности</w:t>
      </w:r>
      <w:r w:rsidRPr="006676DE">
        <w:rPr>
          <w:rFonts w:eastAsiaTheme="minorHAnsi"/>
          <w:lang w:eastAsia="en-US"/>
        </w:rPr>
        <w:t>.</w:t>
      </w:r>
    </w:p>
    <w:p w:rsidR="00410AD7" w:rsidRPr="006676DE" w:rsidRDefault="00410AD7" w:rsidP="00102FEA">
      <w:pPr>
        <w:jc w:val="center"/>
        <w:rPr>
          <w:b/>
          <w:i/>
        </w:rPr>
      </w:pPr>
    </w:p>
    <w:p w:rsidR="00102FEA" w:rsidRPr="006676DE" w:rsidRDefault="00102FEA" w:rsidP="00102FEA">
      <w:pPr>
        <w:jc w:val="center"/>
        <w:rPr>
          <w:b/>
          <w:i/>
        </w:rPr>
      </w:pPr>
      <w:r w:rsidRPr="006676DE">
        <w:rPr>
          <w:b/>
          <w:i/>
        </w:rPr>
        <w:t xml:space="preserve">Описание основных показателей отчетности, </w:t>
      </w:r>
    </w:p>
    <w:p w:rsidR="00102FEA" w:rsidRPr="006676DE" w:rsidRDefault="00102FEA" w:rsidP="00102FEA">
      <w:pPr>
        <w:jc w:val="center"/>
        <w:rPr>
          <w:i/>
        </w:rPr>
      </w:pPr>
      <w:r w:rsidRPr="006676DE">
        <w:rPr>
          <w:b/>
          <w:i/>
        </w:rPr>
        <w:t>выявленных отклонений и анализ бюджетной отчетности</w:t>
      </w:r>
    </w:p>
    <w:p w:rsidR="00102FEA" w:rsidRPr="006676DE" w:rsidRDefault="00102FEA" w:rsidP="00102FEA">
      <w:pPr>
        <w:ind w:firstLine="709"/>
        <w:jc w:val="both"/>
      </w:pPr>
      <w:r w:rsidRPr="006676DE">
        <w:t>Согласно информации, представленной в сводной бюджетной отчетности, Аппарат имеет следующие обобщенные финансовые показатели деятельности.</w:t>
      </w:r>
    </w:p>
    <w:p w:rsidR="00102FEA" w:rsidRPr="006676DE" w:rsidRDefault="00102FEA" w:rsidP="00102FEA">
      <w:pPr>
        <w:autoSpaceDE w:val="0"/>
        <w:autoSpaceDN w:val="0"/>
        <w:adjustRightInd w:val="0"/>
        <w:ind w:firstLine="720"/>
        <w:jc w:val="both"/>
      </w:pPr>
      <w:r w:rsidRPr="006676DE">
        <w:t>Согласно сводному балансу Аппарата (ф. 0503130) по состоянию на 01.01.2016:</w:t>
      </w:r>
    </w:p>
    <w:p w:rsidR="00102FEA" w:rsidRPr="006676DE" w:rsidRDefault="00102FEA" w:rsidP="00102FEA">
      <w:pPr>
        <w:autoSpaceDE w:val="0"/>
        <w:autoSpaceDN w:val="0"/>
        <w:adjustRightInd w:val="0"/>
        <w:ind w:firstLine="360"/>
        <w:jc w:val="both"/>
      </w:pPr>
      <w:r w:rsidRPr="006676DE">
        <w:rPr>
          <w:i/>
          <w:u w:val="single"/>
        </w:rPr>
        <w:t>-нефинансовые активы</w:t>
      </w:r>
      <w:r w:rsidRPr="006676DE">
        <w:t xml:space="preserve"> –  35 602,3 тыс. руб. – увеличились за 2015 год на 3 004,1 тыс. руб., или на 9,2</w:t>
      </w:r>
      <w:r w:rsidR="0064679A">
        <w:t>%</w:t>
      </w:r>
      <w:r w:rsidRPr="006676DE">
        <w:t>;</w:t>
      </w:r>
    </w:p>
    <w:p w:rsidR="00102FEA" w:rsidRPr="006676DE" w:rsidRDefault="00102FEA" w:rsidP="00102FEA">
      <w:pPr>
        <w:autoSpaceDE w:val="0"/>
        <w:autoSpaceDN w:val="0"/>
        <w:adjustRightInd w:val="0"/>
        <w:ind w:firstLine="360"/>
        <w:jc w:val="both"/>
      </w:pPr>
      <w:r w:rsidRPr="006676DE">
        <w:rPr>
          <w:i/>
          <w:u w:val="single"/>
        </w:rPr>
        <w:t>-финансовые активы</w:t>
      </w:r>
      <w:r w:rsidRPr="006676DE">
        <w:t xml:space="preserve"> – 542 029,1 тыс. руб. – увеличились на 125 662,4 тыс. руб., или на 30,2 % в основном за счёт увеличения финансовых вложений в государственные учреждения (расчеты с подведомственными учреждениями);</w:t>
      </w:r>
    </w:p>
    <w:p w:rsidR="00102FEA" w:rsidRPr="006676DE" w:rsidRDefault="00102FEA" w:rsidP="00102FEA">
      <w:pPr>
        <w:autoSpaceDE w:val="0"/>
        <w:autoSpaceDN w:val="0"/>
        <w:adjustRightInd w:val="0"/>
        <w:ind w:firstLine="360"/>
        <w:jc w:val="both"/>
      </w:pPr>
      <w:r w:rsidRPr="006676DE">
        <w:rPr>
          <w:i/>
          <w:u w:val="single"/>
        </w:rPr>
        <w:t>-обязательства</w:t>
      </w:r>
      <w:r w:rsidRPr="006676DE">
        <w:t xml:space="preserve"> – 7 080,5 тыс. руб. – сократились на 1 706,3 тыс. руб., или </w:t>
      </w:r>
      <w:r w:rsidR="0064679A">
        <w:t xml:space="preserve">на </w:t>
      </w:r>
      <w:r w:rsidRPr="006676DE">
        <w:t xml:space="preserve">19,4% в основном за счёт сокращения кредиторской задолженности по невыясненным поступлениям по </w:t>
      </w:r>
      <w:proofErr w:type="spellStart"/>
      <w:r w:rsidRPr="006676DE">
        <w:t>администрируемым</w:t>
      </w:r>
      <w:proofErr w:type="spellEnd"/>
      <w:r w:rsidRPr="006676DE">
        <w:t xml:space="preserve"> доходам (административные штрафы).</w:t>
      </w:r>
    </w:p>
    <w:p w:rsidR="00102FEA" w:rsidRPr="006676DE" w:rsidRDefault="00102FEA" w:rsidP="008310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8310EA" w:rsidRPr="006676DE" w:rsidRDefault="008310EA" w:rsidP="008310EA">
      <w:pPr>
        <w:autoSpaceDE w:val="0"/>
        <w:autoSpaceDN w:val="0"/>
        <w:adjustRightInd w:val="0"/>
        <w:ind w:firstLine="360"/>
        <w:jc w:val="center"/>
        <w:rPr>
          <w:bCs/>
          <w:i/>
        </w:rPr>
      </w:pPr>
      <w:r w:rsidRPr="006676DE">
        <w:rPr>
          <w:b/>
          <w:i/>
        </w:rPr>
        <w:t>Исполнение плановых назначений по закрепленным доходам</w:t>
      </w:r>
    </w:p>
    <w:p w:rsidR="008310EA" w:rsidRDefault="008310EA" w:rsidP="008310EA">
      <w:pPr>
        <w:pStyle w:val="1"/>
        <w:spacing w:before="0" w:after="0"/>
        <w:ind w:firstLine="720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</w:pPr>
      <w:r w:rsidRPr="006676DE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Законом об областном бюджете на 2015 год Аппарат определен главным администратором доходов областного бюджета. Данные об </w:t>
      </w:r>
      <w:proofErr w:type="spellStart"/>
      <w:r w:rsidRPr="006676DE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администрируемых</w:t>
      </w:r>
      <w:proofErr w:type="spellEnd"/>
      <w:r w:rsidRPr="006676DE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Аппаратом доходах и фактическом </w:t>
      </w:r>
      <w:r w:rsidR="0064679A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их </w:t>
      </w:r>
      <w:r w:rsidRPr="006676DE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поступлении за 2015 год отражены в таблице.</w:t>
      </w:r>
    </w:p>
    <w:p w:rsidR="008310EA" w:rsidRPr="00ED083B" w:rsidRDefault="008310EA" w:rsidP="008310EA">
      <w:pPr>
        <w:autoSpaceDE w:val="0"/>
        <w:autoSpaceDN w:val="0"/>
        <w:adjustRightInd w:val="0"/>
        <w:ind w:right="-1" w:firstLine="720"/>
        <w:jc w:val="right"/>
        <w:rPr>
          <w:i/>
          <w:sz w:val="20"/>
          <w:szCs w:val="20"/>
        </w:rPr>
      </w:pPr>
      <w:r w:rsidRPr="00ED083B">
        <w:rPr>
          <w:b/>
          <w:sz w:val="20"/>
          <w:szCs w:val="20"/>
        </w:rPr>
        <w:t xml:space="preserve">                                                                                                              </w:t>
      </w:r>
      <w:r w:rsidRPr="00ED083B">
        <w:rPr>
          <w:i/>
          <w:sz w:val="20"/>
          <w:szCs w:val="20"/>
        </w:rPr>
        <w:t>тыс. руб.</w:t>
      </w:r>
    </w:p>
    <w:tbl>
      <w:tblPr>
        <w:tblW w:w="9787" w:type="dxa"/>
        <w:tblInd w:w="94" w:type="dxa"/>
        <w:tblLook w:val="04A0"/>
      </w:tblPr>
      <w:tblGrid>
        <w:gridCol w:w="5968"/>
        <w:gridCol w:w="1320"/>
        <w:gridCol w:w="1208"/>
        <w:gridCol w:w="1291"/>
      </w:tblGrid>
      <w:tr w:rsidR="008310EA" w:rsidRPr="001B5440" w:rsidTr="008310EA">
        <w:trPr>
          <w:trHeight w:val="230"/>
        </w:trPr>
        <w:tc>
          <w:tcPr>
            <w:tcW w:w="596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310EA" w:rsidRPr="00D87B88" w:rsidRDefault="008310EA" w:rsidP="008310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7B88">
              <w:rPr>
                <w:rFonts w:eastAsia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EA" w:rsidRPr="00D87B88" w:rsidRDefault="008310EA" w:rsidP="008310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7B88">
              <w:rPr>
                <w:rFonts w:eastAsia="Times New Roman"/>
                <w:b/>
                <w:sz w:val="20"/>
                <w:szCs w:val="20"/>
              </w:rPr>
              <w:t>Утверждено</w:t>
            </w:r>
          </w:p>
        </w:tc>
        <w:tc>
          <w:tcPr>
            <w:tcW w:w="12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0EA" w:rsidRPr="00D87B88" w:rsidRDefault="008310EA" w:rsidP="008310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7B88">
              <w:rPr>
                <w:rFonts w:eastAsia="Times New Roman"/>
                <w:b/>
                <w:sz w:val="20"/>
                <w:szCs w:val="20"/>
              </w:rPr>
              <w:t>Исполнено</w:t>
            </w:r>
          </w:p>
        </w:tc>
        <w:tc>
          <w:tcPr>
            <w:tcW w:w="12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310EA" w:rsidRPr="00D87B88" w:rsidRDefault="008310EA" w:rsidP="008310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7B88">
              <w:rPr>
                <w:rFonts w:eastAsia="Times New Roman"/>
                <w:b/>
                <w:sz w:val="20"/>
                <w:szCs w:val="20"/>
              </w:rPr>
              <w:t>%% исполнения</w:t>
            </w:r>
          </w:p>
        </w:tc>
      </w:tr>
      <w:tr w:rsidR="008310EA" w:rsidRPr="001B5440" w:rsidTr="008310EA">
        <w:trPr>
          <w:trHeight w:val="230"/>
        </w:trPr>
        <w:tc>
          <w:tcPr>
            <w:tcW w:w="596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310EA" w:rsidRPr="00D87B88" w:rsidRDefault="008310EA" w:rsidP="008310E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10EA" w:rsidRPr="00D87B88" w:rsidRDefault="008310EA" w:rsidP="008310E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10EA" w:rsidRPr="00D87B88" w:rsidRDefault="008310EA" w:rsidP="008310E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310EA" w:rsidRPr="00D87B88" w:rsidRDefault="008310EA" w:rsidP="008310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310EA" w:rsidRPr="001B5440" w:rsidTr="008310EA">
        <w:trPr>
          <w:trHeight w:val="255"/>
        </w:trPr>
        <w:tc>
          <w:tcPr>
            <w:tcW w:w="5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310EA" w:rsidRPr="00D87B88" w:rsidRDefault="008310EA" w:rsidP="008310E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87B88">
              <w:rPr>
                <w:rFonts w:eastAsia="Times New Roman"/>
                <w:b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1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EA" w:rsidRPr="00D87B88" w:rsidRDefault="008310EA" w:rsidP="008310E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87B88">
              <w:rPr>
                <w:rFonts w:eastAsia="Times New Roman"/>
                <w:b/>
                <w:bCs/>
                <w:sz w:val="20"/>
                <w:szCs w:val="20"/>
              </w:rPr>
              <w:t>27 982,1</w:t>
            </w:r>
          </w:p>
        </w:tc>
        <w:tc>
          <w:tcPr>
            <w:tcW w:w="120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EA" w:rsidRPr="00D87B88" w:rsidRDefault="008310EA" w:rsidP="008310E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87B88">
              <w:rPr>
                <w:rFonts w:eastAsia="Times New Roman"/>
                <w:b/>
                <w:bCs/>
                <w:sz w:val="20"/>
                <w:szCs w:val="20"/>
              </w:rPr>
              <w:t>22 935,9</w:t>
            </w:r>
          </w:p>
        </w:tc>
        <w:tc>
          <w:tcPr>
            <w:tcW w:w="129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310EA" w:rsidRPr="00D87B88" w:rsidRDefault="008310EA" w:rsidP="008310E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87B88">
              <w:rPr>
                <w:rFonts w:eastAsia="Times New Roman"/>
                <w:b/>
                <w:bCs/>
                <w:sz w:val="20"/>
                <w:szCs w:val="20"/>
              </w:rPr>
              <w:t>82%</w:t>
            </w:r>
          </w:p>
        </w:tc>
      </w:tr>
      <w:tr w:rsidR="008310EA" w:rsidRPr="001B5440" w:rsidTr="008310EA">
        <w:trPr>
          <w:trHeight w:val="255"/>
        </w:trPr>
        <w:tc>
          <w:tcPr>
            <w:tcW w:w="59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310EA" w:rsidRPr="00D87B88" w:rsidRDefault="008310EA" w:rsidP="008310EA">
            <w:pPr>
              <w:rPr>
                <w:rFonts w:eastAsia="Times New Roman"/>
                <w:i/>
                <w:sz w:val="20"/>
                <w:szCs w:val="20"/>
              </w:rPr>
            </w:pPr>
            <w:r w:rsidRPr="00D87B88">
              <w:rPr>
                <w:rFonts w:eastAsia="Times New Roman"/>
                <w:i/>
                <w:sz w:val="20"/>
                <w:szCs w:val="20"/>
              </w:rPr>
              <w:t xml:space="preserve">   в том числе:</w:t>
            </w:r>
          </w:p>
        </w:tc>
        <w:tc>
          <w:tcPr>
            <w:tcW w:w="13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EA" w:rsidRPr="00D87B88" w:rsidRDefault="008310EA" w:rsidP="008310EA">
            <w:pPr>
              <w:jc w:val="right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EA" w:rsidRPr="00D87B88" w:rsidRDefault="008310EA" w:rsidP="008310EA">
            <w:pPr>
              <w:jc w:val="right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310EA" w:rsidRPr="00D87B88" w:rsidRDefault="008310EA" w:rsidP="008310EA">
            <w:pPr>
              <w:jc w:val="right"/>
              <w:rPr>
                <w:rFonts w:eastAsia="Times New Roman"/>
                <w:i/>
                <w:sz w:val="20"/>
                <w:szCs w:val="20"/>
              </w:rPr>
            </w:pPr>
          </w:p>
        </w:tc>
      </w:tr>
      <w:tr w:rsidR="008310EA" w:rsidRPr="001B5440" w:rsidTr="008310EA">
        <w:trPr>
          <w:trHeight w:val="255"/>
        </w:trPr>
        <w:tc>
          <w:tcPr>
            <w:tcW w:w="596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310EA" w:rsidRPr="00D87B88" w:rsidRDefault="008310EA" w:rsidP="00D87B88">
            <w:pPr>
              <w:rPr>
                <w:rFonts w:eastAsia="Times New Roman"/>
                <w:sz w:val="20"/>
                <w:szCs w:val="20"/>
              </w:rPr>
            </w:pPr>
            <w:r w:rsidRPr="00D87B88">
              <w:rPr>
                <w:rFonts w:eastAsia="Times New Roman"/>
                <w:b/>
                <w:sz w:val="20"/>
                <w:szCs w:val="20"/>
              </w:rPr>
              <w:t xml:space="preserve">Налоговые и неналоговые доходы </w:t>
            </w:r>
          </w:p>
        </w:tc>
        <w:tc>
          <w:tcPr>
            <w:tcW w:w="13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EA" w:rsidRPr="00D87B88" w:rsidRDefault="008310EA" w:rsidP="008310EA">
            <w:pPr>
              <w:jc w:val="right"/>
              <w:rPr>
                <w:sz w:val="20"/>
                <w:szCs w:val="20"/>
              </w:rPr>
            </w:pPr>
            <w:r w:rsidRPr="00D87B88">
              <w:rPr>
                <w:sz w:val="20"/>
                <w:szCs w:val="20"/>
              </w:rPr>
              <w:t>3 637,7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EA" w:rsidRPr="00D87B88" w:rsidRDefault="008310EA" w:rsidP="008310EA">
            <w:pPr>
              <w:jc w:val="right"/>
              <w:rPr>
                <w:sz w:val="20"/>
                <w:szCs w:val="20"/>
              </w:rPr>
            </w:pPr>
            <w:r w:rsidRPr="00D87B88">
              <w:rPr>
                <w:sz w:val="20"/>
                <w:szCs w:val="20"/>
              </w:rPr>
              <w:t>3 050,5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310EA" w:rsidRPr="00D87B88" w:rsidRDefault="008310EA" w:rsidP="008310EA">
            <w:pPr>
              <w:jc w:val="right"/>
              <w:rPr>
                <w:sz w:val="20"/>
                <w:szCs w:val="20"/>
              </w:rPr>
            </w:pPr>
            <w:r w:rsidRPr="00D87B88">
              <w:rPr>
                <w:sz w:val="20"/>
                <w:szCs w:val="20"/>
              </w:rPr>
              <w:t>83,9%</w:t>
            </w:r>
          </w:p>
        </w:tc>
      </w:tr>
      <w:tr w:rsidR="008310EA" w:rsidRPr="001B5440" w:rsidTr="00D87B88">
        <w:trPr>
          <w:trHeight w:val="239"/>
        </w:trPr>
        <w:tc>
          <w:tcPr>
            <w:tcW w:w="596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310EA" w:rsidRPr="00D87B88" w:rsidRDefault="008310EA" w:rsidP="00D87B88">
            <w:pPr>
              <w:rPr>
                <w:rFonts w:eastAsia="Times New Roman"/>
                <w:sz w:val="20"/>
                <w:szCs w:val="20"/>
              </w:rPr>
            </w:pPr>
            <w:r w:rsidRPr="00D87B88">
              <w:rPr>
                <w:rFonts w:eastAsia="Times New Roman"/>
                <w:sz w:val="20"/>
                <w:szCs w:val="20"/>
              </w:rPr>
              <w:lastRenderedPageBreak/>
              <w:t xml:space="preserve">Прочие доходы от компенсации затрат  бюджетов субъектов РФ </w:t>
            </w:r>
          </w:p>
        </w:tc>
        <w:tc>
          <w:tcPr>
            <w:tcW w:w="13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EA" w:rsidRPr="00D87B88" w:rsidRDefault="008310EA" w:rsidP="008310EA">
            <w:pPr>
              <w:jc w:val="right"/>
              <w:rPr>
                <w:sz w:val="20"/>
                <w:szCs w:val="20"/>
              </w:rPr>
            </w:pPr>
            <w:r w:rsidRPr="00D87B88">
              <w:rPr>
                <w:sz w:val="20"/>
                <w:szCs w:val="20"/>
              </w:rPr>
              <w:t>1 008,9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EA" w:rsidRPr="00D87B88" w:rsidRDefault="008310EA" w:rsidP="008310EA">
            <w:pPr>
              <w:jc w:val="right"/>
              <w:rPr>
                <w:sz w:val="20"/>
                <w:szCs w:val="20"/>
              </w:rPr>
            </w:pPr>
            <w:r w:rsidRPr="00D87B88">
              <w:rPr>
                <w:sz w:val="20"/>
                <w:szCs w:val="20"/>
              </w:rPr>
              <w:t>1 012,4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310EA" w:rsidRPr="00D87B88" w:rsidRDefault="008310EA" w:rsidP="008310EA">
            <w:pPr>
              <w:jc w:val="right"/>
              <w:rPr>
                <w:sz w:val="20"/>
                <w:szCs w:val="20"/>
              </w:rPr>
            </w:pPr>
            <w:r w:rsidRPr="00D87B88">
              <w:rPr>
                <w:sz w:val="20"/>
                <w:szCs w:val="20"/>
              </w:rPr>
              <w:t>100,3%</w:t>
            </w:r>
          </w:p>
        </w:tc>
      </w:tr>
      <w:tr w:rsidR="008310EA" w:rsidRPr="001B5440" w:rsidTr="008310EA">
        <w:trPr>
          <w:trHeight w:val="178"/>
        </w:trPr>
        <w:tc>
          <w:tcPr>
            <w:tcW w:w="596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310EA" w:rsidRPr="00D87B88" w:rsidRDefault="008310EA" w:rsidP="00D87B88">
            <w:pPr>
              <w:rPr>
                <w:rFonts w:eastAsia="Times New Roman"/>
                <w:sz w:val="20"/>
                <w:szCs w:val="20"/>
              </w:rPr>
            </w:pPr>
            <w:r w:rsidRPr="00D87B88">
              <w:rPr>
                <w:rFonts w:eastAsia="Times New Roman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 </w:t>
            </w:r>
          </w:p>
        </w:tc>
        <w:tc>
          <w:tcPr>
            <w:tcW w:w="13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EA" w:rsidRPr="00D87B88" w:rsidRDefault="008310EA" w:rsidP="008310EA">
            <w:pPr>
              <w:jc w:val="right"/>
              <w:rPr>
                <w:sz w:val="20"/>
                <w:szCs w:val="20"/>
              </w:rPr>
            </w:pPr>
            <w:r w:rsidRPr="00D87B88">
              <w:rPr>
                <w:sz w:val="20"/>
                <w:szCs w:val="20"/>
              </w:rPr>
              <w:t>2 628,8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EA" w:rsidRPr="00D87B88" w:rsidRDefault="008310EA" w:rsidP="008310EA">
            <w:pPr>
              <w:jc w:val="right"/>
              <w:rPr>
                <w:sz w:val="20"/>
                <w:szCs w:val="20"/>
              </w:rPr>
            </w:pPr>
            <w:r w:rsidRPr="00D87B88">
              <w:rPr>
                <w:sz w:val="20"/>
                <w:szCs w:val="20"/>
              </w:rPr>
              <w:t>2 038,1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310EA" w:rsidRPr="00D87B88" w:rsidRDefault="008310EA" w:rsidP="008310EA">
            <w:pPr>
              <w:jc w:val="right"/>
              <w:rPr>
                <w:sz w:val="20"/>
                <w:szCs w:val="20"/>
              </w:rPr>
            </w:pPr>
            <w:r w:rsidRPr="00D87B88">
              <w:rPr>
                <w:sz w:val="20"/>
                <w:szCs w:val="20"/>
              </w:rPr>
              <w:t>77,5%</w:t>
            </w:r>
          </w:p>
        </w:tc>
      </w:tr>
      <w:tr w:rsidR="008310EA" w:rsidRPr="001B5440" w:rsidTr="008310EA">
        <w:trPr>
          <w:trHeight w:val="255"/>
        </w:trPr>
        <w:tc>
          <w:tcPr>
            <w:tcW w:w="596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310EA" w:rsidRPr="00D87B88" w:rsidRDefault="008310EA" w:rsidP="00D87B88">
            <w:pPr>
              <w:rPr>
                <w:rFonts w:eastAsia="Times New Roman"/>
                <w:sz w:val="20"/>
                <w:szCs w:val="20"/>
              </w:rPr>
            </w:pPr>
            <w:r w:rsidRPr="00D87B88">
              <w:rPr>
                <w:rFonts w:eastAsia="Times New Roman"/>
                <w:b/>
                <w:sz w:val="20"/>
                <w:szCs w:val="20"/>
              </w:rPr>
              <w:t>Безвозмездные поступления от других бюджетов бюджетной системы</w:t>
            </w:r>
            <w:r w:rsidRPr="00D87B8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EA" w:rsidRPr="00D87B88" w:rsidRDefault="008310EA" w:rsidP="008310EA">
            <w:pPr>
              <w:jc w:val="right"/>
              <w:rPr>
                <w:sz w:val="20"/>
                <w:szCs w:val="20"/>
              </w:rPr>
            </w:pPr>
            <w:r w:rsidRPr="00D87B88">
              <w:rPr>
                <w:sz w:val="20"/>
                <w:szCs w:val="20"/>
              </w:rPr>
              <w:t>24 344,4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EA" w:rsidRPr="00D87B88" w:rsidRDefault="008310EA" w:rsidP="008310EA">
            <w:pPr>
              <w:jc w:val="right"/>
              <w:rPr>
                <w:sz w:val="20"/>
                <w:szCs w:val="20"/>
              </w:rPr>
            </w:pPr>
            <w:r w:rsidRPr="00D87B88">
              <w:rPr>
                <w:sz w:val="20"/>
                <w:szCs w:val="20"/>
              </w:rPr>
              <w:t xml:space="preserve">17 943,1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310EA" w:rsidRPr="00D87B88" w:rsidRDefault="008310EA" w:rsidP="008310EA">
            <w:pPr>
              <w:jc w:val="right"/>
              <w:rPr>
                <w:sz w:val="20"/>
                <w:szCs w:val="20"/>
              </w:rPr>
            </w:pPr>
            <w:r w:rsidRPr="00D87B88">
              <w:rPr>
                <w:sz w:val="20"/>
                <w:szCs w:val="20"/>
              </w:rPr>
              <w:t>73,7%</w:t>
            </w:r>
          </w:p>
        </w:tc>
      </w:tr>
      <w:tr w:rsidR="008310EA" w:rsidRPr="001B5440" w:rsidTr="008310EA">
        <w:trPr>
          <w:trHeight w:val="366"/>
        </w:trPr>
        <w:tc>
          <w:tcPr>
            <w:tcW w:w="596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310EA" w:rsidRPr="00D87B88" w:rsidRDefault="008310EA" w:rsidP="00D87B88">
            <w:pPr>
              <w:rPr>
                <w:rFonts w:eastAsia="Times New Roman"/>
                <w:sz w:val="20"/>
                <w:szCs w:val="20"/>
              </w:rPr>
            </w:pPr>
            <w:r w:rsidRPr="00D87B88">
              <w:rPr>
                <w:rFonts w:eastAsia="Times New Roman"/>
                <w:sz w:val="20"/>
                <w:szCs w:val="20"/>
              </w:rPr>
              <w:t xml:space="preserve">Межбюджетные трансферты, передаваемые бюджетам субъектов РФ на содержание депутатов Государственной Думы и их помощников </w:t>
            </w:r>
          </w:p>
        </w:tc>
        <w:tc>
          <w:tcPr>
            <w:tcW w:w="13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EA" w:rsidRPr="00D87B88" w:rsidRDefault="008310EA" w:rsidP="008310EA">
            <w:pPr>
              <w:jc w:val="right"/>
              <w:rPr>
                <w:sz w:val="20"/>
                <w:szCs w:val="20"/>
              </w:rPr>
            </w:pPr>
            <w:r w:rsidRPr="00D87B88">
              <w:rPr>
                <w:sz w:val="20"/>
                <w:szCs w:val="20"/>
              </w:rPr>
              <w:t>21 419,5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EA" w:rsidRPr="00D87B88" w:rsidRDefault="008310EA" w:rsidP="008310EA">
            <w:pPr>
              <w:jc w:val="right"/>
              <w:rPr>
                <w:sz w:val="20"/>
                <w:szCs w:val="20"/>
              </w:rPr>
            </w:pPr>
            <w:r w:rsidRPr="00D87B88">
              <w:rPr>
                <w:sz w:val="20"/>
                <w:szCs w:val="20"/>
              </w:rPr>
              <w:t>15 125,4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310EA" w:rsidRPr="00D87B88" w:rsidRDefault="008310EA" w:rsidP="008310EA">
            <w:pPr>
              <w:jc w:val="right"/>
              <w:rPr>
                <w:sz w:val="20"/>
                <w:szCs w:val="20"/>
              </w:rPr>
            </w:pPr>
            <w:r w:rsidRPr="00D87B88">
              <w:rPr>
                <w:sz w:val="20"/>
                <w:szCs w:val="20"/>
              </w:rPr>
              <w:t>70,6%</w:t>
            </w:r>
          </w:p>
        </w:tc>
      </w:tr>
      <w:tr w:rsidR="008310EA" w:rsidRPr="001B5440" w:rsidTr="008310EA">
        <w:trPr>
          <w:trHeight w:val="375"/>
        </w:trPr>
        <w:tc>
          <w:tcPr>
            <w:tcW w:w="596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310EA" w:rsidRPr="00D87B88" w:rsidRDefault="008310EA" w:rsidP="00D87B88">
            <w:pPr>
              <w:rPr>
                <w:rFonts w:eastAsia="Times New Roman"/>
                <w:sz w:val="20"/>
                <w:szCs w:val="20"/>
              </w:rPr>
            </w:pPr>
            <w:r w:rsidRPr="00D87B88">
              <w:rPr>
                <w:rFonts w:eastAsia="Times New Roman"/>
                <w:sz w:val="20"/>
                <w:szCs w:val="20"/>
              </w:rPr>
              <w:t xml:space="preserve">Межбюджетные трансферты, передаваемые бюджетам субъектов РФ на содержание членов Совета Федерации и их помощников </w:t>
            </w:r>
          </w:p>
        </w:tc>
        <w:tc>
          <w:tcPr>
            <w:tcW w:w="13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EA" w:rsidRPr="00D87B88" w:rsidRDefault="008310EA" w:rsidP="008310EA">
            <w:pPr>
              <w:jc w:val="right"/>
              <w:rPr>
                <w:sz w:val="20"/>
                <w:szCs w:val="20"/>
              </w:rPr>
            </w:pPr>
            <w:r w:rsidRPr="00D87B88">
              <w:rPr>
                <w:sz w:val="20"/>
                <w:szCs w:val="20"/>
              </w:rPr>
              <w:t>2 924,9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EA" w:rsidRPr="00D87B88" w:rsidRDefault="008310EA" w:rsidP="008310EA">
            <w:pPr>
              <w:jc w:val="right"/>
              <w:rPr>
                <w:sz w:val="20"/>
                <w:szCs w:val="20"/>
              </w:rPr>
            </w:pPr>
            <w:r w:rsidRPr="00D87B88">
              <w:rPr>
                <w:sz w:val="20"/>
                <w:szCs w:val="20"/>
              </w:rPr>
              <w:t>2 817,7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310EA" w:rsidRPr="00D87B88" w:rsidRDefault="008310EA" w:rsidP="008310EA">
            <w:pPr>
              <w:jc w:val="right"/>
              <w:rPr>
                <w:sz w:val="20"/>
                <w:szCs w:val="20"/>
              </w:rPr>
            </w:pPr>
            <w:r w:rsidRPr="00D87B88">
              <w:rPr>
                <w:sz w:val="20"/>
                <w:szCs w:val="20"/>
              </w:rPr>
              <w:t>96,3%</w:t>
            </w:r>
          </w:p>
        </w:tc>
      </w:tr>
      <w:tr w:rsidR="008310EA" w:rsidRPr="001B5440" w:rsidTr="008310EA">
        <w:trPr>
          <w:trHeight w:val="375"/>
        </w:trPr>
        <w:tc>
          <w:tcPr>
            <w:tcW w:w="596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310EA" w:rsidRPr="00D87B88" w:rsidRDefault="008310EA" w:rsidP="00D87B88">
            <w:pPr>
              <w:rPr>
                <w:rFonts w:eastAsia="Times New Roman"/>
                <w:sz w:val="20"/>
                <w:szCs w:val="20"/>
              </w:rPr>
            </w:pPr>
            <w:r w:rsidRPr="00D87B88">
              <w:rPr>
                <w:rFonts w:eastAsia="Times New Roman"/>
                <w:b/>
                <w:sz w:val="20"/>
                <w:szCs w:val="20"/>
              </w:rPr>
              <w:t xml:space="preserve">Доходы бюджетов от возвратов субсидий, субвенций и иных межбюджетных трансфертов прошлых лет        </w:t>
            </w:r>
            <w:r w:rsidRPr="00D87B88">
              <w:rPr>
                <w:rFonts w:eastAsia="Times New Roman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3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EA" w:rsidRPr="00D87B88" w:rsidRDefault="008310EA" w:rsidP="008310EA">
            <w:pPr>
              <w:jc w:val="right"/>
              <w:rPr>
                <w:sz w:val="20"/>
                <w:szCs w:val="20"/>
              </w:rPr>
            </w:pPr>
            <w:r w:rsidRPr="00D87B88">
              <w:rPr>
                <w:sz w:val="20"/>
                <w:szCs w:val="20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EA" w:rsidRPr="00D87B88" w:rsidRDefault="008310EA" w:rsidP="008310EA">
            <w:pPr>
              <w:jc w:val="right"/>
              <w:rPr>
                <w:sz w:val="20"/>
                <w:szCs w:val="20"/>
              </w:rPr>
            </w:pPr>
            <w:r w:rsidRPr="00D87B88">
              <w:rPr>
                <w:sz w:val="20"/>
                <w:szCs w:val="20"/>
              </w:rPr>
              <w:t>1 942,3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310EA" w:rsidRPr="00D87B88" w:rsidRDefault="008310EA" w:rsidP="008310EA">
            <w:pPr>
              <w:jc w:val="right"/>
              <w:rPr>
                <w:sz w:val="20"/>
                <w:szCs w:val="20"/>
              </w:rPr>
            </w:pPr>
          </w:p>
        </w:tc>
      </w:tr>
      <w:tr w:rsidR="008310EA" w:rsidRPr="001B5440" w:rsidTr="008310EA">
        <w:trPr>
          <w:trHeight w:val="375"/>
        </w:trPr>
        <w:tc>
          <w:tcPr>
            <w:tcW w:w="596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310EA" w:rsidRPr="00D87B88" w:rsidRDefault="008310EA" w:rsidP="00D87B88">
            <w:pPr>
              <w:rPr>
                <w:rFonts w:eastAsia="Times New Roman"/>
                <w:sz w:val="20"/>
                <w:szCs w:val="20"/>
              </w:rPr>
            </w:pPr>
            <w:r w:rsidRPr="00D87B88">
              <w:rPr>
                <w:rFonts w:eastAsia="Times New Roman"/>
                <w:sz w:val="20"/>
                <w:szCs w:val="20"/>
              </w:rPr>
              <w:t xml:space="preserve">Доходы бюджетов субъектов РФ от возврата бюджетными учреждениями остатков субсидий прошлых лет </w:t>
            </w:r>
          </w:p>
        </w:tc>
        <w:tc>
          <w:tcPr>
            <w:tcW w:w="13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EA" w:rsidRPr="00D87B88" w:rsidRDefault="008310EA" w:rsidP="008310EA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EA" w:rsidRPr="00D87B88" w:rsidRDefault="008310EA" w:rsidP="008310EA">
            <w:pPr>
              <w:jc w:val="right"/>
              <w:rPr>
                <w:sz w:val="20"/>
                <w:szCs w:val="20"/>
              </w:rPr>
            </w:pPr>
            <w:r w:rsidRPr="00D87B88">
              <w:rPr>
                <w:sz w:val="20"/>
                <w:szCs w:val="20"/>
              </w:rPr>
              <w:t>0,3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310EA" w:rsidRPr="00D87B88" w:rsidRDefault="008310EA" w:rsidP="008310EA">
            <w:pPr>
              <w:rPr>
                <w:sz w:val="20"/>
                <w:szCs w:val="20"/>
              </w:rPr>
            </w:pPr>
          </w:p>
        </w:tc>
      </w:tr>
      <w:tr w:rsidR="008310EA" w:rsidRPr="001B5440" w:rsidTr="008310EA">
        <w:trPr>
          <w:trHeight w:val="229"/>
        </w:trPr>
        <w:tc>
          <w:tcPr>
            <w:tcW w:w="596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310EA" w:rsidRPr="00D87B88" w:rsidRDefault="008310EA" w:rsidP="00D87B88">
            <w:pPr>
              <w:rPr>
                <w:rFonts w:eastAsia="Times New Roman"/>
                <w:sz w:val="20"/>
                <w:szCs w:val="20"/>
              </w:rPr>
            </w:pPr>
            <w:r w:rsidRPr="00D87B88">
              <w:rPr>
                <w:rFonts w:eastAsia="Times New Roman"/>
                <w:sz w:val="20"/>
                <w:szCs w:val="20"/>
              </w:rPr>
              <w:t xml:space="preserve">Доходы бюджетов субъектов РФ от возврата остатков субсидий, субвенций и иных межбюджетных трансфертов, имеющих целевое назначение, прошлых лет из бюджетов городских округов </w:t>
            </w:r>
          </w:p>
        </w:tc>
        <w:tc>
          <w:tcPr>
            <w:tcW w:w="13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EA" w:rsidRPr="00D87B88" w:rsidRDefault="008310EA" w:rsidP="008310EA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EA" w:rsidRPr="00D87B88" w:rsidRDefault="008310EA" w:rsidP="008310EA">
            <w:pPr>
              <w:jc w:val="right"/>
              <w:rPr>
                <w:sz w:val="20"/>
                <w:szCs w:val="20"/>
              </w:rPr>
            </w:pPr>
            <w:r w:rsidRPr="00D87B88">
              <w:rPr>
                <w:sz w:val="20"/>
                <w:szCs w:val="20"/>
              </w:rPr>
              <w:t>1 459,3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310EA" w:rsidRPr="00D87B88" w:rsidRDefault="008310EA" w:rsidP="008310EA">
            <w:pPr>
              <w:rPr>
                <w:sz w:val="20"/>
                <w:szCs w:val="20"/>
              </w:rPr>
            </w:pPr>
          </w:p>
        </w:tc>
      </w:tr>
      <w:tr w:rsidR="008310EA" w:rsidRPr="001B5440" w:rsidTr="008310EA">
        <w:trPr>
          <w:trHeight w:val="583"/>
        </w:trPr>
        <w:tc>
          <w:tcPr>
            <w:tcW w:w="596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310EA" w:rsidRPr="00D87B88" w:rsidRDefault="008310EA" w:rsidP="00D87B88">
            <w:pPr>
              <w:rPr>
                <w:rFonts w:eastAsia="Times New Roman"/>
                <w:sz w:val="20"/>
                <w:szCs w:val="20"/>
              </w:rPr>
            </w:pPr>
            <w:r w:rsidRPr="00D87B88">
              <w:rPr>
                <w:rFonts w:eastAsia="Times New Roman"/>
                <w:sz w:val="20"/>
                <w:szCs w:val="20"/>
              </w:rPr>
              <w:t xml:space="preserve">Доходы бюджетов субъектов РФ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13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EA" w:rsidRPr="00D87B88" w:rsidRDefault="008310EA" w:rsidP="008310EA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EA" w:rsidRPr="00D87B88" w:rsidRDefault="008310EA" w:rsidP="008310EA">
            <w:pPr>
              <w:jc w:val="right"/>
              <w:rPr>
                <w:sz w:val="20"/>
                <w:szCs w:val="20"/>
              </w:rPr>
            </w:pPr>
            <w:r w:rsidRPr="00D87B88">
              <w:rPr>
                <w:sz w:val="20"/>
                <w:szCs w:val="20"/>
              </w:rPr>
              <w:t>431,4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310EA" w:rsidRPr="00D87B88" w:rsidRDefault="008310EA" w:rsidP="008310EA">
            <w:pPr>
              <w:rPr>
                <w:sz w:val="20"/>
                <w:szCs w:val="20"/>
              </w:rPr>
            </w:pPr>
          </w:p>
        </w:tc>
      </w:tr>
      <w:tr w:rsidR="008310EA" w:rsidRPr="001B5440" w:rsidTr="008310EA">
        <w:trPr>
          <w:trHeight w:val="583"/>
        </w:trPr>
        <w:tc>
          <w:tcPr>
            <w:tcW w:w="596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310EA" w:rsidRPr="00D87B88" w:rsidRDefault="008310EA" w:rsidP="00D87B88">
            <w:pPr>
              <w:rPr>
                <w:rFonts w:eastAsia="Times New Roman"/>
                <w:sz w:val="20"/>
                <w:szCs w:val="20"/>
              </w:rPr>
            </w:pPr>
            <w:r w:rsidRPr="00D87B88">
              <w:rPr>
                <w:rFonts w:eastAsia="Times New Roman"/>
                <w:sz w:val="20"/>
                <w:szCs w:val="20"/>
              </w:rPr>
              <w:t xml:space="preserve">Доходы бюджетов субъектов РФ от возврата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  <w:tc>
          <w:tcPr>
            <w:tcW w:w="13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EA" w:rsidRPr="00D87B88" w:rsidRDefault="008310EA" w:rsidP="008310EA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EA" w:rsidRPr="00D87B88" w:rsidRDefault="008310EA" w:rsidP="008310EA">
            <w:pPr>
              <w:jc w:val="right"/>
              <w:rPr>
                <w:sz w:val="20"/>
                <w:szCs w:val="20"/>
              </w:rPr>
            </w:pPr>
            <w:r w:rsidRPr="00D87B88">
              <w:rPr>
                <w:sz w:val="20"/>
                <w:szCs w:val="20"/>
              </w:rPr>
              <w:t>51,3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310EA" w:rsidRPr="00D87B88" w:rsidRDefault="008310EA" w:rsidP="008310EA">
            <w:pPr>
              <w:rPr>
                <w:sz w:val="20"/>
                <w:szCs w:val="20"/>
              </w:rPr>
            </w:pPr>
          </w:p>
        </w:tc>
      </w:tr>
    </w:tbl>
    <w:p w:rsidR="008310EA" w:rsidRPr="001B5440" w:rsidRDefault="008310EA" w:rsidP="008310EA">
      <w:pPr>
        <w:ind w:firstLine="708"/>
        <w:jc w:val="both"/>
        <w:rPr>
          <w:color w:val="0070C0"/>
        </w:rPr>
      </w:pPr>
    </w:p>
    <w:p w:rsidR="008310EA" w:rsidRPr="00D87B88" w:rsidRDefault="008310EA" w:rsidP="008310EA">
      <w:pPr>
        <w:ind w:firstLine="709"/>
        <w:jc w:val="both"/>
      </w:pPr>
      <w:r w:rsidRPr="00D87B88">
        <w:t xml:space="preserve">Плановые назначения по закрепленным за Аппаратом доходам исполнены в сумме </w:t>
      </w:r>
      <w:r w:rsidRPr="00D87B88">
        <w:rPr>
          <w:rFonts w:eastAsia="Times New Roman"/>
          <w:bCs/>
        </w:rPr>
        <w:t xml:space="preserve">22 935,9 </w:t>
      </w:r>
      <w:r w:rsidRPr="00D87B88">
        <w:t>тыс. руб., или на 82 процента. Согласно пояснительной записк</w:t>
      </w:r>
      <w:r w:rsidR="009911FC">
        <w:t>е</w:t>
      </w:r>
      <w:r w:rsidRPr="00D87B88">
        <w:t xml:space="preserve"> на неисполнение сметы доходов повлияло в основном следующее.</w:t>
      </w:r>
    </w:p>
    <w:p w:rsidR="008310EA" w:rsidRPr="005315DC" w:rsidRDefault="008310EA" w:rsidP="008310EA">
      <w:pPr>
        <w:ind w:firstLine="709"/>
        <w:jc w:val="both"/>
      </w:pPr>
      <w:r w:rsidRPr="005315DC">
        <w:rPr>
          <w:i/>
        </w:rPr>
        <w:t>1.  По прочим поступлениям от денежных взысканий (штрафов) и иных сумм возмещения ущерба</w:t>
      </w:r>
      <w:r w:rsidRPr="005315DC">
        <w:t xml:space="preserve"> плановые значения не исполнены на 22,5 процент</w:t>
      </w:r>
      <w:r w:rsidR="009911FC">
        <w:t>а</w:t>
      </w:r>
      <w:r w:rsidRPr="005315DC">
        <w:t xml:space="preserve">. </w:t>
      </w:r>
    </w:p>
    <w:p w:rsidR="008310EA" w:rsidRPr="005315DC" w:rsidRDefault="008310EA" w:rsidP="008310EA">
      <w:pPr>
        <w:ind w:firstLine="709"/>
        <w:jc w:val="both"/>
      </w:pPr>
      <w:r w:rsidRPr="005315DC">
        <w:t>Основная доля (88,6%) данного вида поступлений относится к неналоговым доходам в виде административных штрафов и составила 1</w:t>
      </w:r>
      <w:r w:rsidR="005315DC" w:rsidRPr="005315DC">
        <w:t xml:space="preserve"> </w:t>
      </w:r>
      <w:r w:rsidRPr="005315DC">
        <w:t>806,1 тыс. рублей.</w:t>
      </w:r>
    </w:p>
    <w:p w:rsidR="008310EA" w:rsidRPr="005315DC" w:rsidRDefault="008310EA" w:rsidP="008310E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315DC">
        <w:t xml:space="preserve">Одной из причин </w:t>
      </w:r>
      <w:proofErr w:type="spellStart"/>
      <w:r w:rsidRPr="005315DC">
        <w:t>недопоступления</w:t>
      </w:r>
      <w:proofErr w:type="spellEnd"/>
      <w:r w:rsidRPr="005315DC">
        <w:t xml:space="preserve"> плановых доходов является временное прекращение (с августа 2014 года) составления протоколов об административных нарушениях сотрудниками органов внутренних дел в связи с внесением Федеральным законом от 21.07.2014 № 247-ФЗ изменений в </w:t>
      </w:r>
      <w:proofErr w:type="spellStart"/>
      <w:r w:rsidRPr="005315DC">
        <w:t>КоАП</w:t>
      </w:r>
      <w:proofErr w:type="spellEnd"/>
      <w:r w:rsidRPr="005315DC">
        <w:t xml:space="preserve"> РФ. </w:t>
      </w:r>
      <w:proofErr w:type="gramStart"/>
      <w:r w:rsidRPr="005315DC">
        <w:t>Указанные изменения предусматривают, что п</w:t>
      </w:r>
      <w:r w:rsidRPr="005315DC">
        <w:rPr>
          <w:rFonts w:eastAsiaTheme="minorHAnsi"/>
          <w:lang w:eastAsia="en-US"/>
        </w:rPr>
        <w:t>ротоколы об административных правонарушениях, посягающих на общественный порядок и общественную безопасность, предусмотренных законами субъектов Российской Федерации, составляются должностными лицами органов внутренних дел (полиции) в случае, если передача этих полномочий предусматривается соглашениями между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и органами исполнительной власти субъектов</w:t>
      </w:r>
      <w:proofErr w:type="gramEnd"/>
      <w:r w:rsidRPr="005315DC">
        <w:rPr>
          <w:rFonts w:eastAsiaTheme="minorHAnsi"/>
          <w:lang w:eastAsia="en-US"/>
        </w:rPr>
        <w:t xml:space="preserve"> Российской Федерации о передаче осуществления части полномочий. Указанное соглашение в 2015 году проходило процедуру согласования, в </w:t>
      </w:r>
      <w:proofErr w:type="gramStart"/>
      <w:r w:rsidRPr="005315DC">
        <w:rPr>
          <w:rFonts w:eastAsiaTheme="minorHAnsi"/>
          <w:lang w:eastAsia="en-US"/>
        </w:rPr>
        <w:t>соответствии</w:t>
      </w:r>
      <w:proofErr w:type="gramEnd"/>
      <w:r w:rsidRPr="005315DC">
        <w:rPr>
          <w:rFonts w:eastAsiaTheme="minorHAnsi"/>
          <w:lang w:eastAsia="en-US"/>
        </w:rPr>
        <w:t xml:space="preserve"> с чем администратором доходов плановые назначения предусматривались с учетом возможных поступлений.</w:t>
      </w:r>
    </w:p>
    <w:p w:rsidR="008310EA" w:rsidRPr="00F97792" w:rsidRDefault="008310EA" w:rsidP="00435CE0">
      <w:pPr>
        <w:ind w:firstLine="709"/>
        <w:jc w:val="both"/>
      </w:pPr>
      <w:r w:rsidRPr="00F97792">
        <w:t xml:space="preserve">Информация о начисленных и поступивших суммах  административных штрафов в 2014-2015 гг. представлена в таблице.                    </w:t>
      </w:r>
    </w:p>
    <w:p w:rsidR="008310EA" w:rsidRPr="00F97792" w:rsidRDefault="008310EA" w:rsidP="008310EA">
      <w:pPr>
        <w:ind w:firstLine="709"/>
        <w:jc w:val="center"/>
        <w:rPr>
          <w:i/>
          <w:sz w:val="20"/>
          <w:szCs w:val="20"/>
        </w:rPr>
      </w:pPr>
      <w:r w:rsidRPr="00F97792">
        <w:t xml:space="preserve">                                                                                       </w:t>
      </w:r>
      <w:r w:rsidRPr="00F97792">
        <w:rPr>
          <w:i/>
          <w:sz w:val="20"/>
          <w:szCs w:val="20"/>
        </w:rPr>
        <w:t>тыс. руб.</w:t>
      </w:r>
    </w:p>
    <w:tbl>
      <w:tblPr>
        <w:tblW w:w="8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2"/>
        <w:gridCol w:w="1061"/>
        <w:gridCol w:w="1061"/>
        <w:gridCol w:w="1609"/>
        <w:gridCol w:w="1609"/>
      </w:tblGrid>
      <w:tr w:rsidR="008310EA" w:rsidRPr="00F97792" w:rsidTr="008310EA">
        <w:trPr>
          <w:jc w:val="center"/>
        </w:trPr>
        <w:tc>
          <w:tcPr>
            <w:tcW w:w="3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0EA" w:rsidRPr="00F97792" w:rsidRDefault="008310EA" w:rsidP="008310EA">
            <w:pPr>
              <w:jc w:val="center"/>
              <w:rPr>
                <w:b/>
                <w:sz w:val="20"/>
                <w:szCs w:val="20"/>
              </w:rPr>
            </w:pPr>
            <w:r w:rsidRPr="00F97792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310EA" w:rsidRPr="00F97792" w:rsidRDefault="008310EA" w:rsidP="008310E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97792">
              <w:rPr>
                <w:b/>
                <w:sz w:val="20"/>
                <w:szCs w:val="20"/>
              </w:rPr>
              <w:t>201</w:t>
            </w:r>
            <w:r w:rsidRPr="00F97792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10EA" w:rsidRPr="00F97792" w:rsidRDefault="008310EA" w:rsidP="008310E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97792">
              <w:rPr>
                <w:b/>
                <w:sz w:val="20"/>
                <w:szCs w:val="20"/>
              </w:rPr>
              <w:t>201</w:t>
            </w:r>
            <w:r w:rsidRPr="00F97792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10EA" w:rsidRPr="00F97792" w:rsidRDefault="008310EA" w:rsidP="008310EA">
            <w:pPr>
              <w:jc w:val="center"/>
              <w:rPr>
                <w:b/>
                <w:sz w:val="20"/>
                <w:szCs w:val="20"/>
              </w:rPr>
            </w:pPr>
            <w:r w:rsidRPr="00F97792">
              <w:rPr>
                <w:b/>
                <w:sz w:val="20"/>
                <w:szCs w:val="20"/>
              </w:rPr>
              <w:t>Рост/Снижение</w:t>
            </w:r>
          </w:p>
        </w:tc>
        <w:tc>
          <w:tcPr>
            <w:tcW w:w="11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310EA" w:rsidRPr="00F97792" w:rsidRDefault="008310EA" w:rsidP="008310EA">
            <w:pPr>
              <w:jc w:val="center"/>
              <w:rPr>
                <w:b/>
                <w:sz w:val="20"/>
                <w:szCs w:val="20"/>
              </w:rPr>
            </w:pPr>
            <w:r w:rsidRPr="00F97792">
              <w:rPr>
                <w:b/>
                <w:sz w:val="20"/>
                <w:szCs w:val="20"/>
              </w:rPr>
              <w:t xml:space="preserve">Рост/Снижение </w:t>
            </w:r>
          </w:p>
        </w:tc>
      </w:tr>
      <w:tr w:rsidR="008310EA" w:rsidRPr="00F97792" w:rsidTr="008310EA">
        <w:trPr>
          <w:jc w:val="center"/>
        </w:trPr>
        <w:tc>
          <w:tcPr>
            <w:tcW w:w="39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10EA" w:rsidRPr="00F97792" w:rsidRDefault="008310EA" w:rsidP="008310EA">
            <w:pPr>
              <w:rPr>
                <w:sz w:val="20"/>
                <w:szCs w:val="20"/>
              </w:rPr>
            </w:pPr>
            <w:r w:rsidRPr="00F97792">
              <w:rPr>
                <w:sz w:val="20"/>
                <w:szCs w:val="20"/>
              </w:rPr>
              <w:t>Начислено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310EA" w:rsidRPr="00F97792" w:rsidRDefault="008310EA" w:rsidP="008310EA">
            <w:pPr>
              <w:jc w:val="center"/>
              <w:rPr>
                <w:sz w:val="20"/>
                <w:szCs w:val="20"/>
              </w:rPr>
            </w:pPr>
            <w:r w:rsidRPr="00F97792">
              <w:rPr>
                <w:sz w:val="20"/>
                <w:szCs w:val="20"/>
              </w:rPr>
              <w:t>2</w:t>
            </w:r>
            <w:r w:rsidRPr="00F97792">
              <w:rPr>
                <w:sz w:val="20"/>
                <w:szCs w:val="20"/>
                <w:lang w:val="en-US"/>
              </w:rPr>
              <w:t> </w:t>
            </w:r>
            <w:r w:rsidRPr="00F97792">
              <w:rPr>
                <w:sz w:val="20"/>
                <w:szCs w:val="20"/>
              </w:rPr>
              <w:t>411,5</w:t>
            </w: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EA" w:rsidRPr="00F97792" w:rsidRDefault="008310EA" w:rsidP="008310EA">
            <w:pPr>
              <w:jc w:val="center"/>
              <w:rPr>
                <w:sz w:val="20"/>
                <w:szCs w:val="20"/>
              </w:rPr>
            </w:pPr>
            <w:r w:rsidRPr="00F97792">
              <w:rPr>
                <w:sz w:val="20"/>
                <w:szCs w:val="20"/>
              </w:rPr>
              <w:t>4 048,6</w:t>
            </w:r>
          </w:p>
        </w:tc>
        <w:tc>
          <w:tcPr>
            <w:tcW w:w="11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EA" w:rsidRPr="00F97792" w:rsidRDefault="008310EA" w:rsidP="008310EA">
            <w:pPr>
              <w:jc w:val="center"/>
              <w:rPr>
                <w:sz w:val="20"/>
                <w:szCs w:val="20"/>
              </w:rPr>
            </w:pPr>
            <w:r w:rsidRPr="00F97792">
              <w:rPr>
                <w:sz w:val="20"/>
                <w:szCs w:val="20"/>
              </w:rPr>
              <w:t>1 637,1</w:t>
            </w:r>
          </w:p>
        </w:tc>
        <w:tc>
          <w:tcPr>
            <w:tcW w:w="11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10EA" w:rsidRPr="00F97792" w:rsidRDefault="008310EA" w:rsidP="008310EA">
            <w:pPr>
              <w:jc w:val="center"/>
              <w:rPr>
                <w:sz w:val="20"/>
                <w:szCs w:val="20"/>
              </w:rPr>
            </w:pPr>
            <w:r w:rsidRPr="00F97792">
              <w:rPr>
                <w:sz w:val="20"/>
                <w:szCs w:val="20"/>
              </w:rPr>
              <w:t>1,7 раза</w:t>
            </w:r>
          </w:p>
        </w:tc>
      </w:tr>
      <w:tr w:rsidR="008310EA" w:rsidRPr="00F97792" w:rsidTr="008310EA">
        <w:trPr>
          <w:jc w:val="center"/>
        </w:trPr>
        <w:tc>
          <w:tcPr>
            <w:tcW w:w="3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10EA" w:rsidRPr="00F97792" w:rsidRDefault="008310EA" w:rsidP="008310EA">
            <w:pPr>
              <w:rPr>
                <w:sz w:val="20"/>
                <w:szCs w:val="20"/>
              </w:rPr>
            </w:pPr>
            <w:r w:rsidRPr="00F97792">
              <w:rPr>
                <w:sz w:val="20"/>
                <w:szCs w:val="20"/>
              </w:rPr>
              <w:t>Поступило</w:t>
            </w:r>
          </w:p>
        </w:tc>
        <w:tc>
          <w:tcPr>
            <w:tcW w:w="11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310EA" w:rsidRPr="00F97792" w:rsidRDefault="008310EA" w:rsidP="008310EA">
            <w:pPr>
              <w:jc w:val="center"/>
              <w:rPr>
                <w:sz w:val="20"/>
                <w:szCs w:val="20"/>
              </w:rPr>
            </w:pPr>
            <w:r w:rsidRPr="00F97792">
              <w:rPr>
                <w:sz w:val="20"/>
                <w:szCs w:val="20"/>
              </w:rPr>
              <w:t>2</w:t>
            </w:r>
            <w:r w:rsidRPr="00F97792">
              <w:rPr>
                <w:sz w:val="20"/>
                <w:szCs w:val="20"/>
                <w:lang w:val="en-US"/>
              </w:rPr>
              <w:t> </w:t>
            </w:r>
            <w:r w:rsidRPr="00F97792">
              <w:rPr>
                <w:sz w:val="20"/>
                <w:szCs w:val="20"/>
              </w:rPr>
              <w:t>707,8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EA" w:rsidRPr="00F97792" w:rsidRDefault="008310EA" w:rsidP="008310EA">
            <w:pPr>
              <w:jc w:val="center"/>
              <w:rPr>
                <w:sz w:val="20"/>
                <w:szCs w:val="20"/>
              </w:rPr>
            </w:pPr>
            <w:r w:rsidRPr="00F97792">
              <w:rPr>
                <w:sz w:val="20"/>
                <w:szCs w:val="20"/>
              </w:rPr>
              <w:t>1 806,1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EA" w:rsidRPr="00F97792" w:rsidRDefault="008310EA" w:rsidP="008310EA">
            <w:pPr>
              <w:jc w:val="center"/>
              <w:rPr>
                <w:sz w:val="20"/>
                <w:szCs w:val="20"/>
              </w:rPr>
            </w:pPr>
            <w:r w:rsidRPr="00F97792">
              <w:rPr>
                <w:sz w:val="20"/>
                <w:szCs w:val="20"/>
              </w:rPr>
              <w:t>-901,7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10EA" w:rsidRPr="00F97792" w:rsidRDefault="008310EA" w:rsidP="008310EA">
            <w:pPr>
              <w:jc w:val="center"/>
              <w:rPr>
                <w:sz w:val="20"/>
                <w:szCs w:val="20"/>
              </w:rPr>
            </w:pPr>
            <w:r w:rsidRPr="00F97792">
              <w:rPr>
                <w:sz w:val="20"/>
                <w:szCs w:val="20"/>
              </w:rPr>
              <w:t>-33,3%</w:t>
            </w:r>
          </w:p>
        </w:tc>
      </w:tr>
      <w:tr w:rsidR="008310EA" w:rsidRPr="00F97792" w:rsidTr="008310EA">
        <w:trPr>
          <w:jc w:val="center"/>
        </w:trPr>
        <w:tc>
          <w:tcPr>
            <w:tcW w:w="3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10EA" w:rsidRPr="00F97792" w:rsidRDefault="008310EA" w:rsidP="008310EA">
            <w:pPr>
              <w:rPr>
                <w:sz w:val="20"/>
                <w:szCs w:val="20"/>
              </w:rPr>
            </w:pPr>
            <w:r w:rsidRPr="00F97792">
              <w:rPr>
                <w:sz w:val="20"/>
                <w:szCs w:val="20"/>
              </w:rPr>
              <w:t>Списана нереальная к взыск</w:t>
            </w:r>
            <w:proofErr w:type="gramStart"/>
            <w:r w:rsidRPr="00F97792">
              <w:rPr>
                <w:sz w:val="20"/>
                <w:szCs w:val="20"/>
              </w:rPr>
              <w:t>.</w:t>
            </w:r>
            <w:proofErr w:type="gramEnd"/>
            <w:r w:rsidR="00F97792" w:rsidRPr="00F97792">
              <w:rPr>
                <w:sz w:val="20"/>
                <w:szCs w:val="20"/>
              </w:rPr>
              <w:t xml:space="preserve"> </w:t>
            </w:r>
            <w:proofErr w:type="gramStart"/>
            <w:r w:rsidRPr="00F97792">
              <w:rPr>
                <w:sz w:val="20"/>
                <w:szCs w:val="20"/>
              </w:rPr>
              <w:t>д</w:t>
            </w:r>
            <w:proofErr w:type="gramEnd"/>
            <w:r w:rsidRPr="00F97792">
              <w:rPr>
                <w:sz w:val="20"/>
                <w:szCs w:val="20"/>
              </w:rPr>
              <w:t>ебит.</w:t>
            </w:r>
            <w:r w:rsidR="00F97792" w:rsidRPr="00F97792">
              <w:rPr>
                <w:sz w:val="20"/>
                <w:szCs w:val="20"/>
              </w:rPr>
              <w:t xml:space="preserve"> </w:t>
            </w:r>
            <w:r w:rsidRPr="00F97792">
              <w:rPr>
                <w:sz w:val="20"/>
                <w:szCs w:val="20"/>
              </w:rPr>
              <w:t>задолж</w:t>
            </w:r>
            <w:r w:rsidR="00F97792" w:rsidRPr="00F97792">
              <w:rPr>
                <w:sz w:val="20"/>
                <w:szCs w:val="20"/>
              </w:rPr>
              <w:t>енность</w:t>
            </w:r>
          </w:p>
        </w:tc>
        <w:tc>
          <w:tcPr>
            <w:tcW w:w="11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F97792" w:rsidRDefault="008310EA" w:rsidP="008310EA">
            <w:pPr>
              <w:jc w:val="center"/>
              <w:rPr>
                <w:sz w:val="20"/>
                <w:szCs w:val="20"/>
              </w:rPr>
            </w:pPr>
            <w:r w:rsidRPr="00F97792">
              <w:rPr>
                <w:sz w:val="20"/>
                <w:szCs w:val="20"/>
              </w:rPr>
              <w:t>2 074,6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F97792" w:rsidRDefault="008310EA" w:rsidP="008310EA">
            <w:pPr>
              <w:jc w:val="center"/>
              <w:rPr>
                <w:sz w:val="20"/>
                <w:szCs w:val="20"/>
              </w:rPr>
            </w:pPr>
            <w:r w:rsidRPr="00F97792">
              <w:rPr>
                <w:sz w:val="20"/>
                <w:szCs w:val="20"/>
              </w:rPr>
              <w:t>12 781,2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F97792" w:rsidRDefault="008310EA" w:rsidP="008310EA">
            <w:pPr>
              <w:jc w:val="center"/>
              <w:rPr>
                <w:sz w:val="20"/>
                <w:szCs w:val="20"/>
              </w:rPr>
            </w:pPr>
            <w:r w:rsidRPr="00F97792">
              <w:rPr>
                <w:sz w:val="20"/>
                <w:szCs w:val="20"/>
              </w:rPr>
              <w:t>10 706,6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10EA" w:rsidRPr="00F97792" w:rsidRDefault="008310EA" w:rsidP="008310EA">
            <w:pPr>
              <w:jc w:val="center"/>
              <w:rPr>
                <w:sz w:val="20"/>
                <w:szCs w:val="20"/>
              </w:rPr>
            </w:pPr>
            <w:r w:rsidRPr="00F97792">
              <w:rPr>
                <w:sz w:val="20"/>
                <w:szCs w:val="20"/>
              </w:rPr>
              <w:t>6,2 раза</w:t>
            </w:r>
          </w:p>
        </w:tc>
      </w:tr>
      <w:tr w:rsidR="008310EA" w:rsidRPr="00F97792" w:rsidTr="008310EA">
        <w:trPr>
          <w:jc w:val="center"/>
        </w:trPr>
        <w:tc>
          <w:tcPr>
            <w:tcW w:w="39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0EA" w:rsidRPr="00F97792" w:rsidRDefault="008310EA" w:rsidP="008310EA">
            <w:pPr>
              <w:rPr>
                <w:sz w:val="20"/>
                <w:szCs w:val="20"/>
              </w:rPr>
            </w:pPr>
            <w:r w:rsidRPr="00F97792">
              <w:rPr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1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310EA" w:rsidRPr="00F97792" w:rsidRDefault="008310EA" w:rsidP="008310EA">
            <w:pPr>
              <w:jc w:val="center"/>
              <w:rPr>
                <w:sz w:val="20"/>
                <w:szCs w:val="20"/>
              </w:rPr>
            </w:pPr>
            <w:r w:rsidRPr="00F97792">
              <w:rPr>
                <w:sz w:val="20"/>
                <w:szCs w:val="20"/>
              </w:rPr>
              <w:t>27</w:t>
            </w:r>
            <w:r w:rsidRPr="00F97792">
              <w:rPr>
                <w:sz w:val="20"/>
                <w:szCs w:val="20"/>
                <w:lang w:val="en-US"/>
              </w:rPr>
              <w:t> </w:t>
            </w:r>
            <w:r w:rsidRPr="00F97792">
              <w:rPr>
                <w:sz w:val="20"/>
                <w:szCs w:val="20"/>
              </w:rPr>
              <w:t>005,2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10EA" w:rsidRPr="00F97792" w:rsidRDefault="008310EA" w:rsidP="008310EA">
            <w:pPr>
              <w:jc w:val="center"/>
              <w:rPr>
                <w:sz w:val="20"/>
                <w:szCs w:val="20"/>
              </w:rPr>
            </w:pPr>
            <w:r w:rsidRPr="00F97792">
              <w:rPr>
                <w:sz w:val="20"/>
                <w:szCs w:val="20"/>
              </w:rPr>
              <w:t>16 452,3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10EA" w:rsidRPr="00F97792" w:rsidRDefault="008310EA" w:rsidP="008310EA">
            <w:pPr>
              <w:jc w:val="center"/>
              <w:rPr>
                <w:sz w:val="20"/>
                <w:szCs w:val="20"/>
              </w:rPr>
            </w:pPr>
            <w:r w:rsidRPr="00F97792">
              <w:rPr>
                <w:sz w:val="20"/>
                <w:szCs w:val="20"/>
              </w:rPr>
              <w:t>-10 552,9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310EA" w:rsidRPr="00F97792" w:rsidRDefault="008310EA" w:rsidP="008310EA">
            <w:pPr>
              <w:jc w:val="center"/>
              <w:rPr>
                <w:sz w:val="20"/>
                <w:szCs w:val="20"/>
              </w:rPr>
            </w:pPr>
            <w:r w:rsidRPr="00F97792">
              <w:rPr>
                <w:sz w:val="20"/>
                <w:szCs w:val="20"/>
              </w:rPr>
              <w:t>-39,1%</w:t>
            </w:r>
          </w:p>
        </w:tc>
      </w:tr>
    </w:tbl>
    <w:p w:rsidR="008310EA" w:rsidRPr="00F97792" w:rsidRDefault="008310EA" w:rsidP="008310EA">
      <w:pPr>
        <w:ind w:firstLine="709"/>
        <w:jc w:val="both"/>
      </w:pPr>
    </w:p>
    <w:p w:rsidR="008310EA" w:rsidRPr="00F97792" w:rsidRDefault="008310EA" w:rsidP="008310EA">
      <w:pPr>
        <w:ind w:firstLine="709"/>
        <w:jc w:val="both"/>
      </w:pPr>
      <w:r w:rsidRPr="00F97792">
        <w:t xml:space="preserve">Необходимо отметить, </w:t>
      </w:r>
      <w:proofErr w:type="gramStart"/>
      <w:r w:rsidRPr="00F97792">
        <w:t>что</w:t>
      </w:r>
      <w:proofErr w:type="gramEnd"/>
      <w:r w:rsidRPr="00F97792">
        <w:t xml:space="preserve"> несмотря на перераспределение поступления доходов от административных штрафов между областным, районным и местными бюджетами, полномочия по администрированию этих доходов закреплены за Аппаратом (постановление Правительства </w:t>
      </w:r>
      <w:r w:rsidRPr="00F97792">
        <w:lastRenderedPageBreak/>
        <w:t xml:space="preserve">Волгоградской области от 09.04.2013 № 153-п). В рамках этих полномочий Аппаратом </w:t>
      </w:r>
      <w:r w:rsidR="00F97792" w:rsidRPr="00F97792">
        <w:t xml:space="preserve">в 2015 году </w:t>
      </w:r>
      <w:r w:rsidRPr="00F97792">
        <w:t>было произведено:</w:t>
      </w:r>
    </w:p>
    <w:p w:rsidR="008310EA" w:rsidRPr="00F97792" w:rsidRDefault="008310EA" w:rsidP="008310EA">
      <w:pPr>
        <w:ind w:firstLine="709"/>
        <w:jc w:val="both"/>
      </w:pPr>
      <w:r w:rsidRPr="00F97792">
        <w:t xml:space="preserve">-17 897 операций по начислению штрафов, налагаемых территориальными административными комиссиями по нарушениям </w:t>
      </w:r>
      <w:r w:rsidR="00C36C36">
        <w:t>нормативных правовых актов органов местного самоуправления</w:t>
      </w:r>
      <w:r w:rsidRPr="00F97792">
        <w:t xml:space="preserve">; </w:t>
      </w:r>
    </w:p>
    <w:p w:rsidR="008310EA" w:rsidRPr="00F97792" w:rsidRDefault="008310EA" w:rsidP="008310EA">
      <w:pPr>
        <w:ind w:firstLine="709"/>
        <w:jc w:val="both"/>
      </w:pPr>
      <w:r w:rsidRPr="00F97792">
        <w:t>-25 268 операций по учёту поступлений штрафов в местные бюджеты Волгоградской области.</w:t>
      </w:r>
    </w:p>
    <w:p w:rsidR="008310EA" w:rsidRPr="00F97792" w:rsidRDefault="00F97792" w:rsidP="008310EA">
      <w:pPr>
        <w:ind w:firstLine="709"/>
        <w:jc w:val="both"/>
      </w:pPr>
      <w:r w:rsidRPr="00F97792">
        <w:t>Согласно представленным данным в</w:t>
      </w:r>
      <w:r w:rsidR="008310EA" w:rsidRPr="00F97792">
        <w:t xml:space="preserve"> местные бюджеты Волгоградской области за 2015 год поступило доходов в виде штрафов:</w:t>
      </w:r>
    </w:p>
    <w:p w:rsidR="008310EA" w:rsidRPr="00F97792" w:rsidRDefault="008310EA" w:rsidP="008310EA">
      <w:pPr>
        <w:ind w:firstLine="709"/>
        <w:jc w:val="both"/>
      </w:pPr>
      <w:r w:rsidRPr="00F97792">
        <w:t>-16 360,7 тыс. руб. – в бюджеты городских округов;</w:t>
      </w:r>
    </w:p>
    <w:p w:rsidR="008310EA" w:rsidRPr="00F97792" w:rsidRDefault="008310EA" w:rsidP="008310EA">
      <w:pPr>
        <w:ind w:firstLine="709"/>
        <w:jc w:val="both"/>
      </w:pPr>
      <w:r w:rsidRPr="00F97792">
        <w:t>-2 666,8 тыс. руб. – в бюджеты поселений;</w:t>
      </w:r>
    </w:p>
    <w:p w:rsidR="008310EA" w:rsidRPr="00F97792" w:rsidRDefault="008310EA" w:rsidP="008310EA">
      <w:pPr>
        <w:ind w:firstLine="709"/>
        <w:jc w:val="both"/>
      </w:pPr>
      <w:r w:rsidRPr="00F97792">
        <w:t>-823,1 тыс. руб. – в бюджеты муниципальных районов.</w:t>
      </w:r>
    </w:p>
    <w:p w:rsidR="008310EA" w:rsidRPr="00F97792" w:rsidRDefault="008310EA" w:rsidP="008310EA">
      <w:pPr>
        <w:ind w:firstLine="709"/>
        <w:jc w:val="both"/>
      </w:pPr>
      <w:r w:rsidRPr="00F97792">
        <w:t>Кроме того, в соответствии со ст. 274 Инструкции № 191н Аппаратом ежемесячно составляется и представляется в 475 муниципальных образований Волгоградской области бюджетная отчётность по операциям поступлений в бюджет, которые Аппарат администрирует,  не являясь их  получателем.</w:t>
      </w:r>
    </w:p>
    <w:p w:rsidR="008310EA" w:rsidRPr="00F97792" w:rsidRDefault="008310EA" w:rsidP="008310EA">
      <w:pPr>
        <w:ind w:firstLine="709"/>
        <w:jc w:val="both"/>
      </w:pPr>
      <w:r w:rsidRPr="00F97792">
        <w:t xml:space="preserve">2. </w:t>
      </w:r>
      <w:r w:rsidRPr="00F97792">
        <w:rPr>
          <w:i/>
        </w:rPr>
        <w:t xml:space="preserve">По межбюджетным трансфертам, </w:t>
      </w:r>
      <w:r w:rsidRPr="00F97792">
        <w:rPr>
          <w:rFonts w:eastAsia="Times New Roman"/>
          <w:i/>
        </w:rPr>
        <w:t xml:space="preserve">передаваемым бюджетам субъектов РФ на содержание депутатов Государственной Думы и их помощников </w:t>
      </w:r>
      <w:r w:rsidRPr="00F97792">
        <w:rPr>
          <w:rFonts w:eastAsia="Times New Roman"/>
        </w:rPr>
        <w:t>плановые назначения исполнены на 70,6 процент</w:t>
      </w:r>
      <w:r w:rsidR="009911FC">
        <w:rPr>
          <w:rFonts w:eastAsia="Times New Roman"/>
        </w:rPr>
        <w:t>а</w:t>
      </w:r>
      <w:r w:rsidRPr="00F97792">
        <w:rPr>
          <w:rFonts w:eastAsia="Times New Roman"/>
        </w:rPr>
        <w:t xml:space="preserve">. Неисполнение плановых назначений связано со </w:t>
      </w:r>
      <w:r w:rsidRPr="00F97792">
        <w:t xml:space="preserve">снижением расходов по оплате труда помощникам </w:t>
      </w:r>
      <w:r w:rsidR="00C36C36">
        <w:t>д</w:t>
      </w:r>
      <w:r w:rsidRPr="00F97792">
        <w:t>епутатов ГД (уменьшение числа помощников), сокращением норм на возмещение транспортных расходов (распоряжение Председателя Государственной Думы от 04.06.15 № 146р-1), поздним выставлением документов поставщиков на возмещение расходов депутатов</w:t>
      </w:r>
      <w:r w:rsidR="008B6E24" w:rsidRPr="00F97792">
        <w:t xml:space="preserve"> </w:t>
      </w:r>
      <w:r w:rsidRPr="00F97792">
        <w:t>Государственной Думы и их помощников.</w:t>
      </w:r>
    </w:p>
    <w:p w:rsidR="00670DE3" w:rsidRPr="00D1592A" w:rsidRDefault="00464E9C" w:rsidP="00464E9C">
      <w:pPr>
        <w:autoSpaceDE w:val="0"/>
        <w:autoSpaceDN w:val="0"/>
        <w:adjustRightInd w:val="0"/>
        <w:jc w:val="both"/>
        <w:rPr>
          <w:b/>
          <w:i/>
        </w:rPr>
      </w:pPr>
      <w:r w:rsidRPr="001B5440">
        <w:rPr>
          <w:rFonts w:eastAsiaTheme="minorHAnsi"/>
          <w:bCs/>
          <w:color w:val="0070C0"/>
          <w:lang w:eastAsia="en-US"/>
        </w:rPr>
        <w:t xml:space="preserve">  </w:t>
      </w:r>
    </w:p>
    <w:p w:rsidR="00FE7701" w:rsidRPr="00D1592A" w:rsidRDefault="003E1553" w:rsidP="00407E9A">
      <w:pPr>
        <w:autoSpaceDE w:val="0"/>
        <w:autoSpaceDN w:val="0"/>
        <w:adjustRightInd w:val="0"/>
        <w:jc w:val="center"/>
        <w:rPr>
          <w:bCs/>
        </w:rPr>
      </w:pPr>
      <w:r w:rsidRPr="00D1592A">
        <w:rPr>
          <w:b/>
          <w:i/>
        </w:rPr>
        <w:t>Исполнение  расходов</w:t>
      </w:r>
    </w:p>
    <w:p w:rsidR="0029473C" w:rsidRDefault="003E1553" w:rsidP="00512849">
      <w:pPr>
        <w:ind w:firstLine="709"/>
        <w:jc w:val="both"/>
        <w:rPr>
          <w:rFonts w:eastAsia="Times New Roman"/>
          <w:bCs/>
        </w:rPr>
      </w:pPr>
      <w:r w:rsidRPr="00D1592A">
        <w:rPr>
          <w:bCs/>
        </w:rPr>
        <w:t>Законом об областном бюджете на 201</w:t>
      </w:r>
      <w:r w:rsidR="00DB0FA3" w:rsidRPr="00D1592A">
        <w:rPr>
          <w:bCs/>
        </w:rPr>
        <w:t>5</w:t>
      </w:r>
      <w:r w:rsidRPr="00D1592A">
        <w:rPr>
          <w:bCs/>
        </w:rPr>
        <w:t xml:space="preserve"> год Аппарату предусмотрены бюджетные ассигнования в размере </w:t>
      </w:r>
      <w:r w:rsidR="00512849" w:rsidRPr="00D1592A">
        <w:rPr>
          <w:bCs/>
        </w:rPr>
        <w:t xml:space="preserve">948 982,7 </w:t>
      </w:r>
      <w:r w:rsidRPr="00D1592A">
        <w:rPr>
          <w:bCs/>
        </w:rPr>
        <w:t>тыс. руб.</w:t>
      </w:r>
      <w:r w:rsidR="00F54B66" w:rsidRPr="00D1592A">
        <w:rPr>
          <w:bCs/>
        </w:rPr>
        <w:t>,</w:t>
      </w:r>
      <w:r w:rsidR="00512849" w:rsidRPr="00D1592A">
        <w:rPr>
          <w:bCs/>
        </w:rPr>
        <w:t xml:space="preserve"> в отчете об исполнении бюджета утвержденные бюджетные назначения составляют 967 569,5 тыс. руб., что на </w:t>
      </w:r>
      <w:r w:rsidR="00512849" w:rsidRPr="00D1592A">
        <w:rPr>
          <w:rFonts w:eastAsia="Times New Roman"/>
          <w:bCs/>
        </w:rPr>
        <w:t xml:space="preserve">18 586,8 тыс. руб. больше утвержденного законом. </w:t>
      </w:r>
      <w:r w:rsidR="0029473C">
        <w:rPr>
          <w:rFonts w:eastAsia="Times New Roman"/>
          <w:bCs/>
        </w:rPr>
        <w:t>Лимиты бюджетных обязательств доведены на сумму 966 268,5 тыс. руб., что на 17 285,8 тыс. руб. больше утвержденного законом о бюджете и на 1 301,0 м</w:t>
      </w:r>
      <w:r w:rsidR="002119C7">
        <w:rPr>
          <w:rFonts w:eastAsia="Times New Roman"/>
          <w:bCs/>
        </w:rPr>
        <w:t>еньше утвержденных ассигнований, отраженных в отчете об исполнении бюджета.</w:t>
      </w:r>
    </w:p>
    <w:p w:rsidR="00512849" w:rsidRPr="00D1592A" w:rsidRDefault="00512849" w:rsidP="00512849">
      <w:pPr>
        <w:ind w:firstLine="709"/>
        <w:jc w:val="both"/>
        <w:rPr>
          <w:rFonts w:eastAsia="Times New Roman"/>
          <w:bCs/>
        </w:rPr>
      </w:pPr>
      <w:r w:rsidRPr="00D1592A">
        <w:rPr>
          <w:rFonts w:eastAsia="Times New Roman"/>
          <w:bCs/>
        </w:rPr>
        <w:t>Изменение бюджетных назначений сложилось</w:t>
      </w:r>
      <w:r w:rsidR="00246589">
        <w:rPr>
          <w:rFonts w:eastAsia="Times New Roman"/>
          <w:bCs/>
        </w:rPr>
        <w:t xml:space="preserve"> на основании уведомлений финансового органа об изменении бюджетных обязательств и изменении лимитов бюджетных обязательств</w:t>
      </w:r>
      <w:r w:rsidRPr="00D1592A">
        <w:rPr>
          <w:rFonts w:eastAsia="Times New Roman"/>
          <w:bCs/>
        </w:rPr>
        <w:t xml:space="preserve"> в результате:</w:t>
      </w:r>
    </w:p>
    <w:p w:rsidR="00512849" w:rsidRPr="00D1592A" w:rsidRDefault="00512849" w:rsidP="00512849">
      <w:pPr>
        <w:ind w:firstLine="709"/>
        <w:jc w:val="both"/>
        <w:rPr>
          <w:rFonts w:eastAsia="Times New Roman"/>
          <w:bCs/>
        </w:rPr>
      </w:pPr>
      <w:r w:rsidRPr="00D1592A">
        <w:rPr>
          <w:rFonts w:eastAsia="Times New Roman"/>
          <w:bCs/>
        </w:rPr>
        <w:t xml:space="preserve">- увеличения </w:t>
      </w:r>
      <w:r w:rsidR="0029473C">
        <w:rPr>
          <w:rFonts w:eastAsia="Times New Roman"/>
          <w:bCs/>
        </w:rPr>
        <w:t xml:space="preserve">бюджетных ассигнований и лимитов бюджетных обязательств </w:t>
      </w:r>
      <w:r w:rsidRPr="00D1592A">
        <w:rPr>
          <w:rFonts w:eastAsia="Times New Roman"/>
          <w:bCs/>
        </w:rPr>
        <w:t xml:space="preserve">на 26 054,4 тыс. руб. </w:t>
      </w:r>
      <w:r w:rsidR="0029473C">
        <w:rPr>
          <w:rFonts w:eastAsia="Times New Roman"/>
          <w:bCs/>
        </w:rPr>
        <w:t xml:space="preserve">по </w:t>
      </w:r>
      <w:r w:rsidRPr="00D1592A">
        <w:rPr>
          <w:rFonts w:eastAsia="Times New Roman"/>
          <w:bCs/>
        </w:rPr>
        <w:t>субсиди</w:t>
      </w:r>
      <w:r w:rsidR="0029473C">
        <w:rPr>
          <w:rFonts w:eastAsia="Times New Roman"/>
          <w:bCs/>
        </w:rPr>
        <w:t>ям</w:t>
      </w:r>
      <w:r w:rsidRPr="00D1592A">
        <w:rPr>
          <w:rFonts w:eastAsia="Times New Roman"/>
          <w:bCs/>
        </w:rPr>
        <w:t xml:space="preserve"> подведомственным учреждениям в октябре 2015 года</w:t>
      </w:r>
      <w:r w:rsidR="004C2D37" w:rsidRPr="00D1592A">
        <w:rPr>
          <w:rFonts w:eastAsia="Times New Roman"/>
          <w:bCs/>
        </w:rPr>
        <w:t xml:space="preserve"> в связи с тем, что потребность в </w:t>
      </w:r>
      <w:r w:rsidR="00246589">
        <w:rPr>
          <w:rFonts w:eastAsia="Times New Roman"/>
          <w:bCs/>
        </w:rPr>
        <w:t>средствах областного бюджета в законе о бюджете</w:t>
      </w:r>
      <w:r w:rsidR="004C2D37" w:rsidRPr="00D1592A">
        <w:rPr>
          <w:rFonts w:eastAsia="Times New Roman"/>
          <w:bCs/>
        </w:rPr>
        <w:t xml:space="preserve"> </w:t>
      </w:r>
      <w:r w:rsidR="0029473C">
        <w:rPr>
          <w:rFonts w:eastAsia="Times New Roman"/>
          <w:bCs/>
        </w:rPr>
        <w:t xml:space="preserve">на финансирование учреждений </w:t>
      </w:r>
      <w:r w:rsidR="004C2D37" w:rsidRPr="00D1592A">
        <w:rPr>
          <w:rFonts w:eastAsia="Times New Roman"/>
          <w:bCs/>
        </w:rPr>
        <w:t>не была обеспечена в полной мере</w:t>
      </w:r>
      <w:r w:rsidRPr="00D1592A">
        <w:rPr>
          <w:rFonts w:eastAsia="Times New Roman"/>
          <w:bCs/>
        </w:rPr>
        <w:t>;</w:t>
      </w:r>
    </w:p>
    <w:p w:rsidR="0029473C" w:rsidRPr="00D1592A" w:rsidRDefault="00512849" w:rsidP="0029473C">
      <w:pPr>
        <w:ind w:firstLine="709"/>
        <w:jc w:val="both"/>
        <w:rPr>
          <w:rFonts w:eastAsia="Times New Roman"/>
          <w:bCs/>
        </w:rPr>
      </w:pPr>
      <w:r w:rsidRPr="00D1592A">
        <w:rPr>
          <w:rFonts w:eastAsia="Times New Roman"/>
          <w:bCs/>
        </w:rPr>
        <w:t>- сокращени</w:t>
      </w:r>
      <w:r w:rsidR="0029473C">
        <w:rPr>
          <w:rFonts w:eastAsia="Times New Roman"/>
          <w:bCs/>
        </w:rPr>
        <w:t>ем</w:t>
      </w:r>
      <w:r w:rsidRPr="00D1592A">
        <w:rPr>
          <w:rFonts w:eastAsia="Times New Roman"/>
          <w:bCs/>
        </w:rPr>
        <w:t xml:space="preserve"> в </w:t>
      </w:r>
      <w:r w:rsidR="0029473C">
        <w:rPr>
          <w:rFonts w:eastAsia="Times New Roman"/>
          <w:bCs/>
        </w:rPr>
        <w:t>течение</w:t>
      </w:r>
      <w:r w:rsidRPr="00D1592A">
        <w:rPr>
          <w:rFonts w:eastAsia="Times New Roman"/>
          <w:bCs/>
        </w:rPr>
        <w:t xml:space="preserve"> 2015 года</w:t>
      </w:r>
      <w:r w:rsidR="0029473C">
        <w:rPr>
          <w:rFonts w:eastAsia="Times New Roman"/>
          <w:bCs/>
        </w:rPr>
        <w:t xml:space="preserve"> лимитов бюджетных обязательств на 8 768,6 тыс. руб. и</w:t>
      </w:r>
      <w:r w:rsidRPr="00D1592A">
        <w:rPr>
          <w:rFonts w:eastAsia="Times New Roman"/>
          <w:bCs/>
        </w:rPr>
        <w:t xml:space="preserve"> ассигнований на 7 467,6 тыс. руб</w:t>
      </w:r>
      <w:r w:rsidR="004C2D37" w:rsidRPr="00D1592A">
        <w:rPr>
          <w:rFonts w:eastAsia="Times New Roman"/>
          <w:bCs/>
        </w:rPr>
        <w:t>лей</w:t>
      </w:r>
      <w:r w:rsidRPr="00D1592A">
        <w:rPr>
          <w:rFonts w:eastAsia="Times New Roman"/>
          <w:bCs/>
        </w:rPr>
        <w:t xml:space="preserve">. </w:t>
      </w:r>
      <w:r w:rsidR="004C2D37" w:rsidRPr="00D1592A">
        <w:rPr>
          <w:rFonts w:eastAsia="Times New Roman"/>
          <w:bCs/>
        </w:rPr>
        <w:t xml:space="preserve">По пояснениям Аппарата сокращение </w:t>
      </w:r>
      <w:r w:rsidR="0029473C">
        <w:rPr>
          <w:rFonts w:eastAsia="Times New Roman"/>
          <w:bCs/>
        </w:rPr>
        <w:t xml:space="preserve">лимитов бюджетных обязательств и </w:t>
      </w:r>
      <w:r w:rsidR="004C2D37" w:rsidRPr="00D1592A">
        <w:rPr>
          <w:rFonts w:eastAsia="Times New Roman"/>
          <w:bCs/>
        </w:rPr>
        <w:t>ассигнований произведено финансовым органом в связи с экономией бюджетных сре</w:t>
      </w:r>
      <w:proofErr w:type="gramStart"/>
      <w:r w:rsidR="004C2D37" w:rsidRPr="00D1592A">
        <w:rPr>
          <w:rFonts w:eastAsia="Times New Roman"/>
          <w:bCs/>
        </w:rPr>
        <w:t xml:space="preserve">дств </w:t>
      </w:r>
      <w:r w:rsidR="002D1929" w:rsidRPr="00D1592A">
        <w:rPr>
          <w:rFonts w:eastAsia="Times New Roman"/>
          <w:bCs/>
        </w:rPr>
        <w:t>в р</w:t>
      </w:r>
      <w:proofErr w:type="gramEnd"/>
      <w:r w:rsidR="002D1929" w:rsidRPr="00D1592A">
        <w:rPr>
          <w:rFonts w:eastAsia="Times New Roman"/>
          <w:bCs/>
        </w:rPr>
        <w:t>езультате проведения конкурсных процедур</w:t>
      </w:r>
      <w:r w:rsidR="004C2D37" w:rsidRPr="00D1592A">
        <w:rPr>
          <w:rFonts w:eastAsia="Times New Roman"/>
          <w:bCs/>
        </w:rPr>
        <w:t xml:space="preserve">. </w:t>
      </w:r>
    </w:p>
    <w:p w:rsidR="00F05498" w:rsidRPr="00D1592A" w:rsidRDefault="003E1553" w:rsidP="00D1592A">
      <w:pPr>
        <w:autoSpaceDE w:val="0"/>
        <w:autoSpaceDN w:val="0"/>
        <w:adjustRightInd w:val="0"/>
        <w:ind w:firstLine="709"/>
        <w:jc w:val="both"/>
      </w:pPr>
      <w:r w:rsidRPr="00D1592A">
        <w:t>Выполнение плановых показателей по расходам Аппарата за 201</w:t>
      </w:r>
      <w:r w:rsidR="00F00868" w:rsidRPr="00D1592A">
        <w:t>5</w:t>
      </w:r>
      <w:r w:rsidRPr="00D1592A">
        <w:t xml:space="preserve"> год с детализацией до целевой статьи бюджетной к</w:t>
      </w:r>
      <w:r w:rsidR="00FE0F94" w:rsidRPr="00D1592A">
        <w:t>лассификации отражено в таблице</w:t>
      </w:r>
      <w:r w:rsidRPr="00D1592A">
        <w:t xml:space="preserve">. </w:t>
      </w:r>
    </w:p>
    <w:p w:rsidR="003E1553" w:rsidRPr="00D1592A" w:rsidRDefault="003E1553" w:rsidP="003E1553">
      <w:pPr>
        <w:tabs>
          <w:tab w:val="left" w:pos="0"/>
        </w:tabs>
        <w:ind w:right="-82"/>
        <w:jc w:val="right"/>
        <w:rPr>
          <w:i/>
          <w:sz w:val="20"/>
          <w:szCs w:val="20"/>
        </w:rPr>
      </w:pPr>
      <w:r w:rsidRPr="00D1592A">
        <w:t xml:space="preserve"> </w:t>
      </w:r>
      <w:r w:rsidRPr="00D1592A">
        <w:rPr>
          <w:i/>
          <w:sz w:val="20"/>
          <w:szCs w:val="20"/>
        </w:rPr>
        <w:t>тыс. руб.</w:t>
      </w:r>
    </w:p>
    <w:tbl>
      <w:tblPr>
        <w:tblW w:w="9812" w:type="dxa"/>
        <w:tblInd w:w="85" w:type="dxa"/>
        <w:tblLook w:val="04A0"/>
      </w:tblPr>
      <w:tblGrid>
        <w:gridCol w:w="1179"/>
        <w:gridCol w:w="3522"/>
        <w:gridCol w:w="1160"/>
        <w:gridCol w:w="966"/>
        <w:gridCol w:w="1065"/>
        <w:gridCol w:w="960"/>
        <w:gridCol w:w="960"/>
      </w:tblGrid>
      <w:tr w:rsidR="00905DAB" w:rsidRPr="00D1592A" w:rsidTr="008C51CA">
        <w:trPr>
          <w:trHeight w:val="750"/>
        </w:trPr>
        <w:tc>
          <w:tcPr>
            <w:tcW w:w="117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DAB" w:rsidRPr="00D1592A" w:rsidRDefault="00905DAB" w:rsidP="00905DA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1592A">
              <w:rPr>
                <w:rFonts w:eastAsia="Times New Roman"/>
                <w:sz w:val="18"/>
                <w:szCs w:val="18"/>
              </w:rPr>
              <w:t xml:space="preserve">Раздел, </w:t>
            </w:r>
            <w:proofErr w:type="spellStart"/>
            <w:r w:rsidRPr="00D1592A">
              <w:rPr>
                <w:rFonts w:eastAsia="Times New Roman"/>
                <w:sz w:val="18"/>
                <w:szCs w:val="18"/>
              </w:rPr>
              <w:t>подразд</w:t>
            </w:r>
            <w:proofErr w:type="spellEnd"/>
            <w:r w:rsidRPr="00D1592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D1592A">
              <w:rPr>
                <w:rFonts w:eastAsia="Times New Roman"/>
                <w:sz w:val="18"/>
                <w:szCs w:val="18"/>
              </w:rPr>
              <w:t>целев</w:t>
            </w:r>
            <w:proofErr w:type="spellEnd"/>
            <w:r w:rsidRPr="00D1592A">
              <w:rPr>
                <w:rFonts w:eastAsia="Times New Roman"/>
                <w:sz w:val="18"/>
                <w:szCs w:val="18"/>
              </w:rPr>
              <w:t>. ст.</w:t>
            </w:r>
          </w:p>
        </w:tc>
        <w:tc>
          <w:tcPr>
            <w:tcW w:w="352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DAB" w:rsidRPr="00D1592A" w:rsidRDefault="00905DAB" w:rsidP="00905DA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1592A">
              <w:rPr>
                <w:rFonts w:eastAsia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DAB" w:rsidRPr="00D1592A" w:rsidRDefault="00905DAB" w:rsidP="00905DA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1592A">
              <w:rPr>
                <w:rFonts w:eastAsia="Times New Roman"/>
                <w:sz w:val="18"/>
                <w:szCs w:val="18"/>
              </w:rPr>
              <w:t>Утверждено назначений</w:t>
            </w:r>
          </w:p>
        </w:tc>
        <w:tc>
          <w:tcPr>
            <w:tcW w:w="96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DAB" w:rsidRPr="00D1592A" w:rsidRDefault="00905DAB" w:rsidP="00905DA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1592A">
              <w:rPr>
                <w:rFonts w:eastAsia="Times New Roman"/>
                <w:sz w:val="18"/>
                <w:szCs w:val="18"/>
              </w:rPr>
              <w:t>ЛБО</w:t>
            </w:r>
          </w:p>
        </w:tc>
        <w:tc>
          <w:tcPr>
            <w:tcW w:w="106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DAB" w:rsidRPr="00D1592A" w:rsidRDefault="00905DAB" w:rsidP="00905DA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1592A">
              <w:rPr>
                <w:rFonts w:eastAsia="Times New Roman"/>
                <w:sz w:val="18"/>
                <w:szCs w:val="18"/>
              </w:rPr>
              <w:t>Исполнено</w:t>
            </w:r>
          </w:p>
        </w:tc>
        <w:tc>
          <w:tcPr>
            <w:tcW w:w="1920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905DAB" w:rsidRPr="00D1592A" w:rsidRDefault="00905DAB" w:rsidP="00905DA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1592A">
              <w:rPr>
                <w:rFonts w:eastAsia="Times New Roman"/>
                <w:sz w:val="18"/>
                <w:szCs w:val="18"/>
              </w:rPr>
              <w:t>Отклонение (к бюджетным назначениям)</w:t>
            </w:r>
          </w:p>
        </w:tc>
      </w:tr>
      <w:tr w:rsidR="00905DAB" w:rsidRPr="00D1592A" w:rsidTr="008C51CA">
        <w:trPr>
          <w:trHeight w:val="315"/>
        </w:trPr>
        <w:tc>
          <w:tcPr>
            <w:tcW w:w="1179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DAB" w:rsidRPr="00D1592A" w:rsidRDefault="00905DAB" w:rsidP="00905DAB">
            <w:pPr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double" w:sz="6" w:space="0" w:color="000000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DAB" w:rsidRPr="00D1592A" w:rsidRDefault="00905DAB" w:rsidP="00905DAB">
            <w:pPr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double" w:sz="6" w:space="0" w:color="000000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DAB" w:rsidRPr="00D1592A" w:rsidRDefault="00905DAB" w:rsidP="00905DAB">
            <w:pPr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double" w:sz="6" w:space="0" w:color="000000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DAB" w:rsidRPr="00D1592A" w:rsidRDefault="00905DAB" w:rsidP="00905DAB">
            <w:pPr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double" w:sz="6" w:space="0" w:color="000000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DAB" w:rsidRPr="00D1592A" w:rsidRDefault="00905DAB" w:rsidP="00905DAB">
            <w:pPr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double" w:sz="6" w:space="0" w:color="000000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DAB" w:rsidRPr="00D1592A" w:rsidRDefault="00905DAB" w:rsidP="00905D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double" w:sz="6" w:space="0" w:color="000000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05DAB" w:rsidRPr="00D1592A" w:rsidRDefault="00905DAB" w:rsidP="00905D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%,%</w:t>
            </w:r>
          </w:p>
        </w:tc>
      </w:tr>
      <w:tr w:rsidR="00905DAB" w:rsidRPr="00D1592A" w:rsidTr="00905DAB">
        <w:trPr>
          <w:trHeight w:val="330"/>
        </w:trPr>
        <w:tc>
          <w:tcPr>
            <w:tcW w:w="1179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DAB" w:rsidRPr="00D1592A" w:rsidRDefault="00905DAB" w:rsidP="00905D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905DAB" w:rsidRPr="00D1592A" w:rsidRDefault="00905DAB" w:rsidP="00905DA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Расходы бюджета - всего</w:t>
            </w: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967569,5</w:t>
            </w:r>
          </w:p>
        </w:tc>
        <w:tc>
          <w:tcPr>
            <w:tcW w:w="96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966268,5</w:t>
            </w:r>
          </w:p>
        </w:tc>
        <w:tc>
          <w:tcPr>
            <w:tcW w:w="106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927977,1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-39592,4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95,9%</w:t>
            </w:r>
          </w:p>
        </w:tc>
      </w:tr>
      <w:tr w:rsidR="00905DAB" w:rsidRPr="00D1592A" w:rsidTr="00905DAB">
        <w:trPr>
          <w:trHeight w:val="330"/>
        </w:trPr>
        <w:tc>
          <w:tcPr>
            <w:tcW w:w="117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DAB" w:rsidRPr="00D1592A" w:rsidRDefault="00905DAB" w:rsidP="00905D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:rsidR="00905DAB" w:rsidRPr="00D1592A" w:rsidRDefault="00905DAB" w:rsidP="00905DAB">
            <w:pPr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ascii="Calibri" w:eastAsia="Times New Roman" w:hAnsi="Calibri" w:cs="Calibri"/>
              </w:rPr>
            </w:pPr>
            <w:r w:rsidRPr="00D159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ascii="Calibri" w:eastAsia="Times New Roman" w:hAnsi="Calibri" w:cs="Calibri"/>
              </w:rPr>
            </w:pPr>
            <w:r w:rsidRPr="00D159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ascii="Calibri" w:eastAsia="Times New Roman" w:hAnsi="Calibri" w:cs="Calibri"/>
              </w:rPr>
            </w:pPr>
            <w:r w:rsidRPr="00D159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ascii="Calibri" w:eastAsia="Times New Roman" w:hAnsi="Calibri" w:cs="Calibri"/>
              </w:rPr>
            </w:pPr>
            <w:r w:rsidRPr="00D159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ascii="Calibri" w:eastAsia="Times New Roman" w:hAnsi="Calibri" w:cs="Calibri"/>
              </w:rPr>
            </w:pPr>
            <w:r w:rsidRPr="00D159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905DAB" w:rsidRPr="00D1592A" w:rsidTr="00905DAB">
        <w:trPr>
          <w:trHeight w:val="315"/>
        </w:trPr>
        <w:tc>
          <w:tcPr>
            <w:tcW w:w="117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5DAB" w:rsidRPr="00D1592A" w:rsidRDefault="00905DAB" w:rsidP="00905DA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1592A">
              <w:rPr>
                <w:rFonts w:eastAsia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:rsidR="00905DAB" w:rsidRPr="00D1592A" w:rsidRDefault="00905DAB" w:rsidP="00905DA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957200,1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955932,0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920377,1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-36823,0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96,2%</w:t>
            </w:r>
          </w:p>
        </w:tc>
      </w:tr>
      <w:tr w:rsidR="00905DAB" w:rsidRPr="00D1592A" w:rsidTr="00905DAB">
        <w:trPr>
          <w:trHeight w:val="525"/>
        </w:trPr>
        <w:tc>
          <w:tcPr>
            <w:tcW w:w="117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5DAB" w:rsidRPr="00D1592A" w:rsidRDefault="00905DAB" w:rsidP="00905DA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1592A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0102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:rsidR="00905DAB" w:rsidRPr="00D1592A" w:rsidRDefault="00905DAB" w:rsidP="00905DA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4029,5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3810,9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3414,4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-615,1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84,7%</w:t>
            </w:r>
          </w:p>
        </w:tc>
      </w:tr>
      <w:tr w:rsidR="00905DAB" w:rsidRPr="00D1592A" w:rsidTr="00905DAB">
        <w:trPr>
          <w:trHeight w:val="315"/>
        </w:trPr>
        <w:tc>
          <w:tcPr>
            <w:tcW w:w="117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5DAB" w:rsidRPr="00D1592A" w:rsidRDefault="00905DAB" w:rsidP="00905DA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1592A">
              <w:rPr>
                <w:rFonts w:eastAsia="Times New Roman"/>
                <w:sz w:val="18"/>
                <w:szCs w:val="18"/>
              </w:rPr>
              <w:t>9000003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:rsidR="00905DAB" w:rsidRPr="00D1592A" w:rsidRDefault="00905DAB" w:rsidP="00905DAB">
            <w:pPr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Высшее должностное лицо субъекта РФ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4029,5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3810,9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3414,4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Cs/>
                <w:sz w:val="20"/>
                <w:szCs w:val="20"/>
              </w:rPr>
              <w:t>-615,1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Cs/>
                <w:sz w:val="20"/>
                <w:szCs w:val="20"/>
              </w:rPr>
              <w:t>84,7%</w:t>
            </w:r>
          </w:p>
        </w:tc>
      </w:tr>
      <w:tr w:rsidR="00905DAB" w:rsidRPr="00D1592A" w:rsidTr="00905DAB">
        <w:trPr>
          <w:trHeight w:val="780"/>
        </w:trPr>
        <w:tc>
          <w:tcPr>
            <w:tcW w:w="117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5DAB" w:rsidRPr="00D1592A" w:rsidRDefault="00905DAB" w:rsidP="00905DA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1592A">
              <w:rPr>
                <w:rFonts w:eastAsia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:rsidR="00905DAB" w:rsidRPr="00D1592A" w:rsidRDefault="00905DAB" w:rsidP="00905DA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432944,5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432045,0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418608,3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-14336,2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96,7%</w:t>
            </w:r>
          </w:p>
        </w:tc>
      </w:tr>
      <w:tr w:rsidR="00905DAB" w:rsidRPr="00D1592A" w:rsidTr="00905DAB">
        <w:trPr>
          <w:trHeight w:val="315"/>
        </w:trPr>
        <w:tc>
          <w:tcPr>
            <w:tcW w:w="117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5DAB" w:rsidRPr="00D1592A" w:rsidRDefault="00905DAB" w:rsidP="00905DA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1592A">
              <w:rPr>
                <w:rFonts w:eastAsia="Times New Roman"/>
                <w:sz w:val="18"/>
                <w:szCs w:val="18"/>
              </w:rPr>
              <w:t>9000001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:rsidR="00905DAB" w:rsidRPr="00D1592A" w:rsidRDefault="00905DAB" w:rsidP="00905DAB">
            <w:pPr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 xml:space="preserve">Обеспечение деятельности </w:t>
            </w:r>
            <w:proofErr w:type="spellStart"/>
            <w:r w:rsidRPr="00D1592A">
              <w:rPr>
                <w:rFonts w:eastAsia="Times New Roman"/>
                <w:sz w:val="20"/>
                <w:szCs w:val="20"/>
              </w:rPr>
              <w:t>гос</w:t>
            </w:r>
            <w:proofErr w:type="gramStart"/>
            <w:r w:rsidRPr="00D1592A">
              <w:rPr>
                <w:rFonts w:eastAsia="Times New Roman"/>
                <w:sz w:val="20"/>
                <w:szCs w:val="20"/>
              </w:rPr>
              <w:t>.о</w:t>
            </w:r>
            <w:proofErr w:type="gramEnd"/>
            <w:r w:rsidRPr="00D1592A">
              <w:rPr>
                <w:rFonts w:eastAsia="Times New Roman"/>
                <w:sz w:val="20"/>
                <w:szCs w:val="20"/>
              </w:rPr>
              <w:t>рганов</w:t>
            </w:r>
            <w:proofErr w:type="spellEnd"/>
            <w:r w:rsidRPr="00D1592A">
              <w:rPr>
                <w:rFonts w:eastAsia="Times New Roman"/>
                <w:sz w:val="20"/>
                <w:szCs w:val="20"/>
              </w:rPr>
              <w:t xml:space="preserve"> 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410764,9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409865,4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397263,1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Cs/>
                <w:sz w:val="20"/>
                <w:szCs w:val="20"/>
              </w:rPr>
              <w:t>-13501,8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Cs/>
                <w:sz w:val="20"/>
                <w:szCs w:val="20"/>
              </w:rPr>
              <w:t>96,7%</w:t>
            </w:r>
          </w:p>
        </w:tc>
      </w:tr>
      <w:tr w:rsidR="00905DAB" w:rsidRPr="00D1592A" w:rsidTr="00905DAB">
        <w:trPr>
          <w:trHeight w:val="525"/>
        </w:trPr>
        <w:tc>
          <w:tcPr>
            <w:tcW w:w="117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5DAB" w:rsidRPr="00D1592A" w:rsidRDefault="00905DAB" w:rsidP="00905DA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1592A">
              <w:rPr>
                <w:rFonts w:eastAsia="Times New Roman"/>
                <w:sz w:val="18"/>
                <w:szCs w:val="18"/>
              </w:rPr>
              <w:t>9000004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:rsidR="00905DAB" w:rsidRPr="00D1592A" w:rsidRDefault="00905DAB" w:rsidP="00905DAB">
            <w:pPr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Заместитель высшего должностного лица субъекта РФ (Председатель правительства и его замы)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21179,6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21179,6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20737,9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Cs/>
                <w:sz w:val="20"/>
                <w:szCs w:val="20"/>
              </w:rPr>
              <w:t>-441,7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Cs/>
                <w:sz w:val="20"/>
                <w:szCs w:val="20"/>
              </w:rPr>
              <w:t>97,9%</w:t>
            </w:r>
          </w:p>
        </w:tc>
      </w:tr>
      <w:tr w:rsidR="00905DAB" w:rsidRPr="00D1592A" w:rsidTr="00905DAB">
        <w:trPr>
          <w:trHeight w:val="315"/>
        </w:trPr>
        <w:tc>
          <w:tcPr>
            <w:tcW w:w="117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5DAB" w:rsidRPr="00D1592A" w:rsidRDefault="00905DAB" w:rsidP="00905DA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1592A">
              <w:rPr>
                <w:rFonts w:eastAsia="Times New Roman"/>
                <w:sz w:val="18"/>
                <w:szCs w:val="18"/>
              </w:rPr>
              <w:t>9908014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:rsidR="00905DAB" w:rsidRPr="00D1592A" w:rsidRDefault="00905DAB" w:rsidP="00905DAB">
            <w:pPr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 xml:space="preserve">Уплата налогов и сборов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1000,0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1000,0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607,3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-392,7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60,7%</w:t>
            </w:r>
          </w:p>
        </w:tc>
      </w:tr>
      <w:tr w:rsidR="00905DAB" w:rsidRPr="00D1592A" w:rsidTr="00905DAB">
        <w:trPr>
          <w:trHeight w:val="315"/>
        </w:trPr>
        <w:tc>
          <w:tcPr>
            <w:tcW w:w="117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5DAB" w:rsidRPr="00D1592A" w:rsidRDefault="00905DAB" w:rsidP="00905DA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1592A">
              <w:rPr>
                <w:rFonts w:eastAsia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:rsidR="00905DAB" w:rsidRPr="00D1592A" w:rsidRDefault="00905DAB" w:rsidP="00905DA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520226,1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520076,1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498354,4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-21871,7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95,8%</w:t>
            </w:r>
          </w:p>
        </w:tc>
      </w:tr>
      <w:tr w:rsidR="00905DAB" w:rsidRPr="00D1592A" w:rsidTr="00905DAB">
        <w:trPr>
          <w:trHeight w:val="525"/>
        </w:trPr>
        <w:tc>
          <w:tcPr>
            <w:tcW w:w="117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AB" w:rsidRPr="00D1592A" w:rsidRDefault="00905DAB" w:rsidP="00905DA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1592A">
              <w:rPr>
                <w:rFonts w:eastAsia="Times New Roman"/>
                <w:sz w:val="18"/>
                <w:szCs w:val="18"/>
              </w:rPr>
              <w:t>9900030, 9905141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:rsidR="00905DAB" w:rsidRPr="00D1592A" w:rsidRDefault="00905DAB" w:rsidP="00905DAB">
            <w:pPr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 xml:space="preserve">Обеспечение деятельности депутатов ГД и их </w:t>
            </w:r>
            <w:proofErr w:type="spellStart"/>
            <w:r w:rsidRPr="00D1592A">
              <w:rPr>
                <w:rFonts w:eastAsia="Times New Roman"/>
                <w:sz w:val="20"/>
                <w:szCs w:val="20"/>
              </w:rPr>
              <w:t>помощн</w:t>
            </w:r>
            <w:proofErr w:type="spellEnd"/>
            <w:r w:rsidRPr="00D1592A">
              <w:rPr>
                <w:rFonts w:eastAsia="Times New Roman"/>
                <w:sz w:val="20"/>
                <w:szCs w:val="20"/>
              </w:rPr>
              <w:t xml:space="preserve">. в </w:t>
            </w:r>
            <w:proofErr w:type="spellStart"/>
            <w:r w:rsidRPr="00D1592A">
              <w:rPr>
                <w:rFonts w:eastAsia="Times New Roman"/>
                <w:sz w:val="20"/>
                <w:szCs w:val="20"/>
              </w:rPr>
              <w:t>избир</w:t>
            </w:r>
            <w:proofErr w:type="gramStart"/>
            <w:r w:rsidRPr="00D1592A">
              <w:rPr>
                <w:rFonts w:eastAsia="Times New Roman"/>
                <w:sz w:val="20"/>
                <w:szCs w:val="20"/>
              </w:rPr>
              <w:t>.о</w:t>
            </w:r>
            <w:proofErr w:type="gramEnd"/>
            <w:r w:rsidRPr="00D1592A">
              <w:rPr>
                <w:rFonts w:eastAsia="Times New Roman"/>
                <w:sz w:val="20"/>
                <w:szCs w:val="20"/>
              </w:rPr>
              <w:t>кругах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21422,8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21422,8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15125,4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Cs/>
                <w:sz w:val="20"/>
                <w:szCs w:val="20"/>
              </w:rPr>
              <w:t>-6297,4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Cs/>
                <w:sz w:val="20"/>
                <w:szCs w:val="20"/>
              </w:rPr>
              <w:t>70,6%</w:t>
            </w:r>
          </w:p>
        </w:tc>
      </w:tr>
      <w:tr w:rsidR="00905DAB" w:rsidRPr="00D1592A" w:rsidTr="00905DAB">
        <w:trPr>
          <w:trHeight w:val="315"/>
        </w:trPr>
        <w:tc>
          <w:tcPr>
            <w:tcW w:w="117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AB" w:rsidRPr="00D1592A" w:rsidRDefault="00905DAB" w:rsidP="00905DA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1592A">
              <w:rPr>
                <w:rFonts w:eastAsia="Times New Roman"/>
                <w:sz w:val="18"/>
                <w:szCs w:val="18"/>
              </w:rPr>
              <w:t>9905142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:rsidR="00905DAB" w:rsidRPr="00D1592A" w:rsidRDefault="00905DAB" w:rsidP="00905DAB">
            <w:pPr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Члены Совета Федерации и их помощники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2924,9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2924,9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2817,7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Cs/>
                <w:sz w:val="20"/>
                <w:szCs w:val="20"/>
              </w:rPr>
              <w:t>-107,2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Cs/>
                <w:sz w:val="20"/>
                <w:szCs w:val="20"/>
              </w:rPr>
              <w:t>96,3%</w:t>
            </w:r>
          </w:p>
        </w:tc>
      </w:tr>
      <w:tr w:rsidR="00905DAB" w:rsidRPr="00D1592A" w:rsidTr="00905DAB">
        <w:trPr>
          <w:trHeight w:val="525"/>
        </w:trPr>
        <w:tc>
          <w:tcPr>
            <w:tcW w:w="117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5DAB" w:rsidRPr="00D1592A" w:rsidRDefault="00905DAB" w:rsidP="00905DA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1592A">
              <w:rPr>
                <w:rFonts w:eastAsia="Times New Roman"/>
                <w:sz w:val="18"/>
                <w:szCs w:val="18"/>
              </w:rPr>
              <w:t>9908003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:rsidR="00905DAB" w:rsidRPr="00D1592A" w:rsidRDefault="00905DAB" w:rsidP="00905DAB">
            <w:pPr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Мероприятия, посвященные празднованию 70-й годовщины победы в ВОВ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9609,2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9609,2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9609,2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Cs/>
                <w:sz w:val="20"/>
                <w:szCs w:val="20"/>
              </w:rPr>
              <w:t>100,0%</w:t>
            </w:r>
          </w:p>
        </w:tc>
      </w:tr>
      <w:tr w:rsidR="00905DAB" w:rsidRPr="00D1592A" w:rsidTr="00905DAB">
        <w:trPr>
          <w:trHeight w:val="525"/>
        </w:trPr>
        <w:tc>
          <w:tcPr>
            <w:tcW w:w="117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5DAB" w:rsidRPr="00D1592A" w:rsidRDefault="00905DAB" w:rsidP="00905DA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1592A">
              <w:rPr>
                <w:rFonts w:eastAsia="Times New Roman"/>
                <w:sz w:val="18"/>
                <w:szCs w:val="18"/>
              </w:rPr>
              <w:t>9902071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:rsidR="00905DAB" w:rsidRPr="00D1592A" w:rsidRDefault="00905DAB" w:rsidP="00905DAB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1592A">
              <w:rPr>
                <w:rFonts w:eastAsia="Times New Roman"/>
                <w:sz w:val="20"/>
                <w:szCs w:val="20"/>
              </w:rPr>
              <w:t>Мероприятия в рамках программы противодействия коррупции в ВО на 2013-2015 годы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1151,1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1151,1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1015,2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Cs/>
                <w:sz w:val="20"/>
                <w:szCs w:val="20"/>
              </w:rPr>
              <w:t>-135,9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Cs/>
                <w:sz w:val="20"/>
                <w:szCs w:val="20"/>
              </w:rPr>
              <w:t>88,2%</w:t>
            </w:r>
          </w:p>
        </w:tc>
      </w:tr>
      <w:tr w:rsidR="00905DAB" w:rsidRPr="00D1592A" w:rsidTr="00905DAB">
        <w:trPr>
          <w:trHeight w:val="525"/>
        </w:trPr>
        <w:tc>
          <w:tcPr>
            <w:tcW w:w="117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AB" w:rsidRPr="00D1592A" w:rsidRDefault="00905DAB" w:rsidP="00905DA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1592A">
              <w:rPr>
                <w:rFonts w:eastAsia="Times New Roman"/>
                <w:sz w:val="18"/>
                <w:szCs w:val="18"/>
              </w:rPr>
              <w:t>9908002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:rsidR="00905DAB" w:rsidRPr="00D1592A" w:rsidRDefault="00905DAB" w:rsidP="00905DAB">
            <w:pPr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Обеспечение деятельности общественной палаты субъекта РФ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865,4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865,4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444,3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Cs/>
                <w:sz w:val="20"/>
                <w:szCs w:val="20"/>
              </w:rPr>
              <w:t>-421,1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Cs/>
                <w:sz w:val="20"/>
                <w:szCs w:val="20"/>
              </w:rPr>
              <w:t>51,3%</w:t>
            </w:r>
          </w:p>
        </w:tc>
      </w:tr>
      <w:tr w:rsidR="00905DAB" w:rsidRPr="00D1592A" w:rsidTr="00905DAB">
        <w:trPr>
          <w:trHeight w:val="525"/>
        </w:trPr>
        <w:tc>
          <w:tcPr>
            <w:tcW w:w="117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5DAB" w:rsidRPr="00D1592A" w:rsidRDefault="00905DAB" w:rsidP="00905DA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1592A">
              <w:rPr>
                <w:rFonts w:eastAsia="Times New Roman"/>
                <w:sz w:val="18"/>
                <w:szCs w:val="18"/>
              </w:rPr>
              <w:t>9905931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:rsidR="00905DAB" w:rsidRPr="00D1592A" w:rsidRDefault="00905DAB" w:rsidP="00905DAB">
            <w:pPr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 xml:space="preserve">Осуществление переданных полномочий  по </w:t>
            </w:r>
            <w:proofErr w:type="spellStart"/>
            <w:r w:rsidRPr="00D1592A">
              <w:rPr>
                <w:rFonts w:eastAsia="Times New Roman"/>
                <w:sz w:val="20"/>
                <w:szCs w:val="20"/>
              </w:rPr>
              <w:t>рег</w:t>
            </w:r>
            <w:proofErr w:type="spellEnd"/>
            <w:r w:rsidRPr="00D1592A">
              <w:rPr>
                <w:rFonts w:eastAsia="Times New Roman"/>
                <w:sz w:val="20"/>
                <w:szCs w:val="20"/>
              </w:rPr>
              <w:t>. актов гражданского состояния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948,7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948,7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948,7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Cs/>
                <w:sz w:val="20"/>
                <w:szCs w:val="20"/>
              </w:rPr>
              <w:t>100,0%</w:t>
            </w:r>
          </w:p>
        </w:tc>
      </w:tr>
      <w:tr w:rsidR="00905DAB" w:rsidRPr="00D1592A" w:rsidTr="00905DAB">
        <w:trPr>
          <w:trHeight w:val="525"/>
        </w:trPr>
        <w:tc>
          <w:tcPr>
            <w:tcW w:w="117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5DAB" w:rsidRPr="00D1592A" w:rsidRDefault="00905DAB" w:rsidP="00905DA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1592A">
              <w:rPr>
                <w:rFonts w:eastAsia="Times New Roman"/>
                <w:sz w:val="18"/>
                <w:szCs w:val="18"/>
              </w:rPr>
              <w:t>9905932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:rsidR="00905DAB" w:rsidRPr="00D1592A" w:rsidRDefault="00905DAB" w:rsidP="00905DAB">
            <w:pPr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 xml:space="preserve">Субвенции на </w:t>
            </w:r>
            <w:proofErr w:type="spellStart"/>
            <w:r w:rsidRPr="00D1592A">
              <w:rPr>
                <w:rFonts w:eastAsia="Times New Roman"/>
                <w:sz w:val="20"/>
                <w:szCs w:val="20"/>
              </w:rPr>
              <w:t>осуществл</w:t>
            </w:r>
            <w:proofErr w:type="spellEnd"/>
            <w:r w:rsidRPr="00D1592A">
              <w:rPr>
                <w:rFonts w:eastAsia="Times New Roman"/>
                <w:sz w:val="20"/>
                <w:szCs w:val="20"/>
              </w:rPr>
              <w:t>. переданных ОМСУ полномочий по регистр</w:t>
            </w:r>
            <w:proofErr w:type="gramStart"/>
            <w:r w:rsidRPr="00D1592A">
              <w:rPr>
                <w:rFonts w:eastAsia="Times New Roman"/>
                <w:sz w:val="20"/>
                <w:szCs w:val="20"/>
              </w:rPr>
              <w:t>.</w:t>
            </w:r>
            <w:proofErr w:type="gramEnd"/>
            <w:r w:rsidRPr="00D1592A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D1592A">
              <w:rPr>
                <w:rFonts w:eastAsia="Times New Roman"/>
                <w:sz w:val="20"/>
                <w:szCs w:val="20"/>
              </w:rPr>
              <w:t>а</w:t>
            </w:r>
            <w:proofErr w:type="gramEnd"/>
            <w:r w:rsidRPr="00D1592A">
              <w:rPr>
                <w:rFonts w:eastAsia="Times New Roman"/>
                <w:sz w:val="20"/>
                <w:szCs w:val="20"/>
              </w:rPr>
              <w:t>ктов гражданского состояния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91385,3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91385,3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91385,3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Cs/>
                <w:sz w:val="20"/>
                <w:szCs w:val="20"/>
              </w:rPr>
              <w:t>100,0%</w:t>
            </w:r>
          </w:p>
        </w:tc>
      </w:tr>
      <w:tr w:rsidR="00905DAB" w:rsidRPr="00D1592A" w:rsidTr="00905DAB">
        <w:trPr>
          <w:trHeight w:val="315"/>
        </w:trPr>
        <w:tc>
          <w:tcPr>
            <w:tcW w:w="117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5DAB" w:rsidRPr="00D1592A" w:rsidRDefault="00905DAB" w:rsidP="00905DA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1592A">
              <w:rPr>
                <w:rFonts w:eastAsia="Times New Roman"/>
                <w:sz w:val="18"/>
                <w:szCs w:val="18"/>
              </w:rPr>
              <w:t>9906029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:rsidR="00905DAB" w:rsidRPr="00D1592A" w:rsidRDefault="00905DAB" w:rsidP="00905DAB">
            <w:pPr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Субсидии ГБУ "Исполнительная дирекция"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365527,5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365527,5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351037,0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Cs/>
                <w:sz w:val="20"/>
                <w:szCs w:val="20"/>
              </w:rPr>
              <w:t>-14490,5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Cs/>
                <w:sz w:val="20"/>
                <w:szCs w:val="20"/>
              </w:rPr>
              <w:t>96,0%</w:t>
            </w:r>
          </w:p>
        </w:tc>
      </w:tr>
      <w:tr w:rsidR="00905DAB" w:rsidRPr="00D1592A" w:rsidTr="00905DAB">
        <w:trPr>
          <w:trHeight w:val="315"/>
        </w:trPr>
        <w:tc>
          <w:tcPr>
            <w:tcW w:w="117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5DAB" w:rsidRPr="00D1592A" w:rsidRDefault="00905DAB" w:rsidP="00905DA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1592A">
              <w:rPr>
                <w:rFonts w:eastAsia="Times New Roman"/>
                <w:sz w:val="18"/>
                <w:szCs w:val="18"/>
              </w:rPr>
              <w:t>9906034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:rsidR="00905DAB" w:rsidRPr="00D1592A" w:rsidRDefault="00905DAB" w:rsidP="00905DAB">
            <w:pPr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Субсидии ГБУ "Общепит"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6352,8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6352,8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6116,4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Cs/>
                <w:sz w:val="20"/>
                <w:szCs w:val="20"/>
              </w:rPr>
              <w:t>-236,4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Cs/>
                <w:sz w:val="20"/>
                <w:szCs w:val="20"/>
              </w:rPr>
              <w:t>96,3%</w:t>
            </w:r>
          </w:p>
        </w:tc>
      </w:tr>
      <w:tr w:rsidR="00905DAB" w:rsidRPr="00D1592A" w:rsidTr="00905DAB">
        <w:trPr>
          <w:trHeight w:val="315"/>
        </w:trPr>
        <w:tc>
          <w:tcPr>
            <w:tcW w:w="117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5DAB" w:rsidRPr="00D1592A" w:rsidRDefault="00905DAB" w:rsidP="00905DA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1592A">
              <w:rPr>
                <w:rFonts w:eastAsia="Times New Roman"/>
                <w:sz w:val="18"/>
                <w:szCs w:val="18"/>
              </w:rPr>
              <w:t>9908001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:rsidR="00905DAB" w:rsidRPr="00D1592A" w:rsidRDefault="00905DAB" w:rsidP="00D1592A">
            <w:pPr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Поощре</w:t>
            </w:r>
            <w:r w:rsidR="00D1592A">
              <w:rPr>
                <w:rFonts w:eastAsia="Times New Roman"/>
                <w:sz w:val="20"/>
                <w:szCs w:val="20"/>
              </w:rPr>
              <w:t>ния за особые заслуги перед государством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300,0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150,0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116,8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Cs/>
                <w:sz w:val="20"/>
                <w:szCs w:val="20"/>
              </w:rPr>
              <w:t>-183,2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Cs/>
                <w:sz w:val="20"/>
                <w:szCs w:val="20"/>
              </w:rPr>
              <w:t>38,9%</w:t>
            </w:r>
          </w:p>
        </w:tc>
      </w:tr>
      <w:tr w:rsidR="00905DAB" w:rsidRPr="00D1592A" w:rsidTr="00905DAB">
        <w:trPr>
          <w:trHeight w:val="525"/>
        </w:trPr>
        <w:tc>
          <w:tcPr>
            <w:tcW w:w="117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5DAB" w:rsidRPr="00D1592A" w:rsidRDefault="00905DAB" w:rsidP="00905DA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1592A">
              <w:rPr>
                <w:rFonts w:eastAsia="Times New Roman"/>
                <w:sz w:val="18"/>
                <w:szCs w:val="18"/>
              </w:rPr>
              <w:t>9907001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:rsidR="00905DAB" w:rsidRPr="00D1592A" w:rsidRDefault="00905DAB" w:rsidP="00905DAB">
            <w:pPr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Организационное обеспечение деятельности территориальных административных комиссий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19738,4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19738,4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19738,4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Cs/>
                <w:sz w:val="20"/>
                <w:szCs w:val="20"/>
              </w:rPr>
              <w:t>100,0%</w:t>
            </w:r>
          </w:p>
        </w:tc>
      </w:tr>
      <w:tr w:rsidR="00905DAB" w:rsidRPr="00D1592A" w:rsidTr="00905DAB">
        <w:trPr>
          <w:trHeight w:val="315"/>
        </w:trPr>
        <w:tc>
          <w:tcPr>
            <w:tcW w:w="117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5DAB" w:rsidRPr="00D1592A" w:rsidRDefault="00905DAB" w:rsidP="00905DA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1592A">
              <w:rPr>
                <w:rFonts w:eastAsia="Times New Roman"/>
                <w:b/>
                <w:bCs/>
                <w:sz w:val="18"/>
                <w:szCs w:val="18"/>
              </w:rPr>
              <w:t>0204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:rsidR="00905DAB" w:rsidRPr="00D1592A" w:rsidRDefault="00905DAB" w:rsidP="00905DA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47,2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-12,8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78,7%</w:t>
            </w:r>
          </w:p>
        </w:tc>
      </w:tr>
      <w:tr w:rsidR="00905DAB" w:rsidRPr="00D1592A" w:rsidTr="00905DAB">
        <w:trPr>
          <w:trHeight w:val="525"/>
        </w:trPr>
        <w:tc>
          <w:tcPr>
            <w:tcW w:w="117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5DAB" w:rsidRPr="00D1592A" w:rsidRDefault="00905DAB" w:rsidP="00905DA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1592A">
              <w:rPr>
                <w:rFonts w:eastAsia="Times New Roman"/>
                <w:sz w:val="18"/>
                <w:szCs w:val="18"/>
              </w:rPr>
              <w:t>9908004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:rsidR="00905DAB" w:rsidRPr="00D1592A" w:rsidRDefault="00905DAB" w:rsidP="00905DAB">
            <w:pPr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60,0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60,0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47,2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-12,8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78,7%</w:t>
            </w:r>
          </w:p>
        </w:tc>
      </w:tr>
      <w:tr w:rsidR="00905DAB" w:rsidRPr="00D1592A" w:rsidTr="00905DAB">
        <w:trPr>
          <w:trHeight w:val="315"/>
        </w:trPr>
        <w:tc>
          <w:tcPr>
            <w:tcW w:w="117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5DAB" w:rsidRPr="00D1592A" w:rsidRDefault="00905DAB" w:rsidP="00905DA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1592A">
              <w:rPr>
                <w:rFonts w:eastAsia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:rsidR="00905DAB" w:rsidRPr="00D1592A" w:rsidRDefault="00905DAB" w:rsidP="00905DA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4309,4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4276,4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3928,7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-380,7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91,2%</w:t>
            </w:r>
          </w:p>
        </w:tc>
      </w:tr>
      <w:tr w:rsidR="00905DAB" w:rsidRPr="00D1592A" w:rsidTr="00905DAB">
        <w:trPr>
          <w:trHeight w:val="315"/>
        </w:trPr>
        <w:tc>
          <w:tcPr>
            <w:tcW w:w="117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5DAB" w:rsidRPr="00D1592A" w:rsidRDefault="00905DAB" w:rsidP="00905DA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1592A">
              <w:rPr>
                <w:rFonts w:eastAsia="Times New Roman"/>
                <w:sz w:val="18"/>
                <w:szCs w:val="18"/>
              </w:rPr>
              <w:t>9902006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:rsidR="00905DAB" w:rsidRPr="00D1592A" w:rsidRDefault="00905DAB" w:rsidP="00905DAB">
            <w:pPr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Переподготовка и повышение квалификации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4309,4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4276,4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3928,7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Cs/>
                <w:sz w:val="20"/>
                <w:szCs w:val="20"/>
              </w:rPr>
              <w:t>-380,7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Cs/>
                <w:sz w:val="20"/>
                <w:szCs w:val="20"/>
              </w:rPr>
              <w:t>91,2%</w:t>
            </w:r>
          </w:p>
        </w:tc>
      </w:tr>
      <w:tr w:rsidR="00905DAB" w:rsidRPr="00D1592A" w:rsidTr="00905DAB">
        <w:trPr>
          <w:trHeight w:val="315"/>
        </w:trPr>
        <w:tc>
          <w:tcPr>
            <w:tcW w:w="117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5DAB" w:rsidRPr="00D1592A" w:rsidRDefault="00905DAB" w:rsidP="00905DA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1592A">
              <w:rPr>
                <w:rFonts w:eastAsia="Times New Roman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:rsidR="00905DAB" w:rsidRPr="00D1592A" w:rsidRDefault="00905DAB" w:rsidP="00905DA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6000,0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6000,0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3624,0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-2376,0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/>
                <w:bCs/>
                <w:sz w:val="20"/>
                <w:szCs w:val="20"/>
              </w:rPr>
              <w:t>60,4%</w:t>
            </w:r>
          </w:p>
        </w:tc>
      </w:tr>
      <w:tr w:rsidR="00905DAB" w:rsidRPr="00D1592A" w:rsidTr="00905DAB">
        <w:trPr>
          <w:trHeight w:val="315"/>
        </w:trPr>
        <w:tc>
          <w:tcPr>
            <w:tcW w:w="1179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905DAB" w:rsidRPr="00D1592A" w:rsidRDefault="00905DAB" w:rsidP="00905DA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1592A">
              <w:rPr>
                <w:rFonts w:eastAsia="Times New Roman"/>
                <w:sz w:val="18"/>
                <w:szCs w:val="18"/>
              </w:rPr>
              <w:t>9901085</w:t>
            </w:r>
          </w:p>
        </w:tc>
        <w:tc>
          <w:tcPr>
            <w:tcW w:w="35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905DAB" w:rsidRPr="00D1592A" w:rsidRDefault="00905DAB" w:rsidP="00905DAB">
            <w:pPr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Прочие меры социальной поддержки населения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6000,0</w:t>
            </w:r>
          </w:p>
        </w:tc>
        <w:tc>
          <w:tcPr>
            <w:tcW w:w="96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6000,0</w:t>
            </w:r>
          </w:p>
        </w:tc>
        <w:tc>
          <w:tcPr>
            <w:tcW w:w="106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1592A">
              <w:rPr>
                <w:rFonts w:eastAsia="Times New Roman"/>
                <w:sz w:val="20"/>
                <w:szCs w:val="20"/>
              </w:rPr>
              <w:t>3624,0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Cs/>
                <w:sz w:val="20"/>
                <w:szCs w:val="20"/>
              </w:rPr>
              <w:t>-2376,0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05DAB" w:rsidRPr="00D1592A" w:rsidRDefault="00905DAB" w:rsidP="00905DA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D1592A">
              <w:rPr>
                <w:rFonts w:eastAsia="Times New Roman"/>
                <w:bCs/>
                <w:sz w:val="20"/>
                <w:szCs w:val="20"/>
              </w:rPr>
              <w:t>60,4%</w:t>
            </w:r>
          </w:p>
        </w:tc>
      </w:tr>
    </w:tbl>
    <w:p w:rsidR="00905DAB" w:rsidRPr="00D1592A" w:rsidRDefault="00905DAB" w:rsidP="00AF4D91">
      <w:pPr>
        <w:tabs>
          <w:tab w:val="left" w:pos="0"/>
        </w:tabs>
        <w:ind w:right="-82"/>
        <w:jc w:val="both"/>
        <w:rPr>
          <w:sz w:val="20"/>
          <w:szCs w:val="20"/>
        </w:rPr>
      </w:pPr>
    </w:p>
    <w:p w:rsidR="00905DAB" w:rsidRPr="00D1592A" w:rsidRDefault="00980D19" w:rsidP="005007F8">
      <w:pPr>
        <w:ind w:firstLine="708"/>
        <w:jc w:val="both"/>
      </w:pPr>
      <w:r w:rsidRPr="00D1592A">
        <w:t xml:space="preserve">Бюджетные назначения </w:t>
      </w:r>
      <w:r w:rsidR="0029473C">
        <w:t xml:space="preserve">по расходам </w:t>
      </w:r>
      <w:r w:rsidRPr="00D1592A">
        <w:t xml:space="preserve">не исполнены </w:t>
      </w:r>
      <w:r w:rsidR="00905DAB" w:rsidRPr="00D1592A">
        <w:t>на сумму</w:t>
      </w:r>
      <w:r w:rsidRPr="00D1592A">
        <w:t xml:space="preserve"> </w:t>
      </w:r>
      <w:r w:rsidR="00905DAB" w:rsidRPr="00D1592A">
        <w:rPr>
          <w:rFonts w:eastAsia="Times New Roman"/>
          <w:bCs/>
        </w:rPr>
        <w:t>39 592,4</w:t>
      </w:r>
      <w:r w:rsidR="005007F8" w:rsidRPr="00D1592A">
        <w:rPr>
          <w:rFonts w:eastAsia="Times New Roman"/>
        </w:rPr>
        <w:t xml:space="preserve"> тыс. руб.,</w:t>
      </w:r>
      <w:r w:rsidR="005007F8" w:rsidRPr="00D1592A">
        <w:t xml:space="preserve"> или </w:t>
      </w:r>
      <w:r w:rsidR="00203AFD" w:rsidRPr="00D1592A">
        <w:t xml:space="preserve">на </w:t>
      </w:r>
      <w:r w:rsidR="00905DAB" w:rsidRPr="00D1592A">
        <w:t>4,1</w:t>
      </w:r>
      <w:r w:rsidR="005007F8" w:rsidRPr="00D1592A">
        <w:t xml:space="preserve">% от утвержденного объема ассигнований. </w:t>
      </w:r>
      <w:r w:rsidR="00905DAB" w:rsidRPr="00D1592A">
        <w:t>Пояснения по причинам неисполнения бюджетных назначений в разрезе бюджетной классификации на сумму более 5% в соответствии с Инструкцией 191н приведены в Сведениях об исполнении бюджета (ф. 0503164).</w:t>
      </w:r>
    </w:p>
    <w:p w:rsidR="00905DAB" w:rsidRPr="00D1592A" w:rsidRDefault="00905DAB" w:rsidP="005007F8">
      <w:pPr>
        <w:ind w:firstLine="708"/>
        <w:jc w:val="both"/>
      </w:pPr>
      <w:r w:rsidRPr="00D1592A">
        <w:lastRenderedPageBreak/>
        <w:t xml:space="preserve">Обобщенно причинами неисполнения бюджетных назначений </w:t>
      </w:r>
      <w:r w:rsidR="00F36929" w:rsidRPr="00D1592A">
        <w:t>согласно указанны</w:t>
      </w:r>
      <w:r w:rsidR="00C36C36">
        <w:t>м</w:t>
      </w:r>
      <w:r w:rsidR="00F36929" w:rsidRPr="00D1592A">
        <w:t xml:space="preserve"> Сведени</w:t>
      </w:r>
      <w:r w:rsidR="00C36C36">
        <w:t>ям</w:t>
      </w:r>
      <w:r w:rsidR="00F36929" w:rsidRPr="00D1592A">
        <w:t xml:space="preserve"> об исполнении бюджета, Пояснительной записке, а также дополнительной информации, полученной в ходе проверки</w:t>
      </w:r>
      <w:r w:rsidR="00B716E0">
        <w:t>,</w:t>
      </w:r>
      <w:r w:rsidR="00F36929" w:rsidRPr="00D1592A">
        <w:t xml:space="preserve"> явилось</w:t>
      </w:r>
      <w:r w:rsidR="00D1592A" w:rsidRPr="00D1592A">
        <w:t>, в основном</w:t>
      </w:r>
      <w:r w:rsidRPr="00D1592A">
        <w:t>:</w:t>
      </w:r>
    </w:p>
    <w:p w:rsidR="00F36929" w:rsidRPr="00D1592A" w:rsidRDefault="00F36929" w:rsidP="00F36929">
      <w:pPr>
        <w:ind w:firstLine="709"/>
        <w:jc w:val="both"/>
      </w:pPr>
      <w:r w:rsidRPr="00D1592A">
        <w:t>- 14</w:t>
      </w:r>
      <w:r w:rsidR="00D1592A" w:rsidRPr="00D1592A">
        <w:t> 726,8</w:t>
      </w:r>
      <w:r w:rsidRPr="00D1592A">
        <w:t xml:space="preserve"> тыс. руб. – в связи с отсутствием заявок по использованию субсидий на выполнение государственного задания и иные цели </w:t>
      </w:r>
      <w:r w:rsidR="00D1592A" w:rsidRPr="00D1592A">
        <w:t>подведомственными учреждениями</w:t>
      </w:r>
      <w:r w:rsidR="00B716E0">
        <w:t xml:space="preserve"> (4,0% годовых бюджетных назначений)</w:t>
      </w:r>
      <w:r w:rsidRPr="00D1592A">
        <w:t>;</w:t>
      </w:r>
    </w:p>
    <w:p w:rsidR="00F36929" w:rsidRPr="00D1592A" w:rsidRDefault="00F36929" w:rsidP="00F36929">
      <w:pPr>
        <w:ind w:firstLine="709"/>
        <w:jc w:val="both"/>
      </w:pPr>
      <w:r w:rsidRPr="00D1592A">
        <w:t>- 7 486,7 тыс. руб. – в связи с ограничением принятия  бюджетных обязательств (письмо комитета финансов от 21.10.15 № 04-13/15146), неполн</w:t>
      </w:r>
      <w:r w:rsidR="00B716E0">
        <w:t>ым</w:t>
      </w:r>
      <w:r w:rsidRPr="00D1592A">
        <w:t xml:space="preserve"> доведение</w:t>
      </w:r>
      <w:r w:rsidR="00B716E0">
        <w:t>м</w:t>
      </w:r>
      <w:r w:rsidRPr="00D1592A">
        <w:t xml:space="preserve"> лимитов бюджетных обязательств;</w:t>
      </w:r>
    </w:p>
    <w:p w:rsidR="00F36929" w:rsidRPr="00D1592A" w:rsidRDefault="00F36929" w:rsidP="00F36929">
      <w:pPr>
        <w:ind w:firstLine="709"/>
        <w:jc w:val="both"/>
      </w:pPr>
      <w:r w:rsidRPr="00D1592A">
        <w:t>- 6 294,1</w:t>
      </w:r>
      <w:r w:rsidR="002D1929" w:rsidRPr="00D1592A">
        <w:t xml:space="preserve"> </w:t>
      </w:r>
      <w:r w:rsidRPr="00D1592A">
        <w:t xml:space="preserve">тыс. руб. – в связи со снижением расходов по оплате труда помощникам </w:t>
      </w:r>
      <w:r w:rsidR="00C36C36">
        <w:t>д</w:t>
      </w:r>
      <w:r w:rsidRPr="00D1592A">
        <w:t>епутатов ГД (уменьшение числа помощников), сокращением норм на возмещение транспортных расходов (распоряжение Председателя Государственной Думы от 04.06.15 № 146р-1), поздним выставлением документов поставщиков на возмещение расходов депутатов Государственной Думы, членов Совета Федерации Федерального Собрания РФ и их помощников;</w:t>
      </w:r>
    </w:p>
    <w:p w:rsidR="00905DAB" w:rsidRPr="00D1592A" w:rsidRDefault="00F36929" w:rsidP="00905DAB">
      <w:pPr>
        <w:ind w:firstLine="709"/>
        <w:jc w:val="both"/>
      </w:pPr>
      <w:r w:rsidRPr="00D1592A">
        <w:t xml:space="preserve">- </w:t>
      </w:r>
      <w:r w:rsidR="00905DAB" w:rsidRPr="00D1592A">
        <w:t>6</w:t>
      </w:r>
      <w:r w:rsidRPr="00D1592A">
        <w:t xml:space="preserve"> </w:t>
      </w:r>
      <w:r w:rsidR="00905DAB" w:rsidRPr="00D1592A">
        <w:t>208,9 тыс.</w:t>
      </w:r>
      <w:r w:rsidRPr="00D1592A">
        <w:t xml:space="preserve"> </w:t>
      </w:r>
      <w:r w:rsidR="00905DAB" w:rsidRPr="00D1592A">
        <w:t>руб</w:t>
      </w:r>
      <w:r w:rsidRPr="00D1592A">
        <w:t>.</w:t>
      </w:r>
      <w:r w:rsidR="00905DAB" w:rsidRPr="00D1592A">
        <w:t xml:space="preserve"> – за счет применения регрессивной шкалы уплаты страховых взносов, начисленных на оплату труда и экономии по оплате труда (больничные); </w:t>
      </w:r>
    </w:p>
    <w:p w:rsidR="00F36929" w:rsidRPr="00D1592A" w:rsidRDefault="00F36929" w:rsidP="00F36929">
      <w:pPr>
        <w:ind w:firstLine="708"/>
        <w:jc w:val="both"/>
      </w:pPr>
      <w:r w:rsidRPr="00D1592A">
        <w:t xml:space="preserve">- 2 376,0 тыс. руб. – в связи с доведением </w:t>
      </w:r>
      <w:r w:rsidR="00B716E0">
        <w:t xml:space="preserve">годовых </w:t>
      </w:r>
      <w:r w:rsidRPr="00D1592A">
        <w:t>лимитов в полном объеме только в июне 2015 года произошло уменьшение оказанной социальной помощи в рамках программы оказания адресной социальной помощи малоимущим и социально незащищенным гражданам</w:t>
      </w:r>
      <w:r w:rsidR="00B716E0">
        <w:t>,</w:t>
      </w:r>
      <w:r w:rsidRPr="00D1592A">
        <w:t xml:space="preserve"> утвержденной постановлением Главы Администрации Волгоградской области от 19.10.2011 г.  № 1142</w:t>
      </w:r>
      <w:bookmarkStart w:id="0" w:name="_GoBack"/>
      <w:bookmarkEnd w:id="0"/>
      <w:r w:rsidRPr="00D1592A">
        <w:t>;</w:t>
      </w:r>
    </w:p>
    <w:p w:rsidR="00905DAB" w:rsidRPr="00D1592A" w:rsidRDefault="00905DAB" w:rsidP="00D1592A">
      <w:pPr>
        <w:ind w:firstLine="709"/>
        <w:jc w:val="both"/>
      </w:pPr>
      <w:r w:rsidRPr="00D1592A">
        <w:t>- 1</w:t>
      </w:r>
      <w:r w:rsidR="00F36929" w:rsidRPr="00D1592A">
        <w:t xml:space="preserve"> </w:t>
      </w:r>
      <w:r w:rsidRPr="00D1592A">
        <w:t>360,2 тыс.</w:t>
      </w:r>
      <w:r w:rsidR="00F36929" w:rsidRPr="00D1592A">
        <w:t xml:space="preserve"> </w:t>
      </w:r>
      <w:r w:rsidRPr="00D1592A">
        <w:t>руб.  – в связи с экономией по командировочным р</w:t>
      </w:r>
      <w:r w:rsidR="00D1592A" w:rsidRPr="00D1592A">
        <w:t>асходам</w:t>
      </w:r>
      <w:r w:rsidR="00F36929" w:rsidRPr="00D1592A">
        <w:t>.</w:t>
      </w:r>
    </w:p>
    <w:p w:rsidR="00AF4D91" w:rsidRPr="00D1592A" w:rsidRDefault="00AF4D91" w:rsidP="003E1553">
      <w:pPr>
        <w:tabs>
          <w:tab w:val="left" w:pos="0"/>
        </w:tabs>
        <w:ind w:right="-82"/>
        <w:jc w:val="right"/>
        <w:rPr>
          <w:i/>
          <w:sz w:val="20"/>
          <w:szCs w:val="20"/>
        </w:rPr>
      </w:pPr>
    </w:p>
    <w:p w:rsidR="003E1553" w:rsidRPr="00DC12F2" w:rsidRDefault="003E1553" w:rsidP="003E1553">
      <w:pPr>
        <w:ind w:firstLine="708"/>
        <w:jc w:val="both"/>
      </w:pPr>
      <w:r w:rsidRPr="00D1592A">
        <w:t>Сравнительный анализ показателей исполнения расходов областного бюджета за 201</w:t>
      </w:r>
      <w:r w:rsidR="001F58DF" w:rsidRPr="00D1592A">
        <w:t>4</w:t>
      </w:r>
      <w:r w:rsidRPr="00D1592A">
        <w:t xml:space="preserve"> год и 201</w:t>
      </w:r>
      <w:r w:rsidR="001F58DF" w:rsidRPr="00D1592A">
        <w:t>5</w:t>
      </w:r>
      <w:r w:rsidRPr="00D1592A">
        <w:t xml:space="preserve"> год представлен в </w:t>
      </w:r>
      <w:r w:rsidR="00FE0F94" w:rsidRPr="00D1592A">
        <w:t xml:space="preserve"> таблице.</w:t>
      </w:r>
    </w:p>
    <w:p w:rsidR="003E1553" w:rsidRPr="00DC12F2" w:rsidRDefault="003E1553" w:rsidP="003E1553">
      <w:pPr>
        <w:ind w:firstLine="708"/>
        <w:jc w:val="right"/>
        <w:rPr>
          <w:i/>
          <w:sz w:val="20"/>
          <w:szCs w:val="20"/>
        </w:rPr>
      </w:pPr>
      <w:r w:rsidRPr="00DC12F2">
        <w:rPr>
          <w:b/>
          <w:sz w:val="22"/>
          <w:szCs w:val="22"/>
        </w:rPr>
        <w:t xml:space="preserve"> </w:t>
      </w:r>
      <w:r w:rsidRPr="00DC12F2">
        <w:rPr>
          <w:i/>
          <w:sz w:val="20"/>
          <w:szCs w:val="20"/>
        </w:rPr>
        <w:t>тыс. руб.</w:t>
      </w:r>
    </w:p>
    <w:tbl>
      <w:tblPr>
        <w:tblW w:w="9865" w:type="dxa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80"/>
        <w:gridCol w:w="4822"/>
        <w:gridCol w:w="966"/>
        <w:gridCol w:w="966"/>
        <w:gridCol w:w="966"/>
        <w:gridCol w:w="965"/>
      </w:tblGrid>
      <w:tr w:rsidR="001F58DF" w:rsidRPr="00DC12F2" w:rsidTr="008C51CA">
        <w:trPr>
          <w:trHeight w:val="300"/>
        </w:trPr>
        <w:tc>
          <w:tcPr>
            <w:tcW w:w="1180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hideMark/>
          </w:tcPr>
          <w:p w:rsidR="001F58DF" w:rsidRPr="00DC12F2" w:rsidRDefault="001F58D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2F2">
              <w:rPr>
                <w:b/>
                <w:bCs/>
                <w:sz w:val="20"/>
                <w:szCs w:val="20"/>
              </w:rPr>
              <w:t xml:space="preserve">Раздел, </w:t>
            </w:r>
            <w:proofErr w:type="spellStart"/>
            <w:r w:rsidRPr="00DC12F2">
              <w:rPr>
                <w:b/>
                <w:bCs/>
                <w:sz w:val="20"/>
                <w:szCs w:val="20"/>
              </w:rPr>
              <w:t>подразд</w:t>
            </w:r>
            <w:proofErr w:type="spellEnd"/>
            <w:r w:rsidRPr="00DC12F2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C12F2">
              <w:rPr>
                <w:b/>
                <w:bCs/>
                <w:sz w:val="20"/>
                <w:szCs w:val="20"/>
              </w:rPr>
              <w:t>целев</w:t>
            </w:r>
            <w:proofErr w:type="spellEnd"/>
            <w:r w:rsidRPr="00DC12F2">
              <w:rPr>
                <w:b/>
                <w:bCs/>
                <w:sz w:val="20"/>
                <w:szCs w:val="20"/>
              </w:rPr>
              <w:t>. ст.</w:t>
            </w:r>
          </w:p>
        </w:tc>
        <w:tc>
          <w:tcPr>
            <w:tcW w:w="482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hideMark/>
          </w:tcPr>
          <w:p w:rsidR="001F58DF" w:rsidRPr="00DC12F2" w:rsidRDefault="001F58D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2F2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6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1F58DF" w:rsidRPr="00DC12F2" w:rsidRDefault="001F58DF" w:rsidP="001F58D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2F2">
              <w:rPr>
                <w:b/>
                <w:bCs/>
                <w:sz w:val="20"/>
                <w:szCs w:val="20"/>
              </w:rPr>
              <w:t>2014 год</w:t>
            </w:r>
          </w:p>
        </w:tc>
        <w:tc>
          <w:tcPr>
            <w:tcW w:w="966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1F58DF" w:rsidRPr="00DC12F2" w:rsidRDefault="001F58DF" w:rsidP="001F58D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2F2">
              <w:rPr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1931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1F58DF" w:rsidRPr="00DC12F2" w:rsidRDefault="001F58D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2F2">
              <w:rPr>
                <w:b/>
                <w:bCs/>
                <w:sz w:val="20"/>
                <w:szCs w:val="20"/>
              </w:rPr>
              <w:t>Увеличение, снижение</w:t>
            </w:r>
            <w:proofErr w:type="gramStart"/>
            <w:r w:rsidRPr="00DC12F2">
              <w:rPr>
                <w:b/>
                <w:bCs/>
                <w:sz w:val="20"/>
                <w:szCs w:val="20"/>
              </w:rPr>
              <w:t xml:space="preserve"> (-)</w:t>
            </w:r>
            <w:proofErr w:type="gramEnd"/>
          </w:p>
        </w:tc>
      </w:tr>
      <w:tr w:rsidR="001F58DF" w:rsidRPr="00DC12F2" w:rsidTr="008C51CA">
        <w:trPr>
          <w:trHeight w:val="300"/>
        </w:trPr>
        <w:tc>
          <w:tcPr>
            <w:tcW w:w="1180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1F58DF" w:rsidRPr="00DC12F2" w:rsidRDefault="001F58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2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1F58DF" w:rsidRPr="00DC12F2" w:rsidRDefault="001F58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1F58DF" w:rsidRPr="00DC12F2" w:rsidRDefault="001F58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1F58DF" w:rsidRPr="00DC12F2" w:rsidRDefault="001F58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F58DF" w:rsidRPr="00DC12F2" w:rsidRDefault="001F58DF" w:rsidP="001F58D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2F2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96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F58DF" w:rsidRPr="00DC12F2" w:rsidRDefault="001F58DF">
            <w:pPr>
              <w:rPr>
                <w:b/>
                <w:bCs/>
                <w:sz w:val="20"/>
                <w:szCs w:val="20"/>
              </w:rPr>
            </w:pPr>
            <w:r w:rsidRPr="00DC12F2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1F58DF" w:rsidRPr="00DC12F2" w:rsidTr="008C51CA">
        <w:trPr>
          <w:trHeight w:val="315"/>
        </w:trPr>
        <w:tc>
          <w:tcPr>
            <w:tcW w:w="1180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1F58DF" w:rsidRPr="00DC12F2" w:rsidRDefault="001F58D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2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22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1F58DF" w:rsidRPr="00DC12F2" w:rsidRDefault="001F58DF">
            <w:pPr>
              <w:rPr>
                <w:b/>
                <w:bCs/>
                <w:sz w:val="20"/>
                <w:szCs w:val="20"/>
              </w:rPr>
            </w:pPr>
            <w:r w:rsidRPr="00DC12F2">
              <w:rPr>
                <w:b/>
                <w:bCs/>
                <w:sz w:val="20"/>
                <w:szCs w:val="20"/>
              </w:rPr>
              <w:t>Расходы бюджета - всего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F58DF" w:rsidRPr="00DC12F2" w:rsidRDefault="001F58DF" w:rsidP="001F58DF">
            <w:pPr>
              <w:ind w:left="-141"/>
              <w:jc w:val="center"/>
              <w:rPr>
                <w:b/>
                <w:bCs/>
                <w:sz w:val="20"/>
                <w:szCs w:val="20"/>
              </w:rPr>
            </w:pPr>
            <w:r w:rsidRPr="00DC12F2">
              <w:rPr>
                <w:b/>
                <w:bCs/>
                <w:sz w:val="20"/>
                <w:szCs w:val="20"/>
              </w:rPr>
              <w:t>562 805,4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F58DF" w:rsidRPr="00DC12F2" w:rsidRDefault="001F58DF" w:rsidP="001F58DF">
            <w:pPr>
              <w:ind w:left="-115"/>
              <w:jc w:val="center"/>
              <w:rPr>
                <w:b/>
                <w:bCs/>
                <w:sz w:val="20"/>
                <w:szCs w:val="20"/>
              </w:rPr>
            </w:pPr>
            <w:r w:rsidRPr="00DC12F2">
              <w:rPr>
                <w:b/>
                <w:bCs/>
                <w:sz w:val="20"/>
                <w:szCs w:val="20"/>
              </w:rPr>
              <w:t>927 977,1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F58DF" w:rsidRPr="00DC12F2" w:rsidRDefault="001F58DF" w:rsidP="001F58DF">
            <w:pPr>
              <w:ind w:left="-89"/>
              <w:jc w:val="right"/>
              <w:rPr>
                <w:b/>
                <w:bCs/>
                <w:sz w:val="20"/>
                <w:szCs w:val="20"/>
              </w:rPr>
            </w:pPr>
            <w:r w:rsidRPr="00DC12F2">
              <w:rPr>
                <w:b/>
                <w:bCs/>
                <w:sz w:val="20"/>
                <w:szCs w:val="20"/>
              </w:rPr>
              <w:t>365 171,7</w:t>
            </w:r>
          </w:p>
        </w:tc>
        <w:tc>
          <w:tcPr>
            <w:tcW w:w="965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F58DF" w:rsidRPr="00DC12F2" w:rsidRDefault="001F58DF">
            <w:pPr>
              <w:jc w:val="right"/>
              <w:rPr>
                <w:b/>
                <w:bCs/>
                <w:sz w:val="20"/>
                <w:szCs w:val="20"/>
              </w:rPr>
            </w:pPr>
            <w:r w:rsidRPr="00DC12F2">
              <w:rPr>
                <w:b/>
                <w:bCs/>
                <w:sz w:val="20"/>
                <w:szCs w:val="20"/>
              </w:rPr>
              <w:t>64,9%</w:t>
            </w:r>
          </w:p>
        </w:tc>
      </w:tr>
      <w:tr w:rsidR="001F58DF" w:rsidRPr="00DC12F2" w:rsidTr="008C51CA">
        <w:trPr>
          <w:trHeight w:val="330"/>
        </w:trPr>
        <w:tc>
          <w:tcPr>
            <w:tcW w:w="1180" w:type="dxa"/>
            <w:shd w:val="clear" w:color="auto" w:fill="auto"/>
            <w:hideMark/>
          </w:tcPr>
          <w:p w:rsidR="001F58DF" w:rsidRPr="00DC12F2" w:rsidRDefault="001F58D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2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22" w:type="dxa"/>
            <w:shd w:val="clear" w:color="auto" w:fill="auto"/>
            <w:hideMark/>
          </w:tcPr>
          <w:p w:rsidR="001F58DF" w:rsidRPr="00DC12F2" w:rsidRDefault="001F58DF">
            <w:pPr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1F58DF" w:rsidRPr="00DC12F2" w:rsidRDefault="001F58DF" w:rsidP="001F58DF">
            <w:pPr>
              <w:ind w:left="-141"/>
              <w:jc w:val="center"/>
              <w:rPr>
                <w:b/>
                <w:bCs/>
                <w:sz w:val="20"/>
                <w:szCs w:val="20"/>
              </w:rPr>
            </w:pPr>
            <w:r w:rsidRPr="00DC12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1F58DF" w:rsidRPr="00DC12F2" w:rsidRDefault="001F58DF" w:rsidP="001F58DF">
            <w:pPr>
              <w:ind w:left="-115"/>
              <w:jc w:val="center"/>
              <w:rPr>
                <w:b/>
                <w:bCs/>
                <w:sz w:val="20"/>
                <w:szCs w:val="20"/>
              </w:rPr>
            </w:pPr>
            <w:r w:rsidRPr="00DC12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1F58DF" w:rsidRPr="00DC12F2" w:rsidRDefault="001F58DF" w:rsidP="001F58DF">
            <w:pPr>
              <w:ind w:left="-89"/>
              <w:rPr>
                <w:b/>
                <w:bCs/>
                <w:sz w:val="20"/>
                <w:szCs w:val="20"/>
              </w:rPr>
            </w:pPr>
            <w:r w:rsidRPr="00DC12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1F58DF" w:rsidRPr="00DC12F2" w:rsidRDefault="001F58DF">
            <w:pPr>
              <w:rPr>
                <w:b/>
                <w:bCs/>
                <w:sz w:val="20"/>
                <w:szCs w:val="20"/>
              </w:rPr>
            </w:pPr>
            <w:r w:rsidRPr="00DC12F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F58DF" w:rsidRPr="00DC12F2" w:rsidTr="008C51CA">
        <w:trPr>
          <w:trHeight w:val="300"/>
        </w:trPr>
        <w:tc>
          <w:tcPr>
            <w:tcW w:w="1180" w:type="dxa"/>
            <w:shd w:val="clear" w:color="auto" w:fill="auto"/>
            <w:noWrap/>
            <w:hideMark/>
          </w:tcPr>
          <w:p w:rsidR="001F58DF" w:rsidRPr="00DC12F2" w:rsidRDefault="001F58DF">
            <w:pPr>
              <w:jc w:val="center"/>
              <w:rPr>
                <w:sz w:val="18"/>
                <w:szCs w:val="18"/>
              </w:rPr>
            </w:pPr>
            <w:r w:rsidRPr="00DC12F2">
              <w:rPr>
                <w:sz w:val="18"/>
                <w:szCs w:val="18"/>
              </w:rPr>
              <w:t>0100</w:t>
            </w:r>
          </w:p>
        </w:tc>
        <w:tc>
          <w:tcPr>
            <w:tcW w:w="4822" w:type="dxa"/>
            <w:shd w:val="clear" w:color="auto" w:fill="auto"/>
            <w:hideMark/>
          </w:tcPr>
          <w:p w:rsidR="001F58DF" w:rsidRPr="00DC12F2" w:rsidRDefault="001F58DF">
            <w:pPr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1F58DF" w:rsidRPr="00DC12F2" w:rsidRDefault="001F58DF" w:rsidP="001F58DF">
            <w:pPr>
              <w:ind w:left="-141"/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544 850,3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1F58DF" w:rsidRPr="00DC12F2" w:rsidRDefault="001F58DF" w:rsidP="001F58DF">
            <w:pPr>
              <w:ind w:left="-115"/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920 377,1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1F58DF" w:rsidRPr="00DC12F2" w:rsidRDefault="001F58DF" w:rsidP="001F58DF">
            <w:pPr>
              <w:ind w:left="-89"/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375 526,8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1F58DF" w:rsidRPr="00DC12F2" w:rsidRDefault="001F58DF">
            <w:pPr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68,9%</w:t>
            </w:r>
          </w:p>
        </w:tc>
      </w:tr>
      <w:tr w:rsidR="001F58DF" w:rsidRPr="00DC12F2" w:rsidTr="008C51CA">
        <w:trPr>
          <w:trHeight w:val="510"/>
        </w:trPr>
        <w:tc>
          <w:tcPr>
            <w:tcW w:w="1180" w:type="dxa"/>
            <w:shd w:val="clear" w:color="auto" w:fill="auto"/>
            <w:noWrap/>
            <w:hideMark/>
          </w:tcPr>
          <w:p w:rsidR="001F58DF" w:rsidRPr="00DC12F2" w:rsidRDefault="001F58DF">
            <w:pPr>
              <w:jc w:val="center"/>
              <w:rPr>
                <w:sz w:val="18"/>
                <w:szCs w:val="18"/>
              </w:rPr>
            </w:pPr>
            <w:r w:rsidRPr="00DC12F2">
              <w:rPr>
                <w:sz w:val="18"/>
                <w:szCs w:val="18"/>
              </w:rPr>
              <w:t>0102</w:t>
            </w:r>
          </w:p>
        </w:tc>
        <w:tc>
          <w:tcPr>
            <w:tcW w:w="4822" w:type="dxa"/>
            <w:shd w:val="clear" w:color="auto" w:fill="auto"/>
            <w:hideMark/>
          </w:tcPr>
          <w:p w:rsidR="001F58DF" w:rsidRPr="00DC12F2" w:rsidRDefault="001F58DF">
            <w:pPr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Функционирование высшего должностного лица субъекта РФ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1F58DF" w:rsidRPr="00DC12F2" w:rsidRDefault="001F58DF" w:rsidP="001F58DF">
            <w:pPr>
              <w:ind w:left="-141"/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3 724,0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1F58DF" w:rsidRPr="00DC12F2" w:rsidRDefault="001F58DF" w:rsidP="001F58DF">
            <w:pPr>
              <w:ind w:left="-115"/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3 414,4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1F58DF" w:rsidRPr="00DC12F2" w:rsidRDefault="001F58DF" w:rsidP="001F58DF">
            <w:pPr>
              <w:ind w:left="-89"/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-309,6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1F58DF" w:rsidRPr="00DC12F2" w:rsidRDefault="001F58DF">
            <w:pPr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-8,3%</w:t>
            </w:r>
          </w:p>
        </w:tc>
      </w:tr>
      <w:tr w:rsidR="001F58DF" w:rsidRPr="00DC12F2" w:rsidTr="008C51CA">
        <w:trPr>
          <w:trHeight w:val="765"/>
        </w:trPr>
        <w:tc>
          <w:tcPr>
            <w:tcW w:w="1180" w:type="dxa"/>
            <w:shd w:val="clear" w:color="auto" w:fill="auto"/>
            <w:noWrap/>
            <w:hideMark/>
          </w:tcPr>
          <w:p w:rsidR="001F58DF" w:rsidRPr="00DC12F2" w:rsidRDefault="001F58DF">
            <w:pPr>
              <w:jc w:val="center"/>
              <w:rPr>
                <w:sz w:val="18"/>
                <w:szCs w:val="18"/>
              </w:rPr>
            </w:pPr>
            <w:r w:rsidRPr="00DC12F2">
              <w:rPr>
                <w:sz w:val="18"/>
                <w:szCs w:val="18"/>
              </w:rPr>
              <w:t>0104</w:t>
            </w:r>
          </w:p>
        </w:tc>
        <w:tc>
          <w:tcPr>
            <w:tcW w:w="4822" w:type="dxa"/>
            <w:shd w:val="clear" w:color="auto" w:fill="auto"/>
            <w:hideMark/>
          </w:tcPr>
          <w:p w:rsidR="001F58DF" w:rsidRPr="00DC12F2" w:rsidRDefault="001F58DF">
            <w:pPr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1F58DF" w:rsidRPr="00DC12F2" w:rsidRDefault="001F58DF" w:rsidP="001F58DF">
            <w:pPr>
              <w:ind w:left="-141"/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385 438,6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1F58DF" w:rsidRPr="00DC12F2" w:rsidRDefault="001F58DF" w:rsidP="001F58DF">
            <w:pPr>
              <w:ind w:left="-115"/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418 608,3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1F58DF" w:rsidRPr="00DC12F2" w:rsidRDefault="001F58DF" w:rsidP="001F58DF">
            <w:pPr>
              <w:ind w:left="-89"/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33 169,7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1F58DF" w:rsidRPr="00DC12F2" w:rsidRDefault="001F58DF">
            <w:pPr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8,6%</w:t>
            </w:r>
          </w:p>
        </w:tc>
      </w:tr>
      <w:tr w:rsidR="001F58DF" w:rsidRPr="00DC12F2" w:rsidTr="008C51CA">
        <w:trPr>
          <w:trHeight w:val="300"/>
        </w:trPr>
        <w:tc>
          <w:tcPr>
            <w:tcW w:w="1180" w:type="dxa"/>
            <w:shd w:val="clear" w:color="auto" w:fill="auto"/>
            <w:noWrap/>
            <w:hideMark/>
          </w:tcPr>
          <w:p w:rsidR="001F58DF" w:rsidRPr="00DC12F2" w:rsidRDefault="001F58DF">
            <w:pPr>
              <w:jc w:val="center"/>
              <w:rPr>
                <w:sz w:val="18"/>
                <w:szCs w:val="18"/>
              </w:rPr>
            </w:pPr>
            <w:r w:rsidRPr="00DC12F2">
              <w:rPr>
                <w:sz w:val="18"/>
                <w:szCs w:val="18"/>
              </w:rPr>
              <w:t>0113</w:t>
            </w:r>
          </w:p>
        </w:tc>
        <w:tc>
          <w:tcPr>
            <w:tcW w:w="4822" w:type="dxa"/>
            <w:shd w:val="clear" w:color="auto" w:fill="auto"/>
            <w:hideMark/>
          </w:tcPr>
          <w:p w:rsidR="001F58DF" w:rsidRPr="00DC12F2" w:rsidRDefault="001F58DF">
            <w:pPr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1F58DF" w:rsidRPr="00DC12F2" w:rsidRDefault="001F58DF" w:rsidP="006D46A0">
            <w:pPr>
              <w:ind w:left="-141"/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155 687,7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1F58DF" w:rsidRPr="00DC12F2" w:rsidRDefault="001F58DF" w:rsidP="006D46A0">
            <w:pPr>
              <w:ind w:left="-115"/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498 354,4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1F58DF" w:rsidRPr="00DC12F2" w:rsidRDefault="001F58DF" w:rsidP="001F58DF">
            <w:pPr>
              <w:ind w:left="-89"/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342 666,7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1F58DF" w:rsidRPr="00DC12F2" w:rsidRDefault="001F58DF">
            <w:pPr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220,1%</w:t>
            </w:r>
          </w:p>
        </w:tc>
      </w:tr>
      <w:tr w:rsidR="001F58DF" w:rsidRPr="00DC12F2" w:rsidTr="008C51CA">
        <w:trPr>
          <w:trHeight w:val="300"/>
        </w:trPr>
        <w:tc>
          <w:tcPr>
            <w:tcW w:w="1180" w:type="dxa"/>
            <w:shd w:val="clear" w:color="auto" w:fill="auto"/>
            <w:noWrap/>
            <w:hideMark/>
          </w:tcPr>
          <w:p w:rsidR="001F58DF" w:rsidRPr="00DC12F2" w:rsidRDefault="001F58DF">
            <w:pPr>
              <w:jc w:val="center"/>
              <w:rPr>
                <w:sz w:val="18"/>
                <w:szCs w:val="18"/>
              </w:rPr>
            </w:pPr>
            <w:r w:rsidRPr="00DC12F2">
              <w:rPr>
                <w:sz w:val="18"/>
                <w:szCs w:val="18"/>
              </w:rPr>
              <w:t>0204</w:t>
            </w:r>
          </w:p>
        </w:tc>
        <w:tc>
          <w:tcPr>
            <w:tcW w:w="4822" w:type="dxa"/>
            <w:shd w:val="clear" w:color="auto" w:fill="auto"/>
            <w:hideMark/>
          </w:tcPr>
          <w:p w:rsidR="001F58DF" w:rsidRPr="00DC12F2" w:rsidRDefault="001F58DF">
            <w:pPr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1F58DF" w:rsidRPr="00DC12F2" w:rsidRDefault="001F58DF">
            <w:pPr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94,8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1F58DF" w:rsidRPr="00DC12F2" w:rsidRDefault="001F58DF">
            <w:pPr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47,2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1F58DF" w:rsidRPr="00DC12F2" w:rsidRDefault="001F58DF">
            <w:pPr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-47,6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1F58DF" w:rsidRPr="00DC12F2" w:rsidRDefault="001F58DF">
            <w:pPr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-50,2%</w:t>
            </w:r>
          </w:p>
        </w:tc>
      </w:tr>
      <w:tr w:rsidR="001F58DF" w:rsidRPr="00DC12F2" w:rsidTr="008C51CA">
        <w:trPr>
          <w:trHeight w:val="300"/>
        </w:trPr>
        <w:tc>
          <w:tcPr>
            <w:tcW w:w="1180" w:type="dxa"/>
            <w:shd w:val="clear" w:color="auto" w:fill="auto"/>
            <w:noWrap/>
            <w:hideMark/>
          </w:tcPr>
          <w:p w:rsidR="001F58DF" w:rsidRPr="00DC12F2" w:rsidRDefault="001F58DF">
            <w:pPr>
              <w:jc w:val="center"/>
              <w:rPr>
                <w:sz w:val="18"/>
                <w:szCs w:val="18"/>
              </w:rPr>
            </w:pPr>
            <w:r w:rsidRPr="00DC12F2">
              <w:rPr>
                <w:sz w:val="18"/>
                <w:szCs w:val="18"/>
              </w:rPr>
              <w:t>0705</w:t>
            </w:r>
          </w:p>
        </w:tc>
        <w:tc>
          <w:tcPr>
            <w:tcW w:w="4822" w:type="dxa"/>
            <w:shd w:val="clear" w:color="auto" w:fill="auto"/>
            <w:hideMark/>
          </w:tcPr>
          <w:p w:rsidR="001F58DF" w:rsidRPr="00DC12F2" w:rsidRDefault="001F58DF">
            <w:pPr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Образование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1F58DF" w:rsidRPr="00DC12F2" w:rsidRDefault="001F58DF">
            <w:pPr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7 941,3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1F58DF" w:rsidRPr="00DC12F2" w:rsidRDefault="001F58DF">
            <w:pPr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3 928,7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1F58DF" w:rsidRPr="00DC12F2" w:rsidRDefault="001F58DF">
            <w:pPr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-4 012,6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1F58DF" w:rsidRPr="00DC12F2" w:rsidRDefault="001F58DF">
            <w:pPr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-50,5%</w:t>
            </w:r>
          </w:p>
        </w:tc>
      </w:tr>
      <w:tr w:rsidR="001F58DF" w:rsidRPr="00DC12F2" w:rsidTr="008C51CA">
        <w:trPr>
          <w:trHeight w:val="300"/>
        </w:trPr>
        <w:tc>
          <w:tcPr>
            <w:tcW w:w="1180" w:type="dxa"/>
            <w:shd w:val="clear" w:color="auto" w:fill="auto"/>
            <w:noWrap/>
            <w:hideMark/>
          </w:tcPr>
          <w:p w:rsidR="001F58DF" w:rsidRPr="00DC12F2" w:rsidRDefault="001F58DF">
            <w:pPr>
              <w:jc w:val="center"/>
              <w:rPr>
                <w:sz w:val="18"/>
                <w:szCs w:val="18"/>
              </w:rPr>
            </w:pPr>
            <w:r w:rsidRPr="00DC12F2">
              <w:rPr>
                <w:sz w:val="18"/>
                <w:szCs w:val="18"/>
              </w:rPr>
              <w:t>1006</w:t>
            </w:r>
          </w:p>
        </w:tc>
        <w:tc>
          <w:tcPr>
            <w:tcW w:w="4822" w:type="dxa"/>
            <w:shd w:val="clear" w:color="auto" w:fill="auto"/>
            <w:hideMark/>
          </w:tcPr>
          <w:p w:rsidR="001F58DF" w:rsidRPr="00DC12F2" w:rsidRDefault="001F58DF">
            <w:pPr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1F58DF" w:rsidRPr="00DC12F2" w:rsidRDefault="001F58DF">
            <w:pPr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9 919,0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1F58DF" w:rsidRPr="00DC12F2" w:rsidRDefault="001F58DF">
            <w:pPr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3 624,0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1F58DF" w:rsidRPr="00DC12F2" w:rsidRDefault="001F58DF">
            <w:pPr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-6 295,0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1F58DF" w:rsidRPr="00DC12F2" w:rsidRDefault="001F58DF">
            <w:pPr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-63,5%</w:t>
            </w:r>
          </w:p>
        </w:tc>
      </w:tr>
    </w:tbl>
    <w:p w:rsidR="00BF25FF" w:rsidRPr="00DC12F2" w:rsidRDefault="00F47101" w:rsidP="003E1553">
      <w:pPr>
        <w:ind w:firstLine="708"/>
        <w:jc w:val="both"/>
      </w:pPr>
      <w:r w:rsidRPr="00DC12F2">
        <w:t>Основные изменения</w:t>
      </w:r>
      <w:r w:rsidR="00FC2293" w:rsidRPr="00DC12F2">
        <w:t xml:space="preserve">  расходов Аппарата в 201</w:t>
      </w:r>
      <w:r w:rsidRPr="00DC12F2">
        <w:t>5</w:t>
      </w:r>
      <w:r w:rsidR="00FC2293" w:rsidRPr="00DC12F2">
        <w:t xml:space="preserve"> году по отношению к 201</w:t>
      </w:r>
      <w:r w:rsidRPr="00DC12F2">
        <w:t>4</w:t>
      </w:r>
      <w:r w:rsidR="00FC2293" w:rsidRPr="00DC12F2">
        <w:t xml:space="preserve"> году </w:t>
      </w:r>
      <w:r w:rsidRPr="00DC12F2">
        <w:t>объясняются</w:t>
      </w:r>
      <w:r w:rsidR="00A276CD" w:rsidRPr="00DC12F2">
        <w:t>,</w:t>
      </w:r>
      <w:r w:rsidR="00B6202F" w:rsidRPr="00DC12F2">
        <w:t xml:space="preserve"> </w:t>
      </w:r>
      <w:r w:rsidR="007C3391" w:rsidRPr="00DC12F2">
        <w:t>в основном</w:t>
      </w:r>
      <w:r w:rsidR="00A276CD" w:rsidRPr="00DC12F2">
        <w:t>,</w:t>
      </w:r>
      <w:r w:rsidR="007C3391" w:rsidRPr="00DC12F2">
        <w:t xml:space="preserve"> </w:t>
      </w:r>
      <w:r w:rsidR="00B6202F" w:rsidRPr="00DC12F2">
        <w:t>следующими причинами:</w:t>
      </w:r>
    </w:p>
    <w:p w:rsidR="0098024F" w:rsidRPr="00DC12F2" w:rsidRDefault="0098024F" w:rsidP="0098024F">
      <w:pPr>
        <w:ind w:firstLine="708"/>
        <w:jc w:val="both"/>
        <w:rPr>
          <w:bCs/>
          <w:i/>
        </w:rPr>
      </w:pPr>
      <w:r w:rsidRPr="00DC12F2">
        <w:rPr>
          <w:i/>
        </w:rPr>
        <w:t>по подразделу 0104 «</w:t>
      </w:r>
      <w:r w:rsidRPr="00DC12F2">
        <w:rPr>
          <w:bCs/>
          <w:i/>
        </w:rPr>
        <w:t>Функционирование Правительства РФ, высших исполнительных органов государственной власти субъектов РФ»</w:t>
      </w:r>
    </w:p>
    <w:p w:rsidR="0098024F" w:rsidRPr="00DC12F2" w:rsidRDefault="0098024F" w:rsidP="0098024F">
      <w:pPr>
        <w:ind w:firstLine="708"/>
        <w:jc w:val="both"/>
      </w:pPr>
      <w:proofErr w:type="gramStart"/>
      <w:r w:rsidRPr="00DC12F2">
        <w:t xml:space="preserve">- увеличение расходов </w:t>
      </w:r>
      <w:r w:rsidR="00B716E0">
        <w:t xml:space="preserve">на </w:t>
      </w:r>
      <w:r w:rsidRPr="00DC12F2">
        <w:t>33 169,7 тыс. руб., в том числе по целевой статье 9000001 «Обеспечение деятельности государственных органов Волгоградской области» 32 650,1 тыс. руб. в основном за счет увеличения штатной численности Аппарата по сравнению с началом года</w:t>
      </w:r>
      <w:r w:rsidR="002D1929" w:rsidRPr="00DC12F2">
        <w:t xml:space="preserve"> и тем, что в 2014 году была приостановлена</w:t>
      </w:r>
      <w:r w:rsidR="00C36C36">
        <w:t>, а 2015 году возобновлена</w:t>
      </w:r>
      <w:r w:rsidR="002D1929" w:rsidRPr="00DC12F2">
        <w:t xml:space="preserve"> ежемесячная стимулирующая выплата сотрудникам аппарата</w:t>
      </w:r>
      <w:r w:rsidRPr="00DC12F2">
        <w:t>;</w:t>
      </w:r>
      <w:proofErr w:type="gramEnd"/>
    </w:p>
    <w:p w:rsidR="00D74DAE" w:rsidRPr="00DC12F2" w:rsidRDefault="00D74DAE" w:rsidP="003E1553">
      <w:pPr>
        <w:ind w:firstLine="708"/>
        <w:jc w:val="both"/>
        <w:rPr>
          <w:i/>
        </w:rPr>
      </w:pPr>
      <w:r w:rsidRPr="00DC12F2">
        <w:rPr>
          <w:i/>
        </w:rPr>
        <w:t>по подразделу 0113 «Другие общегосударственные вопросы»</w:t>
      </w:r>
    </w:p>
    <w:p w:rsidR="0098024F" w:rsidRPr="00DC12F2" w:rsidRDefault="0098024F" w:rsidP="003E1553">
      <w:pPr>
        <w:ind w:firstLine="708"/>
        <w:jc w:val="both"/>
      </w:pPr>
      <w:r w:rsidRPr="00DC12F2">
        <w:lastRenderedPageBreak/>
        <w:t xml:space="preserve">- 351 037,0 тыс. руб. – увеличение расходов </w:t>
      </w:r>
      <w:r w:rsidR="00C36C36">
        <w:t>за счет изменения в 2015 году подведомственности</w:t>
      </w:r>
      <w:r w:rsidRPr="00DC12F2">
        <w:t xml:space="preserve"> ГБУ «Исполнительная дирекция»</w:t>
      </w:r>
      <w:r w:rsidR="00C36C36">
        <w:t>, которое ранее было подведомственно комитету по управлению государственным имуществом Волгоградской области</w:t>
      </w:r>
      <w:r w:rsidRPr="00DC12F2">
        <w:t>;</w:t>
      </w:r>
    </w:p>
    <w:p w:rsidR="0098024F" w:rsidRPr="00DC12F2" w:rsidRDefault="0098024F" w:rsidP="003E1553">
      <w:pPr>
        <w:ind w:firstLine="708"/>
        <w:jc w:val="both"/>
      </w:pPr>
      <w:r w:rsidRPr="00DC12F2">
        <w:t xml:space="preserve">- 9 609,2 тыс. руб. – проведение в 2015 году мероприятий, посвященных празднованию 70-й годовщины победы в Великой Отечественной </w:t>
      </w:r>
      <w:r w:rsidR="007B166F" w:rsidRPr="00DC12F2">
        <w:t>в</w:t>
      </w:r>
      <w:r w:rsidRPr="00DC12F2">
        <w:t>ойне;</w:t>
      </w:r>
    </w:p>
    <w:p w:rsidR="007B166F" w:rsidRPr="00DC12F2" w:rsidRDefault="007B166F" w:rsidP="003E1553">
      <w:pPr>
        <w:ind w:firstLine="708"/>
        <w:jc w:val="both"/>
      </w:pPr>
      <w:r w:rsidRPr="00DC12F2">
        <w:t xml:space="preserve">- 12 802,4 </w:t>
      </w:r>
      <w:r w:rsidR="00BA1653" w:rsidRPr="00DC12F2">
        <w:t xml:space="preserve">тыс. руб. - </w:t>
      </w:r>
      <w:r w:rsidRPr="00DC12F2">
        <w:t>снижение ассигнований из федерального бюджета на осуществление переданных полномочий  по регистрации</w:t>
      </w:r>
      <w:r w:rsidR="00B716E0">
        <w:t xml:space="preserve"> актов гражданского состояния</w:t>
      </w:r>
      <w:r w:rsidRPr="00DC12F2">
        <w:t xml:space="preserve"> и, соответственно, снижение субвенций муниципальным образованиям на осуществление этих полномочий;</w:t>
      </w:r>
    </w:p>
    <w:p w:rsidR="007B166F" w:rsidRPr="00DC12F2" w:rsidRDefault="00BA1653" w:rsidP="003E1553">
      <w:pPr>
        <w:ind w:firstLine="708"/>
        <w:jc w:val="both"/>
      </w:pPr>
      <w:r w:rsidRPr="00DC12F2">
        <w:t>- 3 970,0 тыс. руб. – исключение расходов на проведение социологических исследований на предмет оценки жителями Волгоградской области эффективности деятельности органов государственной власти и местного самоуправления;</w:t>
      </w:r>
    </w:p>
    <w:p w:rsidR="00BA1653" w:rsidRPr="00DC12F2" w:rsidRDefault="00BA1653" w:rsidP="00BA1653">
      <w:pPr>
        <w:ind w:firstLine="708"/>
        <w:jc w:val="both"/>
        <w:rPr>
          <w:i/>
        </w:rPr>
      </w:pPr>
      <w:r w:rsidRPr="00DC12F2">
        <w:rPr>
          <w:i/>
        </w:rPr>
        <w:t>по подразделу 0705 «Образование»</w:t>
      </w:r>
    </w:p>
    <w:p w:rsidR="00BA1653" w:rsidRPr="00DC12F2" w:rsidRDefault="00BA1653" w:rsidP="003E1553">
      <w:pPr>
        <w:ind w:firstLine="708"/>
        <w:jc w:val="both"/>
      </w:pPr>
      <w:r w:rsidRPr="00DC12F2">
        <w:t xml:space="preserve">- 4 012,6 тыс. руб. </w:t>
      </w:r>
      <w:r w:rsidR="00B716E0">
        <w:t xml:space="preserve">- </w:t>
      </w:r>
      <w:r w:rsidRPr="00DC12F2">
        <w:t>сокращение расходов в связи с оптимизацией расходов (ограничение принятия бюджетных обязательств), сокращением времени запланированных курсов переподготовки, а также в связи с тем, что в 2014 году производилась оплата кредиторской задолженности за 2013 год;</w:t>
      </w:r>
    </w:p>
    <w:p w:rsidR="00BA1653" w:rsidRPr="00DC12F2" w:rsidRDefault="00BA1653" w:rsidP="003E1553">
      <w:pPr>
        <w:ind w:firstLine="708"/>
        <w:jc w:val="both"/>
        <w:rPr>
          <w:i/>
        </w:rPr>
      </w:pPr>
      <w:r w:rsidRPr="00DC12F2">
        <w:rPr>
          <w:i/>
        </w:rPr>
        <w:t>по подразделу 1006 «Социальная политика»</w:t>
      </w:r>
    </w:p>
    <w:p w:rsidR="00BA1653" w:rsidRPr="00DC12F2" w:rsidRDefault="00BA1653" w:rsidP="003E1553">
      <w:pPr>
        <w:ind w:firstLine="708"/>
        <w:jc w:val="both"/>
      </w:pPr>
      <w:r w:rsidRPr="00DC12F2">
        <w:t>- 6 295,0 тыс. руб. – сокращение расходов в связи с доведением лимитов в полном объеме только в июне 2015 года</w:t>
      </w:r>
      <w:r w:rsidR="00011132" w:rsidRPr="00DC12F2">
        <w:t>, в результате чего</w:t>
      </w:r>
      <w:r w:rsidRPr="00DC12F2">
        <w:t xml:space="preserve"> произошло уменьшение оказанной социальной помощи в рамках программы оказания адресной социальной помощи малоимущим и социально незащищенным гражданам</w:t>
      </w:r>
      <w:r w:rsidR="00011132" w:rsidRPr="00DC12F2">
        <w:t>.</w:t>
      </w:r>
    </w:p>
    <w:p w:rsidR="00D75A48" w:rsidRPr="00DC12F2" w:rsidRDefault="00D75A48"/>
    <w:p w:rsidR="00407E9A" w:rsidRPr="00DC12F2" w:rsidRDefault="00407E9A" w:rsidP="00407E9A">
      <w:pPr>
        <w:jc w:val="center"/>
        <w:rPr>
          <w:b/>
          <w:i/>
        </w:rPr>
      </w:pPr>
      <w:r w:rsidRPr="00DC12F2">
        <w:rPr>
          <w:b/>
          <w:i/>
        </w:rPr>
        <w:t>Оплата труда Аппарата</w:t>
      </w:r>
    </w:p>
    <w:p w:rsidR="00407E9A" w:rsidRPr="00DC12F2" w:rsidRDefault="009068E6" w:rsidP="009068E6">
      <w:pPr>
        <w:ind w:firstLine="709"/>
        <w:jc w:val="both"/>
      </w:pPr>
      <w:r w:rsidRPr="00DC12F2">
        <w:t xml:space="preserve">Штатное расписание на 2015 год (в последней редакции) Аппарата утверждено постановлением Губернатора Волгоградской области от 25.09.2015 № 863 в количестве 386 штатных единиц. Согласно представленным к проверке данным расчетный фонд оплаты труда составил 377 392,1 тыс. рублей. Штатная численность государственных гражданских служащих </w:t>
      </w:r>
      <w:r w:rsidR="002318F8" w:rsidRPr="00DC12F2">
        <w:t xml:space="preserve">(ГГС) </w:t>
      </w:r>
      <w:r w:rsidRPr="00DC12F2">
        <w:t>по штатному расписанию составляет 273 штатных единиц</w:t>
      </w:r>
      <w:r w:rsidR="00C36C36">
        <w:t>ы</w:t>
      </w:r>
      <w:r w:rsidRPr="00DC12F2">
        <w:t xml:space="preserve"> при установленной Законом  об областном бюджете на 2015 год предельной численности 275 единиц. Расчетный </w:t>
      </w:r>
      <w:r w:rsidR="002318F8" w:rsidRPr="00DC12F2">
        <w:t xml:space="preserve">фонд по ГГС составил 283 914,0 тыс. руб., фактически произведены расходы на сумму 282 634,0 тыс. руб., экономия составила 1 280,0 тыс. рублей. Согласно представленной информации премии за выполнение особо важных и сложных заданий </w:t>
      </w:r>
      <w:r w:rsidR="00094882">
        <w:t xml:space="preserve">в </w:t>
      </w:r>
      <w:r w:rsidR="002318F8" w:rsidRPr="00DC12F2">
        <w:t>2015 год</w:t>
      </w:r>
      <w:r w:rsidR="0079669A">
        <w:t>у</w:t>
      </w:r>
      <w:r w:rsidR="002318F8" w:rsidRPr="00DC12F2">
        <w:t xml:space="preserve"> не выплачивал</w:t>
      </w:r>
      <w:r w:rsidR="0079669A">
        <w:t>и</w:t>
      </w:r>
      <w:r w:rsidR="002318F8" w:rsidRPr="00DC12F2">
        <w:t>сь.</w:t>
      </w:r>
    </w:p>
    <w:p w:rsidR="009068E6" w:rsidRPr="00DC12F2" w:rsidRDefault="009068E6" w:rsidP="00407E9A">
      <w:pPr>
        <w:jc w:val="center"/>
        <w:rPr>
          <w:b/>
          <w:i/>
        </w:rPr>
      </w:pPr>
    </w:p>
    <w:p w:rsidR="00FE7701" w:rsidRPr="00DC12F2" w:rsidRDefault="003503A4" w:rsidP="00407E9A">
      <w:pPr>
        <w:jc w:val="center"/>
      </w:pPr>
      <w:r w:rsidRPr="00DC12F2">
        <w:rPr>
          <w:b/>
          <w:i/>
        </w:rPr>
        <w:t>Динамика изменения дебиторской и кредиторской задолженностей</w:t>
      </w:r>
    </w:p>
    <w:p w:rsidR="003503A4" w:rsidRPr="00DC12F2" w:rsidRDefault="003503A4" w:rsidP="00AA3BF7">
      <w:pPr>
        <w:ind w:firstLine="709"/>
        <w:jc w:val="both"/>
        <w:rPr>
          <w:i/>
          <w:sz w:val="20"/>
          <w:szCs w:val="20"/>
        </w:rPr>
      </w:pPr>
      <w:r w:rsidRPr="00DC12F2">
        <w:t xml:space="preserve">Информация об объемах дебиторской и кредиторской задолженностей по состоянию </w:t>
      </w:r>
      <w:r w:rsidR="002318F8" w:rsidRPr="00DC12F2">
        <w:t xml:space="preserve">на начало и </w:t>
      </w:r>
      <w:r w:rsidRPr="00DC12F2">
        <w:t>на ко</w:t>
      </w:r>
      <w:r w:rsidR="00454022" w:rsidRPr="00DC12F2">
        <w:t>нец года представлена в таблице</w:t>
      </w:r>
      <w:proofErr w:type="gramStart"/>
      <w:r w:rsidRPr="00DC12F2">
        <w:t>.</w:t>
      </w:r>
      <w:proofErr w:type="gramEnd"/>
      <w:r w:rsidR="00AA3BF7" w:rsidRPr="00DC12F2">
        <w:t xml:space="preserve">                                                                 </w:t>
      </w:r>
      <w:r w:rsidRPr="00DC12F2">
        <w:rPr>
          <w:sz w:val="22"/>
          <w:szCs w:val="22"/>
        </w:rPr>
        <w:t xml:space="preserve"> </w:t>
      </w:r>
      <w:proofErr w:type="gramStart"/>
      <w:r w:rsidRPr="00DC12F2">
        <w:rPr>
          <w:i/>
          <w:sz w:val="20"/>
          <w:szCs w:val="20"/>
        </w:rPr>
        <w:t>т</w:t>
      </w:r>
      <w:proofErr w:type="gramEnd"/>
      <w:r w:rsidRPr="00DC12F2">
        <w:rPr>
          <w:i/>
          <w:sz w:val="20"/>
          <w:szCs w:val="20"/>
        </w:rPr>
        <w:t>ыс. руб.</w:t>
      </w:r>
    </w:p>
    <w:tbl>
      <w:tblPr>
        <w:tblW w:w="9654" w:type="dxa"/>
        <w:tblInd w:w="93" w:type="dxa"/>
        <w:tblLayout w:type="fixed"/>
        <w:tblLook w:val="04A0"/>
      </w:tblPr>
      <w:tblGrid>
        <w:gridCol w:w="4620"/>
        <w:gridCol w:w="1420"/>
        <w:gridCol w:w="1420"/>
        <w:gridCol w:w="1202"/>
        <w:gridCol w:w="992"/>
      </w:tblGrid>
      <w:tr w:rsidR="003503A4" w:rsidRPr="00DC12F2" w:rsidTr="005B5B79">
        <w:trPr>
          <w:trHeight w:val="255"/>
        </w:trPr>
        <w:tc>
          <w:tcPr>
            <w:tcW w:w="462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503A4" w:rsidRPr="00DC12F2" w:rsidRDefault="003503A4" w:rsidP="005B5B7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12F2">
              <w:rPr>
                <w:rFonts w:eastAsia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4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A4" w:rsidRPr="00DC12F2" w:rsidRDefault="003503A4" w:rsidP="005B5B7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12F2">
              <w:rPr>
                <w:rFonts w:eastAsia="Times New Roman"/>
                <w:b/>
                <w:bCs/>
                <w:sz w:val="20"/>
                <w:szCs w:val="20"/>
              </w:rPr>
              <w:t>Бюджетная деятельность</w:t>
            </w:r>
          </w:p>
        </w:tc>
        <w:tc>
          <w:tcPr>
            <w:tcW w:w="219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503A4" w:rsidRPr="00DC12F2" w:rsidRDefault="003503A4" w:rsidP="005B5B7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12F2">
              <w:rPr>
                <w:rFonts w:eastAsia="Times New Roman"/>
                <w:b/>
                <w:bCs/>
                <w:sz w:val="20"/>
                <w:szCs w:val="20"/>
              </w:rPr>
              <w:t>Отклонение</w:t>
            </w:r>
          </w:p>
        </w:tc>
      </w:tr>
      <w:tr w:rsidR="003503A4" w:rsidRPr="00DC12F2" w:rsidTr="005B5B79">
        <w:trPr>
          <w:trHeight w:val="255"/>
        </w:trPr>
        <w:tc>
          <w:tcPr>
            <w:tcW w:w="4620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3503A4" w:rsidRPr="00DC12F2" w:rsidRDefault="003503A4" w:rsidP="005B5B79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A4" w:rsidRPr="00DC12F2" w:rsidRDefault="003503A4" w:rsidP="00E13C1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12F2">
              <w:rPr>
                <w:rFonts w:eastAsia="Times New Roman"/>
                <w:b/>
                <w:bCs/>
                <w:sz w:val="20"/>
                <w:szCs w:val="20"/>
              </w:rPr>
              <w:t>на 01.01.201</w:t>
            </w:r>
            <w:r w:rsidR="00E13C14" w:rsidRPr="00DC12F2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A4" w:rsidRPr="00DC12F2" w:rsidRDefault="003503A4" w:rsidP="00E13C1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12F2">
              <w:rPr>
                <w:rFonts w:eastAsia="Times New Roman"/>
                <w:b/>
                <w:bCs/>
                <w:sz w:val="20"/>
                <w:szCs w:val="20"/>
              </w:rPr>
              <w:t>на 01.01.201</w:t>
            </w:r>
            <w:r w:rsidR="00E13C14" w:rsidRPr="00DC12F2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A4" w:rsidRPr="00DC12F2" w:rsidRDefault="003503A4" w:rsidP="005B5B7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12F2">
              <w:rPr>
                <w:rFonts w:eastAsia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503A4" w:rsidRPr="00DC12F2" w:rsidRDefault="003503A4" w:rsidP="005B5B7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12F2">
              <w:rPr>
                <w:rFonts w:eastAsia="Times New Roman"/>
                <w:b/>
                <w:bCs/>
                <w:sz w:val="20"/>
                <w:szCs w:val="20"/>
              </w:rPr>
              <w:t>%%</w:t>
            </w:r>
          </w:p>
        </w:tc>
      </w:tr>
      <w:tr w:rsidR="001B1C87" w:rsidRPr="00DC12F2" w:rsidTr="001B1C87">
        <w:trPr>
          <w:trHeight w:val="270"/>
        </w:trPr>
        <w:tc>
          <w:tcPr>
            <w:tcW w:w="46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C12F2">
              <w:rPr>
                <w:b/>
                <w:bCs/>
                <w:i/>
                <w:iCs/>
                <w:sz w:val="20"/>
                <w:szCs w:val="20"/>
              </w:rPr>
              <w:t>Дебит</w:t>
            </w:r>
            <w:proofErr w:type="gramStart"/>
            <w:r w:rsidRPr="00DC12F2">
              <w:rPr>
                <w:b/>
                <w:bCs/>
                <w:i/>
                <w:iCs/>
                <w:sz w:val="20"/>
                <w:szCs w:val="20"/>
              </w:rPr>
              <w:t>.</w:t>
            </w:r>
            <w:proofErr w:type="gramEnd"/>
            <w:r w:rsidRPr="00DC12F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DC12F2">
              <w:rPr>
                <w:b/>
                <w:bCs/>
                <w:i/>
                <w:iCs/>
                <w:sz w:val="20"/>
                <w:szCs w:val="20"/>
              </w:rPr>
              <w:t>з</w:t>
            </w:r>
            <w:proofErr w:type="gramEnd"/>
            <w:r w:rsidRPr="00DC12F2">
              <w:rPr>
                <w:b/>
                <w:bCs/>
                <w:i/>
                <w:iCs/>
                <w:sz w:val="20"/>
                <w:szCs w:val="20"/>
              </w:rPr>
              <w:t xml:space="preserve">адолженность ИТОГО:  </w:t>
            </w:r>
            <w:r w:rsidRPr="00DC12F2"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4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C12F2">
              <w:rPr>
                <w:b/>
                <w:bCs/>
                <w:i/>
                <w:iCs/>
                <w:sz w:val="20"/>
                <w:szCs w:val="20"/>
              </w:rPr>
              <w:t>38 219,4</w:t>
            </w:r>
          </w:p>
        </w:tc>
        <w:tc>
          <w:tcPr>
            <w:tcW w:w="14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C12F2">
              <w:rPr>
                <w:b/>
                <w:bCs/>
                <w:i/>
                <w:iCs/>
                <w:sz w:val="20"/>
                <w:szCs w:val="20"/>
              </w:rPr>
              <w:t>29 991,9</w:t>
            </w:r>
          </w:p>
        </w:tc>
        <w:tc>
          <w:tcPr>
            <w:tcW w:w="120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C12F2">
              <w:rPr>
                <w:b/>
                <w:bCs/>
                <w:i/>
                <w:iCs/>
                <w:sz w:val="20"/>
                <w:szCs w:val="20"/>
              </w:rPr>
              <w:t>-8 227,50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C12F2">
              <w:rPr>
                <w:b/>
                <w:bCs/>
                <w:i/>
                <w:iCs/>
                <w:sz w:val="20"/>
                <w:szCs w:val="20"/>
              </w:rPr>
              <w:t>-21,5%</w:t>
            </w:r>
          </w:p>
        </w:tc>
      </w:tr>
      <w:tr w:rsidR="001B1C87" w:rsidRPr="00DC12F2" w:rsidTr="001B1C87">
        <w:trPr>
          <w:trHeight w:val="255"/>
        </w:trPr>
        <w:tc>
          <w:tcPr>
            <w:tcW w:w="462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расчеты с плательщиками доходов</w:t>
            </w:r>
          </w:p>
        </w:tc>
        <w:tc>
          <w:tcPr>
            <w:tcW w:w="142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35 331,1</w:t>
            </w:r>
          </w:p>
        </w:tc>
        <w:tc>
          <w:tcPr>
            <w:tcW w:w="1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23 342,3</w:t>
            </w:r>
          </w:p>
        </w:tc>
        <w:tc>
          <w:tcPr>
            <w:tcW w:w="120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C12F2">
              <w:rPr>
                <w:b/>
                <w:bCs/>
                <w:i/>
                <w:iCs/>
                <w:sz w:val="20"/>
                <w:szCs w:val="20"/>
              </w:rPr>
              <w:t>-11 988,80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C12F2">
              <w:rPr>
                <w:b/>
                <w:bCs/>
                <w:i/>
                <w:iCs/>
                <w:sz w:val="20"/>
                <w:szCs w:val="20"/>
              </w:rPr>
              <w:t>-33,9%</w:t>
            </w:r>
          </w:p>
        </w:tc>
      </w:tr>
      <w:tr w:rsidR="001B1C87" w:rsidRPr="00DC12F2" w:rsidTr="001B1C87">
        <w:trPr>
          <w:trHeight w:val="255"/>
        </w:trPr>
        <w:tc>
          <w:tcPr>
            <w:tcW w:w="46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расчеты по выданным авансам</w:t>
            </w:r>
          </w:p>
        </w:tc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2 486,3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6 175,0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C12F2">
              <w:rPr>
                <w:b/>
                <w:bCs/>
                <w:i/>
                <w:iCs/>
                <w:sz w:val="20"/>
                <w:szCs w:val="20"/>
              </w:rPr>
              <w:t>3 688,70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C12F2">
              <w:rPr>
                <w:b/>
                <w:bCs/>
                <w:i/>
                <w:iCs/>
                <w:sz w:val="20"/>
                <w:szCs w:val="20"/>
              </w:rPr>
              <w:t>148,4%</w:t>
            </w:r>
          </w:p>
        </w:tc>
      </w:tr>
      <w:tr w:rsidR="001B1C87" w:rsidRPr="00DC12F2" w:rsidTr="001B1C87">
        <w:trPr>
          <w:trHeight w:val="255"/>
        </w:trPr>
        <w:tc>
          <w:tcPr>
            <w:tcW w:w="46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238,9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53,0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C12F2">
              <w:rPr>
                <w:b/>
                <w:bCs/>
                <w:i/>
                <w:iCs/>
                <w:sz w:val="20"/>
                <w:szCs w:val="20"/>
              </w:rPr>
              <w:t>-185,90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C12F2">
              <w:rPr>
                <w:b/>
                <w:bCs/>
                <w:i/>
                <w:iCs/>
                <w:sz w:val="20"/>
                <w:szCs w:val="20"/>
              </w:rPr>
              <w:t>-77,8%</w:t>
            </w:r>
          </w:p>
        </w:tc>
      </w:tr>
      <w:tr w:rsidR="001B1C87" w:rsidRPr="00DC12F2" w:rsidTr="001B1C87">
        <w:trPr>
          <w:trHeight w:val="255"/>
        </w:trPr>
        <w:tc>
          <w:tcPr>
            <w:tcW w:w="46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расчеты по ущербу и иным доходам</w:t>
            </w:r>
          </w:p>
        </w:tc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115,1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C12F2">
              <w:rPr>
                <w:b/>
                <w:bCs/>
                <w:i/>
                <w:iCs/>
                <w:sz w:val="20"/>
                <w:szCs w:val="20"/>
              </w:rPr>
              <w:t>115,10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C12F2">
              <w:rPr>
                <w:b/>
                <w:bCs/>
                <w:i/>
                <w:iCs/>
                <w:sz w:val="20"/>
                <w:szCs w:val="20"/>
              </w:rPr>
              <w:t>Х</w:t>
            </w:r>
          </w:p>
        </w:tc>
      </w:tr>
      <w:tr w:rsidR="001B1C87" w:rsidRPr="00DC12F2" w:rsidTr="001B1C87">
        <w:trPr>
          <w:trHeight w:val="255"/>
        </w:trPr>
        <w:tc>
          <w:tcPr>
            <w:tcW w:w="46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142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163,1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306,5</w:t>
            </w:r>
          </w:p>
        </w:tc>
        <w:tc>
          <w:tcPr>
            <w:tcW w:w="12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C12F2">
              <w:rPr>
                <w:b/>
                <w:bCs/>
                <w:i/>
                <w:iCs/>
                <w:sz w:val="20"/>
                <w:szCs w:val="20"/>
              </w:rPr>
              <w:t>143,40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C12F2">
              <w:rPr>
                <w:b/>
                <w:bCs/>
                <w:i/>
                <w:iCs/>
                <w:sz w:val="20"/>
                <w:szCs w:val="20"/>
              </w:rPr>
              <w:t>87,9%</w:t>
            </w:r>
          </w:p>
        </w:tc>
      </w:tr>
      <w:tr w:rsidR="001B1C87" w:rsidRPr="00DC12F2" w:rsidTr="001B1C87">
        <w:trPr>
          <w:trHeight w:val="270"/>
        </w:trPr>
        <w:tc>
          <w:tcPr>
            <w:tcW w:w="46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C12F2">
              <w:rPr>
                <w:b/>
                <w:bCs/>
                <w:i/>
                <w:iCs/>
                <w:sz w:val="20"/>
                <w:szCs w:val="20"/>
              </w:rPr>
              <w:t>Кредит</w:t>
            </w:r>
            <w:proofErr w:type="gramStart"/>
            <w:r w:rsidRPr="00DC12F2">
              <w:rPr>
                <w:b/>
                <w:bCs/>
                <w:i/>
                <w:iCs/>
                <w:sz w:val="20"/>
                <w:szCs w:val="20"/>
              </w:rPr>
              <w:t>.</w:t>
            </w:r>
            <w:proofErr w:type="gramEnd"/>
            <w:r w:rsidRPr="00DC12F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DC12F2">
              <w:rPr>
                <w:b/>
                <w:bCs/>
                <w:i/>
                <w:iCs/>
                <w:sz w:val="20"/>
                <w:szCs w:val="20"/>
              </w:rPr>
              <w:t>з</w:t>
            </w:r>
            <w:proofErr w:type="gramEnd"/>
            <w:r w:rsidRPr="00DC12F2">
              <w:rPr>
                <w:b/>
                <w:bCs/>
                <w:i/>
                <w:iCs/>
                <w:sz w:val="20"/>
                <w:szCs w:val="20"/>
              </w:rPr>
              <w:t xml:space="preserve">адолженность ИТОГО: </w:t>
            </w:r>
            <w:r w:rsidRPr="00DC12F2"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4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C12F2">
              <w:rPr>
                <w:b/>
                <w:bCs/>
                <w:i/>
                <w:iCs/>
                <w:sz w:val="20"/>
                <w:szCs w:val="20"/>
              </w:rPr>
              <w:t>8 786,7</w:t>
            </w:r>
          </w:p>
        </w:tc>
        <w:tc>
          <w:tcPr>
            <w:tcW w:w="14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C12F2">
              <w:rPr>
                <w:b/>
                <w:bCs/>
                <w:i/>
                <w:iCs/>
                <w:sz w:val="20"/>
                <w:szCs w:val="20"/>
              </w:rPr>
              <w:t>7 080,4</w:t>
            </w:r>
          </w:p>
        </w:tc>
        <w:tc>
          <w:tcPr>
            <w:tcW w:w="120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C12F2">
              <w:rPr>
                <w:b/>
                <w:bCs/>
                <w:i/>
                <w:iCs/>
                <w:sz w:val="20"/>
                <w:szCs w:val="20"/>
              </w:rPr>
              <w:t>-1 706,30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C12F2">
              <w:rPr>
                <w:b/>
                <w:bCs/>
                <w:i/>
                <w:iCs/>
                <w:sz w:val="20"/>
                <w:szCs w:val="20"/>
              </w:rPr>
              <w:t>-19,4%</w:t>
            </w:r>
          </w:p>
        </w:tc>
      </w:tr>
      <w:tr w:rsidR="001B1C87" w:rsidRPr="00DC12F2" w:rsidTr="001B1C87">
        <w:trPr>
          <w:trHeight w:val="255"/>
        </w:trPr>
        <w:tc>
          <w:tcPr>
            <w:tcW w:w="462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расчеты по принятым обязательствам</w:t>
            </w:r>
          </w:p>
        </w:tc>
        <w:tc>
          <w:tcPr>
            <w:tcW w:w="142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428,4</w:t>
            </w:r>
          </w:p>
        </w:tc>
        <w:tc>
          <w:tcPr>
            <w:tcW w:w="1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345,3</w:t>
            </w:r>
          </w:p>
        </w:tc>
        <w:tc>
          <w:tcPr>
            <w:tcW w:w="120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C12F2">
              <w:rPr>
                <w:b/>
                <w:bCs/>
                <w:i/>
                <w:iCs/>
                <w:sz w:val="20"/>
                <w:szCs w:val="20"/>
              </w:rPr>
              <w:t>-83,10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C12F2">
              <w:rPr>
                <w:b/>
                <w:bCs/>
                <w:i/>
                <w:iCs/>
                <w:sz w:val="20"/>
                <w:szCs w:val="20"/>
              </w:rPr>
              <w:t>-19,4%</w:t>
            </w:r>
          </w:p>
        </w:tc>
      </w:tr>
      <w:tr w:rsidR="001B1C87" w:rsidRPr="00DC12F2" w:rsidTr="001B1C87">
        <w:trPr>
          <w:trHeight w:val="255"/>
        </w:trPr>
        <w:tc>
          <w:tcPr>
            <w:tcW w:w="462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142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32,4</w:t>
            </w:r>
          </w:p>
        </w:tc>
        <w:tc>
          <w:tcPr>
            <w:tcW w:w="1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0,0</w:t>
            </w:r>
          </w:p>
        </w:tc>
        <w:tc>
          <w:tcPr>
            <w:tcW w:w="120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C12F2">
              <w:rPr>
                <w:b/>
                <w:bCs/>
                <w:i/>
                <w:iCs/>
                <w:sz w:val="20"/>
                <w:szCs w:val="20"/>
              </w:rPr>
              <w:t>-32,40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C12F2">
              <w:rPr>
                <w:b/>
                <w:bCs/>
                <w:i/>
                <w:iCs/>
                <w:sz w:val="20"/>
                <w:szCs w:val="20"/>
              </w:rPr>
              <w:t>-100,0%</w:t>
            </w:r>
          </w:p>
        </w:tc>
      </w:tr>
      <w:tr w:rsidR="001B1C87" w:rsidRPr="00DC12F2" w:rsidTr="001B1C87">
        <w:trPr>
          <w:trHeight w:val="255"/>
        </w:trPr>
        <w:tc>
          <w:tcPr>
            <w:tcW w:w="462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расчеты по доходам</w:t>
            </w:r>
          </w:p>
        </w:tc>
        <w:tc>
          <w:tcPr>
            <w:tcW w:w="142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8 325,9</w:t>
            </w:r>
          </w:p>
        </w:tc>
        <w:tc>
          <w:tcPr>
            <w:tcW w:w="1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6 696,6</w:t>
            </w:r>
          </w:p>
        </w:tc>
        <w:tc>
          <w:tcPr>
            <w:tcW w:w="120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C12F2">
              <w:rPr>
                <w:b/>
                <w:bCs/>
                <w:i/>
                <w:iCs/>
                <w:sz w:val="20"/>
                <w:szCs w:val="20"/>
              </w:rPr>
              <w:t>-1 629,30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C12F2">
              <w:rPr>
                <w:b/>
                <w:bCs/>
                <w:i/>
                <w:iCs/>
                <w:sz w:val="20"/>
                <w:szCs w:val="20"/>
              </w:rPr>
              <w:t>-19,6%</w:t>
            </w:r>
          </w:p>
        </w:tc>
      </w:tr>
      <w:tr w:rsidR="001B1C87" w:rsidRPr="00DC12F2" w:rsidTr="001B1C87">
        <w:trPr>
          <w:trHeight w:val="255"/>
        </w:trPr>
        <w:tc>
          <w:tcPr>
            <w:tcW w:w="46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расчеты по ущербу и иным доходам</w:t>
            </w:r>
          </w:p>
        </w:tc>
        <w:tc>
          <w:tcPr>
            <w:tcW w:w="142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38,5</w:t>
            </w:r>
          </w:p>
        </w:tc>
        <w:tc>
          <w:tcPr>
            <w:tcW w:w="12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C12F2">
              <w:rPr>
                <w:b/>
                <w:bCs/>
                <w:i/>
                <w:iCs/>
                <w:sz w:val="20"/>
                <w:szCs w:val="20"/>
              </w:rPr>
              <w:t>38,50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1B1C87" w:rsidRPr="00DC12F2" w:rsidRDefault="001B1C8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C12F2">
              <w:rPr>
                <w:b/>
                <w:bCs/>
                <w:i/>
                <w:iCs/>
                <w:sz w:val="20"/>
                <w:szCs w:val="20"/>
              </w:rPr>
              <w:t>Х</w:t>
            </w:r>
          </w:p>
        </w:tc>
      </w:tr>
    </w:tbl>
    <w:p w:rsidR="003503A4" w:rsidRPr="00DC12F2" w:rsidRDefault="003503A4" w:rsidP="003503A4">
      <w:pPr>
        <w:ind w:firstLine="720"/>
        <w:jc w:val="both"/>
        <w:rPr>
          <w:i/>
          <w:u w:val="single"/>
        </w:rPr>
      </w:pPr>
    </w:p>
    <w:p w:rsidR="00FE7701" w:rsidRPr="00DC12F2" w:rsidRDefault="003503A4" w:rsidP="00407E9A">
      <w:pPr>
        <w:ind w:firstLine="720"/>
        <w:jc w:val="center"/>
      </w:pPr>
      <w:r w:rsidRPr="00DC12F2">
        <w:rPr>
          <w:b/>
          <w:i/>
        </w:rPr>
        <w:t>Состояние дебиторской задолженности</w:t>
      </w:r>
    </w:p>
    <w:p w:rsidR="002A1243" w:rsidRPr="00DC12F2" w:rsidRDefault="003503A4" w:rsidP="003503A4">
      <w:pPr>
        <w:ind w:firstLine="720"/>
        <w:jc w:val="both"/>
      </w:pPr>
      <w:r w:rsidRPr="00DC12F2">
        <w:t>Дебиторская задолженность Аппарата на 01.01.201</w:t>
      </w:r>
      <w:r w:rsidR="001B1C87" w:rsidRPr="00DC12F2">
        <w:t>6</w:t>
      </w:r>
      <w:r w:rsidRPr="00DC12F2">
        <w:t xml:space="preserve"> составила </w:t>
      </w:r>
      <w:r w:rsidR="001B1C87" w:rsidRPr="00DC12F2">
        <w:t>29 991,9</w:t>
      </w:r>
      <w:r w:rsidRPr="00DC12F2">
        <w:t xml:space="preserve"> тыс. руб., что на </w:t>
      </w:r>
      <w:r w:rsidR="00221D9E" w:rsidRPr="00DC12F2">
        <w:t>8 227,5</w:t>
      </w:r>
      <w:r w:rsidRPr="00DC12F2">
        <w:t xml:space="preserve"> тыс. руб., или на </w:t>
      </w:r>
      <w:r w:rsidR="00221D9E" w:rsidRPr="00DC12F2">
        <w:t>21,5</w:t>
      </w:r>
      <w:r w:rsidRPr="00DC12F2">
        <w:t>% меньше соответствующего показателя за 201</w:t>
      </w:r>
      <w:r w:rsidR="00221D9E" w:rsidRPr="00DC12F2">
        <w:t>4</w:t>
      </w:r>
      <w:r w:rsidRPr="00DC12F2">
        <w:t xml:space="preserve"> год.</w:t>
      </w:r>
    </w:p>
    <w:p w:rsidR="00D92328" w:rsidRPr="00DC12F2" w:rsidRDefault="002A1243" w:rsidP="00095789">
      <w:pPr>
        <w:ind w:firstLine="720"/>
        <w:jc w:val="both"/>
        <w:rPr>
          <w:bCs/>
        </w:rPr>
      </w:pPr>
      <w:r w:rsidRPr="00DC12F2">
        <w:lastRenderedPageBreak/>
        <w:t>О</w:t>
      </w:r>
      <w:r w:rsidR="003503A4" w:rsidRPr="00DC12F2">
        <w:t>сновная доля (</w:t>
      </w:r>
      <w:r w:rsidR="00221D9E" w:rsidRPr="00DC12F2">
        <w:t>77,8</w:t>
      </w:r>
      <w:r w:rsidR="003503A4" w:rsidRPr="00DC12F2">
        <w:t xml:space="preserve">%) дебиторской задолженности пришлась на задолженность по </w:t>
      </w:r>
      <w:r w:rsidR="00221D9E" w:rsidRPr="00DC12F2">
        <w:t>расчетам с плательщиками доходов, основную часть из которых – 23 148,9 тыс. руб. составляет задолженность по административным штрафам.</w:t>
      </w:r>
      <w:r w:rsidR="006943DD" w:rsidRPr="00DC12F2">
        <w:t xml:space="preserve"> При этом в течение 2015 года наблюдается существенное снижение такой задолженности – на начало года она составляла 35 331,1 тыс. рублей</w:t>
      </w:r>
      <w:r w:rsidR="00D92328" w:rsidRPr="00DC12F2">
        <w:t xml:space="preserve">. Существенное снижение задолженности объясняется не поступлением средств, а проведенной в 2015 году Аппаратом работой по списанию задолженности, образованной до 01.01.2012, о </w:t>
      </w:r>
      <w:proofErr w:type="gramStart"/>
      <w:r w:rsidR="00D92328" w:rsidRPr="00DC12F2">
        <w:t>нереальности</w:t>
      </w:r>
      <w:proofErr w:type="gramEnd"/>
      <w:r w:rsidR="00D92328" w:rsidRPr="00DC12F2">
        <w:t xml:space="preserve"> взыскания которой КСП указывала при внешней проверке за 2014 год.</w:t>
      </w:r>
    </w:p>
    <w:p w:rsidR="00FE7701" w:rsidRPr="00DC12F2" w:rsidRDefault="003503A4" w:rsidP="00407E9A">
      <w:pPr>
        <w:ind w:firstLine="709"/>
        <w:jc w:val="center"/>
      </w:pPr>
      <w:r w:rsidRPr="00DC12F2">
        <w:rPr>
          <w:b/>
          <w:i/>
        </w:rPr>
        <w:t>Состояние кредиторской задолженности</w:t>
      </w:r>
    </w:p>
    <w:p w:rsidR="003503A4" w:rsidRPr="00DC12F2" w:rsidRDefault="003503A4" w:rsidP="00AA3BF7">
      <w:pPr>
        <w:ind w:firstLine="709"/>
        <w:jc w:val="both"/>
      </w:pPr>
      <w:r w:rsidRPr="00DC12F2">
        <w:t>Кредиторская задолженность Аппарата на 01.01.201</w:t>
      </w:r>
      <w:r w:rsidR="0079669A">
        <w:t>6</w:t>
      </w:r>
      <w:r w:rsidRPr="00DC12F2">
        <w:t xml:space="preserve"> составила </w:t>
      </w:r>
      <w:r w:rsidR="00D92328" w:rsidRPr="00DC12F2">
        <w:rPr>
          <w:bCs/>
          <w:iCs/>
        </w:rPr>
        <w:t xml:space="preserve">7 080,4 </w:t>
      </w:r>
      <w:r w:rsidRPr="00DC12F2">
        <w:t>тыс. руб</w:t>
      </w:r>
      <w:r w:rsidR="00D92328" w:rsidRPr="00DC12F2">
        <w:t>лей. Основная часть задолженности – 94,6%, или 6 696,6 тыс. руб. образовалась по невыясненным поступлениям административных штрафов</w:t>
      </w:r>
      <w:r w:rsidRPr="00DC12F2">
        <w:t xml:space="preserve">. </w:t>
      </w:r>
      <w:r w:rsidR="00D92328" w:rsidRPr="00DC12F2">
        <w:t xml:space="preserve">По остальным обязательствам задолженность Аппарата незначительна и в течение 2015 года сократилась с </w:t>
      </w:r>
      <w:r w:rsidRPr="00DC12F2">
        <w:t xml:space="preserve"> </w:t>
      </w:r>
      <w:r w:rsidR="00D92328" w:rsidRPr="00DC12F2">
        <w:t>460,8 тыс. руб. до 383,8 тыс. рублей.</w:t>
      </w:r>
    </w:p>
    <w:p w:rsidR="00FE7701" w:rsidRPr="00DC12F2" w:rsidRDefault="00EB4066" w:rsidP="00407E9A">
      <w:pPr>
        <w:autoSpaceDE w:val="0"/>
        <w:autoSpaceDN w:val="0"/>
        <w:adjustRightInd w:val="0"/>
        <w:jc w:val="center"/>
      </w:pPr>
      <w:r w:rsidRPr="00DC12F2">
        <w:rPr>
          <w:b/>
          <w:i/>
        </w:rPr>
        <w:t>Анализ достижения поставленных целей и ожидаемых результатов</w:t>
      </w:r>
    </w:p>
    <w:p w:rsidR="00EB4066" w:rsidRPr="00DC12F2" w:rsidRDefault="00EB4066" w:rsidP="00EB4066">
      <w:pPr>
        <w:autoSpaceDE w:val="0"/>
        <w:autoSpaceDN w:val="0"/>
        <w:adjustRightInd w:val="0"/>
        <w:ind w:firstLine="709"/>
        <w:jc w:val="both"/>
      </w:pPr>
      <w:r w:rsidRPr="00DC12F2">
        <w:t xml:space="preserve">Постановлением Губернатора Волгоградской области от </w:t>
      </w:r>
      <w:r w:rsidR="002274AD" w:rsidRPr="00DC12F2">
        <w:t>14.07.2014 № 611</w:t>
      </w:r>
      <w:r w:rsidRPr="00DC12F2">
        <w:t xml:space="preserve"> «</w:t>
      </w:r>
      <w:r w:rsidR="002274AD" w:rsidRPr="00DC12F2">
        <w:t xml:space="preserve">Об организации работы по оценке эффективности деятельности органов исполнительной власти Волгоградской области» </w:t>
      </w:r>
      <w:r w:rsidRPr="00DC12F2">
        <w:t xml:space="preserve">показатели оценки эффективности деятельности Аппарата не установлены. </w:t>
      </w:r>
    </w:p>
    <w:p w:rsidR="00D153F8" w:rsidRPr="00DC12F2" w:rsidRDefault="00D153F8" w:rsidP="00EB4066">
      <w:pPr>
        <w:autoSpaceDE w:val="0"/>
        <w:autoSpaceDN w:val="0"/>
        <w:adjustRightInd w:val="0"/>
        <w:ind w:firstLine="709"/>
        <w:jc w:val="both"/>
      </w:pPr>
      <w:r w:rsidRPr="00DC12F2">
        <w:t>Информация о выполнении показателей государственных заданий подведомственными учреждениями приведена в следующей таблице.</w:t>
      </w:r>
    </w:p>
    <w:tbl>
      <w:tblPr>
        <w:tblStyle w:val="a5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14"/>
        <w:gridCol w:w="4006"/>
        <w:gridCol w:w="1134"/>
        <w:gridCol w:w="1418"/>
        <w:gridCol w:w="1559"/>
      </w:tblGrid>
      <w:tr w:rsidR="00D153F8" w:rsidRPr="00DC12F2" w:rsidTr="00D2333A">
        <w:tc>
          <w:tcPr>
            <w:tcW w:w="1914" w:type="dxa"/>
          </w:tcPr>
          <w:p w:rsidR="00D153F8" w:rsidRPr="00DC12F2" w:rsidRDefault="00D153F8" w:rsidP="00D153F8">
            <w:pPr>
              <w:autoSpaceDE w:val="0"/>
              <w:autoSpaceDN w:val="0"/>
              <w:adjustRightInd w:val="0"/>
              <w:jc w:val="center"/>
            </w:pPr>
            <w:r w:rsidRPr="00DC12F2">
              <w:t>Учреждение</w:t>
            </w:r>
          </w:p>
        </w:tc>
        <w:tc>
          <w:tcPr>
            <w:tcW w:w="4006" w:type="dxa"/>
          </w:tcPr>
          <w:p w:rsidR="00D153F8" w:rsidRPr="00DC12F2" w:rsidRDefault="00D153F8" w:rsidP="00D153F8">
            <w:pPr>
              <w:autoSpaceDE w:val="0"/>
              <w:autoSpaceDN w:val="0"/>
              <w:adjustRightInd w:val="0"/>
              <w:jc w:val="center"/>
            </w:pPr>
            <w:r w:rsidRPr="00DC12F2">
              <w:t>Наименование работы</w:t>
            </w:r>
          </w:p>
        </w:tc>
        <w:tc>
          <w:tcPr>
            <w:tcW w:w="1134" w:type="dxa"/>
          </w:tcPr>
          <w:p w:rsidR="00D153F8" w:rsidRPr="00DC12F2" w:rsidRDefault="00D153F8" w:rsidP="00D153F8">
            <w:pPr>
              <w:autoSpaceDE w:val="0"/>
              <w:autoSpaceDN w:val="0"/>
              <w:adjustRightInd w:val="0"/>
              <w:jc w:val="center"/>
            </w:pPr>
            <w:r w:rsidRPr="00DC12F2">
              <w:t>План</w:t>
            </w:r>
          </w:p>
        </w:tc>
        <w:tc>
          <w:tcPr>
            <w:tcW w:w="1418" w:type="dxa"/>
          </w:tcPr>
          <w:p w:rsidR="00D153F8" w:rsidRPr="00DC12F2" w:rsidRDefault="00D153F8" w:rsidP="00D153F8">
            <w:pPr>
              <w:autoSpaceDE w:val="0"/>
              <w:autoSpaceDN w:val="0"/>
              <w:adjustRightInd w:val="0"/>
              <w:jc w:val="center"/>
            </w:pPr>
            <w:r w:rsidRPr="00DC12F2">
              <w:t>Факт</w:t>
            </w:r>
          </w:p>
        </w:tc>
        <w:tc>
          <w:tcPr>
            <w:tcW w:w="1559" w:type="dxa"/>
          </w:tcPr>
          <w:p w:rsidR="00D153F8" w:rsidRPr="00DC12F2" w:rsidRDefault="00D153F8" w:rsidP="00D153F8">
            <w:pPr>
              <w:autoSpaceDE w:val="0"/>
              <w:autoSpaceDN w:val="0"/>
              <w:adjustRightInd w:val="0"/>
              <w:jc w:val="center"/>
            </w:pPr>
            <w:r w:rsidRPr="00DC12F2">
              <w:t>Отклонение</w:t>
            </w:r>
          </w:p>
        </w:tc>
      </w:tr>
      <w:tr w:rsidR="00D153F8" w:rsidRPr="00DC12F2" w:rsidTr="00D2333A">
        <w:tc>
          <w:tcPr>
            <w:tcW w:w="1914" w:type="dxa"/>
          </w:tcPr>
          <w:p w:rsidR="00D153F8" w:rsidRPr="00DC12F2" w:rsidRDefault="00C53A11" w:rsidP="00D153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ГБУ «Общепит-1»</w:t>
            </w:r>
          </w:p>
        </w:tc>
        <w:tc>
          <w:tcPr>
            <w:tcW w:w="4006" w:type="dxa"/>
          </w:tcPr>
          <w:p w:rsidR="00D153F8" w:rsidRPr="00DD54D8" w:rsidRDefault="00C53A11" w:rsidP="00D153F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54D8">
              <w:rPr>
                <w:sz w:val="18"/>
                <w:szCs w:val="18"/>
              </w:rPr>
              <w:t>Организация и обслуживание мероприятий, совещаний (семинаров), официальных визитов, приемов, иных торжественных мероприятий (чел.)</w:t>
            </w:r>
          </w:p>
        </w:tc>
        <w:tc>
          <w:tcPr>
            <w:tcW w:w="1134" w:type="dxa"/>
          </w:tcPr>
          <w:p w:rsidR="00D153F8" w:rsidRPr="00DD54D8" w:rsidRDefault="00C53A11" w:rsidP="00C53A1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D54D8">
              <w:rPr>
                <w:sz w:val="20"/>
                <w:szCs w:val="20"/>
              </w:rPr>
              <w:t>4</w:t>
            </w:r>
            <w:r w:rsidR="00964368" w:rsidRPr="00DD54D8">
              <w:rPr>
                <w:sz w:val="20"/>
                <w:szCs w:val="20"/>
              </w:rPr>
              <w:t xml:space="preserve"> </w:t>
            </w:r>
            <w:r w:rsidRPr="00DD54D8">
              <w:rPr>
                <w:sz w:val="20"/>
                <w:szCs w:val="20"/>
              </w:rPr>
              <w:t>779</w:t>
            </w:r>
          </w:p>
        </w:tc>
        <w:tc>
          <w:tcPr>
            <w:tcW w:w="1418" w:type="dxa"/>
          </w:tcPr>
          <w:p w:rsidR="00D153F8" w:rsidRPr="00DD54D8" w:rsidRDefault="00C53A11" w:rsidP="00C53A1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D54D8">
              <w:rPr>
                <w:sz w:val="20"/>
                <w:szCs w:val="20"/>
              </w:rPr>
              <w:t>4</w:t>
            </w:r>
            <w:r w:rsidR="00964368" w:rsidRPr="00DD54D8">
              <w:rPr>
                <w:sz w:val="20"/>
                <w:szCs w:val="20"/>
              </w:rPr>
              <w:t xml:space="preserve"> </w:t>
            </w:r>
            <w:r w:rsidRPr="00DD54D8">
              <w:rPr>
                <w:sz w:val="20"/>
                <w:szCs w:val="20"/>
              </w:rPr>
              <w:t>525</w:t>
            </w:r>
          </w:p>
        </w:tc>
        <w:tc>
          <w:tcPr>
            <w:tcW w:w="1559" w:type="dxa"/>
          </w:tcPr>
          <w:p w:rsidR="00D153F8" w:rsidRPr="00DD54D8" w:rsidRDefault="00C53A11" w:rsidP="00C53A1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D54D8">
              <w:rPr>
                <w:sz w:val="20"/>
                <w:szCs w:val="20"/>
              </w:rPr>
              <w:t>- 254</w:t>
            </w:r>
          </w:p>
        </w:tc>
      </w:tr>
      <w:tr w:rsidR="00C53A11" w:rsidRPr="00DC12F2" w:rsidTr="00D2333A">
        <w:tc>
          <w:tcPr>
            <w:tcW w:w="1914" w:type="dxa"/>
            <w:vMerge w:val="restart"/>
          </w:tcPr>
          <w:p w:rsidR="00C53A11" w:rsidRPr="00DC12F2" w:rsidRDefault="00C53A11" w:rsidP="00D153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12F2">
              <w:rPr>
                <w:sz w:val="20"/>
                <w:szCs w:val="20"/>
              </w:rPr>
              <w:t>ГБУ «Исполнительная дирекция</w:t>
            </w:r>
          </w:p>
        </w:tc>
        <w:tc>
          <w:tcPr>
            <w:tcW w:w="4006" w:type="dxa"/>
          </w:tcPr>
          <w:p w:rsidR="00C53A11" w:rsidRPr="00DD54D8" w:rsidRDefault="00C53A11" w:rsidP="00C53A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54D8">
              <w:rPr>
                <w:sz w:val="18"/>
                <w:szCs w:val="18"/>
              </w:rPr>
              <w:t>Автотранспортное обеспечение (</w:t>
            </w:r>
            <w:proofErr w:type="spellStart"/>
            <w:r w:rsidRPr="00DD54D8">
              <w:rPr>
                <w:sz w:val="18"/>
                <w:szCs w:val="18"/>
              </w:rPr>
              <w:t>маш</w:t>
            </w:r>
            <w:proofErr w:type="spellEnd"/>
            <w:r w:rsidRPr="00DD54D8">
              <w:rPr>
                <w:sz w:val="18"/>
                <w:szCs w:val="18"/>
              </w:rPr>
              <w:t>. час.)</w:t>
            </w:r>
          </w:p>
        </w:tc>
        <w:tc>
          <w:tcPr>
            <w:tcW w:w="1134" w:type="dxa"/>
          </w:tcPr>
          <w:p w:rsidR="00C53A11" w:rsidRPr="00DD54D8" w:rsidRDefault="00C53A11" w:rsidP="00C53A1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D54D8">
              <w:rPr>
                <w:sz w:val="20"/>
                <w:szCs w:val="20"/>
              </w:rPr>
              <w:t>525 442</w:t>
            </w:r>
          </w:p>
        </w:tc>
        <w:tc>
          <w:tcPr>
            <w:tcW w:w="1418" w:type="dxa"/>
          </w:tcPr>
          <w:p w:rsidR="00C53A11" w:rsidRPr="00DD54D8" w:rsidRDefault="00C53A11" w:rsidP="00C53A1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D54D8">
              <w:rPr>
                <w:sz w:val="20"/>
                <w:szCs w:val="20"/>
              </w:rPr>
              <w:t>535</w:t>
            </w:r>
            <w:r w:rsidR="00964368" w:rsidRPr="00DD54D8">
              <w:rPr>
                <w:sz w:val="20"/>
                <w:szCs w:val="20"/>
              </w:rPr>
              <w:t xml:space="preserve"> </w:t>
            </w:r>
            <w:r w:rsidRPr="00DD54D8">
              <w:rPr>
                <w:sz w:val="20"/>
                <w:szCs w:val="20"/>
              </w:rPr>
              <w:t>094</w:t>
            </w:r>
          </w:p>
        </w:tc>
        <w:tc>
          <w:tcPr>
            <w:tcW w:w="1559" w:type="dxa"/>
          </w:tcPr>
          <w:p w:rsidR="00C53A11" w:rsidRPr="00DD54D8" w:rsidRDefault="00C53A11" w:rsidP="00C53A1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D54D8">
              <w:rPr>
                <w:sz w:val="20"/>
                <w:szCs w:val="20"/>
              </w:rPr>
              <w:t>+ 9652</w:t>
            </w:r>
          </w:p>
        </w:tc>
      </w:tr>
      <w:tr w:rsidR="00C53A11" w:rsidRPr="00DC12F2" w:rsidTr="00D2333A">
        <w:tc>
          <w:tcPr>
            <w:tcW w:w="1914" w:type="dxa"/>
            <w:vMerge/>
          </w:tcPr>
          <w:p w:rsidR="00C53A11" w:rsidRPr="00DC12F2" w:rsidRDefault="00C53A11" w:rsidP="00D153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06" w:type="dxa"/>
          </w:tcPr>
          <w:p w:rsidR="00C53A11" w:rsidRPr="00DD54D8" w:rsidRDefault="00C53A11" w:rsidP="00C53A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54D8">
              <w:rPr>
                <w:sz w:val="18"/>
                <w:szCs w:val="18"/>
              </w:rPr>
              <w:t xml:space="preserve">Материально-техническое и хозяйственное обеспечение органов </w:t>
            </w:r>
            <w:proofErr w:type="spellStart"/>
            <w:r w:rsidRPr="00DD54D8">
              <w:rPr>
                <w:sz w:val="18"/>
                <w:szCs w:val="18"/>
              </w:rPr>
              <w:t>гос</w:t>
            </w:r>
            <w:proofErr w:type="spellEnd"/>
            <w:r w:rsidRPr="00DD54D8">
              <w:rPr>
                <w:sz w:val="18"/>
                <w:szCs w:val="18"/>
              </w:rPr>
              <w:t>. власти Волгоградской области (кв.м.)</w:t>
            </w:r>
          </w:p>
        </w:tc>
        <w:tc>
          <w:tcPr>
            <w:tcW w:w="1134" w:type="dxa"/>
          </w:tcPr>
          <w:p w:rsidR="00C53A11" w:rsidRPr="00DD54D8" w:rsidRDefault="00C53A11" w:rsidP="00C53A1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D54D8">
              <w:rPr>
                <w:sz w:val="20"/>
                <w:szCs w:val="20"/>
              </w:rPr>
              <w:t>23</w:t>
            </w:r>
            <w:r w:rsidR="00964368" w:rsidRPr="00DD54D8">
              <w:rPr>
                <w:sz w:val="20"/>
                <w:szCs w:val="20"/>
              </w:rPr>
              <w:t xml:space="preserve"> </w:t>
            </w:r>
            <w:r w:rsidRPr="00DD54D8">
              <w:rPr>
                <w:sz w:val="20"/>
                <w:szCs w:val="20"/>
              </w:rPr>
              <w:t>547</w:t>
            </w:r>
          </w:p>
        </w:tc>
        <w:tc>
          <w:tcPr>
            <w:tcW w:w="1418" w:type="dxa"/>
          </w:tcPr>
          <w:p w:rsidR="00C53A11" w:rsidRPr="00DD54D8" w:rsidRDefault="00C53A11" w:rsidP="00C53A1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D54D8">
              <w:rPr>
                <w:sz w:val="20"/>
                <w:szCs w:val="20"/>
              </w:rPr>
              <w:t>23</w:t>
            </w:r>
            <w:r w:rsidR="00964368" w:rsidRPr="00DD54D8">
              <w:rPr>
                <w:sz w:val="20"/>
                <w:szCs w:val="20"/>
              </w:rPr>
              <w:t xml:space="preserve"> </w:t>
            </w:r>
            <w:r w:rsidRPr="00DD54D8">
              <w:rPr>
                <w:sz w:val="20"/>
                <w:szCs w:val="20"/>
              </w:rPr>
              <w:t>547</w:t>
            </w:r>
          </w:p>
        </w:tc>
        <w:tc>
          <w:tcPr>
            <w:tcW w:w="1559" w:type="dxa"/>
          </w:tcPr>
          <w:p w:rsidR="00C53A11" w:rsidRPr="00DD54D8" w:rsidRDefault="00C53A11" w:rsidP="00C53A1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D54D8">
              <w:rPr>
                <w:sz w:val="20"/>
                <w:szCs w:val="20"/>
              </w:rPr>
              <w:t>0</w:t>
            </w:r>
          </w:p>
        </w:tc>
      </w:tr>
      <w:tr w:rsidR="00C53A11" w:rsidRPr="00DC12F2" w:rsidTr="00D2333A">
        <w:tc>
          <w:tcPr>
            <w:tcW w:w="1914" w:type="dxa"/>
            <w:vMerge/>
          </w:tcPr>
          <w:p w:rsidR="00C53A11" w:rsidRPr="00DC12F2" w:rsidRDefault="00C53A11" w:rsidP="00D153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06" w:type="dxa"/>
          </w:tcPr>
          <w:p w:rsidR="00C53A11" w:rsidRPr="00DD54D8" w:rsidRDefault="00C53A11" w:rsidP="00C53A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54D8">
              <w:rPr>
                <w:sz w:val="18"/>
                <w:szCs w:val="18"/>
              </w:rPr>
              <w:t>Техническое обслуживание и эксплуатация зданий (помещений) (в том числе обеспечение коммунальными услугами) (кв.м.)</w:t>
            </w:r>
          </w:p>
        </w:tc>
        <w:tc>
          <w:tcPr>
            <w:tcW w:w="1134" w:type="dxa"/>
          </w:tcPr>
          <w:p w:rsidR="00C53A11" w:rsidRPr="00DD54D8" w:rsidRDefault="00C53A11" w:rsidP="00C53A1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D54D8">
              <w:rPr>
                <w:sz w:val="20"/>
                <w:szCs w:val="20"/>
              </w:rPr>
              <w:t>24</w:t>
            </w:r>
            <w:r w:rsidR="00964368" w:rsidRPr="00DD54D8">
              <w:rPr>
                <w:sz w:val="20"/>
                <w:szCs w:val="20"/>
              </w:rPr>
              <w:t xml:space="preserve"> </w:t>
            </w:r>
            <w:r w:rsidRPr="00DD54D8">
              <w:rPr>
                <w:sz w:val="20"/>
                <w:szCs w:val="20"/>
              </w:rPr>
              <w:t>225</w:t>
            </w:r>
          </w:p>
        </w:tc>
        <w:tc>
          <w:tcPr>
            <w:tcW w:w="1418" w:type="dxa"/>
          </w:tcPr>
          <w:p w:rsidR="00C53A11" w:rsidRPr="00DD54D8" w:rsidRDefault="00C53A11" w:rsidP="00C53A1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D54D8">
              <w:rPr>
                <w:sz w:val="20"/>
                <w:szCs w:val="20"/>
              </w:rPr>
              <w:t>24</w:t>
            </w:r>
            <w:r w:rsidR="00964368" w:rsidRPr="00DD54D8">
              <w:rPr>
                <w:sz w:val="20"/>
                <w:szCs w:val="20"/>
              </w:rPr>
              <w:t xml:space="preserve"> </w:t>
            </w:r>
            <w:r w:rsidRPr="00DD54D8">
              <w:rPr>
                <w:sz w:val="20"/>
                <w:szCs w:val="20"/>
              </w:rPr>
              <w:t>225</w:t>
            </w:r>
          </w:p>
        </w:tc>
        <w:tc>
          <w:tcPr>
            <w:tcW w:w="1559" w:type="dxa"/>
          </w:tcPr>
          <w:p w:rsidR="00C53A11" w:rsidRPr="00DD54D8" w:rsidRDefault="00C53A11" w:rsidP="00C53A1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D54D8">
              <w:rPr>
                <w:sz w:val="20"/>
                <w:szCs w:val="20"/>
              </w:rPr>
              <w:t>0</w:t>
            </w:r>
          </w:p>
        </w:tc>
      </w:tr>
    </w:tbl>
    <w:p w:rsidR="00C53A11" w:rsidRPr="00DC12F2" w:rsidRDefault="00C53A11" w:rsidP="00EB4066">
      <w:pPr>
        <w:autoSpaceDE w:val="0"/>
        <w:autoSpaceDN w:val="0"/>
        <w:adjustRightInd w:val="0"/>
        <w:ind w:firstLine="709"/>
        <w:jc w:val="both"/>
      </w:pPr>
      <w:r w:rsidRPr="00DC12F2">
        <w:t>Как видно из представленных данных, неисполнение государственного задания произошло по государственной работе ГБУ «Общепит-1», исполнение государственного задания составило 94,7%</w:t>
      </w:r>
      <w:r w:rsidR="00964368" w:rsidRPr="00DC12F2">
        <w:t xml:space="preserve">, что соответствует объему финансирования государственного задания </w:t>
      </w:r>
      <w:r w:rsidR="00D2333A">
        <w:t>-</w:t>
      </w:r>
      <w:r w:rsidR="00964368" w:rsidRPr="00DC12F2">
        <w:t>4 208,5 тыс. руб. из 4 444,9 тыс. руб., или 94,7 процент</w:t>
      </w:r>
      <w:r w:rsidR="00B716E0">
        <w:t>а</w:t>
      </w:r>
      <w:r w:rsidR="00964368" w:rsidRPr="00DC12F2">
        <w:t>.</w:t>
      </w:r>
    </w:p>
    <w:p w:rsidR="00C53A11" w:rsidRPr="008C6BC7" w:rsidRDefault="00C53A11" w:rsidP="00EB4066">
      <w:pPr>
        <w:autoSpaceDE w:val="0"/>
        <w:autoSpaceDN w:val="0"/>
        <w:adjustRightInd w:val="0"/>
        <w:ind w:firstLine="709"/>
        <w:jc w:val="both"/>
      </w:pPr>
    </w:p>
    <w:p w:rsidR="00FE7701" w:rsidRPr="008C6BC7" w:rsidRDefault="00EB4066" w:rsidP="00407E9A">
      <w:pPr>
        <w:autoSpaceDE w:val="0"/>
        <w:autoSpaceDN w:val="0"/>
        <w:adjustRightInd w:val="0"/>
        <w:jc w:val="center"/>
      </w:pPr>
      <w:r w:rsidRPr="008C6BC7">
        <w:rPr>
          <w:b/>
          <w:i/>
        </w:rPr>
        <w:t>Организация  внутреннего финансового контроля</w:t>
      </w:r>
    </w:p>
    <w:p w:rsidR="00EB4066" w:rsidRPr="008C6BC7" w:rsidRDefault="00EB4066" w:rsidP="00EB4066">
      <w:pPr>
        <w:ind w:firstLine="720"/>
        <w:jc w:val="both"/>
      </w:pPr>
      <w:r w:rsidRPr="008C6BC7">
        <w:t>В соответствии со ст. 160.2-1 БК РФ к бюджетным полномочиям ГРБС относится осуществление внутреннего финансового контроля, направленного на соблюдение внутренних стандартов и процедур составления и исполнения бюджета по расходам, составления бюджетной отчетности и ведения бюджетного учета, подготовку и организацию мер по повышению экономности и результативности использования бюджетных средств.</w:t>
      </w:r>
    </w:p>
    <w:p w:rsidR="008E35D6" w:rsidRPr="008C6BC7" w:rsidRDefault="00EB4066" w:rsidP="00EB4066">
      <w:pPr>
        <w:autoSpaceDE w:val="0"/>
        <w:autoSpaceDN w:val="0"/>
        <w:adjustRightInd w:val="0"/>
        <w:ind w:firstLine="720"/>
        <w:jc w:val="both"/>
      </w:pPr>
      <w:r w:rsidRPr="008C6BC7">
        <w:t xml:space="preserve">Согласно </w:t>
      </w:r>
      <w:r w:rsidR="002274AD" w:rsidRPr="008C6BC7">
        <w:t xml:space="preserve">пояснительной записке и </w:t>
      </w:r>
      <w:r w:rsidRPr="008C6BC7">
        <w:t>данным таблицы № 5 к пояснительной записке бюджетной отчетности Аппаратом в 201</w:t>
      </w:r>
      <w:r w:rsidR="00A276CD" w:rsidRPr="008C6BC7">
        <w:t>5</w:t>
      </w:r>
      <w:r w:rsidRPr="008C6BC7">
        <w:t xml:space="preserve"> году проведены мероприятия предварительного, текущего и последующего контроля. </w:t>
      </w:r>
      <w:r w:rsidR="008E35D6" w:rsidRPr="008C6BC7">
        <w:t>Так, в рамках эти</w:t>
      </w:r>
      <w:r w:rsidR="008022C7">
        <w:t>х</w:t>
      </w:r>
      <w:r w:rsidR="008E35D6" w:rsidRPr="008C6BC7">
        <w:t xml:space="preserve"> процедур </w:t>
      </w:r>
      <w:proofErr w:type="spellStart"/>
      <w:r w:rsidR="008E35D6" w:rsidRPr="008C6BC7">
        <w:t>осуществл</w:t>
      </w:r>
      <w:r w:rsidR="008022C7">
        <w:t>лся</w:t>
      </w:r>
      <w:proofErr w:type="spellEnd"/>
      <w:r w:rsidR="008E35D6" w:rsidRPr="008C6BC7">
        <w:t xml:space="preserve"> </w:t>
      </w:r>
      <w:proofErr w:type="gramStart"/>
      <w:r w:rsidR="008E35D6" w:rsidRPr="008C6BC7">
        <w:t>контроль за</w:t>
      </w:r>
      <w:proofErr w:type="gramEnd"/>
      <w:r w:rsidR="008E35D6" w:rsidRPr="008C6BC7">
        <w:t xml:space="preserve"> соответствием заключенных договоров лимитам бюджетных обязательств, контроль за оформлением первичных учетных документов, законностью совершаемых операций и иные мероприятия, предусматриваемые в отношении бюджетных процедур в карте внутреннего финансового контроля Аппарата.</w:t>
      </w:r>
    </w:p>
    <w:p w:rsidR="00EB4066" w:rsidRPr="008C6BC7" w:rsidRDefault="008E35D6" w:rsidP="00EB4066">
      <w:pPr>
        <w:autoSpaceDE w:val="0"/>
        <w:autoSpaceDN w:val="0"/>
        <w:adjustRightInd w:val="0"/>
        <w:ind w:firstLine="720"/>
        <w:jc w:val="both"/>
      </w:pPr>
      <w:r w:rsidRPr="008C6BC7">
        <w:t>В</w:t>
      </w:r>
      <w:r w:rsidR="00AF4F3C" w:rsidRPr="008C6BC7">
        <w:t xml:space="preserve"> 2015 году проведена проверка подведомственного учреждения ГБУ «Общепит – 1». </w:t>
      </w:r>
      <w:r w:rsidR="00D153F8" w:rsidRPr="008C6BC7">
        <w:t xml:space="preserve">Кроме того, в 2015 году осуществлены 16 проверок исполнения полномочий на государственную регистрацию актов гражданского состояния в отделах ЗАГС администраций муниципальных районов и городских округов, а также в районах </w:t>
      </w:r>
      <w:proofErr w:type="gramStart"/>
      <w:r w:rsidR="00D153F8" w:rsidRPr="008C6BC7">
        <w:t>г</w:t>
      </w:r>
      <w:proofErr w:type="gramEnd"/>
      <w:r w:rsidR="00D153F8" w:rsidRPr="008C6BC7">
        <w:t xml:space="preserve">. Волгограда. </w:t>
      </w:r>
      <w:r w:rsidR="008C6BC7" w:rsidRPr="008C6BC7">
        <w:t>Основными нарушениями, выявленными в 2015 году</w:t>
      </w:r>
      <w:r w:rsidR="008022C7">
        <w:t>,</w:t>
      </w:r>
      <w:r w:rsidR="008C6BC7" w:rsidRPr="008C6BC7">
        <w:t xml:space="preserve"> явились нарушения по </w:t>
      </w:r>
      <w:proofErr w:type="spellStart"/>
      <w:r w:rsidR="008C6BC7" w:rsidRPr="008C6BC7">
        <w:t>оприходованию</w:t>
      </w:r>
      <w:proofErr w:type="spellEnd"/>
      <w:r w:rsidR="008C6BC7" w:rsidRPr="008C6BC7">
        <w:t xml:space="preserve"> и учету </w:t>
      </w:r>
      <w:r w:rsidR="008C6BC7" w:rsidRPr="008C6BC7">
        <w:lastRenderedPageBreak/>
        <w:t xml:space="preserve">нефинансовых активов, а также результатов </w:t>
      </w:r>
      <w:proofErr w:type="spellStart"/>
      <w:r w:rsidR="008C6BC7" w:rsidRPr="008C6BC7">
        <w:t>научно-исследовательстких</w:t>
      </w:r>
      <w:proofErr w:type="spellEnd"/>
      <w:r w:rsidR="008C6BC7" w:rsidRPr="008C6BC7">
        <w:t xml:space="preserve"> работ. </w:t>
      </w:r>
      <w:r w:rsidR="00D45726" w:rsidRPr="008C6BC7">
        <w:t>Выявленные нарушения исправлены в отчётном году</w:t>
      </w:r>
      <w:r w:rsidR="007226B5" w:rsidRPr="008C6BC7">
        <w:t>.</w:t>
      </w:r>
    </w:p>
    <w:p w:rsidR="004B4993" w:rsidRPr="008C6BC7" w:rsidRDefault="004B4993" w:rsidP="007226B5">
      <w:pPr>
        <w:autoSpaceDE w:val="0"/>
        <w:autoSpaceDN w:val="0"/>
        <w:adjustRightInd w:val="0"/>
        <w:ind w:firstLine="720"/>
        <w:jc w:val="center"/>
        <w:rPr>
          <w:b/>
          <w:i/>
        </w:rPr>
      </w:pPr>
    </w:p>
    <w:p w:rsidR="007226B5" w:rsidRPr="008C6BC7" w:rsidRDefault="004B4993" w:rsidP="007226B5">
      <w:pPr>
        <w:autoSpaceDE w:val="0"/>
        <w:autoSpaceDN w:val="0"/>
        <w:adjustRightInd w:val="0"/>
        <w:ind w:firstLine="720"/>
        <w:jc w:val="center"/>
        <w:rPr>
          <w:b/>
          <w:i/>
        </w:rPr>
      </w:pPr>
      <w:r w:rsidRPr="008C6BC7">
        <w:rPr>
          <w:b/>
          <w:i/>
        </w:rPr>
        <w:t>О</w:t>
      </w:r>
      <w:r w:rsidR="007226B5" w:rsidRPr="008C6BC7">
        <w:rPr>
          <w:b/>
          <w:i/>
        </w:rPr>
        <w:t>рганизация внутреннего финансового аудита.</w:t>
      </w:r>
    </w:p>
    <w:p w:rsidR="008303BB" w:rsidRPr="00E141A8" w:rsidRDefault="007226B5" w:rsidP="007226B5">
      <w:pPr>
        <w:autoSpaceDE w:val="0"/>
        <w:autoSpaceDN w:val="0"/>
        <w:adjustRightInd w:val="0"/>
        <w:ind w:firstLine="720"/>
        <w:jc w:val="both"/>
      </w:pPr>
      <w:r w:rsidRPr="008C6BC7">
        <w:t>В  соответствии с п.4 ст.160.2-1</w:t>
      </w:r>
      <w:r w:rsidRPr="00E141A8">
        <w:t xml:space="preserve"> БК РФ и постановлением Правительства Волгоградской области от 26.05.2014 № 266-п «Об утверждении Порядка осуществления финансового аудита на территории Волгоградской области»</w:t>
      </w:r>
      <w:r w:rsidR="002E0B37" w:rsidRPr="00E141A8">
        <w:t xml:space="preserve"> распоряжением Аппарата Губернатора и Правительства Волгоградской области от 16.12.2014 № 555-ра утверждено Положение об осуществлении внутреннего финансового аудита в Аппарате. </w:t>
      </w:r>
      <w:r w:rsidR="00AF4F3C" w:rsidRPr="00E141A8">
        <w:t xml:space="preserve">К проверке </w:t>
      </w:r>
      <w:r w:rsidR="008303BB" w:rsidRPr="00E141A8">
        <w:t xml:space="preserve">представлен план внутреннего финансового аудита на 2015 год, отчет о результатах внутреннего финансового аудита за 2015 год и пояснительная записка к нему. </w:t>
      </w:r>
    </w:p>
    <w:p w:rsidR="007226B5" w:rsidRPr="00E141A8" w:rsidRDefault="00E141A8" w:rsidP="007226B5">
      <w:pPr>
        <w:autoSpaceDE w:val="0"/>
        <w:autoSpaceDN w:val="0"/>
        <w:adjustRightInd w:val="0"/>
        <w:ind w:firstLine="720"/>
        <w:jc w:val="both"/>
      </w:pPr>
      <w:r w:rsidRPr="00E141A8">
        <w:t>Согласно отчету о результатах внутреннего финансового аудита за 2015 год</w:t>
      </w:r>
      <w:r w:rsidR="002E0B37" w:rsidRPr="00E141A8">
        <w:t xml:space="preserve"> </w:t>
      </w:r>
      <w:r w:rsidR="00F544BA" w:rsidRPr="00E141A8">
        <w:t>проведено</w:t>
      </w:r>
      <w:r w:rsidR="00A91037" w:rsidRPr="00E141A8">
        <w:t xml:space="preserve"> </w:t>
      </w:r>
      <w:r w:rsidR="00F544BA" w:rsidRPr="00E141A8">
        <w:t xml:space="preserve">13 мероприятий внутреннего финансового аудита, в </w:t>
      </w:r>
      <w:r w:rsidR="00F46C0E" w:rsidRPr="00E141A8">
        <w:t>отдельных</w:t>
      </w:r>
      <w:r w:rsidR="00F544BA" w:rsidRPr="00E141A8">
        <w:t xml:space="preserve"> случа</w:t>
      </w:r>
      <w:r w:rsidR="00F46C0E" w:rsidRPr="00E141A8">
        <w:t>ях</w:t>
      </w:r>
      <w:r w:rsidR="00F544BA" w:rsidRPr="00E141A8">
        <w:t xml:space="preserve"> аудитом выявлены нарушения и замечания, по результатам</w:t>
      </w:r>
      <w:r w:rsidR="00F46C0E" w:rsidRPr="00E141A8">
        <w:t xml:space="preserve"> которых</w:t>
      </w:r>
      <w:r w:rsidR="00F544BA" w:rsidRPr="00E141A8">
        <w:t xml:space="preserve"> приняты соответствующие меры по их устранению</w:t>
      </w:r>
      <w:r w:rsidR="00A91037" w:rsidRPr="00E141A8">
        <w:t>.</w:t>
      </w:r>
      <w:r w:rsidR="00254A6F" w:rsidRPr="00E141A8">
        <w:t xml:space="preserve"> Так, установлены нарушения «Порядка подг</w:t>
      </w:r>
      <w:r>
        <w:t>отовки обоснований бюджетных асс</w:t>
      </w:r>
      <w:r w:rsidR="00254A6F" w:rsidRPr="00E141A8">
        <w:t>игнований…», утвержденного распоряжением аппарата Губернатора и Правительства Волгоградской области от 18.12.2014 № 567-ра</w:t>
      </w:r>
      <w:r w:rsidR="0079669A">
        <w:t>,</w:t>
      </w:r>
      <w:r w:rsidR="00254A6F" w:rsidRPr="00E141A8">
        <w:t xml:space="preserve"> и ошибки в обосновании бюджетных ассигнований на 2016 год в подразделениях Аппарата</w:t>
      </w:r>
      <w:r w:rsidRPr="00E141A8">
        <w:t xml:space="preserve">, недостатки в ведении журнала внутреннего финансового контроля. </w:t>
      </w:r>
      <w:r>
        <w:t xml:space="preserve">Установленные нарушения либо устранены, либо в отчете указано, что они будут учтены в дальнейшем. </w:t>
      </w:r>
      <w:r w:rsidRPr="00E141A8">
        <w:t>При аудите отчетности за 2014 год установлены расхождения в отдельных формах отчетности по движению нефинансовых активов, которые учтены при формировании отчетности за 2015 год.</w:t>
      </w:r>
    </w:p>
    <w:p w:rsidR="00EB4066" w:rsidRPr="00E141A8" w:rsidRDefault="00F91ACE">
      <w:r w:rsidRPr="00E141A8">
        <w:tab/>
      </w:r>
    </w:p>
    <w:p w:rsidR="00FD5B57" w:rsidRPr="00E141A8" w:rsidRDefault="005249B8" w:rsidP="0060622A">
      <w:pPr>
        <w:ind w:firstLine="426"/>
        <w:rPr>
          <w:b/>
          <w:i/>
        </w:rPr>
      </w:pPr>
      <w:r w:rsidRPr="00E141A8">
        <w:rPr>
          <w:b/>
          <w:i/>
        </w:rPr>
        <w:t>Выводы:</w:t>
      </w:r>
    </w:p>
    <w:p w:rsidR="008C51CA" w:rsidRPr="005417D8" w:rsidRDefault="008C51CA" w:rsidP="0060622A">
      <w:pPr>
        <w:ind w:firstLine="720"/>
        <w:jc w:val="both"/>
      </w:pPr>
      <w:r w:rsidRPr="005417D8">
        <w:rPr>
          <w:b/>
        </w:rPr>
        <w:t>1.</w:t>
      </w:r>
      <w:r w:rsidRPr="005417D8">
        <w:t xml:space="preserve"> </w:t>
      </w:r>
      <w:r w:rsidR="0060622A" w:rsidRPr="005417D8">
        <w:t>Отчетность</w:t>
      </w:r>
      <w:r w:rsidRPr="005417D8">
        <w:t xml:space="preserve"> представлена </w:t>
      </w:r>
      <w:r w:rsidR="0060622A" w:rsidRPr="005417D8">
        <w:t>в составе, предусмотренном</w:t>
      </w:r>
      <w:r w:rsidRPr="005417D8">
        <w:t xml:space="preserve"> Инструкци</w:t>
      </w:r>
      <w:r w:rsidR="0060622A" w:rsidRPr="005417D8">
        <w:t>ей</w:t>
      </w:r>
      <w:r w:rsidRPr="005417D8">
        <w:t xml:space="preserve"> № 191н</w:t>
      </w:r>
      <w:r w:rsidR="0060622A" w:rsidRPr="005417D8">
        <w:t xml:space="preserve"> и </w:t>
      </w:r>
      <w:r w:rsidRPr="005417D8">
        <w:t>Инструкци</w:t>
      </w:r>
      <w:r w:rsidR="0060622A" w:rsidRPr="005417D8">
        <w:t>ей</w:t>
      </w:r>
      <w:r w:rsidRPr="005417D8">
        <w:t xml:space="preserve"> № 33н</w:t>
      </w:r>
      <w:r w:rsidR="0060622A" w:rsidRPr="005417D8">
        <w:t>, утвержденными Минфином России</w:t>
      </w:r>
      <w:r w:rsidRPr="005417D8">
        <w:t>.</w:t>
      </w:r>
    </w:p>
    <w:p w:rsidR="005249B8" w:rsidRPr="005417D8" w:rsidRDefault="0060622A" w:rsidP="00932FD2">
      <w:pPr>
        <w:ind w:firstLine="709"/>
        <w:jc w:val="both"/>
      </w:pPr>
      <w:r w:rsidRPr="005417D8">
        <w:rPr>
          <w:b/>
        </w:rPr>
        <w:t>2.</w:t>
      </w:r>
      <w:r w:rsidRPr="005417D8">
        <w:t xml:space="preserve"> </w:t>
      </w:r>
      <w:r w:rsidR="003165E8" w:rsidRPr="005417D8">
        <w:t>Проверкой установлены следующие нарушение в учете и составлении отчетности:</w:t>
      </w:r>
    </w:p>
    <w:p w:rsidR="0060622A" w:rsidRDefault="0060622A" w:rsidP="005417D8">
      <w:pPr>
        <w:ind w:firstLine="720"/>
        <w:jc w:val="both"/>
        <w:rPr>
          <w:rFonts w:eastAsiaTheme="minorHAnsi"/>
          <w:lang w:eastAsia="en-US"/>
        </w:rPr>
      </w:pPr>
      <w:r w:rsidRPr="005417D8">
        <w:t>- на</w:t>
      </w:r>
      <w:r w:rsidR="003165E8" w:rsidRPr="005417D8">
        <w:t xml:space="preserve"> </w:t>
      </w:r>
      <w:proofErr w:type="spellStart"/>
      <w:r w:rsidR="003165E8" w:rsidRPr="005417D8">
        <w:t>забалансов</w:t>
      </w:r>
      <w:r w:rsidRPr="005417D8">
        <w:t>ом</w:t>
      </w:r>
      <w:proofErr w:type="spellEnd"/>
      <w:r w:rsidR="003165E8" w:rsidRPr="005417D8">
        <w:t xml:space="preserve"> счет</w:t>
      </w:r>
      <w:r w:rsidRPr="005417D8">
        <w:t>е</w:t>
      </w:r>
      <w:r w:rsidR="003165E8" w:rsidRPr="005417D8">
        <w:t xml:space="preserve"> 01 «Имущество, полученное в пользование» за Аппаратом числ</w:t>
      </w:r>
      <w:r w:rsidRPr="005417D8">
        <w:t xml:space="preserve">ится недвижимое имущество без стоимости, что противоречит ст. 12 </w:t>
      </w:r>
      <w:r w:rsidR="00B716E0">
        <w:t>З</w:t>
      </w:r>
      <w:r w:rsidRPr="005417D8">
        <w:t xml:space="preserve">акона </w:t>
      </w:r>
      <w:r w:rsidR="00B716E0">
        <w:t>о</w:t>
      </w:r>
      <w:r w:rsidRPr="001B5440">
        <w:t xml:space="preserve"> бухгалтерском учете</w:t>
      </w:r>
      <w:r>
        <w:t xml:space="preserve">, которой предусмотрено, что </w:t>
      </w:r>
      <w:r w:rsidRPr="001B5440">
        <w:rPr>
          <w:rFonts w:eastAsiaTheme="minorHAnsi"/>
          <w:lang w:eastAsia="en-US"/>
        </w:rPr>
        <w:t>объекты бухгалтерского уче</w:t>
      </w:r>
      <w:r>
        <w:rPr>
          <w:rFonts w:eastAsiaTheme="minorHAnsi"/>
          <w:lang w:eastAsia="en-US"/>
        </w:rPr>
        <w:t>та подлежат денежному измерению;</w:t>
      </w:r>
    </w:p>
    <w:p w:rsidR="005417D8" w:rsidRPr="00782EA9" w:rsidRDefault="005417D8" w:rsidP="005417D8">
      <w:pPr>
        <w:pStyle w:val="a3"/>
        <w:autoSpaceDE w:val="0"/>
        <w:autoSpaceDN w:val="0"/>
        <w:adjustRightInd w:val="0"/>
        <w:ind w:left="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 нарушение требований</w:t>
      </w:r>
      <w:r w:rsidRPr="001B5440">
        <w:rPr>
          <w:rFonts w:eastAsiaTheme="minorHAnsi"/>
          <w:lang w:eastAsia="en-US"/>
        </w:rPr>
        <w:t xml:space="preserve"> п. 21 Инструкции №33н в Справке о наличии имущества и обязательств на </w:t>
      </w:r>
      <w:proofErr w:type="spellStart"/>
      <w:r w:rsidRPr="001B5440">
        <w:rPr>
          <w:rFonts w:eastAsiaTheme="minorHAnsi"/>
          <w:lang w:eastAsia="en-US"/>
        </w:rPr>
        <w:t>забалансовых</w:t>
      </w:r>
      <w:proofErr w:type="spellEnd"/>
      <w:r w:rsidRPr="001B5440">
        <w:rPr>
          <w:rFonts w:eastAsiaTheme="minorHAnsi"/>
          <w:lang w:eastAsia="en-US"/>
        </w:rPr>
        <w:t xml:space="preserve"> счетах (ф. 0503</w:t>
      </w:r>
      <w:r>
        <w:rPr>
          <w:rFonts w:eastAsiaTheme="minorHAnsi"/>
          <w:lang w:eastAsia="en-US"/>
        </w:rPr>
        <w:t>73</w:t>
      </w:r>
      <w:r w:rsidRPr="001B5440">
        <w:rPr>
          <w:rFonts w:eastAsiaTheme="minorHAnsi"/>
          <w:lang w:eastAsia="en-US"/>
        </w:rPr>
        <w:t xml:space="preserve">0) по счетам 17 и 18 </w:t>
      </w:r>
      <w:r>
        <w:rPr>
          <w:rFonts w:eastAsiaTheme="minorHAnsi"/>
          <w:lang w:eastAsia="en-US"/>
        </w:rPr>
        <w:t xml:space="preserve">в первоначально </w:t>
      </w:r>
      <w:r w:rsidRPr="00782EA9">
        <w:rPr>
          <w:rFonts w:eastAsiaTheme="minorHAnsi"/>
          <w:lang w:eastAsia="en-US"/>
        </w:rPr>
        <w:t xml:space="preserve">представленном варианте отчетности не были отражены поступление и выбытие денежных средств на счета </w:t>
      </w:r>
      <w:r w:rsidR="00B716E0">
        <w:rPr>
          <w:rFonts w:eastAsiaTheme="minorHAnsi"/>
          <w:lang w:eastAsia="en-US"/>
        </w:rPr>
        <w:t>ГБУ «Общепит-1»</w:t>
      </w:r>
      <w:r w:rsidRPr="00782EA9">
        <w:rPr>
          <w:rFonts w:eastAsiaTheme="minorHAnsi"/>
          <w:lang w:eastAsia="en-US"/>
        </w:rPr>
        <w:t>. В ходе проверки представлена уточненная форма отчетности;</w:t>
      </w:r>
    </w:p>
    <w:p w:rsidR="003165E8" w:rsidRPr="00782EA9" w:rsidRDefault="00DD54D8" w:rsidP="00DD54D8">
      <w:pPr>
        <w:pStyle w:val="a3"/>
        <w:autoSpaceDE w:val="0"/>
        <w:autoSpaceDN w:val="0"/>
        <w:adjustRightInd w:val="0"/>
        <w:ind w:left="0" w:firstLine="720"/>
        <w:jc w:val="both"/>
      </w:pPr>
      <w:r w:rsidRPr="00782EA9">
        <w:rPr>
          <w:rFonts w:eastAsiaTheme="minorHAnsi"/>
          <w:lang w:eastAsia="en-US"/>
        </w:rPr>
        <w:t>- в</w:t>
      </w:r>
      <w:r w:rsidR="005417D8" w:rsidRPr="00782EA9">
        <w:rPr>
          <w:rFonts w:eastAsiaTheme="minorHAnsi"/>
          <w:lang w:eastAsia="en-US"/>
        </w:rPr>
        <w:t xml:space="preserve"> нарушение требований </w:t>
      </w:r>
      <w:r w:rsidR="003165E8" w:rsidRPr="00782EA9">
        <w:rPr>
          <w:rFonts w:eastAsiaTheme="minorHAnsi"/>
          <w:lang w:eastAsia="en-US"/>
        </w:rPr>
        <w:t>п. 47</w:t>
      </w:r>
      <w:r w:rsidR="005417D8" w:rsidRPr="00782EA9">
        <w:rPr>
          <w:rFonts w:eastAsiaTheme="minorHAnsi"/>
          <w:lang w:eastAsia="en-US"/>
        </w:rPr>
        <w:t>, 48</w:t>
      </w:r>
      <w:r w:rsidR="003165E8" w:rsidRPr="00782EA9">
        <w:rPr>
          <w:rFonts w:eastAsiaTheme="minorHAnsi"/>
          <w:lang w:eastAsia="en-US"/>
        </w:rPr>
        <w:t xml:space="preserve"> Инструкции №33н в Отчете об обязательствах </w:t>
      </w:r>
      <w:r w:rsidR="00B716E0">
        <w:rPr>
          <w:rFonts w:eastAsiaTheme="minorHAnsi"/>
          <w:lang w:eastAsia="en-US"/>
        </w:rPr>
        <w:t>ГБУ «Общепит-1»</w:t>
      </w:r>
      <w:r w:rsidR="003165E8" w:rsidRPr="00782EA9">
        <w:rPr>
          <w:rFonts w:eastAsiaTheme="minorHAnsi"/>
          <w:lang w:eastAsia="en-US"/>
        </w:rPr>
        <w:t xml:space="preserve"> данны</w:t>
      </w:r>
      <w:r w:rsidR="005417D8" w:rsidRPr="00782EA9">
        <w:rPr>
          <w:rFonts w:eastAsiaTheme="minorHAnsi"/>
          <w:lang w:eastAsia="en-US"/>
        </w:rPr>
        <w:t>е</w:t>
      </w:r>
      <w:r w:rsidR="003165E8" w:rsidRPr="00782EA9">
        <w:rPr>
          <w:rFonts w:eastAsiaTheme="minorHAnsi"/>
          <w:lang w:eastAsia="en-US"/>
        </w:rPr>
        <w:t xml:space="preserve"> отчетности </w:t>
      </w:r>
      <w:r w:rsidR="005417D8" w:rsidRPr="00782EA9">
        <w:rPr>
          <w:rFonts w:eastAsiaTheme="minorHAnsi"/>
          <w:lang w:eastAsia="en-US"/>
        </w:rPr>
        <w:t xml:space="preserve">не соответствуют </w:t>
      </w:r>
      <w:r w:rsidR="003165E8" w:rsidRPr="00782EA9">
        <w:rPr>
          <w:rFonts w:eastAsiaTheme="minorHAnsi"/>
          <w:lang w:eastAsia="en-US"/>
        </w:rPr>
        <w:t>данным</w:t>
      </w:r>
      <w:r w:rsidR="005417D8" w:rsidRPr="00782EA9">
        <w:rPr>
          <w:rFonts w:eastAsiaTheme="minorHAnsi"/>
          <w:lang w:eastAsia="en-US"/>
        </w:rPr>
        <w:t xml:space="preserve"> соответствующих</w:t>
      </w:r>
      <w:r w:rsidR="003165E8" w:rsidRPr="00782EA9">
        <w:rPr>
          <w:rFonts w:eastAsiaTheme="minorHAnsi"/>
          <w:lang w:eastAsia="en-US"/>
        </w:rPr>
        <w:t xml:space="preserve"> регистров бухгалтерского учета</w:t>
      </w:r>
      <w:r w:rsidR="005417D8" w:rsidRPr="00782EA9">
        <w:rPr>
          <w:rFonts w:eastAsiaTheme="minorHAnsi"/>
          <w:lang w:eastAsia="en-US"/>
        </w:rPr>
        <w:t>. При этом по отдельным строкам искажение составило от 17,6% до 560,4%</w:t>
      </w:r>
      <w:r w:rsidR="003165E8" w:rsidRPr="00782EA9">
        <w:rPr>
          <w:rFonts w:eastAsiaTheme="minorHAnsi"/>
          <w:lang w:eastAsia="en-US"/>
        </w:rPr>
        <w:t xml:space="preserve"> </w:t>
      </w:r>
      <w:r w:rsidR="005417D8" w:rsidRPr="00782EA9">
        <w:rPr>
          <w:rFonts w:eastAsiaTheme="minorHAnsi"/>
          <w:lang w:eastAsia="en-US"/>
        </w:rPr>
        <w:t xml:space="preserve">(в 6,6 раза). </w:t>
      </w:r>
      <w:r w:rsidR="003165E8" w:rsidRPr="00782EA9">
        <w:t>По итогам проверки в отношении главного бухгалтера ГБУ «Общепит-1» составлен протокол об административном правонарушении</w:t>
      </w:r>
      <w:r w:rsidRPr="00782EA9">
        <w:t xml:space="preserve"> по ст. 15.11 </w:t>
      </w:r>
      <w:proofErr w:type="spellStart"/>
      <w:r w:rsidRPr="00782EA9">
        <w:t>КоАП</w:t>
      </w:r>
      <w:proofErr w:type="spellEnd"/>
      <w:r w:rsidRPr="00782EA9">
        <w:t xml:space="preserve"> РФ</w:t>
      </w:r>
      <w:r w:rsidR="003165E8" w:rsidRPr="00782EA9">
        <w:t>.</w:t>
      </w:r>
    </w:p>
    <w:p w:rsidR="0060622A" w:rsidRPr="00782EA9" w:rsidRDefault="00DD54D8" w:rsidP="00DD54D8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782EA9">
        <w:rPr>
          <w:rFonts w:eastAsiaTheme="minorHAnsi"/>
          <w:lang w:eastAsia="en-US"/>
        </w:rPr>
        <w:t xml:space="preserve">- в нарушение </w:t>
      </w:r>
      <w:r w:rsidR="0060622A" w:rsidRPr="00782EA9">
        <w:rPr>
          <w:rFonts w:eastAsiaTheme="minorHAnsi"/>
          <w:lang w:eastAsia="en-US"/>
        </w:rPr>
        <w:t xml:space="preserve">п. 69 Инструкции № 33н «Сведения по дебиторской и кредиторской задолженности» </w:t>
      </w:r>
      <w:r w:rsidR="00B716E0">
        <w:rPr>
          <w:rFonts w:eastAsiaTheme="minorHAnsi"/>
          <w:lang w:eastAsia="en-US"/>
        </w:rPr>
        <w:t>формы</w:t>
      </w:r>
      <w:r w:rsidR="0060622A" w:rsidRPr="00782EA9">
        <w:rPr>
          <w:rFonts w:eastAsiaTheme="minorHAnsi"/>
          <w:lang w:eastAsia="en-US"/>
        </w:rPr>
        <w:t xml:space="preserve"> 0503769 </w:t>
      </w:r>
      <w:r w:rsidR="00C22274">
        <w:rPr>
          <w:rFonts w:eastAsiaTheme="minorHAnsi"/>
          <w:lang w:eastAsia="en-US"/>
        </w:rPr>
        <w:t xml:space="preserve">ГБУ «Общепит-1» </w:t>
      </w:r>
      <w:r w:rsidRPr="00782EA9">
        <w:rPr>
          <w:rFonts w:eastAsiaTheme="minorHAnsi"/>
          <w:lang w:eastAsia="en-US"/>
        </w:rPr>
        <w:t xml:space="preserve">не содержит </w:t>
      </w:r>
      <w:r w:rsidR="0060622A" w:rsidRPr="00782EA9">
        <w:rPr>
          <w:rFonts w:eastAsiaTheme="minorHAnsi"/>
          <w:lang w:eastAsia="en-US"/>
        </w:rPr>
        <w:t>«Аналитическ</w:t>
      </w:r>
      <w:r w:rsidRPr="00782EA9">
        <w:rPr>
          <w:rFonts w:eastAsiaTheme="minorHAnsi"/>
          <w:lang w:eastAsia="en-US"/>
        </w:rPr>
        <w:t>ую</w:t>
      </w:r>
      <w:r w:rsidR="0060622A" w:rsidRPr="00782EA9">
        <w:rPr>
          <w:rFonts w:eastAsiaTheme="minorHAnsi"/>
          <w:lang w:eastAsia="en-US"/>
        </w:rPr>
        <w:t xml:space="preserve"> информаци</w:t>
      </w:r>
      <w:r w:rsidRPr="00782EA9">
        <w:rPr>
          <w:rFonts w:eastAsiaTheme="minorHAnsi"/>
          <w:lang w:eastAsia="en-US"/>
        </w:rPr>
        <w:t>ю</w:t>
      </w:r>
      <w:r w:rsidR="0060622A" w:rsidRPr="00782EA9">
        <w:rPr>
          <w:rFonts w:eastAsiaTheme="minorHAnsi"/>
          <w:lang w:eastAsia="en-US"/>
        </w:rPr>
        <w:t xml:space="preserve"> о просроченной задолженности».</w:t>
      </w:r>
    </w:p>
    <w:p w:rsidR="003165E8" w:rsidRPr="00782EA9" w:rsidRDefault="00252A49" w:rsidP="00B716E0">
      <w:pPr>
        <w:ind w:firstLine="708"/>
        <w:jc w:val="both"/>
      </w:pPr>
      <w:r w:rsidRPr="00782EA9">
        <w:rPr>
          <w:b/>
        </w:rPr>
        <w:t>3.</w:t>
      </w:r>
      <w:r w:rsidRPr="00782EA9">
        <w:t xml:space="preserve"> </w:t>
      </w:r>
      <w:r w:rsidR="003165E8" w:rsidRPr="00782EA9">
        <w:t xml:space="preserve">Бюджетные назначения </w:t>
      </w:r>
      <w:r w:rsidRPr="00782EA9">
        <w:t>исполнены в сумме 927 977,1 тыс. руб., или</w:t>
      </w:r>
      <w:r w:rsidR="00B716E0">
        <w:t xml:space="preserve"> на 95,9%, н</w:t>
      </w:r>
      <w:r w:rsidR="003165E8" w:rsidRPr="00782EA9">
        <w:t>еисполнен</w:t>
      </w:r>
      <w:r w:rsidRPr="00782EA9">
        <w:t>ие</w:t>
      </w:r>
      <w:r w:rsidR="003165E8" w:rsidRPr="00782EA9">
        <w:t xml:space="preserve"> </w:t>
      </w:r>
      <w:r w:rsidRPr="00782EA9">
        <w:t>назначений составило</w:t>
      </w:r>
      <w:r w:rsidR="003165E8" w:rsidRPr="00782EA9">
        <w:t xml:space="preserve"> </w:t>
      </w:r>
      <w:r w:rsidR="003165E8" w:rsidRPr="00782EA9">
        <w:rPr>
          <w:rFonts w:eastAsia="Times New Roman"/>
          <w:bCs/>
        </w:rPr>
        <w:t>39 592,4</w:t>
      </w:r>
      <w:r w:rsidR="003165E8" w:rsidRPr="00782EA9">
        <w:rPr>
          <w:rFonts w:eastAsia="Times New Roman"/>
        </w:rPr>
        <w:t xml:space="preserve"> тыс. руб.,</w:t>
      </w:r>
      <w:r w:rsidR="003165E8" w:rsidRPr="00782EA9">
        <w:t xml:space="preserve"> или 4,1% от утвержденного объема ассигнований. </w:t>
      </w:r>
    </w:p>
    <w:p w:rsidR="0060622A" w:rsidRPr="00DC12F2" w:rsidRDefault="00B716E0" w:rsidP="0060622A">
      <w:pPr>
        <w:autoSpaceDE w:val="0"/>
        <w:autoSpaceDN w:val="0"/>
        <w:adjustRightInd w:val="0"/>
        <w:ind w:firstLine="709"/>
        <w:jc w:val="both"/>
      </w:pPr>
      <w:r>
        <w:rPr>
          <w:b/>
        </w:rPr>
        <w:t>4</w:t>
      </w:r>
      <w:r w:rsidR="00DD54D8" w:rsidRPr="00782EA9">
        <w:rPr>
          <w:b/>
        </w:rPr>
        <w:t>.</w:t>
      </w:r>
      <w:r w:rsidR="00DD54D8" w:rsidRPr="00782EA9">
        <w:t xml:space="preserve"> </w:t>
      </w:r>
      <w:r w:rsidR="0079669A">
        <w:t>Государственно</w:t>
      </w:r>
      <w:r w:rsidR="00094882">
        <w:t>е</w:t>
      </w:r>
      <w:r w:rsidR="0079669A">
        <w:t xml:space="preserve"> задание ГБУ «Исполнительная дирекция» выполнено в полном объеме. </w:t>
      </w:r>
      <w:r w:rsidR="00094882">
        <w:t>И</w:t>
      </w:r>
      <w:r w:rsidR="0060622A" w:rsidRPr="00782EA9">
        <w:t>сполнение государственного задания ГБУ «Общепит-1»</w:t>
      </w:r>
      <w:r w:rsidR="0079669A">
        <w:t xml:space="preserve"> </w:t>
      </w:r>
      <w:r w:rsidR="0060622A" w:rsidRPr="00782EA9">
        <w:t>составило 94,7%, что соответствует объему финансирования государственного задания</w:t>
      </w:r>
      <w:r w:rsidR="0060622A" w:rsidRPr="00DC12F2">
        <w:t xml:space="preserve"> 4 208,5 тыс. руб. из 4 444,9 тыс. руб., или 94,7 процент</w:t>
      </w:r>
      <w:r>
        <w:t>а</w:t>
      </w:r>
      <w:r w:rsidR="0060622A" w:rsidRPr="00DC12F2">
        <w:t>.</w:t>
      </w:r>
    </w:p>
    <w:p w:rsidR="005249B8" w:rsidRDefault="005249B8" w:rsidP="00932FD2">
      <w:pPr>
        <w:ind w:firstLine="709"/>
        <w:jc w:val="both"/>
        <w:rPr>
          <w:color w:val="0070C0"/>
        </w:rPr>
      </w:pPr>
    </w:p>
    <w:p w:rsidR="0079669A" w:rsidRDefault="0079669A" w:rsidP="00932FD2">
      <w:pPr>
        <w:ind w:firstLine="709"/>
        <w:jc w:val="both"/>
        <w:rPr>
          <w:color w:val="0070C0"/>
        </w:rPr>
      </w:pPr>
    </w:p>
    <w:p w:rsidR="0079669A" w:rsidRDefault="0079669A" w:rsidP="00932FD2">
      <w:pPr>
        <w:ind w:firstLine="709"/>
        <w:jc w:val="both"/>
        <w:rPr>
          <w:color w:val="0070C0"/>
        </w:rPr>
      </w:pPr>
    </w:p>
    <w:p w:rsidR="005249B8" w:rsidRPr="005249B8" w:rsidRDefault="005249B8" w:rsidP="0060622A">
      <w:pPr>
        <w:ind w:firstLine="567"/>
        <w:rPr>
          <w:b/>
          <w:i/>
        </w:rPr>
      </w:pPr>
      <w:r w:rsidRPr="005249B8">
        <w:rPr>
          <w:b/>
          <w:i/>
        </w:rPr>
        <w:lastRenderedPageBreak/>
        <w:t>Предложения:</w:t>
      </w:r>
    </w:p>
    <w:p w:rsidR="005249B8" w:rsidRDefault="005249B8" w:rsidP="00932FD2">
      <w:pPr>
        <w:ind w:firstLine="709"/>
        <w:jc w:val="both"/>
        <w:rPr>
          <w:color w:val="0070C0"/>
        </w:rPr>
      </w:pPr>
    </w:p>
    <w:p w:rsidR="00932FD2" w:rsidRDefault="008022C7" w:rsidP="00932FD2">
      <w:pPr>
        <w:ind w:firstLine="709"/>
        <w:jc w:val="both"/>
      </w:pPr>
      <w:r w:rsidRPr="008022C7">
        <w:rPr>
          <w:b/>
        </w:rPr>
        <w:t>1.</w:t>
      </w:r>
      <w:r>
        <w:t xml:space="preserve"> </w:t>
      </w:r>
      <w:r w:rsidR="00932FD2" w:rsidRPr="00932FD2">
        <w:t xml:space="preserve">В целях выполнения требований ст. 12 </w:t>
      </w:r>
      <w:r>
        <w:t>Закона</w:t>
      </w:r>
      <w:r w:rsidR="00932FD2" w:rsidRPr="00932FD2">
        <w:t xml:space="preserve"> </w:t>
      </w:r>
      <w:r>
        <w:t>о</w:t>
      </w:r>
      <w:r w:rsidR="00932FD2" w:rsidRPr="00932FD2">
        <w:t xml:space="preserve"> бухгалтерском учете </w:t>
      </w:r>
      <w:r w:rsidR="008C51CA">
        <w:t>для обеспечения</w:t>
      </w:r>
      <w:r w:rsidR="00932FD2" w:rsidRPr="00932FD2">
        <w:t xml:space="preserve"> денежного измерения объектов бухгалтерского учета провести работу с балансодержателями по определению стоимости находящегося в пользовании </w:t>
      </w:r>
      <w:r w:rsidR="008C51CA">
        <w:t xml:space="preserve">Аппарата </w:t>
      </w:r>
      <w:r w:rsidR="00932FD2" w:rsidRPr="00932FD2">
        <w:t xml:space="preserve">и учитываемого на </w:t>
      </w:r>
      <w:proofErr w:type="spellStart"/>
      <w:r w:rsidR="00932FD2" w:rsidRPr="00932FD2">
        <w:t>забалансовом</w:t>
      </w:r>
      <w:proofErr w:type="spellEnd"/>
      <w:r w:rsidR="00932FD2" w:rsidRPr="00932FD2">
        <w:t xml:space="preserve"> счете 01 «Имущество, полученное в пользование» недвижимого имущества.</w:t>
      </w:r>
    </w:p>
    <w:p w:rsidR="00B716E0" w:rsidRPr="00932FD2" w:rsidRDefault="008022C7" w:rsidP="00932FD2">
      <w:pPr>
        <w:ind w:firstLine="709"/>
        <w:jc w:val="both"/>
      </w:pPr>
      <w:r w:rsidRPr="008022C7">
        <w:rPr>
          <w:b/>
        </w:rPr>
        <w:t>2.</w:t>
      </w:r>
      <w:r>
        <w:t xml:space="preserve"> </w:t>
      </w:r>
      <w:r w:rsidR="00B716E0">
        <w:t>Указать главному бухгалтеру</w:t>
      </w:r>
      <w:r w:rsidR="00154F37">
        <w:t xml:space="preserve"> ГБУ «Общепит-1» на недопущение случаев искажения бухгалтерской отчетности.</w:t>
      </w:r>
    </w:p>
    <w:p w:rsidR="005249B8" w:rsidRPr="00932FD2" w:rsidRDefault="005249B8" w:rsidP="00932FD2">
      <w:pPr>
        <w:jc w:val="both"/>
      </w:pPr>
    </w:p>
    <w:p w:rsidR="00FD5B57" w:rsidRDefault="00FD5B57" w:rsidP="00932FD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color w:val="0070C0"/>
          <w:lang w:eastAsia="en-US"/>
        </w:rPr>
      </w:pPr>
    </w:p>
    <w:p w:rsidR="00782EA9" w:rsidRDefault="00782EA9" w:rsidP="00932FD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color w:val="0070C0"/>
          <w:lang w:eastAsia="en-US"/>
        </w:rPr>
      </w:pPr>
    </w:p>
    <w:p w:rsidR="00782EA9" w:rsidRDefault="00782EA9" w:rsidP="00932FD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color w:val="0070C0"/>
          <w:lang w:eastAsia="en-US"/>
        </w:rPr>
      </w:pPr>
    </w:p>
    <w:p w:rsidR="00782EA9" w:rsidRPr="00782EA9" w:rsidRDefault="00782EA9" w:rsidP="00932FD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i/>
          <w:lang w:eastAsia="en-US"/>
        </w:rPr>
      </w:pPr>
      <w:r w:rsidRPr="00782EA9">
        <w:rPr>
          <w:rFonts w:eastAsiaTheme="minorHAnsi"/>
          <w:b/>
          <w:i/>
          <w:lang w:eastAsia="en-US"/>
        </w:rPr>
        <w:t xml:space="preserve">Аудитор                                                                                                 Н.Л. </w:t>
      </w:r>
      <w:proofErr w:type="spellStart"/>
      <w:r w:rsidRPr="00782EA9">
        <w:rPr>
          <w:rFonts w:eastAsiaTheme="minorHAnsi"/>
          <w:b/>
          <w:i/>
          <w:lang w:eastAsia="en-US"/>
        </w:rPr>
        <w:t>Ноздрюхина</w:t>
      </w:r>
      <w:proofErr w:type="spellEnd"/>
    </w:p>
    <w:sectPr w:rsidR="00782EA9" w:rsidRPr="00782EA9" w:rsidSect="002119C7">
      <w:headerReference w:type="default" r:id="rId8"/>
      <w:pgSz w:w="11906" w:h="16838"/>
      <w:pgMar w:top="851" w:right="567" w:bottom="56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C36" w:rsidRDefault="00C36C36" w:rsidP="00964368">
      <w:r>
        <w:separator/>
      </w:r>
    </w:p>
  </w:endnote>
  <w:endnote w:type="continuationSeparator" w:id="1">
    <w:p w:rsidR="00C36C36" w:rsidRDefault="00C36C36" w:rsidP="00964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C36" w:rsidRDefault="00C36C36" w:rsidP="00964368">
      <w:r>
        <w:separator/>
      </w:r>
    </w:p>
  </w:footnote>
  <w:footnote w:type="continuationSeparator" w:id="1">
    <w:p w:rsidR="00C36C36" w:rsidRDefault="00C36C36" w:rsidP="00964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17785"/>
      <w:docPartObj>
        <w:docPartGallery w:val="Page Numbers (Top of Page)"/>
        <w:docPartUnique/>
      </w:docPartObj>
    </w:sdtPr>
    <w:sdtContent>
      <w:p w:rsidR="00C36C36" w:rsidRDefault="00E07C46">
        <w:pPr>
          <w:pStyle w:val="a6"/>
          <w:jc w:val="center"/>
        </w:pPr>
        <w:fldSimple w:instr=" PAGE   \* MERGEFORMAT ">
          <w:r w:rsidR="00154015">
            <w:rPr>
              <w:noProof/>
            </w:rPr>
            <w:t>11</w:t>
          </w:r>
        </w:fldSimple>
      </w:p>
    </w:sdtContent>
  </w:sdt>
  <w:p w:rsidR="00C36C36" w:rsidRDefault="00C36C3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490"/>
    <w:multiLevelType w:val="hybridMultilevel"/>
    <w:tmpl w:val="13A85FAA"/>
    <w:lvl w:ilvl="0" w:tplc="AD44AA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D9305E"/>
    <w:multiLevelType w:val="hybridMultilevel"/>
    <w:tmpl w:val="08643D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246695"/>
    <w:multiLevelType w:val="hybridMultilevel"/>
    <w:tmpl w:val="02E6AE54"/>
    <w:lvl w:ilvl="0" w:tplc="AD3C7D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22E3B5C"/>
    <w:multiLevelType w:val="hybridMultilevel"/>
    <w:tmpl w:val="13A85FAA"/>
    <w:lvl w:ilvl="0" w:tplc="AD44AA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6563BE0"/>
    <w:multiLevelType w:val="hybridMultilevel"/>
    <w:tmpl w:val="B8009196"/>
    <w:lvl w:ilvl="0" w:tplc="380451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05288B"/>
    <w:multiLevelType w:val="hybridMultilevel"/>
    <w:tmpl w:val="31F2780A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>
    <w:nsid w:val="6A6C0326"/>
    <w:multiLevelType w:val="hybridMultilevel"/>
    <w:tmpl w:val="E91C8A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41E7172"/>
    <w:multiLevelType w:val="hybridMultilevel"/>
    <w:tmpl w:val="001EC1FC"/>
    <w:lvl w:ilvl="0" w:tplc="970ADD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553"/>
    <w:rsid w:val="00011132"/>
    <w:rsid w:val="00022338"/>
    <w:rsid w:val="00022D75"/>
    <w:rsid w:val="00094882"/>
    <w:rsid w:val="00095789"/>
    <w:rsid w:val="000B057E"/>
    <w:rsid w:val="000B39B8"/>
    <w:rsid w:val="000B6AB0"/>
    <w:rsid w:val="000C5DB3"/>
    <w:rsid w:val="000C74AC"/>
    <w:rsid w:val="000D1992"/>
    <w:rsid w:val="000D5FB4"/>
    <w:rsid w:val="000E488A"/>
    <w:rsid w:val="00102FEA"/>
    <w:rsid w:val="0010477B"/>
    <w:rsid w:val="00105270"/>
    <w:rsid w:val="00105645"/>
    <w:rsid w:val="0011600C"/>
    <w:rsid w:val="00130015"/>
    <w:rsid w:val="00130EC9"/>
    <w:rsid w:val="00132759"/>
    <w:rsid w:val="00152473"/>
    <w:rsid w:val="00154015"/>
    <w:rsid w:val="00154F37"/>
    <w:rsid w:val="00160D9F"/>
    <w:rsid w:val="001A4907"/>
    <w:rsid w:val="001B1C87"/>
    <w:rsid w:val="001B5440"/>
    <w:rsid w:val="001C04A7"/>
    <w:rsid w:val="001F2DC7"/>
    <w:rsid w:val="001F3FA0"/>
    <w:rsid w:val="001F58DF"/>
    <w:rsid w:val="00203AFD"/>
    <w:rsid w:val="00211097"/>
    <w:rsid w:val="002119C7"/>
    <w:rsid w:val="00215F42"/>
    <w:rsid w:val="002165A0"/>
    <w:rsid w:val="00221D9E"/>
    <w:rsid w:val="00222467"/>
    <w:rsid w:val="002274AD"/>
    <w:rsid w:val="00231381"/>
    <w:rsid w:val="002318F8"/>
    <w:rsid w:val="002323D7"/>
    <w:rsid w:val="002370D4"/>
    <w:rsid w:val="00243A44"/>
    <w:rsid w:val="00246589"/>
    <w:rsid w:val="00251637"/>
    <w:rsid w:val="00252A49"/>
    <w:rsid w:val="00254A6F"/>
    <w:rsid w:val="00264802"/>
    <w:rsid w:val="00287833"/>
    <w:rsid w:val="0029473C"/>
    <w:rsid w:val="00294C34"/>
    <w:rsid w:val="002A1243"/>
    <w:rsid w:val="002A26EA"/>
    <w:rsid w:val="002A3D72"/>
    <w:rsid w:val="002B62BB"/>
    <w:rsid w:val="002B718E"/>
    <w:rsid w:val="002C7F2E"/>
    <w:rsid w:val="002D1929"/>
    <w:rsid w:val="002D5D32"/>
    <w:rsid w:val="002E0B37"/>
    <w:rsid w:val="002E3A2B"/>
    <w:rsid w:val="00314873"/>
    <w:rsid w:val="003165E8"/>
    <w:rsid w:val="00333FF7"/>
    <w:rsid w:val="00340612"/>
    <w:rsid w:val="003503A4"/>
    <w:rsid w:val="003605B9"/>
    <w:rsid w:val="00365891"/>
    <w:rsid w:val="0037482A"/>
    <w:rsid w:val="003973EF"/>
    <w:rsid w:val="003A3930"/>
    <w:rsid w:val="003C03D1"/>
    <w:rsid w:val="003C6E2D"/>
    <w:rsid w:val="003D6311"/>
    <w:rsid w:val="003E1553"/>
    <w:rsid w:val="00407E9A"/>
    <w:rsid w:val="00410AD7"/>
    <w:rsid w:val="004174E4"/>
    <w:rsid w:val="00435CE0"/>
    <w:rsid w:val="00440E2E"/>
    <w:rsid w:val="0045189C"/>
    <w:rsid w:val="00454022"/>
    <w:rsid w:val="00464E9C"/>
    <w:rsid w:val="004662F3"/>
    <w:rsid w:val="00482E8D"/>
    <w:rsid w:val="004B4993"/>
    <w:rsid w:val="004B68D6"/>
    <w:rsid w:val="004C2D37"/>
    <w:rsid w:val="004C568E"/>
    <w:rsid w:val="004C7A89"/>
    <w:rsid w:val="004E1B09"/>
    <w:rsid w:val="004E7834"/>
    <w:rsid w:val="004F5226"/>
    <w:rsid w:val="005007F8"/>
    <w:rsid w:val="005105D3"/>
    <w:rsid w:val="00512849"/>
    <w:rsid w:val="005156D2"/>
    <w:rsid w:val="00520083"/>
    <w:rsid w:val="0052427E"/>
    <w:rsid w:val="005249B8"/>
    <w:rsid w:val="005315DC"/>
    <w:rsid w:val="00534844"/>
    <w:rsid w:val="005417D8"/>
    <w:rsid w:val="005735B1"/>
    <w:rsid w:val="005742E2"/>
    <w:rsid w:val="00593AD0"/>
    <w:rsid w:val="005A2459"/>
    <w:rsid w:val="005B5B79"/>
    <w:rsid w:val="005D0A78"/>
    <w:rsid w:val="005F2AB6"/>
    <w:rsid w:val="0060622A"/>
    <w:rsid w:val="00611DC1"/>
    <w:rsid w:val="00616E76"/>
    <w:rsid w:val="006320C9"/>
    <w:rsid w:val="00640979"/>
    <w:rsid w:val="0064679A"/>
    <w:rsid w:val="00647CD6"/>
    <w:rsid w:val="00653A62"/>
    <w:rsid w:val="006676DE"/>
    <w:rsid w:val="00670DE3"/>
    <w:rsid w:val="00681C11"/>
    <w:rsid w:val="00691F44"/>
    <w:rsid w:val="00692362"/>
    <w:rsid w:val="006943DD"/>
    <w:rsid w:val="006B09BD"/>
    <w:rsid w:val="006B4792"/>
    <w:rsid w:val="006C4465"/>
    <w:rsid w:val="006D1E88"/>
    <w:rsid w:val="006D46A0"/>
    <w:rsid w:val="006D640F"/>
    <w:rsid w:val="006E1000"/>
    <w:rsid w:val="006E79DF"/>
    <w:rsid w:val="006F3E27"/>
    <w:rsid w:val="0070455A"/>
    <w:rsid w:val="0071583F"/>
    <w:rsid w:val="007226B5"/>
    <w:rsid w:val="00756E20"/>
    <w:rsid w:val="00782EA9"/>
    <w:rsid w:val="0079669A"/>
    <w:rsid w:val="007B166F"/>
    <w:rsid w:val="007C3391"/>
    <w:rsid w:val="007E6A89"/>
    <w:rsid w:val="007F5629"/>
    <w:rsid w:val="008022C7"/>
    <w:rsid w:val="008267B0"/>
    <w:rsid w:val="008303BB"/>
    <w:rsid w:val="008310EA"/>
    <w:rsid w:val="0084243C"/>
    <w:rsid w:val="00842B08"/>
    <w:rsid w:val="00844847"/>
    <w:rsid w:val="008523CE"/>
    <w:rsid w:val="008701DA"/>
    <w:rsid w:val="008A3667"/>
    <w:rsid w:val="008A65BF"/>
    <w:rsid w:val="008B6E24"/>
    <w:rsid w:val="008C51CA"/>
    <w:rsid w:val="008C6BC7"/>
    <w:rsid w:val="008D49E8"/>
    <w:rsid w:val="008E35D6"/>
    <w:rsid w:val="008E37BC"/>
    <w:rsid w:val="008F50AE"/>
    <w:rsid w:val="008F7A29"/>
    <w:rsid w:val="009046D5"/>
    <w:rsid w:val="00905DAB"/>
    <w:rsid w:val="009068E6"/>
    <w:rsid w:val="00932FD2"/>
    <w:rsid w:val="0093771F"/>
    <w:rsid w:val="009412A5"/>
    <w:rsid w:val="009452FA"/>
    <w:rsid w:val="009476BE"/>
    <w:rsid w:val="00964368"/>
    <w:rsid w:val="009645CD"/>
    <w:rsid w:val="0096612C"/>
    <w:rsid w:val="009721E4"/>
    <w:rsid w:val="009722B5"/>
    <w:rsid w:val="009738F8"/>
    <w:rsid w:val="0098024F"/>
    <w:rsid w:val="00980D19"/>
    <w:rsid w:val="00982615"/>
    <w:rsid w:val="009867BF"/>
    <w:rsid w:val="009911FC"/>
    <w:rsid w:val="0099224F"/>
    <w:rsid w:val="009A37CB"/>
    <w:rsid w:val="009B0792"/>
    <w:rsid w:val="009B43CF"/>
    <w:rsid w:val="009C4137"/>
    <w:rsid w:val="009E1583"/>
    <w:rsid w:val="00A0214A"/>
    <w:rsid w:val="00A06FFF"/>
    <w:rsid w:val="00A17ED9"/>
    <w:rsid w:val="00A24FBA"/>
    <w:rsid w:val="00A276CD"/>
    <w:rsid w:val="00A34BBA"/>
    <w:rsid w:val="00A60A94"/>
    <w:rsid w:val="00A62F43"/>
    <w:rsid w:val="00A6595A"/>
    <w:rsid w:val="00A82215"/>
    <w:rsid w:val="00A91037"/>
    <w:rsid w:val="00AA2CEE"/>
    <w:rsid w:val="00AA3BF7"/>
    <w:rsid w:val="00AB0D00"/>
    <w:rsid w:val="00AC3836"/>
    <w:rsid w:val="00AD40B4"/>
    <w:rsid w:val="00AD6C65"/>
    <w:rsid w:val="00AF4D91"/>
    <w:rsid w:val="00AF4F3C"/>
    <w:rsid w:val="00AF6C90"/>
    <w:rsid w:val="00B0079C"/>
    <w:rsid w:val="00B02107"/>
    <w:rsid w:val="00B11AB6"/>
    <w:rsid w:val="00B2184D"/>
    <w:rsid w:val="00B55DF3"/>
    <w:rsid w:val="00B6202F"/>
    <w:rsid w:val="00B643E7"/>
    <w:rsid w:val="00B64831"/>
    <w:rsid w:val="00B716E0"/>
    <w:rsid w:val="00B746D1"/>
    <w:rsid w:val="00B7610A"/>
    <w:rsid w:val="00BA1653"/>
    <w:rsid w:val="00BA4511"/>
    <w:rsid w:val="00BB73C6"/>
    <w:rsid w:val="00BD06C8"/>
    <w:rsid w:val="00BD1755"/>
    <w:rsid w:val="00BE1E7F"/>
    <w:rsid w:val="00BF25FF"/>
    <w:rsid w:val="00C079F8"/>
    <w:rsid w:val="00C203AE"/>
    <w:rsid w:val="00C21ABF"/>
    <w:rsid w:val="00C22274"/>
    <w:rsid w:val="00C36C36"/>
    <w:rsid w:val="00C37F04"/>
    <w:rsid w:val="00C53A11"/>
    <w:rsid w:val="00C56A71"/>
    <w:rsid w:val="00C934D1"/>
    <w:rsid w:val="00CA4F3D"/>
    <w:rsid w:val="00CA5F5F"/>
    <w:rsid w:val="00CB3E0F"/>
    <w:rsid w:val="00CB431D"/>
    <w:rsid w:val="00CC1640"/>
    <w:rsid w:val="00CD4373"/>
    <w:rsid w:val="00CD4D28"/>
    <w:rsid w:val="00CD4EEF"/>
    <w:rsid w:val="00CE14F5"/>
    <w:rsid w:val="00CF1B8C"/>
    <w:rsid w:val="00CF69FA"/>
    <w:rsid w:val="00D14BDB"/>
    <w:rsid w:val="00D153F8"/>
    <w:rsid w:val="00D1592A"/>
    <w:rsid w:val="00D21054"/>
    <w:rsid w:val="00D2333A"/>
    <w:rsid w:val="00D3006F"/>
    <w:rsid w:val="00D35D1D"/>
    <w:rsid w:val="00D43418"/>
    <w:rsid w:val="00D441DA"/>
    <w:rsid w:val="00D45726"/>
    <w:rsid w:val="00D61BDE"/>
    <w:rsid w:val="00D665CE"/>
    <w:rsid w:val="00D74DAE"/>
    <w:rsid w:val="00D75A48"/>
    <w:rsid w:val="00D87B88"/>
    <w:rsid w:val="00D92328"/>
    <w:rsid w:val="00D9335A"/>
    <w:rsid w:val="00D97D5F"/>
    <w:rsid w:val="00DA461E"/>
    <w:rsid w:val="00DB0203"/>
    <w:rsid w:val="00DB0FA3"/>
    <w:rsid w:val="00DC12F2"/>
    <w:rsid w:val="00DD500D"/>
    <w:rsid w:val="00DD54D8"/>
    <w:rsid w:val="00DE7458"/>
    <w:rsid w:val="00DF4DBA"/>
    <w:rsid w:val="00DF5CC2"/>
    <w:rsid w:val="00E03C76"/>
    <w:rsid w:val="00E057E1"/>
    <w:rsid w:val="00E07C46"/>
    <w:rsid w:val="00E13C14"/>
    <w:rsid w:val="00E141A8"/>
    <w:rsid w:val="00E27324"/>
    <w:rsid w:val="00E361A5"/>
    <w:rsid w:val="00E40703"/>
    <w:rsid w:val="00E41A53"/>
    <w:rsid w:val="00E601D8"/>
    <w:rsid w:val="00E708E3"/>
    <w:rsid w:val="00E8313B"/>
    <w:rsid w:val="00E8317B"/>
    <w:rsid w:val="00E913DD"/>
    <w:rsid w:val="00EB4066"/>
    <w:rsid w:val="00EC6C0B"/>
    <w:rsid w:val="00ED083B"/>
    <w:rsid w:val="00ED1CDD"/>
    <w:rsid w:val="00ED7504"/>
    <w:rsid w:val="00ED7AFF"/>
    <w:rsid w:val="00EE1D71"/>
    <w:rsid w:val="00EE470D"/>
    <w:rsid w:val="00F00868"/>
    <w:rsid w:val="00F0306B"/>
    <w:rsid w:val="00F05498"/>
    <w:rsid w:val="00F11052"/>
    <w:rsid w:val="00F169E1"/>
    <w:rsid w:val="00F36929"/>
    <w:rsid w:val="00F41AFD"/>
    <w:rsid w:val="00F45DB3"/>
    <w:rsid w:val="00F46C0E"/>
    <w:rsid w:val="00F47101"/>
    <w:rsid w:val="00F544BA"/>
    <w:rsid w:val="00F54B66"/>
    <w:rsid w:val="00F64C8B"/>
    <w:rsid w:val="00F727CE"/>
    <w:rsid w:val="00F75471"/>
    <w:rsid w:val="00F91ACE"/>
    <w:rsid w:val="00F97792"/>
    <w:rsid w:val="00FA7C82"/>
    <w:rsid w:val="00FB5DD1"/>
    <w:rsid w:val="00FB6B60"/>
    <w:rsid w:val="00FC190F"/>
    <w:rsid w:val="00FC2293"/>
    <w:rsid w:val="00FC59E2"/>
    <w:rsid w:val="00FC72BE"/>
    <w:rsid w:val="00FD5B57"/>
    <w:rsid w:val="00FE0F94"/>
    <w:rsid w:val="00FE7701"/>
    <w:rsid w:val="00FF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124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55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A124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Body Text 2"/>
    <w:basedOn w:val="a"/>
    <w:link w:val="20"/>
    <w:rsid w:val="00CA4F3D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rsid w:val="00CA4F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691F4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5">
    <w:name w:val="Table Grid"/>
    <w:basedOn w:val="a1"/>
    <w:rsid w:val="008310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643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436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643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6436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7EEC1-C2FD-43FE-B5AF-B430F855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11</Pages>
  <Words>5123</Words>
  <Characters>29206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 ВО</Company>
  <LinksUpToDate>false</LinksUpToDate>
  <CharactersWithSpaces>34261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Тафинцева И.В.</dc:creator>
  <cp:lastModifiedBy>Молдованов</cp:lastModifiedBy>
  <cp:revision>26</cp:revision>
  <cp:lastPrinted>2016-03-23T06:31:00Z</cp:lastPrinted>
  <dcterms:created xsi:type="dcterms:W3CDTF">2016-03-14T06:54:00Z</dcterms:created>
  <dcterms:modified xsi:type="dcterms:W3CDTF">2016-03-23T06:31:00Z</dcterms:modified>
</cp:coreProperties>
</file>