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4394"/>
      </w:tblGrid>
      <w:tr w:rsidR="00682D3E" w:rsidRPr="00E510A5" w:rsidTr="001E246C">
        <w:tc>
          <w:tcPr>
            <w:tcW w:w="5495" w:type="dxa"/>
          </w:tcPr>
          <w:p w:rsidR="00682D3E" w:rsidRPr="00E510A5" w:rsidRDefault="00682D3E" w:rsidP="00682D3E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4394" w:type="dxa"/>
          </w:tcPr>
          <w:p w:rsidR="001E246C" w:rsidRPr="001E246C" w:rsidRDefault="001E246C" w:rsidP="001E246C">
            <w:pPr>
              <w:rPr>
                <w:bCs/>
                <w:spacing w:val="-2"/>
              </w:rPr>
            </w:pPr>
            <w:r w:rsidRPr="001E246C">
              <w:rPr>
                <w:bCs/>
                <w:spacing w:val="-2"/>
              </w:rPr>
              <w:t xml:space="preserve">                     </w:t>
            </w:r>
            <w:r w:rsidR="00682D3E" w:rsidRPr="001E246C">
              <w:rPr>
                <w:bCs/>
                <w:spacing w:val="-2"/>
              </w:rPr>
              <w:t>Утвержд</w:t>
            </w:r>
            <w:r w:rsidR="00660F9B">
              <w:rPr>
                <w:bCs/>
                <w:spacing w:val="-2"/>
              </w:rPr>
              <w:t>аю</w:t>
            </w:r>
          </w:p>
          <w:p w:rsidR="00682D3E" w:rsidRDefault="00F11B4A" w:rsidP="00682D3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п</w:t>
            </w:r>
            <w:r w:rsidR="00464F35" w:rsidRPr="001E246C">
              <w:rPr>
                <w:bCs/>
                <w:spacing w:val="-2"/>
              </w:rPr>
              <w:t>редседател</w:t>
            </w:r>
            <w:r w:rsidR="00660F9B">
              <w:rPr>
                <w:bCs/>
                <w:spacing w:val="-2"/>
              </w:rPr>
              <w:t>ь</w:t>
            </w:r>
            <w:r w:rsidR="001E246C" w:rsidRPr="001E246C">
              <w:rPr>
                <w:bCs/>
                <w:spacing w:val="-2"/>
              </w:rPr>
              <w:t xml:space="preserve"> </w:t>
            </w:r>
            <w:r w:rsidR="00682D3E" w:rsidRPr="001E246C">
              <w:rPr>
                <w:bCs/>
                <w:spacing w:val="-2"/>
              </w:rPr>
              <w:t>контрольно-счетной палаты Волгоградской области</w:t>
            </w:r>
          </w:p>
          <w:p w:rsidR="00660F9B" w:rsidRDefault="00660F9B" w:rsidP="00682D3E">
            <w:pPr>
              <w:rPr>
                <w:bCs/>
                <w:spacing w:val="-2"/>
              </w:rPr>
            </w:pPr>
          </w:p>
          <w:p w:rsidR="00660F9B" w:rsidRPr="001E246C" w:rsidRDefault="00660F9B" w:rsidP="00682D3E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_______________ И.А. Дьяченко</w:t>
            </w:r>
          </w:p>
          <w:p w:rsidR="00660F9B" w:rsidRPr="00660F9B" w:rsidRDefault="00682D3E" w:rsidP="001E246C">
            <w:pPr>
              <w:rPr>
                <w:bCs/>
                <w:spacing w:val="-2"/>
                <w:sz w:val="16"/>
                <w:szCs w:val="16"/>
              </w:rPr>
            </w:pPr>
            <w:r w:rsidRPr="001E246C">
              <w:rPr>
                <w:bCs/>
                <w:spacing w:val="-2"/>
              </w:rPr>
              <w:t xml:space="preserve"> </w:t>
            </w:r>
          </w:p>
          <w:p w:rsidR="00682D3E" w:rsidRPr="001E246C" w:rsidRDefault="00682D3E" w:rsidP="00C32E08">
            <w:pPr>
              <w:rPr>
                <w:bCs/>
                <w:spacing w:val="-2"/>
              </w:rPr>
            </w:pPr>
            <w:r w:rsidRPr="001E246C">
              <w:rPr>
                <w:bCs/>
                <w:spacing w:val="-2"/>
              </w:rPr>
              <w:t>____</w:t>
            </w:r>
            <w:r w:rsidR="00660F9B">
              <w:rPr>
                <w:bCs/>
                <w:spacing w:val="-2"/>
              </w:rPr>
              <w:t xml:space="preserve">__    </w:t>
            </w:r>
            <w:r w:rsidR="00C32E08">
              <w:rPr>
                <w:bCs/>
                <w:spacing w:val="-2"/>
              </w:rPr>
              <w:t xml:space="preserve">февраля  </w:t>
            </w:r>
            <w:r w:rsidRPr="001E246C">
              <w:rPr>
                <w:bCs/>
                <w:spacing w:val="-2"/>
              </w:rPr>
              <w:t xml:space="preserve">2016 г. </w:t>
            </w:r>
          </w:p>
        </w:tc>
      </w:tr>
    </w:tbl>
    <w:p w:rsidR="00682D3E" w:rsidRPr="00E510A5" w:rsidRDefault="00682D3E" w:rsidP="00682D3E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82D3E" w:rsidRPr="00E510A5" w:rsidRDefault="00682D3E" w:rsidP="00682D3E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E510A5">
        <w:rPr>
          <w:b/>
          <w:bCs/>
          <w:spacing w:val="-2"/>
        </w:rPr>
        <w:t>ОТЧЕТ</w:t>
      </w:r>
    </w:p>
    <w:p w:rsidR="00682D3E" w:rsidRDefault="00682D3E" w:rsidP="00682D3E">
      <w:pPr>
        <w:pStyle w:val="2"/>
        <w:spacing w:after="0" w:line="240" w:lineRule="auto"/>
        <w:jc w:val="center"/>
        <w:rPr>
          <w:b/>
          <w:color w:val="000000"/>
        </w:rPr>
      </w:pPr>
      <w:r w:rsidRPr="00682D3E">
        <w:rPr>
          <w:b/>
          <w:bCs/>
          <w:spacing w:val="-2"/>
        </w:rPr>
        <w:t xml:space="preserve">о результатах </w:t>
      </w:r>
      <w:r w:rsidRPr="00682D3E">
        <w:rPr>
          <w:b/>
          <w:color w:val="000000"/>
        </w:rPr>
        <w:t xml:space="preserve">проверки финансово-хозяйственной деятельности </w:t>
      </w:r>
    </w:p>
    <w:p w:rsidR="00682D3E" w:rsidRPr="00682D3E" w:rsidRDefault="00682D3E" w:rsidP="00682D3E">
      <w:pPr>
        <w:pStyle w:val="2"/>
        <w:spacing w:after="0" w:line="240" w:lineRule="auto"/>
        <w:jc w:val="center"/>
        <w:rPr>
          <w:b/>
          <w:color w:val="000000"/>
        </w:rPr>
      </w:pPr>
      <w:r w:rsidRPr="00682D3E">
        <w:rPr>
          <w:b/>
          <w:color w:val="000000"/>
        </w:rPr>
        <w:t xml:space="preserve">государственного бюджетного  учреждения Волгоградской области </w:t>
      </w:r>
    </w:p>
    <w:p w:rsidR="00682D3E" w:rsidRDefault="00682D3E" w:rsidP="00682D3E">
      <w:pPr>
        <w:pStyle w:val="2"/>
        <w:spacing w:after="0" w:line="240" w:lineRule="auto"/>
        <w:jc w:val="center"/>
        <w:rPr>
          <w:b/>
        </w:rPr>
      </w:pPr>
      <w:r w:rsidRPr="00682D3E">
        <w:rPr>
          <w:b/>
        </w:rPr>
        <w:t>«Исполнительная дирекция Администрации Волгоградской области»</w:t>
      </w:r>
    </w:p>
    <w:p w:rsidR="00682D3E" w:rsidRPr="00682D3E" w:rsidRDefault="00682D3E" w:rsidP="00682D3E">
      <w:pPr>
        <w:pStyle w:val="2"/>
        <w:spacing w:after="0" w:line="240" w:lineRule="auto"/>
        <w:jc w:val="center"/>
        <w:rPr>
          <w:b/>
        </w:rPr>
      </w:pPr>
      <w:r w:rsidRPr="00682D3E">
        <w:rPr>
          <w:b/>
        </w:rPr>
        <w:t>за 2014 год и истекший период 2015 года</w:t>
      </w:r>
    </w:p>
    <w:p w:rsidR="00682D3E" w:rsidRPr="001F6799" w:rsidRDefault="00682D3E" w:rsidP="00682D3E">
      <w:pPr>
        <w:shd w:val="clear" w:color="auto" w:fill="FFFFFF"/>
        <w:spacing w:before="2"/>
        <w:rPr>
          <w:i/>
          <w:spacing w:val="-1"/>
        </w:rPr>
      </w:pPr>
    </w:p>
    <w:p w:rsidR="00682D3E" w:rsidRPr="001F6799" w:rsidRDefault="00682D3E" w:rsidP="00682D3E">
      <w:pPr>
        <w:shd w:val="clear" w:color="auto" w:fill="FFFFFF"/>
        <w:ind w:firstLine="720"/>
        <w:jc w:val="both"/>
        <w:rPr>
          <w:b/>
          <w:bCs/>
          <w:spacing w:val="-9"/>
        </w:rPr>
      </w:pPr>
      <w:r w:rsidRPr="001F6799">
        <w:rPr>
          <w:b/>
          <w:bCs/>
        </w:rPr>
        <w:t xml:space="preserve">Основание для проведения контрольного </w:t>
      </w:r>
      <w:r w:rsidRPr="001F6799">
        <w:rPr>
          <w:b/>
          <w:bCs/>
          <w:spacing w:val="-9"/>
        </w:rPr>
        <w:t xml:space="preserve">мероприятия: </w:t>
      </w:r>
      <w:r w:rsidRPr="001F6799">
        <w:rPr>
          <w:bCs/>
          <w:spacing w:val="-9"/>
        </w:rPr>
        <w:t>п. 3.</w:t>
      </w:r>
      <w:r>
        <w:rPr>
          <w:bCs/>
          <w:spacing w:val="-9"/>
        </w:rPr>
        <w:t>22</w:t>
      </w:r>
      <w:r w:rsidRPr="001F6799">
        <w:rPr>
          <w:bCs/>
          <w:spacing w:val="-9"/>
        </w:rPr>
        <w:t xml:space="preserve"> </w:t>
      </w:r>
      <w:r w:rsidRPr="001F6799">
        <w:t>плана работы контрольно-счетной палаты Волгоградской области, утвержденн</w:t>
      </w:r>
      <w:r>
        <w:t>ого</w:t>
      </w:r>
      <w:r w:rsidRPr="001F6799">
        <w:t xml:space="preserve"> постановлением коллегии контрольно-счётной палаты Волгоградской области от 12.12.2014 № 38/3</w:t>
      </w:r>
      <w:r>
        <w:t xml:space="preserve"> (в ред. от 11.12.2015)</w:t>
      </w:r>
      <w:r w:rsidRPr="001F6799">
        <w:t>.</w:t>
      </w:r>
    </w:p>
    <w:p w:rsidR="00682D3E" w:rsidRPr="001F6799" w:rsidRDefault="00682D3E" w:rsidP="00682D3E">
      <w:pPr>
        <w:pStyle w:val="2"/>
        <w:spacing w:after="0" w:line="240" w:lineRule="auto"/>
        <w:ind w:firstLine="720"/>
        <w:jc w:val="both"/>
        <w:rPr>
          <w:b/>
          <w:i/>
        </w:rPr>
      </w:pPr>
      <w:r w:rsidRPr="001F6799">
        <w:rPr>
          <w:b/>
          <w:bCs/>
          <w:spacing w:val="-2"/>
        </w:rPr>
        <w:t xml:space="preserve">Цель (цели) контрольного мероприятия: </w:t>
      </w:r>
      <w:r w:rsidRPr="001F6799">
        <w:t xml:space="preserve">оценить </w:t>
      </w:r>
      <w:r w:rsidR="00F200F7">
        <w:t>эффективность деятельности</w:t>
      </w:r>
      <w:r w:rsidR="001E246C">
        <w:t xml:space="preserve"> учреждения</w:t>
      </w:r>
      <w:r w:rsidRPr="001F6799">
        <w:t>.</w:t>
      </w:r>
    </w:p>
    <w:p w:rsidR="00682D3E" w:rsidRPr="001F6799" w:rsidRDefault="00682D3E" w:rsidP="00682D3E">
      <w:pPr>
        <w:shd w:val="clear" w:color="auto" w:fill="FFFFFF"/>
        <w:tabs>
          <w:tab w:val="left" w:leader="underscore" w:pos="7133"/>
          <w:tab w:val="left" w:leader="underscore" w:pos="8705"/>
        </w:tabs>
        <w:ind w:firstLine="720"/>
        <w:jc w:val="both"/>
      </w:pPr>
      <w:r w:rsidRPr="001F6799">
        <w:rPr>
          <w:b/>
          <w:bCs/>
          <w:spacing w:val="-3"/>
        </w:rPr>
        <w:t xml:space="preserve">Проверяемый период деятельности: </w:t>
      </w:r>
      <w:r w:rsidRPr="001F6799">
        <w:rPr>
          <w:bCs/>
          <w:spacing w:val="-3"/>
        </w:rPr>
        <w:t xml:space="preserve">2014 год – </w:t>
      </w:r>
      <w:r>
        <w:rPr>
          <w:bCs/>
          <w:spacing w:val="-3"/>
        </w:rPr>
        <w:t>истекший период</w:t>
      </w:r>
      <w:r w:rsidRPr="001F6799">
        <w:rPr>
          <w:bCs/>
          <w:spacing w:val="-3"/>
        </w:rPr>
        <w:t xml:space="preserve"> 2015 года</w:t>
      </w:r>
      <w:r>
        <w:rPr>
          <w:bCs/>
          <w:spacing w:val="-3"/>
        </w:rPr>
        <w:t>.</w:t>
      </w:r>
    </w:p>
    <w:p w:rsidR="00682D3E" w:rsidRPr="001F6799" w:rsidRDefault="00682D3E" w:rsidP="00682D3E">
      <w:pPr>
        <w:shd w:val="clear" w:color="auto" w:fill="FFFFFF"/>
        <w:tabs>
          <w:tab w:val="left" w:leader="underscore" w:pos="7855"/>
        </w:tabs>
        <w:ind w:firstLine="720"/>
        <w:jc w:val="both"/>
      </w:pPr>
      <w:r w:rsidRPr="001F6799">
        <w:rPr>
          <w:b/>
          <w:bCs/>
          <w:spacing w:val="-1"/>
        </w:rPr>
        <w:t>Срок проведения контрольного мероприятия</w:t>
      </w:r>
      <w:r>
        <w:rPr>
          <w:b/>
          <w:bCs/>
          <w:spacing w:val="-1"/>
        </w:rPr>
        <w:t>:</w:t>
      </w:r>
      <w:r w:rsidRPr="001F6799">
        <w:t xml:space="preserve"> с </w:t>
      </w:r>
      <w:r>
        <w:t>14</w:t>
      </w:r>
      <w:r w:rsidRPr="001F6799">
        <w:t>.1</w:t>
      </w:r>
      <w:r>
        <w:t>2</w:t>
      </w:r>
      <w:r w:rsidRPr="001F6799">
        <w:t xml:space="preserve">.2015 по </w:t>
      </w:r>
      <w:r>
        <w:t>28</w:t>
      </w:r>
      <w:r w:rsidRPr="001F6799">
        <w:t>.1</w:t>
      </w:r>
      <w:r>
        <w:t>2</w:t>
      </w:r>
      <w:r w:rsidRPr="001F6799">
        <w:t>.2015</w:t>
      </w:r>
      <w:r>
        <w:t>.</w:t>
      </w:r>
    </w:p>
    <w:p w:rsidR="00682D3E" w:rsidRPr="001F6799" w:rsidRDefault="00682D3E" w:rsidP="00682D3E">
      <w:pPr>
        <w:shd w:val="clear" w:color="auto" w:fill="FFFFFF"/>
        <w:ind w:firstLine="720"/>
        <w:jc w:val="both"/>
        <w:rPr>
          <w:i/>
        </w:rPr>
      </w:pPr>
      <w:r w:rsidRPr="001F6799">
        <w:rPr>
          <w:b/>
          <w:bCs/>
          <w:spacing w:val="-15"/>
        </w:rPr>
        <w:t xml:space="preserve">Объект контрольного мероприятия: </w:t>
      </w:r>
      <w:r w:rsidRPr="001F6799">
        <w:t xml:space="preserve">государственное </w:t>
      </w:r>
      <w:r>
        <w:t>бюджетное</w:t>
      </w:r>
      <w:r w:rsidRPr="001F6799">
        <w:t xml:space="preserve"> учреждение Волгоградской области «</w:t>
      </w:r>
      <w:r w:rsidR="00F200F7">
        <w:t>И</w:t>
      </w:r>
      <w:r>
        <w:t>сполнительная дирекция Администрации</w:t>
      </w:r>
      <w:r w:rsidRPr="001F6799">
        <w:t xml:space="preserve"> Волгоградской области»</w:t>
      </w:r>
      <w:r>
        <w:t xml:space="preserve"> (далее - Г</w:t>
      </w:r>
      <w:r w:rsidR="00F200F7">
        <w:t>Б</w:t>
      </w:r>
      <w:r>
        <w:t>У «</w:t>
      </w:r>
      <w:r w:rsidR="00F200F7">
        <w:t>Исполнительная дирекция</w:t>
      </w:r>
      <w:r>
        <w:t>», учреждение).</w:t>
      </w:r>
    </w:p>
    <w:p w:rsidR="00682D3E" w:rsidRPr="001F6799" w:rsidRDefault="00682D3E" w:rsidP="00682D3E">
      <w:pPr>
        <w:shd w:val="clear" w:color="auto" w:fill="FFFFFF"/>
        <w:ind w:firstLine="720"/>
        <w:jc w:val="both"/>
        <w:rPr>
          <w:b/>
        </w:rPr>
      </w:pPr>
      <w:r w:rsidRPr="001F6799">
        <w:rPr>
          <w:b/>
        </w:rPr>
        <w:t xml:space="preserve">Перечень оформленных актов контрольных мероприятий: </w:t>
      </w:r>
      <w:r w:rsidRPr="001F6799">
        <w:t>акт проверки</w:t>
      </w:r>
      <w:r w:rsidR="00311F59">
        <w:t xml:space="preserve"> </w:t>
      </w:r>
      <w:r w:rsidR="00311F59" w:rsidRPr="001E246C">
        <w:t>(</w:t>
      </w:r>
      <w:r w:rsidRPr="001E246C">
        <w:t>учреждени</w:t>
      </w:r>
      <w:r w:rsidR="00311F59" w:rsidRPr="001E246C">
        <w:t>ем</w:t>
      </w:r>
      <w:r w:rsidRPr="001E246C">
        <w:t xml:space="preserve"> представлены </w:t>
      </w:r>
      <w:r w:rsidR="00311F59" w:rsidRPr="001E246C">
        <w:t xml:space="preserve">возражения и </w:t>
      </w:r>
      <w:r w:rsidRPr="001E246C">
        <w:t>пояснения</w:t>
      </w:r>
      <w:r w:rsidR="00311F59" w:rsidRPr="001E246C">
        <w:t>, которые с заключением на них прилагаются к настоящему отчёту)</w:t>
      </w:r>
      <w:r w:rsidRPr="001E246C">
        <w:t>.</w:t>
      </w:r>
      <w:r w:rsidR="000A0126" w:rsidRPr="001E246C">
        <w:t xml:space="preserve"> Проверка проведена с привлечением специалистов</w:t>
      </w:r>
      <w:r w:rsidR="000A0126" w:rsidRPr="00623202">
        <w:t xml:space="preserve"> комитета по регулированию контрактной системы в сфере закупок Волгоградской области и специалистов отдела анализа соответствия результатов исполнения контрактов </w:t>
      </w:r>
      <w:r w:rsidR="000A0126">
        <w:t>государственного казённого учреждения Волгоградской области «Центр организации закупок», которыми составлены справки, приобщённые к акту проверки.</w:t>
      </w:r>
    </w:p>
    <w:p w:rsidR="000A0126" w:rsidRDefault="000A0126" w:rsidP="000A0126">
      <w:pPr>
        <w:shd w:val="clear" w:color="auto" w:fill="FFFFFF"/>
        <w:ind w:firstLine="720"/>
        <w:jc w:val="both"/>
        <w:rPr>
          <w:b/>
        </w:rPr>
      </w:pPr>
      <w:r w:rsidRPr="000A0126">
        <w:rPr>
          <w:b/>
        </w:rPr>
        <w:t>Характеристика объекта контроля</w:t>
      </w:r>
      <w:r>
        <w:rPr>
          <w:b/>
        </w:rPr>
        <w:t>:</w:t>
      </w:r>
    </w:p>
    <w:p w:rsidR="009528CF" w:rsidRDefault="009528CF" w:rsidP="000A0126">
      <w:pPr>
        <w:shd w:val="clear" w:color="auto" w:fill="FFFFFF"/>
        <w:ind w:firstLine="720"/>
        <w:jc w:val="both"/>
      </w:pPr>
      <w:r w:rsidRPr="009528CF">
        <w:t xml:space="preserve">С 2015 года </w:t>
      </w:r>
      <w:r>
        <w:t>ф</w:t>
      </w:r>
      <w:r w:rsidRPr="00623202">
        <w:t xml:space="preserve">ункции и полномочия учредителя </w:t>
      </w:r>
      <w:r>
        <w:t xml:space="preserve">ГБУ «Исполнительная дирекция» </w:t>
      </w:r>
      <w:r w:rsidRPr="00623202">
        <w:t>осуществляет аппарат Губернатора Волгоградской области</w:t>
      </w:r>
      <w:r>
        <w:t>.</w:t>
      </w:r>
    </w:p>
    <w:p w:rsidR="009528CF" w:rsidRPr="00623202" w:rsidRDefault="009528CF" w:rsidP="009528CF">
      <w:pPr>
        <w:tabs>
          <w:tab w:val="left" w:pos="709"/>
        </w:tabs>
        <w:ind w:firstLine="680"/>
        <w:jc w:val="both"/>
      </w:pPr>
      <w:r>
        <w:t>П</w:t>
      </w:r>
      <w:r w:rsidRPr="00623202">
        <w:t>редметом и основной целью учреждения является:</w:t>
      </w:r>
    </w:p>
    <w:p w:rsidR="009528CF" w:rsidRPr="00623202" w:rsidRDefault="009528CF" w:rsidP="009528CF">
      <w:pPr>
        <w:tabs>
          <w:tab w:val="left" w:pos="709"/>
        </w:tabs>
        <w:ind w:firstLine="709"/>
        <w:jc w:val="both"/>
      </w:pPr>
      <w:r w:rsidRPr="00623202">
        <w:t>-материально-техническое, хозяйственное обслуживание объектов недвижимости, закреплённых на праве оперативного управления за Учреждением, а также объектов недвижимости, расположенных по адресам: Волгоград, пр-кт им. В.И. Ленина, д. 9, ул. В.И. Ленина, д. 9, ул. Набережная 62-й Армии, д.1;</w:t>
      </w:r>
    </w:p>
    <w:p w:rsidR="009528CF" w:rsidRPr="00623202" w:rsidRDefault="009528CF" w:rsidP="009528CF">
      <w:pPr>
        <w:tabs>
          <w:tab w:val="left" w:pos="709"/>
        </w:tabs>
        <w:ind w:firstLine="709"/>
        <w:jc w:val="both"/>
      </w:pPr>
      <w:r w:rsidRPr="00623202">
        <w:t>-автотранспортное обеспечение деятельности Губернатора Волгоградской области, аппарата Губернатора Волгоградской области, а также иных государственных органов и организаций, физических и юридических лиц.</w:t>
      </w:r>
    </w:p>
    <w:p w:rsidR="009528CF" w:rsidRDefault="00941C1B" w:rsidP="009528CF">
      <w:pPr>
        <w:shd w:val="clear" w:color="auto" w:fill="FFFFFF"/>
        <w:ind w:firstLine="720"/>
        <w:jc w:val="both"/>
      </w:pPr>
      <w:r>
        <w:t>В период 2012-2014 годов</w:t>
      </w:r>
      <w:r w:rsidR="009528CF" w:rsidRPr="00623202">
        <w:t xml:space="preserve"> функции и полномочия учредителя учреждения осуществлял комитет по управлению государственным имуществом Волгоградской области. Учреждение осуществляло, в том числе государственные работы по </w:t>
      </w:r>
      <w:r w:rsidR="009528CF" w:rsidRPr="00623202">
        <w:rPr>
          <w:rFonts w:eastAsia="Calibri"/>
        </w:rPr>
        <w:t>техническому обслуживанию и эксплуатации зданий (помещений), материально-техническому и хозяйственному обеспечению деятельности органов власти Волгоградской области</w:t>
      </w:r>
      <w:r>
        <w:rPr>
          <w:rFonts w:eastAsia="Calibri"/>
        </w:rPr>
        <w:t>.</w:t>
      </w:r>
    </w:p>
    <w:p w:rsidR="000A0126" w:rsidRDefault="000A0126" w:rsidP="000A0126">
      <w:pPr>
        <w:shd w:val="clear" w:color="auto" w:fill="FFFFFF"/>
        <w:ind w:firstLine="720"/>
        <w:jc w:val="both"/>
        <w:rPr>
          <w:b/>
          <w:bCs/>
          <w:spacing w:val="-1"/>
        </w:rPr>
      </w:pPr>
      <w:r w:rsidRPr="000A0126">
        <w:rPr>
          <w:b/>
          <w:bCs/>
          <w:spacing w:val="-1"/>
        </w:rPr>
        <w:t>Результаты контрольного мероприятия:</w:t>
      </w:r>
    </w:p>
    <w:p w:rsidR="00941C1B" w:rsidRPr="00623202" w:rsidRDefault="00941C1B" w:rsidP="00941C1B">
      <w:pPr>
        <w:ind w:firstLine="680"/>
        <w:jc w:val="both"/>
      </w:pPr>
      <w:r w:rsidRPr="00623202">
        <w:t>Настоящей проверкой проведено выборочное исследование вопросов финансово-хозяйственной деятельности учреждения в части деятельности по автотранспортному обеспечению.</w:t>
      </w:r>
    </w:p>
    <w:p w:rsidR="002A1678" w:rsidRDefault="00BD773D" w:rsidP="001E246C">
      <w:pPr>
        <w:ind w:firstLine="680"/>
        <w:jc w:val="both"/>
      </w:pPr>
      <w:r w:rsidRPr="00623202">
        <w:lastRenderedPageBreak/>
        <w:t xml:space="preserve">Основные показатели и характеристики </w:t>
      </w:r>
      <w:r w:rsidR="00941C1B">
        <w:t>этой деятельности</w:t>
      </w:r>
      <w:r w:rsidR="009B5CFF" w:rsidRPr="00623202">
        <w:t xml:space="preserve"> за </w:t>
      </w:r>
      <w:r w:rsidRPr="00623202">
        <w:t>2006,</w:t>
      </w:r>
      <w:r w:rsidR="002031BE" w:rsidRPr="00623202">
        <w:t xml:space="preserve"> </w:t>
      </w:r>
      <w:r w:rsidRPr="00623202">
        <w:t xml:space="preserve">2010, </w:t>
      </w:r>
      <w:r w:rsidR="009B5CFF" w:rsidRPr="00623202">
        <w:t>2012-2015 годы представлены в таблице</w:t>
      </w:r>
      <w:r w:rsidR="0013559F" w:rsidRPr="00623202">
        <w:t xml:space="preserve"> и диаграммами</w:t>
      </w:r>
      <w:r w:rsidR="009B5CFF" w:rsidRPr="00623202">
        <w:t>.</w:t>
      </w:r>
      <w:r w:rsidR="00DC7734">
        <w:t xml:space="preserve"> </w:t>
      </w:r>
    </w:p>
    <w:p w:rsidR="007911C5" w:rsidRPr="00623202" w:rsidRDefault="007911C5" w:rsidP="001E246C">
      <w:pPr>
        <w:ind w:firstLine="680"/>
        <w:jc w:val="both"/>
      </w:pPr>
    </w:p>
    <w:tbl>
      <w:tblPr>
        <w:tblW w:w="98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826"/>
        <w:gridCol w:w="1219"/>
        <w:gridCol w:w="727"/>
        <w:gridCol w:w="709"/>
        <w:gridCol w:w="708"/>
        <w:gridCol w:w="709"/>
        <w:gridCol w:w="709"/>
        <w:gridCol w:w="709"/>
        <w:gridCol w:w="1136"/>
      </w:tblGrid>
      <w:tr w:rsidR="00722DF3" w:rsidRPr="00623202" w:rsidTr="00722DF3">
        <w:trPr>
          <w:trHeight w:val="20"/>
        </w:trPr>
        <w:tc>
          <w:tcPr>
            <w:tcW w:w="417" w:type="dxa"/>
            <w:vAlign w:val="center"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3202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6" w:type="dxa"/>
          </w:tcPr>
          <w:p w:rsidR="00722DF3" w:rsidRPr="00623202" w:rsidRDefault="00722DF3" w:rsidP="00722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Изм. 2015 к 2014,%</w:t>
            </w:r>
          </w:p>
        </w:tc>
      </w:tr>
      <w:tr w:rsidR="00722DF3" w:rsidRPr="00623202" w:rsidTr="00722DF3">
        <w:trPr>
          <w:trHeight w:val="20"/>
        </w:trPr>
        <w:tc>
          <w:tcPr>
            <w:tcW w:w="417" w:type="dxa"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auto"/>
            <w:hideMark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Объём работ (2015-прогноз)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тыс. машчас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445,6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633,2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632,3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1136" w:type="dxa"/>
            <w:vAlign w:val="center"/>
          </w:tcPr>
          <w:p w:rsidR="00722DF3" w:rsidRPr="00623202" w:rsidRDefault="00722DF3" w:rsidP="00722DF3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-16,7%</w:t>
            </w:r>
          </w:p>
        </w:tc>
      </w:tr>
      <w:tr w:rsidR="00722DF3" w:rsidRPr="00623202" w:rsidTr="00722DF3">
        <w:trPr>
          <w:trHeight w:val="20"/>
        </w:trPr>
        <w:tc>
          <w:tcPr>
            <w:tcW w:w="417" w:type="dxa"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auto"/>
            <w:hideMark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Водители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штат. ед.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6" w:type="dxa"/>
            <w:vAlign w:val="center"/>
          </w:tcPr>
          <w:p w:rsidR="00722DF3" w:rsidRPr="00623202" w:rsidRDefault="00722DF3" w:rsidP="00722DF3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-2,3%</w:t>
            </w:r>
          </w:p>
        </w:tc>
      </w:tr>
      <w:tr w:rsidR="00722DF3" w:rsidRPr="00623202" w:rsidTr="00722DF3">
        <w:trPr>
          <w:trHeight w:val="20"/>
        </w:trPr>
        <w:tc>
          <w:tcPr>
            <w:tcW w:w="417" w:type="dxa"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26" w:type="dxa"/>
            <w:shd w:val="clear" w:color="auto" w:fill="auto"/>
            <w:hideMark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Автомобили (без переданных в аренду, пользование, для продажи и платных услуг)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6" w:type="dxa"/>
            <w:vAlign w:val="center"/>
          </w:tcPr>
          <w:p w:rsidR="00722DF3" w:rsidRPr="00623202" w:rsidRDefault="00722DF3" w:rsidP="00722DF3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-3,8%</w:t>
            </w:r>
          </w:p>
        </w:tc>
      </w:tr>
      <w:tr w:rsidR="00722DF3" w:rsidRPr="00623202" w:rsidTr="00722DF3">
        <w:trPr>
          <w:trHeight w:val="20"/>
        </w:trPr>
        <w:tc>
          <w:tcPr>
            <w:tcW w:w="417" w:type="dxa"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auto"/>
            <w:hideMark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Расчётная субсидия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286,5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136" w:type="dxa"/>
            <w:vAlign w:val="center"/>
          </w:tcPr>
          <w:p w:rsidR="00722DF3" w:rsidRPr="00623202" w:rsidRDefault="00722DF3" w:rsidP="00722DF3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-2,5%</w:t>
            </w:r>
          </w:p>
        </w:tc>
      </w:tr>
      <w:tr w:rsidR="00722DF3" w:rsidRPr="00623202" w:rsidTr="00722DF3">
        <w:trPr>
          <w:trHeight w:val="20"/>
        </w:trPr>
        <w:tc>
          <w:tcPr>
            <w:tcW w:w="417" w:type="dxa"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26" w:type="dxa"/>
            <w:shd w:val="clear" w:color="auto" w:fill="auto"/>
            <w:hideMark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Нагрузка на 1 водителя (2/3)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тыс. машчас/</w:t>
            </w:r>
          </w:p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136" w:type="dxa"/>
            <w:vAlign w:val="center"/>
          </w:tcPr>
          <w:p w:rsidR="00722DF3" w:rsidRPr="00623202" w:rsidRDefault="00722DF3" w:rsidP="00722DF3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-14,7%</w:t>
            </w:r>
          </w:p>
        </w:tc>
      </w:tr>
      <w:tr w:rsidR="00722DF3" w:rsidRPr="00623202" w:rsidTr="00722DF3">
        <w:trPr>
          <w:trHeight w:val="20"/>
        </w:trPr>
        <w:tc>
          <w:tcPr>
            <w:tcW w:w="417" w:type="dxa"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26" w:type="dxa"/>
            <w:shd w:val="clear" w:color="auto" w:fill="auto"/>
            <w:hideMark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Нагрузка на 1 автомобиль (2/4)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тыс. машчас/</w:t>
            </w:r>
          </w:p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автомобиль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136" w:type="dxa"/>
            <w:vAlign w:val="center"/>
          </w:tcPr>
          <w:p w:rsidR="00722DF3" w:rsidRPr="00623202" w:rsidRDefault="00722DF3" w:rsidP="00722DF3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-13,4%</w:t>
            </w:r>
          </w:p>
        </w:tc>
      </w:tr>
      <w:tr w:rsidR="00722DF3" w:rsidRPr="00623202" w:rsidTr="00722DF3">
        <w:trPr>
          <w:trHeight w:val="20"/>
        </w:trPr>
        <w:tc>
          <w:tcPr>
            <w:tcW w:w="417" w:type="dxa"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26" w:type="dxa"/>
            <w:shd w:val="clear" w:color="auto" w:fill="auto"/>
            <w:hideMark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Стоимость машиночаса, руб.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453,1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1136" w:type="dxa"/>
            <w:vAlign w:val="center"/>
          </w:tcPr>
          <w:p w:rsidR="00722DF3" w:rsidRPr="00623202" w:rsidRDefault="00722DF3" w:rsidP="00722DF3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17,0%</w:t>
            </w:r>
          </w:p>
        </w:tc>
      </w:tr>
      <w:tr w:rsidR="00722DF3" w:rsidRPr="00623202" w:rsidTr="00722DF3">
        <w:trPr>
          <w:trHeight w:val="20"/>
        </w:trPr>
        <w:tc>
          <w:tcPr>
            <w:tcW w:w="417" w:type="dxa"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26" w:type="dxa"/>
            <w:shd w:val="clear" w:color="auto" w:fill="auto"/>
            <w:hideMark/>
          </w:tcPr>
          <w:p w:rsidR="00722DF3" w:rsidRPr="00623202" w:rsidRDefault="00722DF3">
            <w:pPr>
              <w:jc w:val="both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Обеспеченность штатов средствами труда (4/3)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машин/</w:t>
            </w:r>
          </w:p>
          <w:p w:rsidR="00722DF3" w:rsidRPr="00623202" w:rsidRDefault="00722DF3" w:rsidP="00722DF3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2DF3" w:rsidRPr="00623202" w:rsidRDefault="00722DF3" w:rsidP="00B8381F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36" w:type="dxa"/>
            <w:vAlign w:val="center"/>
          </w:tcPr>
          <w:p w:rsidR="00722DF3" w:rsidRPr="00623202" w:rsidRDefault="00722DF3" w:rsidP="00722DF3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-1,5%</w:t>
            </w:r>
          </w:p>
        </w:tc>
      </w:tr>
    </w:tbl>
    <w:p w:rsidR="0085623C" w:rsidRPr="00623202" w:rsidRDefault="0085623C" w:rsidP="0085623C">
      <w:pPr>
        <w:jc w:val="both"/>
      </w:pPr>
    </w:p>
    <w:p w:rsidR="00941C1B" w:rsidRDefault="00941C1B" w:rsidP="002F7483">
      <w:pPr>
        <w:ind w:firstLine="680"/>
        <w:jc w:val="both"/>
      </w:pPr>
    </w:p>
    <w:p w:rsidR="00941C1B" w:rsidRDefault="00941C1B" w:rsidP="00941C1B">
      <w:pPr>
        <w:jc w:val="both"/>
      </w:pPr>
      <w:r w:rsidRPr="00941C1B">
        <w:rPr>
          <w:noProof/>
        </w:rPr>
        <w:drawing>
          <wp:inline distT="0" distB="0" distL="0" distR="0">
            <wp:extent cx="5943600" cy="2562225"/>
            <wp:effectExtent l="19050" t="0" r="1905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1C1B" w:rsidRPr="00623202" w:rsidRDefault="00941C1B" w:rsidP="00941C1B">
      <w:pPr>
        <w:jc w:val="both"/>
      </w:pPr>
    </w:p>
    <w:p w:rsidR="0013559F" w:rsidRPr="00623202" w:rsidRDefault="00D517F4" w:rsidP="0013559F">
      <w:pPr>
        <w:jc w:val="both"/>
      </w:pPr>
      <w:r>
        <w:rPr>
          <w:noProof/>
        </w:rPr>
        <w:drawing>
          <wp:inline distT="0" distB="0" distL="0" distR="0">
            <wp:extent cx="5943600" cy="2562225"/>
            <wp:effectExtent l="19050" t="0" r="1905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27CC" w:rsidRDefault="003827CC" w:rsidP="0013559F">
      <w:pPr>
        <w:ind w:firstLine="680"/>
        <w:jc w:val="both"/>
      </w:pPr>
    </w:p>
    <w:p w:rsidR="0013559F" w:rsidRPr="00623202" w:rsidRDefault="0013559F" w:rsidP="0013559F">
      <w:pPr>
        <w:ind w:firstLine="680"/>
        <w:jc w:val="both"/>
      </w:pPr>
      <w:r w:rsidRPr="00623202">
        <w:t xml:space="preserve">Объём работы по автотранспортному обеспечению в 2015 году уменьшился по отношению к 2014 году на </w:t>
      </w:r>
      <w:r w:rsidR="00775647" w:rsidRPr="00623202">
        <w:t>16,7</w:t>
      </w:r>
      <w:r w:rsidRPr="00623202">
        <w:t xml:space="preserve"> </w:t>
      </w:r>
      <w:r w:rsidR="00CD5F2B" w:rsidRPr="00623202">
        <w:t>%</w:t>
      </w:r>
      <w:r w:rsidRPr="00623202">
        <w:t xml:space="preserve"> (с 632,3 до 526,7 тыс. машиночасов). </w:t>
      </w:r>
      <w:r w:rsidR="00CD5F2B" w:rsidRPr="00623202">
        <w:t xml:space="preserve">Основными причинами уменьшения объёма </w:t>
      </w:r>
      <w:r w:rsidR="00775647" w:rsidRPr="00623202">
        <w:t>учреждение называет</w:t>
      </w:r>
      <w:r w:rsidRPr="00623202">
        <w:t>:</w:t>
      </w:r>
    </w:p>
    <w:p w:rsidR="0013559F" w:rsidRPr="00623202" w:rsidRDefault="0013559F" w:rsidP="0013559F">
      <w:pPr>
        <w:ind w:firstLine="680"/>
        <w:jc w:val="both"/>
      </w:pPr>
      <w:r w:rsidRPr="00623202">
        <w:t>-уменьшение обеспечения Волгоградской областной Думы  с</w:t>
      </w:r>
      <w:r w:rsidR="001E246C">
        <w:t>о</w:t>
      </w:r>
      <w:r w:rsidRPr="00623202">
        <w:t xml:space="preserve"> </w:t>
      </w:r>
      <w:r w:rsidR="00AF5C77" w:rsidRPr="00623202">
        <w:t>145,8</w:t>
      </w:r>
      <w:r w:rsidRPr="00623202">
        <w:t xml:space="preserve"> до </w:t>
      </w:r>
      <w:r w:rsidR="00AF5C77" w:rsidRPr="00623202">
        <w:t>93,4</w:t>
      </w:r>
      <w:r w:rsidRPr="00623202">
        <w:t>, или на 52</w:t>
      </w:r>
      <w:r w:rsidR="00AF5C77" w:rsidRPr="00623202">
        <w:t>,4</w:t>
      </w:r>
      <w:r w:rsidRPr="00623202">
        <w:t xml:space="preserve"> тыс. машиночасов (</w:t>
      </w:r>
      <w:r w:rsidR="00AF5C77" w:rsidRPr="00623202">
        <w:t>36</w:t>
      </w:r>
      <w:r w:rsidRPr="00623202">
        <w:t>%);</w:t>
      </w:r>
    </w:p>
    <w:p w:rsidR="0013559F" w:rsidRPr="00623202" w:rsidRDefault="0013559F" w:rsidP="0013559F">
      <w:pPr>
        <w:ind w:firstLine="680"/>
        <w:jc w:val="both"/>
      </w:pPr>
      <w:r w:rsidRPr="00623202">
        <w:lastRenderedPageBreak/>
        <w:t xml:space="preserve">-ужесточение требований </w:t>
      </w:r>
      <w:r w:rsidR="00CD5F2B" w:rsidRPr="00623202">
        <w:t xml:space="preserve">руководства учреждения </w:t>
      </w:r>
      <w:r w:rsidRPr="00623202">
        <w:t>по обоснованию необходимости предоставления транспорта в выходные дни</w:t>
      </w:r>
      <w:r w:rsidR="00AF5C77" w:rsidRPr="00623202">
        <w:t xml:space="preserve"> (за 11 мес. 2014 года отработано 5332 машинодня в выходные, за 11 мес. 2015 – 3003 машинодня</w:t>
      </w:r>
      <w:r w:rsidR="003827CC">
        <w:t>, или на 43% меньше</w:t>
      </w:r>
      <w:r w:rsidR="00AF5C77" w:rsidRPr="00623202">
        <w:t>)</w:t>
      </w:r>
      <w:r w:rsidRPr="00623202">
        <w:t>;</w:t>
      </w:r>
    </w:p>
    <w:p w:rsidR="0013559F" w:rsidRPr="00623202" w:rsidRDefault="0013559F" w:rsidP="0013559F">
      <w:pPr>
        <w:ind w:firstLine="680"/>
        <w:jc w:val="both"/>
      </w:pPr>
      <w:r w:rsidRPr="00623202">
        <w:t>-внедрение системы ко</w:t>
      </w:r>
      <w:r w:rsidR="00CD5F2B" w:rsidRPr="00623202">
        <w:t>н</w:t>
      </w:r>
      <w:r w:rsidRPr="00623202">
        <w:t xml:space="preserve">троля с использованием ГЛОНАСС. </w:t>
      </w:r>
    </w:p>
    <w:p w:rsidR="00775647" w:rsidRPr="00623202" w:rsidRDefault="00CD5F2B" w:rsidP="0013559F">
      <w:pPr>
        <w:ind w:firstLine="680"/>
        <w:jc w:val="both"/>
      </w:pPr>
      <w:r w:rsidRPr="00623202">
        <w:t xml:space="preserve">При </w:t>
      </w:r>
      <w:r w:rsidR="003827CC">
        <w:t>уменьшении объёма работ</w:t>
      </w:r>
      <w:r w:rsidRPr="00623202">
        <w:t xml:space="preserve"> с</w:t>
      </w:r>
      <w:r w:rsidR="0013559F" w:rsidRPr="00623202">
        <w:t>опоставимого уменьшения количества водителей и машин не произведено. В результате</w:t>
      </w:r>
      <w:r w:rsidR="00775647" w:rsidRPr="00623202">
        <w:t>,</w:t>
      </w:r>
      <w:r w:rsidR="0013559F" w:rsidRPr="00623202">
        <w:t xml:space="preserve"> </w:t>
      </w:r>
      <w:r w:rsidRPr="00623202">
        <w:t>в 2015 году нагрузка на машины и водителей  упала на 13-15 процентов. Наблюдается самое низкое с 2006 года значение показателя нагрузки на 1 автомобиль - 1,9 тыс. машиночасов и одно из самых низких</w:t>
      </w:r>
      <w:r w:rsidR="00775647" w:rsidRPr="00623202">
        <w:t xml:space="preserve"> </w:t>
      </w:r>
      <w:r w:rsidRPr="00623202">
        <w:t xml:space="preserve">значений показателя нагрузки на 1 водителя  - 2,07 тыс. машиночасов. </w:t>
      </w:r>
      <w:r w:rsidR="00775647" w:rsidRPr="00623202">
        <w:t xml:space="preserve"> Также в 2015 году не осуществлено сопоставимое уменьшение объёма субсидии на финансовое обеспечение выполнения государственного задания, что привело к росту стоимости машиночаса с 453,1 до 530,3 руб., или на </w:t>
      </w:r>
      <w:r w:rsidR="0013559F" w:rsidRPr="00623202">
        <w:t>17</w:t>
      </w:r>
      <w:r w:rsidR="00775647" w:rsidRPr="00623202">
        <w:t xml:space="preserve"> процентов.</w:t>
      </w:r>
      <w:r w:rsidR="00A93638" w:rsidRPr="00623202">
        <w:t xml:space="preserve"> В какой – то степени этот рост обусловлен увеличением стоимости компонентов нормативных затрат (ГСМ, электроэнергия, газ, запчасти, индексация оплаты труда и т.д.).</w:t>
      </w:r>
    </w:p>
    <w:p w:rsidR="009B5CFF" w:rsidRPr="00623202" w:rsidRDefault="007C009A" w:rsidP="002F7483">
      <w:pPr>
        <w:ind w:firstLine="680"/>
        <w:jc w:val="both"/>
      </w:pPr>
      <w:r w:rsidRPr="00623202">
        <w:t xml:space="preserve">Показатели расчётного объёма субсидии на </w:t>
      </w:r>
      <w:r w:rsidR="00775647" w:rsidRPr="00623202">
        <w:t>вы</w:t>
      </w:r>
      <w:r w:rsidRPr="00623202">
        <w:t>полнение государственного задания и основные параметры расчёта в 2012-2015 годах представлены в таблице.</w:t>
      </w:r>
    </w:p>
    <w:p w:rsidR="00680C0A" w:rsidRPr="00623202" w:rsidRDefault="00680C0A" w:rsidP="00680C0A">
      <w:pPr>
        <w:ind w:firstLine="720"/>
        <w:jc w:val="right"/>
        <w:rPr>
          <w:i/>
        </w:rPr>
      </w:pPr>
      <w:r w:rsidRPr="00623202">
        <w:rPr>
          <w:i/>
        </w:rPr>
        <w:t>тыс. руб.</w:t>
      </w:r>
    </w:p>
    <w:tbl>
      <w:tblPr>
        <w:tblW w:w="9703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992"/>
        <w:gridCol w:w="1134"/>
        <w:gridCol w:w="1440"/>
        <w:gridCol w:w="1537"/>
        <w:gridCol w:w="1300"/>
        <w:gridCol w:w="1300"/>
      </w:tblGrid>
      <w:tr w:rsidR="002C1E4A" w:rsidRPr="00623202" w:rsidTr="002C1E4A">
        <w:trPr>
          <w:trHeight w:val="255"/>
        </w:trPr>
        <w:tc>
          <w:tcPr>
            <w:tcW w:w="2992" w:type="dxa"/>
            <w:tcBorders>
              <w:top w:val="double" w:sz="4" w:space="0" w:color="auto"/>
            </w:tcBorders>
            <w:vAlign w:val="center"/>
          </w:tcPr>
          <w:p w:rsidR="002C1E4A" w:rsidRPr="00623202" w:rsidRDefault="002C1E4A" w:rsidP="00B8381F">
            <w:pPr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Автотранспортное обеспечение (расчёт субсидии)</w:t>
            </w:r>
            <w:r w:rsidR="007623EF">
              <w:rPr>
                <w:sz w:val="20"/>
                <w:szCs w:val="20"/>
              </w:rPr>
              <w:t>, период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C1E4A" w:rsidRPr="00623202" w:rsidRDefault="002C1E4A" w:rsidP="00B8381F">
            <w:pPr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Работа, маш/час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2C1E4A" w:rsidRPr="00623202" w:rsidRDefault="002C1E4A" w:rsidP="00A008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 xml:space="preserve">Нормативные затраты 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2C1E4A" w:rsidRPr="00623202" w:rsidRDefault="002C1E4A" w:rsidP="00A008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Нормативные затраты общехоз.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2C1E4A" w:rsidRPr="00623202" w:rsidRDefault="002C1E4A" w:rsidP="002C1E4A">
            <w:pPr>
              <w:ind w:left="-143" w:right="-73"/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 xml:space="preserve">Содержание имущества, 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2C1E4A" w:rsidRPr="00623202" w:rsidRDefault="002C1E4A" w:rsidP="00A008F4">
            <w:pPr>
              <w:ind w:left="-143"/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Финансовое обеспечение</w:t>
            </w:r>
            <w:r w:rsidR="00BD773D" w:rsidRPr="00623202">
              <w:rPr>
                <w:sz w:val="20"/>
                <w:szCs w:val="20"/>
              </w:rPr>
              <w:t xml:space="preserve"> (расчёт)</w:t>
            </w:r>
          </w:p>
        </w:tc>
      </w:tr>
      <w:tr w:rsidR="002C1E4A" w:rsidRPr="00623202" w:rsidTr="002C1E4A">
        <w:trPr>
          <w:trHeight w:val="255"/>
        </w:trPr>
        <w:tc>
          <w:tcPr>
            <w:tcW w:w="2992" w:type="dxa"/>
            <w:vAlign w:val="bottom"/>
          </w:tcPr>
          <w:p w:rsidR="002C1E4A" w:rsidRPr="00623202" w:rsidRDefault="002C1E4A" w:rsidP="00EE6FE2">
            <w:pPr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590 635</w:t>
            </w:r>
          </w:p>
        </w:tc>
        <w:tc>
          <w:tcPr>
            <w:tcW w:w="144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0,367</w:t>
            </w:r>
          </w:p>
        </w:tc>
        <w:tc>
          <w:tcPr>
            <w:tcW w:w="1537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0,082</w:t>
            </w:r>
          </w:p>
        </w:tc>
        <w:tc>
          <w:tcPr>
            <w:tcW w:w="130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6 945,2</w:t>
            </w:r>
          </w:p>
        </w:tc>
        <w:tc>
          <w:tcPr>
            <w:tcW w:w="1300" w:type="dxa"/>
            <w:vAlign w:val="center"/>
          </w:tcPr>
          <w:p w:rsidR="002C1E4A" w:rsidRPr="00623202" w:rsidRDefault="002C1E4A" w:rsidP="002C1E4A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272 140,3</w:t>
            </w:r>
          </w:p>
        </w:tc>
      </w:tr>
      <w:tr w:rsidR="002C1E4A" w:rsidRPr="00623202" w:rsidTr="002C1E4A">
        <w:trPr>
          <w:trHeight w:val="168"/>
        </w:trPr>
        <w:tc>
          <w:tcPr>
            <w:tcW w:w="2992" w:type="dxa"/>
            <w:vAlign w:val="bottom"/>
          </w:tcPr>
          <w:p w:rsidR="002C1E4A" w:rsidRPr="00623202" w:rsidRDefault="002C1E4A" w:rsidP="00EE6FE2">
            <w:pPr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610 008</w:t>
            </w:r>
          </w:p>
        </w:tc>
        <w:tc>
          <w:tcPr>
            <w:tcW w:w="144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0,365</w:t>
            </w:r>
          </w:p>
        </w:tc>
        <w:tc>
          <w:tcPr>
            <w:tcW w:w="1537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0,105</w:t>
            </w:r>
          </w:p>
        </w:tc>
        <w:tc>
          <w:tcPr>
            <w:tcW w:w="1300" w:type="dxa"/>
            <w:vAlign w:val="center"/>
          </w:tcPr>
          <w:p w:rsidR="002C1E4A" w:rsidRPr="00623202" w:rsidRDefault="002C1E4A" w:rsidP="002C1E4A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5 086,5</w:t>
            </w:r>
          </w:p>
        </w:tc>
        <w:tc>
          <w:tcPr>
            <w:tcW w:w="1300" w:type="dxa"/>
            <w:vAlign w:val="center"/>
          </w:tcPr>
          <w:p w:rsidR="002C1E4A" w:rsidRPr="00623202" w:rsidRDefault="002C1E4A" w:rsidP="002C1E4A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291 790,3</w:t>
            </w:r>
          </w:p>
        </w:tc>
      </w:tr>
      <w:tr w:rsidR="002C1E4A" w:rsidRPr="00623202" w:rsidTr="002C1E4A">
        <w:trPr>
          <w:trHeight w:val="168"/>
        </w:trPr>
        <w:tc>
          <w:tcPr>
            <w:tcW w:w="2992" w:type="dxa"/>
            <w:vAlign w:val="bottom"/>
          </w:tcPr>
          <w:p w:rsidR="002C1E4A" w:rsidRPr="00623202" w:rsidRDefault="002C1E4A" w:rsidP="00EE6FE2">
            <w:pPr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632 148</w:t>
            </w:r>
          </w:p>
        </w:tc>
        <w:tc>
          <w:tcPr>
            <w:tcW w:w="144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0,358</w:t>
            </w:r>
          </w:p>
        </w:tc>
        <w:tc>
          <w:tcPr>
            <w:tcW w:w="1537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0,082</w:t>
            </w:r>
          </w:p>
        </w:tc>
        <w:tc>
          <w:tcPr>
            <w:tcW w:w="130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8 424,3</w:t>
            </w:r>
          </w:p>
        </w:tc>
        <w:tc>
          <w:tcPr>
            <w:tcW w:w="130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286 523,5</w:t>
            </w:r>
          </w:p>
        </w:tc>
      </w:tr>
      <w:tr w:rsidR="002C1E4A" w:rsidRPr="00623202" w:rsidTr="002C1E4A">
        <w:trPr>
          <w:trHeight w:val="168"/>
        </w:trPr>
        <w:tc>
          <w:tcPr>
            <w:tcW w:w="2992" w:type="dxa"/>
            <w:vAlign w:val="bottom"/>
          </w:tcPr>
          <w:p w:rsidR="002C1E4A" w:rsidRPr="00623202" w:rsidRDefault="002C1E4A" w:rsidP="00EE6FE2">
            <w:pPr>
              <w:jc w:val="center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525 442</w:t>
            </w:r>
          </w:p>
        </w:tc>
        <w:tc>
          <w:tcPr>
            <w:tcW w:w="144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0,387</w:t>
            </w:r>
          </w:p>
        </w:tc>
        <w:tc>
          <w:tcPr>
            <w:tcW w:w="1537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0,129</w:t>
            </w:r>
          </w:p>
        </w:tc>
        <w:tc>
          <w:tcPr>
            <w:tcW w:w="130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8 183,8</w:t>
            </w:r>
          </w:p>
        </w:tc>
        <w:tc>
          <w:tcPr>
            <w:tcW w:w="1300" w:type="dxa"/>
            <w:vAlign w:val="center"/>
          </w:tcPr>
          <w:p w:rsidR="002C1E4A" w:rsidRPr="00623202" w:rsidRDefault="002C1E4A" w:rsidP="00B8381F">
            <w:pPr>
              <w:jc w:val="right"/>
              <w:rPr>
                <w:sz w:val="20"/>
                <w:szCs w:val="20"/>
              </w:rPr>
            </w:pPr>
            <w:r w:rsidRPr="00623202">
              <w:rPr>
                <w:sz w:val="20"/>
                <w:szCs w:val="20"/>
              </w:rPr>
              <w:t>279 261,7</w:t>
            </w:r>
          </w:p>
        </w:tc>
      </w:tr>
      <w:tr w:rsidR="00EE6FE2" w:rsidRPr="00623202" w:rsidTr="0019696C">
        <w:trPr>
          <w:trHeight w:val="168"/>
        </w:trPr>
        <w:tc>
          <w:tcPr>
            <w:tcW w:w="2992" w:type="dxa"/>
            <w:vAlign w:val="bottom"/>
          </w:tcPr>
          <w:p w:rsidR="00EE6FE2" w:rsidRPr="00623202" w:rsidRDefault="00EE6FE2" w:rsidP="00EE6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Изм. 2015 к 2014,%</w:t>
            </w:r>
          </w:p>
        </w:tc>
        <w:tc>
          <w:tcPr>
            <w:tcW w:w="1134" w:type="dxa"/>
            <w:vAlign w:val="bottom"/>
          </w:tcPr>
          <w:p w:rsidR="00EE6FE2" w:rsidRPr="00623202" w:rsidRDefault="00EE6FE2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-16,9%</w:t>
            </w:r>
          </w:p>
        </w:tc>
        <w:tc>
          <w:tcPr>
            <w:tcW w:w="1440" w:type="dxa"/>
            <w:vAlign w:val="bottom"/>
          </w:tcPr>
          <w:p w:rsidR="00EE6FE2" w:rsidRPr="00623202" w:rsidRDefault="00EE6FE2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537" w:type="dxa"/>
            <w:vAlign w:val="bottom"/>
          </w:tcPr>
          <w:p w:rsidR="00EE6FE2" w:rsidRPr="00623202" w:rsidRDefault="00EE6FE2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57,3%</w:t>
            </w:r>
          </w:p>
        </w:tc>
        <w:tc>
          <w:tcPr>
            <w:tcW w:w="1300" w:type="dxa"/>
            <w:vAlign w:val="bottom"/>
          </w:tcPr>
          <w:p w:rsidR="00EE6FE2" w:rsidRPr="00623202" w:rsidRDefault="00EE6FE2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-2,9%</w:t>
            </w:r>
          </w:p>
        </w:tc>
        <w:tc>
          <w:tcPr>
            <w:tcW w:w="1300" w:type="dxa"/>
            <w:vAlign w:val="bottom"/>
          </w:tcPr>
          <w:p w:rsidR="00EE6FE2" w:rsidRPr="00623202" w:rsidRDefault="00EE6FE2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-2,5%</w:t>
            </w:r>
          </w:p>
        </w:tc>
      </w:tr>
    </w:tbl>
    <w:p w:rsidR="007911C5" w:rsidRDefault="007911C5" w:rsidP="002F7483">
      <w:pPr>
        <w:ind w:firstLine="680"/>
        <w:jc w:val="both"/>
      </w:pPr>
    </w:p>
    <w:p w:rsidR="009B5CFF" w:rsidRPr="00623202" w:rsidRDefault="007C009A" w:rsidP="002F7483">
      <w:pPr>
        <w:ind w:firstLine="680"/>
        <w:jc w:val="both"/>
      </w:pPr>
      <w:r w:rsidRPr="00623202">
        <w:t xml:space="preserve">После увеличения объёма субсидии в 2013 году до 291,8 млн. руб. наблюдается тенденция его </w:t>
      </w:r>
      <w:r w:rsidR="0082040B" w:rsidRPr="00623202">
        <w:t xml:space="preserve">последовательного уменьшения </w:t>
      </w:r>
      <w:r w:rsidRPr="00623202">
        <w:t xml:space="preserve"> в 2014-2015 годах до 279,3</w:t>
      </w:r>
      <w:r w:rsidR="0082040B" w:rsidRPr="00623202">
        <w:t xml:space="preserve"> млн. рублей. Темп ум</w:t>
      </w:r>
      <w:r w:rsidR="00CD409B" w:rsidRPr="00623202">
        <w:t>е</w:t>
      </w:r>
      <w:r w:rsidR="0082040B" w:rsidRPr="00623202">
        <w:t xml:space="preserve">ньшения </w:t>
      </w:r>
      <w:r w:rsidR="00CD409B" w:rsidRPr="00623202">
        <w:t xml:space="preserve">объёма </w:t>
      </w:r>
      <w:r w:rsidR="0082040B" w:rsidRPr="00623202">
        <w:t>субсидии (</w:t>
      </w:r>
      <w:r w:rsidR="00CD409B" w:rsidRPr="00623202">
        <w:t>4,3% за два года</w:t>
      </w:r>
      <w:r w:rsidR="00CA2FD1" w:rsidRPr="00623202">
        <w:t xml:space="preserve"> – 279,3/291,8</w:t>
      </w:r>
      <w:r w:rsidR="00CD409B" w:rsidRPr="00623202">
        <w:t xml:space="preserve">) </w:t>
      </w:r>
      <w:r w:rsidR="00CA2FD1" w:rsidRPr="00623202">
        <w:t>превышает</w:t>
      </w:r>
      <w:r w:rsidR="00CD409B" w:rsidRPr="00623202">
        <w:t xml:space="preserve"> темп уменьшения </w:t>
      </w:r>
      <w:r w:rsidR="00CA2FD1" w:rsidRPr="00623202">
        <w:t>количества автомобилей (3,4% - 281/291)</w:t>
      </w:r>
      <w:r w:rsidR="004D3F4D" w:rsidRPr="00623202">
        <w:t xml:space="preserve">, но </w:t>
      </w:r>
      <w:r w:rsidR="00A62281" w:rsidRPr="00623202">
        <w:t>почти</w:t>
      </w:r>
      <w:r w:rsidR="004D3F4D" w:rsidRPr="00623202">
        <w:t xml:space="preserve"> в </w:t>
      </w:r>
      <w:r w:rsidR="00A62281" w:rsidRPr="00623202">
        <w:t>4</w:t>
      </w:r>
      <w:r w:rsidR="004D3F4D" w:rsidRPr="00623202">
        <w:t xml:space="preserve"> раза меньше темпа уменьшения объёма выполняемой работы (</w:t>
      </w:r>
      <w:r w:rsidR="00A62281" w:rsidRPr="00623202">
        <w:t>16,7</w:t>
      </w:r>
      <w:r w:rsidR="004D3F4D" w:rsidRPr="00623202">
        <w:t xml:space="preserve">% </w:t>
      </w:r>
      <w:r w:rsidR="00A62281" w:rsidRPr="00623202">
        <w:t xml:space="preserve">- </w:t>
      </w:r>
      <w:r w:rsidR="004D3F4D" w:rsidRPr="00623202">
        <w:t>527</w:t>
      </w:r>
      <w:r w:rsidR="00A62281" w:rsidRPr="00623202">
        <w:t>/63</w:t>
      </w:r>
      <w:r w:rsidR="007E2297">
        <w:t>3</w:t>
      </w:r>
      <w:r w:rsidR="004D3F4D" w:rsidRPr="00623202">
        <w:t>)</w:t>
      </w:r>
      <w:r w:rsidR="00CA2FD1" w:rsidRPr="00623202">
        <w:t>.</w:t>
      </w:r>
    </w:p>
    <w:p w:rsidR="007623EF" w:rsidRDefault="001E246C" w:rsidP="002F7483">
      <w:pPr>
        <w:ind w:firstLine="680"/>
        <w:jc w:val="both"/>
      </w:pPr>
      <w:r>
        <w:t>Не</w:t>
      </w:r>
      <w:r w:rsidR="008E0BB1" w:rsidRPr="00623202">
        <w:t>пропорциональность уменьшения об</w:t>
      </w:r>
      <w:r w:rsidR="007623EF">
        <w:t>ъёмов работы и субсидии обусловлена несоответствующим уровнем уменьшения количества автомобилей и уменьшением штата, что привело к номинальному росту нормативных затрат на единицу работы с 3</w:t>
      </w:r>
      <w:r w:rsidR="00EC5F38">
        <w:t>65</w:t>
      </w:r>
      <w:r w:rsidR="007623EF">
        <w:t xml:space="preserve"> до 387 руб</w:t>
      </w:r>
      <w:r w:rsidR="00464F35">
        <w:t>.</w:t>
      </w:r>
      <w:r w:rsidR="007623EF">
        <w:t xml:space="preserve">, или на </w:t>
      </w:r>
      <w:r w:rsidR="00EC5F38">
        <w:t>6</w:t>
      </w:r>
      <w:r w:rsidR="007623EF">
        <w:t xml:space="preserve"> процент</w:t>
      </w:r>
      <w:r w:rsidR="00EC5F38">
        <w:t>ов.</w:t>
      </w:r>
    </w:p>
    <w:p w:rsidR="007D005A" w:rsidRDefault="007D005A" w:rsidP="0019696C">
      <w:pPr>
        <w:jc w:val="center"/>
        <w:rPr>
          <w:b/>
        </w:rPr>
      </w:pPr>
    </w:p>
    <w:p w:rsidR="0019696C" w:rsidRPr="00712D08" w:rsidRDefault="00712D08" w:rsidP="0019696C">
      <w:pPr>
        <w:jc w:val="center"/>
        <w:rPr>
          <w:b/>
          <w:i/>
        </w:rPr>
      </w:pPr>
      <w:r w:rsidRPr="00712D08">
        <w:rPr>
          <w:b/>
          <w:i/>
        </w:rPr>
        <w:t>Структура, штатная численность и оплата труда</w:t>
      </w:r>
    </w:p>
    <w:p w:rsidR="00E073AE" w:rsidRPr="00623202" w:rsidRDefault="00DF6473" w:rsidP="00E073AE">
      <w:pPr>
        <w:autoSpaceDE w:val="0"/>
        <w:autoSpaceDN w:val="0"/>
        <w:adjustRightInd w:val="0"/>
        <w:ind w:firstLine="720"/>
        <w:jc w:val="both"/>
        <w:rPr>
          <w:spacing w:val="-2"/>
        </w:rPr>
      </w:pPr>
      <w:r>
        <w:t xml:space="preserve">На дату проверки учреждение структурно состоит из 16 подразделений. Штатная численность </w:t>
      </w:r>
      <w:r w:rsidR="00E073AE" w:rsidRPr="00623202">
        <w:t xml:space="preserve">составляет 471 </w:t>
      </w:r>
      <w:r>
        <w:t>единиц</w:t>
      </w:r>
      <w:r w:rsidR="001E246C">
        <w:t>у</w:t>
      </w:r>
      <w:r>
        <w:t xml:space="preserve"> (</w:t>
      </w:r>
      <w:r w:rsidR="00E073AE" w:rsidRPr="00623202">
        <w:t>до 16.12.2015</w:t>
      </w:r>
      <w:r>
        <w:t xml:space="preserve"> – 472 единицы</w:t>
      </w:r>
      <w:r w:rsidR="00E073AE" w:rsidRPr="00623202">
        <w:t>,</w:t>
      </w:r>
      <w:r>
        <w:t xml:space="preserve"> сокращена должность главного инженера)</w:t>
      </w:r>
      <w:r w:rsidR="00E073AE" w:rsidRPr="00623202">
        <w:rPr>
          <w:spacing w:val="-2"/>
        </w:rPr>
        <w:t xml:space="preserve">. </w:t>
      </w:r>
    </w:p>
    <w:p w:rsidR="00E073AE" w:rsidRPr="00623202" w:rsidRDefault="00E073AE" w:rsidP="00E073A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23202">
        <w:t xml:space="preserve">Учреждение возглавляет генеральный директор, который имеет трех заместителей (один первый заместитель генерального директора и два заместителя генерального директора). </w:t>
      </w:r>
      <w:r w:rsidRPr="00623202">
        <w:rPr>
          <w:color w:val="000000"/>
        </w:rPr>
        <w:t>Как отмечалось выше</w:t>
      </w:r>
      <w:r w:rsidR="00DF6473">
        <w:rPr>
          <w:color w:val="000000"/>
        </w:rPr>
        <w:t>,</w:t>
      </w:r>
      <w:r w:rsidRPr="00623202">
        <w:rPr>
          <w:color w:val="000000"/>
        </w:rPr>
        <w:t xml:space="preserve"> </w:t>
      </w:r>
      <w:r w:rsidR="00DF6473">
        <w:rPr>
          <w:color w:val="000000"/>
        </w:rPr>
        <w:t>ГБУ «</w:t>
      </w:r>
      <w:r w:rsidR="00F94A63">
        <w:rPr>
          <w:color w:val="000000"/>
        </w:rPr>
        <w:t>И</w:t>
      </w:r>
      <w:r w:rsidR="00DF6473">
        <w:rPr>
          <w:color w:val="000000"/>
        </w:rPr>
        <w:t xml:space="preserve">сполнительная дирекция» осуществляет </w:t>
      </w:r>
      <w:r w:rsidRPr="00623202">
        <w:rPr>
          <w:color w:val="000000"/>
        </w:rPr>
        <w:t>деятельность по двум основным направлениям:</w:t>
      </w:r>
      <w:r w:rsidR="00DF6473" w:rsidRPr="00DF6473">
        <w:rPr>
          <w:color w:val="000000"/>
        </w:rPr>
        <w:t xml:space="preserve"> </w:t>
      </w:r>
      <w:r w:rsidR="00DF6473" w:rsidRPr="00623202">
        <w:rPr>
          <w:color w:val="000000"/>
        </w:rPr>
        <w:t>материально-техническое, хозяйственное обслуживание объектов недвижимости</w:t>
      </w:r>
      <w:r w:rsidR="00DF6473">
        <w:rPr>
          <w:color w:val="000000"/>
        </w:rPr>
        <w:t xml:space="preserve"> и </w:t>
      </w:r>
      <w:r w:rsidR="00DF6473" w:rsidRPr="00623202">
        <w:rPr>
          <w:color w:val="000000"/>
        </w:rPr>
        <w:t>автотранспортное обеспечение</w:t>
      </w:r>
      <w:r w:rsidR="00DF6473">
        <w:rPr>
          <w:color w:val="000000"/>
        </w:rPr>
        <w:t>.</w:t>
      </w:r>
    </w:p>
    <w:p w:rsidR="00E073AE" w:rsidRPr="00623202" w:rsidRDefault="00E073AE" w:rsidP="00E073AE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3540B9">
        <w:t xml:space="preserve">Наличие в структуре </w:t>
      </w:r>
      <w:r w:rsidR="00DF6473" w:rsidRPr="003540B9">
        <w:t>у</w:t>
      </w:r>
      <w:r w:rsidRPr="003540B9">
        <w:t xml:space="preserve">чреждения трех заместителей генерального директора является необоснованным и </w:t>
      </w:r>
      <w:r w:rsidR="003540B9" w:rsidRPr="003540B9">
        <w:t>нецелесообразным</w:t>
      </w:r>
      <w:r w:rsidRPr="003540B9">
        <w:t>.</w:t>
      </w:r>
      <w:r w:rsidR="00CF085F" w:rsidRPr="003540B9">
        <w:t xml:space="preserve"> До 2011 года в структуре учреждения была предусмотрена одна должность заместителя директора. В последующем количество</w:t>
      </w:r>
      <w:r w:rsidR="00CF085F" w:rsidRPr="00623202">
        <w:t xml:space="preserve"> заместителей директора увеличив</w:t>
      </w:r>
      <w:r w:rsidR="00952E75" w:rsidRPr="00623202">
        <w:t>а</w:t>
      </w:r>
      <w:r w:rsidR="00CF085F" w:rsidRPr="00623202">
        <w:t xml:space="preserve">лось и доходило в </w:t>
      </w:r>
      <w:r w:rsidR="00952E75" w:rsidRPr="00623202">
        <w:t>2014 году до пяти.</w:t>
      </w:r>
    </w:p>
    <w:p w:rsidR="005A610A" w:rsidRDefault="005A610A" w:rsidP="005A610A">
      <w:pPr>
        <w:ind w:firstLine="709"/>
        <w:jc w:val="both"/>
      </w:pPr>
      <w:r w:rsidRPr="00623202">
        <w:t xml:space="preserve">Наглядно в соответствии с функциональным </w:t>
      </w:r>
      <w:r>
        <w:t>предназначением</w:t>
      </w:r>
      <w:r w:rsidRPr="00623202">
        <w:t xml:space="preserve"> структуру учреждения </w:t>
      </w:r>
      <w:r>
        <w:t xml:space="preserve">и её изменение </w:t>
      </w:r>
      <w:r w:rsidRPr="00623202">
        <w:t>можно представить следующей таблицей.</w:t>
      </w:r>
    </w:p>
    <w:p w:rsidR="002A1678" w:rsidRDefault="002A1678" w:rsidP="005A610A">
      <w:pPr>
        <w:ind w:firstLine="709"/>
        <w:jc w:val="both"/>
      </w:pPr>
    </w:p>
    <w:p w:rsidR="005C0A41" w:rsidRDefault="005C0A41" w:rsidP="005A610A">
      <w:pPr>
        <w:ind w:firstLine="709"/>
        <w:jc w:val="both"/>
      </w:pPr>
    </w:p>
    <w:p w:rsidR="005C0A41" w:rsidRDefault="005C0A41" w:rsidP="005A610A">
      <w:pPr>
        <w:ind w:firstLine="709"/>
        <w:jc w:val="both"/>
      </w:pPr>
    </w:p>
    <w:p w:rsidR="005C0A41" w:rsidRDefault="005C0A41" w:rsidP="005A610A">
      <w:pPr>
        <w:ind w:firstLine="709"/>
        <w:jc w:val="both"/>
      </w:pPr>
    </w:p>
    <w:tbl>
      <w:tblPr>
        <w:tblW w:w="95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20"/>
        <w:gridCol w:w="1407"/>
        <w:gridCol w:w="1116"/>
        <w:gridCol w:w="1116"/>
        <w:gridCol w:w="1116"/>
      </w:tblGrid>
      <w:tr w:rsidR="005A610A" w:rsidRPr="00623202" w:rsidTr="00712D08">
        <w:trPr>
          <w:trHeight w:val="20"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755" w:type="dxa"/>
            <w:gridSpan w:val="4"/>
            <w:shd w:val="clear" w:color="auto" w:fill="auto"/>
            <w:noWrap/>
            <w:vAlign w:val="bottom"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Дата начала действия штатного расписания 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610A" w:rsidRPr="00623202" w:rsidRDefault="005A610A" w:rsidP="00712D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07.10.2014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23202">
              <w:rPr>
                <w:b/>
                <w:bCs/>
                <w:color w:val="000000"/>
                <w:sz w:val="20"/>
                <w:szCs w:val="20"/>
              </w:rPr>
              <w:t>02.2015</w:t>
            </w:r>
          </w:p>
        </w:tc>
      </w:tr>
      <w:tr w:rsidR="005A610A" w:rsidRPr="00F00CE8" w:rsidTr="00712D08">
        <w:trPr>
          <w:trHeight w:val="20"/>
        </w:trPr>
        <w:tc>
          <w:tcPr>
            <w:tcW w:w="9575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F00CE8" w:rsidRDefault="005A610A" w:rsidP="00712D08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F00CE8">
              <w:rPr>
                <w:b/>
                <w:i/>
                <w:color w:val="000000"/>
                <w:sz w:val="18"/>
                <w:szCs w:val="18"/>
              </w:rPr>
              <w:t>Руководители, специалисты и служащие</w:t>
            </w:r>
            <w:r w:rsidR="002F6CFF">
              <w:rPr>
                <w:b/>
                <w:i/>
                <w:color w:val="000000"/>
                <w:sz w:val="18"/>
                <w:szCs w:val="18"/>
              </w:rPr>
              <w:t xml:space="preserve"> (РСиС)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Директор (генеральный директор)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Заместители директора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Секретарь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Главный инженер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Канцелярия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Бухгалтерия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Экономическая служба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Отдел кадров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Договорной отдел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Отдел компьютерных технологий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</w:tr>
      <w:tr w:rsidR="005A610A" w:rsidRPr="005A610A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5A610A" w:rsidRPr="005A610A" w:rsidRDefault="005A610A" w:rsidP="00712D08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A610A">
              <w:rPr>
                <w:b/>
                <w:i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29</w:t>
            </w:r>
            <w:r>
              <w:rPr>
                <w:b/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111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36</w:t>
            </w:r>
          </w:p>
        </w:tc>
      </w:tr>
      <w:tr w:rsidR="005A610A" w:rsidRPr="00F00CE8" w:rsidTr="00712D08">
        <w:trPr>
          <w:trHeight w:val="20"/>
        </w:trPr>
        <w:tc>
          <w:tcPr>
            <w:tcW w:w="9575" w:type="dxa"/>
            <w:gridSpan w:val="5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5A610A" w:rsidRPr="00F00CE8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Подразделения</w:t>
            </w:r>
            <w:r w:rsidRPr="00F00CE8">
              <w:rPr>
                <w:b/>
                <w:i/>
                <w:color w:val="000000"/>
                <w:sz w:val="20"/>
                <w:szCs w:val="20"/>
              </w:rPr>
              <w:t>, непосредственно связанные с автотранспортн</w:t>
            </w:r>
            <w:r>
              <w:rPr>
                <w:b/>
                <w:i/>
                <w:color w:val="000000"/>
                <w:sz w:val="20"/>
                <w:szCs w:val="20"/>
              </w:rPr>
              <w:t>ым</w:t>
            </w:r>
            <w:r w:rsidRPr="00F00CE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обеспечением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Техническая служба</w:t>
            </w:r>
          </w:p>
        </w:tc>
        <w:tc>
          <w:tcPr>
            <w:tcW w:w="1407" w:type="dxa"/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Отдел технического контроля</w:t>
            </w:r>
          </w:p>
        </w:tc>
        <w:tc>
          <w:tcPr>
            <w:tcW w:w="1407" w:type="dxa"/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Отдел эксплуатации автотранспорта и кабинет медосмотра</w:t>
            </w:r>
          </w:p>
        </w:tc>
        <w:tc>
          <w:tcPr>
            <w:tcW w:w="1407" w:type="dxa"/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267</w:t>
            </w:r>
          </w:p>
        </w:tc>
      </w:tr>
      <w:tr w:rsidR="005A610A" w:rsidRPr="005A610A" w:rsidTr="00712D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5A610A" w:rsidRPr="005A610A" w:rsidRDefault="005A610A" w:rsidP="00712D08">
            <w:pPr>
              <w:rPr>
                <w:i/>
                <w:color w:val="000000"/>
                <w:sz w:val="18"/>
                <w:szCs w:val="18"/>
              </w:rPr>
            </w:pPr>
            <w:r w:rsidRPr="005A610A">
              <w:rPr>
                <w:i/>
                <w:color w:val="000000"/>
                <w:sz w:val="18"/>
                <w:szCs w:val="18"/>
              </w:rPr>
              <w:t>в т.ч. водители</w:t>
            </w:r>
          </w:p>
        </w:tc>
        <w:tc>
          <w:tcPr>
            <w:tcW w:w="1407" w:type="dxa"/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A610A">
              <w:rPr>
                <w:i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16" w:type="dxa"/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A610A">
              <w:rPr>
                <w:i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5A610A" w:rsidRDefault="005A610A" w:rsidP="00712D0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A610A">
              <w:rPr>
                <w:i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5A610A" w:rsidRDefault="005A610A" w:rsidP="00712D0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A610A">
              <w:rPr>
                <w:i/>
                <w:color w:val="000000"/>
                <w:sz w:val="20"/>
                <w:szCs w:val="20"/>
              </w:rPr>
              <w:t>256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Ремонтно-механическая мастерская</w:t>
            </w:r>
          </w:p>
        </w:tc>
        <w:tc>
          <w:tcPr>
            <w:tcW w:w="1407" w:type="dxa"/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6" w:type="dxa"/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36</w:t>
            </w:r>
          </w:p>
        </w:tc>
      </w:tr>
      <w:tr w:rsidR="005A610A" w:rsidRPr="005A610A" w:rsidTr="00712D08">
        <w:trPr>
          <w:trHeight w:val="20"/>
        </w:trPr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5A610A" w:rsidRPr="005A610A" w:rsidRDefault="005A610A" w:rsidP="00712D08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A610A">
              <w:rPr>
                <w:b/>
                <w:i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306</w:t>
            </w:r>
          </w:p>
        </w:tc>
      </w:tr>
      <w:tr w:rsidR="005A610A" w:rsidRPr="005A610A" w:rsidTr="00712D08">
        <w:trPr>
          <w:trHeight w:val="20"/>
        </w:trPr>
        <w:tc>
          <w:tcPr>
            <w:tcW w:w="9575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5A610A" w:rsidRDefault="005A610A" w:rsidP="00B15E0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Подразделения, связанные с хозобеспечением деятельности учреждения и органов власти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Младший обслуживающий персонал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Служба  безопасности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Энергетическая служба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Хозяйственная служба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65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Служба ремонта и эксплуатации зданий и сооружений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23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Технический отдел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Хозяйственный отдел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color w:val="000000"/>
                <w:sz w:val="18"/>
                <w:szCs w:val="18"/>
              </w:rPr>
            </w:pPr>
            <w:r w:rsidRPr="00623202">
              <w:rPr>
                <w:color w:val="000000"/>
                <w:sz w:val="18"/>
                <w:szCs w:val="18"/>
              </w:rPr>
              <w:t>Служба сервиса, хозяйственный отдел х. Раздоры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5A610A" w:rsidRPr="00623202" w:rsidRDefault="005A610A" w:rsidP="00712D08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</w:t>
            </w:r>
          </w:p>
        </w:tc>
      </w:tr>
      <w:tr w:rsidR="005A610A" w:rsidRPr="005A610A" w:rsidTr="00712D08">
        <w:trPr>
          <w:trHeight w:val="20"/>
        </w:trPr>
        <w:tc>
          <w:tcPr>
            <w:tcW w:w="48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5A610A" w:rsidRPr="005A610A" w:rsidRDefault="005A610A" w:rsidP="00712D08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A610A">
              <w:rPr>
                <w:b/>
                <w:i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1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5A610A" w:rsidRPr="005A610A" w:rsidRDefault="005A610A" w:rsidP="00712D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A610A">
              <w:rPr>
                <w:b/>
                <w:i/>
                <w:color w:val="000000"/>
                <w:sz w:val="20"/>
                <w:szCs w:val="20"/>
              </w:rPr>
              <w:t>130</w:t>
            </w:r>
          </w:p>
        </w:tc>
      </w:tr>
      <w:tr w:rsidR="005A610A" w:rsidRPr="00623202" w:rsidTr="00712D08">
        <w:trPr>
          <w:trHeight w:val="20"/>
        </w:trPr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5A610A" w:rsidRPr="00623202" w:rsidRDefault="005A610A" w:rsidP="00712D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320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A610A" w:rsidRPr="00623202" w:rsidRDefault="005A610A" w:rsidP="00712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472</w:t>
            </w:r>
          </w:p>
        </w:tc>
      </w:tr>
    </w:tbl>
    <w:p w:rsidR="005A610A" w:rsidRPr="00B15E00" w:rsidRDefault="005A610A" w:rsidP="005A610A">
      <w:pPr>
        <w:jc w:val="both"/>
        <w:rPr>
          <w:i/>
        </w:rPr>
      </w:pPr>
      <w:r w:rsidRPr="00B15E00">
        <w:rPr>
          <w:i/>
        </w:rPr>
        <w:t>*- штатное расписание в разрезе должностей отсутствует. Количество РСиС включает руководителей подразделений.</w:t>
      </w:r>
    </w:p>
    <w:p w:rsidR="00006EEE" w:rsidRDefault="00006EEE" w:rsidP="00B15E00">
      <w:pPr>
        <w:ind w:firstLine="709"/>
        <w:jc w:val="both"/>
      </w:pPr>
    </w:p>
    <w:p w:rsidR="00B15E00" w:rsidRDefault="00B15E00" w:rsidP="00B15E00">
      <w:pPr>
        <w:ind w:firstLine="709"/>
        <w:jc w:val="both"/>
      </w:pPr>
      <w:r w:rsidRPr="00623202">
        <w:t xml:space="preserve">В период с 2006 года основные изменения штатной численности, включение и исключение служб и отделов связаны с изменением функций учреждения. Так, в </w:t>
      </w:r>
      <w:r>
        <w:t>2012-</w:t>
      </w:r>
      <w:r w:rsidRPr="00623202">
        <w:t>2013</w:t>
      </w:r>
      <w:r>
        <w:t xml:space="preserve"> годах</w:t>
      </w:r>
      <w:r w:rsidRPr="00623202">
        <w:t xml:space="preserve"> произошло значительное увеличение штатной численности, связанное с </w:t>
      </w:r>
      <w:r>
        <w:t xml:space="preserve">концентрацией в учреждении функций </w:t>
      </w:r>
      <w:r w:rsidRPr="00623202">
        <w:t xml:space="preserve">по материально-техническому </w:t>
      </w:r>
      <w:r>
        <w:t xml:space="preserve">и автотранспортному </w:t>
      </w:r>
      <w:r w:rsidRPr="00623202">
        <w:t>обеспечени</w:t>
      </w:r>
      <w:r>
        <w:t>ю</w:t>
      </w:r>
      <w:r w:rsidRPr="00623202">
        <w:t xml:space="preserve"> органов </w:t>
      </w:r>
      <w:r>
        <w:t xml:space="preserve">исполнительной власти Волгоградской области. </w:t>
      </w:r>
      <w:r w:rsidRPr="00623202">
        <w:t xml:space="preserve">В 2015 году снижение </w:t>
      </w:r>
      <w:r>
        <w:t>штатной численности учреждения связано с</w:t>
      </w:r>
      <w:r w:rsidRPr="00623202">
        <w:t xml:space="preserve"> выделением  из его состава ГКУ Волгоградской области «Дирекция по материально-техническому и хозяйственному обслуживанию Администрации Волгоградской области»</w:t>
      </w:r>
      <w:r>
        <w:t xml:space="preserve"> </w:t>
      </w:r>
      <w:r w:rsidRPr="00623202">
        <w:t xml:space="preserve">и </w:t>
      </w:r>
      <w:r>
        <w:t xml:space="preserve">передачей </w:t>
      </w:r>
      <w:r w:rsidR="00D8320B">
        <w:t xml:space="preserve">ему </w:t>
      </w:r>
      <w:r w:rsidRPr="00623202">
        <w:t>функци</w:t>
      </w:r>
      <w:r>
        <w:t>и</w:t>
      </w:r>
      <w:r w:rsidRPr="00623202">
        <w:t xml:space="preserve"> по материально-техническому обеспечению органов власти</w:t>
      </w:r>
      <w:r w:rsidR="00D8320B">
        <w:t>,</w:t>
      </w:r>
      <w:r w:rsidR="00857BFB">
        <w:t xml:space="preserve"> исключая Аппарат Губернатора Волгоградской области.</w:t>
      </w:r>
    </w:p>
    <w:p w:rsidR="00857BFB" w:rsidRPr="00623202" w:rsidRDefault="00D8320B" w:rsidP="00B15E00">
      <w:pPr>
        <w:ind w:firstLine="709"/>
        <w:jc w:val="both"/>
      </w:pPr>
      <w:r>
        <w:t>Количество руководителей и работников подразделений общего назначения увеличилось с 17 единиц в 2010 году до 36 в 2015 году, или более чем в 2 раза, в основном за счёт увеличения количества заместителей директора, численности существующих подразделений с их трансформацией, а также образования канцелярии.</w:t>
      </w:r>
    </w:p>
    <w:p w:rsidR="005A610A" w:rsidRDefault="00857BFB" w:rsidP="00857BFB">
      <w:pPr>
        <w:ind w:firstLine="709"/>
        <w:jc w:val="both"/>
      </w:pPr>
      <w:r>
        <w:t>Ч</w:t>
      </w:r>
      <w:r w:rsidR="005A610A" w:rsidRPr="00623202">
        <w:t>исленность водителей в 2014 году по сравнению с 20</w:t>
      </w:r>
      <w:r>
        <w:t>10</w:t>
      </w:r>
      <w:r w:rsidR="005A610A" w:rsidRPr="00623202">
        <w:t xml:space="preserve"> годом увеличилась </w:t>
      </w:r>
      <w:r>
        <w:t>с 234 до 260 единиц, или на 11 процентов. В 2012 году ч</w:t>
      </w:r>
      <w:r w:rsidRPr="00623202">
        <w:t xml:space="preserve">исленность водителей </w:t>
      </w:r>
      <w:r>
        <w:t xml:space="preserve">достигала 272 единиц, что было связано с концентрацией в учреждении всего автопарка, обслуживающего органы власти Волгоградской области. </w:t>
      </w:r>
      <w:r w:rsidR="005A610A" w:rsidRPr="00623202">
        <w:t xml:space="preserve">В 2015 году </w:t>
      </w:r>
      <w:r>
        <w:t xml:space="preserve">штатная </w:t>
      </w:r>
      <w:r w:rsidR="005A610A" w:rsidRPr="00623202">
        <w:t>численность водителей незначительно снизилась.</w:t>
      </w:r>
    </w:p>
    <w:p w:rsidR="00712D08" w:rsidRPr="00623202" w:rsidRDefault="00712D08" w:rsidP="00712D08">
      <w:pPr>
        <w:ind w:firstLine="709"/>
        <w:jc w:val="both"/>
      </w:pPr>
      <w:r w:rsidRPr="00623202">
        <w:lastRenderedPageBreak/>
        <w:t>По состоянию на 01.01.2015 укомплектованность учреждения персоналом составляла 580 из 628 штатных единиц</w:t>
      </w:r>
      <w:r w:rsidR="005416AC">
        <w:t>, или 92 процента</w:t>
      </w:r>
      <w:r w:rsidRPr="00623202">
        <w:t xml:space="preserve">. Наибольшее число вакансий сложилось по </w:t>
      </w:r>
      <w:r>
        <w:t xml:space="preserve">должностям </w:t>
      </w:r>
      <w:r w:rsidRPr="00623202">
        <w:t>водител</w:t>
      </w:r>
      <w:r>
        <w:t>ей</w:t>
      </w:r>
      <w:r w:rsidRPr="00623202">
        <w:t xml:space="preserve"> – 14 из 271 (5,2%) и по хозяйственной службе – 11 из 159 (6,9%).</w:t>
      </w:r>
    </w:p>
    <w:p w:rsidR="00712D08" w:rsidRPr="00623202" w:rsidRDefault="005416AC" w:rsidP="00712D08">
      <w:pPr>
        <w:ind w:firstLine="709"/>
        <w:jc w:val="both"/>
      </w:pPr>
      <w:r>
        <w:t xml:space="preserve">По состоянию </w:t>
      </w:r>
      <w:r w:rsidR="00712D08" w:rsidRPr="00623202">
        <w:t>на 23.12.2015 укомплектованность состав</w:t>
      </w:r>
      <w:r>
        <w:t>ляла</w:t>
      </w:r>
      <w:r w:rsidR="00712D08" w:rsidRPr="00623202">
        <w:t xml:space="preserve"> 434 из 47</w:t>
      </w:r>
      <w:r>
        <w:t>1</w:t>
      </w:r>
      <w:r w:rsidR="00712D08" w:rsidRPr="00623202">
        <w:t xml:space="preserve"> штатных единиц</w:t>
      </w:r>
      <w:r>
        <w:t>, или 92 процента</w:t>
      </w:r>
      <w:r w:rsidR="00712D08" w:rsidRPr="00623202">
        <w:t xml:space="preserve">. Наибольшее число вакансий сложилось также по </w:t>
      </w:r>
      <w:r>
        <w:t xml:space="preserve">должностям </w:t>
      </w:r>
      <w:r w:rsidR="00712D08" w:rsidRPr="00623202">
        <w:t>водител</w:t>
      </w:r>
      <w:r>
        <w:t>ей</w:t>
      </w:r>
      <w:r w:rsidR="00712D08" w:rsidRPr="00623202">
        <w:t xml:space="preserve"> – 23 из 265 (8,7%).</w:t>
      </w:r>
    </w:p>
    <w:p w:rsidR="00E073AE" w:rsidRPr="00171C53" w:rsidRDefault="004B42E2" w:rsidP="00E073AE">
      <w:pPr>
        <w:autoSpaceDE w:val="0"/>
        <w:autoSpaceDN w:val="0"/>
        <w:adjustRightInd w:val="0"/>
        <w:ind w:firstLine="720"/>
        <w:jc w:val="both"/>
      </w:pPr>
      <w:r w:rsidRPr="00171C53">
        <w:t>В</w:t>
      </w:r>
      <w:r w:rsidR="00E073AE" w:rsidRPr="00171C53">
        <w:t>ыборочной проверк</w:t>
      </w:r>
      <w:r w:rsidRPr="00171C53">
        <w:t>ой</w:t>
      </w:r>
      <w:r w:rsidR="00E073AE" w:rsidRPr="00171C53">
        <w:t xml:space="preserve"> выявлено несоответствие отдельных работников </w:t>
      </w:r>
      <w:r w:rsidRPr="00171C53">
        <w:t>у</w:t>
      </w:r>
      <w:r w:rsidR="00E073AE" w:rsidRPr="00171C53">
        <w:t>чреждения установленным квалификационным требованиям к образованию или опыту работы:</w:t>
      </w:r>
    </w:p>
    <w:p w:rsidR="004B42E2" w:rsidRPr="00171C53" w:rsidRDefault="004B42E2" w:rsidP="00E073AE">
      <w:pPr>
        <w:autoSpaceDE w:val="0"/>
        <w:autoSpaceDN w:val="0"/>
        <w:adjustRightInd w:val="0"/>
        <w:ind w:firstLine="720"/>
        <w:jc w:val="both"/>
      </w:pPr>
      <w:r w:rsidRPr="00171C53">
        <w:t xml:space="preserve">-заведующий канцелярией – </w:t>
      </w:r>
      <w:r w:rsidR="00171C53" w:rsidRPr="00171C53">
        <w:t>вместо высшего профессионального образования среднее профессиональное образование по специальности "учитель начальных классов основной общеобразовательной школы"</w:t>
      </w:r>
      <w:r w:rsidRPr="00171C53">
        <w:t>;</w:t>
      </w:r>
    </w:p>
    <w:p w:rsidR="004B42E2" w:rsidRPr="00171C53" w:rsidRDefault="004B42E2" w:rsidP="00171C53">
      <w:pPr>
        <w:autoSpaceDE w:val="0"/>
        <w:autoSpaceDN w:val="0"/>
        <w:adjustRightInd w:val="0"/>
        <w:ind w:firstLine="720"/>
        <w:jc w:val="both"/>
      </w:pPr>
      <w:r w:rsidRPr="00171C53">
        <w:t xml:space="preserve">-начальник энергетической службы – </w:t>
      </w:r>
      <w:r w:rsidR="00171C53" w:rsidRPr="00171C53">
        <w:t>отсутствует стаж работы по специальности на инженерно-технических и руководящих должностях не менее 3 лет;</w:t>
      </w:r>
    </w:p>
    <w:p w:rsidR="004B42E2" w:rsidRPr="00171C53" w:rsidRDefault="004B42E2" w:rsidP="00E073AE">
      <w:pPr>
        <w:autoSpaceDE w:val="0"/>
        <w:autoSpaceDN w:val="0"/>
        <w:adjustRightInd w:val="0"/>
        <w:ind w:firstLine="720"/>
        <w:jc w:val="both"/>
      </w:pPr>
      <w:r w:rsidRPr="00171C53">
        <w:t xml:space="preserve">-начальник службы безопасности – </w:t>
      </w:r>
      <w:r w:rsidR="00171C53" w:rsidRPr="00171C53">
        <w:t>отсутствует стаж работы по специальности не менее одного года</w:t>
      </w:r>
      <w:r w:rsidRPr="00171C53">
        <w:t>;</w:t>
      </w:r>
    </w:p>
    <w:p w:rsidR="004B42E2" w:rsidRPr="00171C53" w:rsidRDefault="004B42E2" w:rsidP="00E073AE">
      <w:pPr>
        <w:autoSpaceDE w:val="0"/>
        <w:autoSpaceDN w:val="0"/>
        <w:adjustRightInd w:val="0"/>
        <w:ind w:firstLine="720"/>
        <w:jc w:val="both"/>
      </w:pPr>
      <w:r w:rsidRPr="00171C53">
        <w:t xml:space="preserve">-заместитель генерального директора – </w:t>
      </w:r>
      <w:r w:rsidR="00171C53" w:rsidRPr="00171C53">
        <w:t>отсутствует стаж работы не менее 5-и лет на руководящих должностях</w:t>
      </w:r>
      <w:r w:rsidRPr="00171C53">
        <w:t>.</w:t>
      </w:r>
    </w:p>
    <w:p w:rsidR="002F6CFF" w:rsidRPr="00623202" w:rsidRDefault="002F6CFF" w:rsidP="002F6CFF">
      <w:pPr>
        <w:ind w:firstLine="709"/>
        <w:jc w:val="both"/>
      </w:pPr>
      <w:r>
        <w:t xml:space="preserve">Информация об </w:t>
      </w:r>
      <w:r w:rsidRPr="00623202">
        <w:t>уровн</w:t>
      </w:r>
      <w:r>
        <w:t>е</w:t>
      </w:r>
      <w:r w:rsidRPr="00623202">
        <w:t xml:space="preserve"> и динамик</w:t>
      </w:r>
      <w:r>
        <w:t>е</w:t>
      </w:r>
      <w:r w:rsidRPr="00623202">
        <w:t xml:space="preserve"> фактической оплаты труда руководства, водителей и РСиС </w:t>
      </w:r>
      <w:r>
        <w:t xml:space="preserve">учреждения </w:t>
      </w:r>
      <w:r w:rsidR="005A5E8B">
        <w:t>в 2011-</w:t>
      </w:r>
      <w:r w:rsidRPr="00623202">
        <w:t>2015 годах приведен</w:t>
      </w:r>
      <w:r>
        <w:t>а</w:t>
      </w:r>
      <w:r w:rsidRPr="00623202">
        <w:t xml:space="preserve"> в следующей таблице.</w:t>
      </w:r>
    </w:p>
    <w:p w:rsidR="0019696C" w:rsidRPr="00623202" w:rsidRDefault="0019696C" w:rsidP="0019696C">
      <w:pPr>
        <w:ind w:firstLine="709"/>
        <w:jc w:val="both"/>
      </w:pPr>
      <w:r w:rsidRPr="00623202">
        <w:tab/>
      </w:r>
      <w:r w:rsidRPr="00623202">
        <w:tab/>
      </w:r>
      <w:r w:rsidRPr="00623202">
        <w:tab/>
      </w:r>
      <w:r w:rsidRPr="00623202">
        <w:tab/>
      </w:r>
      <w:r w:rsidRPr="00623202">
        <w:tab/>
      </w:r>
      <w:r w:rsidRPr="00623202">
        <w:tab/>
      </w:r>
      <w:r w:rsidRPr="00623202">
        <w:tab/>
      </w:r>
      <w:r w:rsidRPr="00623202">
        <w:tab/>
      </w:r>
      <w:r w:rsidRPr="00623202">
        <w:tab/>
        <w:t>тыс. руб.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31"/>
        <w:gridCol w:w="1009"/>
        <w:gridCol w:w="888"/>
        <w:gridCol w:w="1663"/>
        <w:gridCol w:w="1500"/>
        <w:gridCol w:w="1321"/>
        <w:gridCol w:w="1024"/>
      </w:tblGrid>
      <w:tr w:rsidR="00E3143A" w:rsidRPr="00623202" w:rsidTr="00E3143A">
        <w:trPr>
          <w:trHeight w:val="20"/>
          <w:jc w:val="center"/>
        </w:trPr>
        <w:tc>
          <w:tcPr>
            <w:tcW w:w="233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3143A" w:rsidRPr="002F6CFF" w:rsidRDefault="00E3143A" w:rsidP="00E31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6CFF">
              <w:rPr>
                <w:b/>
                <w:bCs/>
                <w:color w:val="000000"/>
                <w:sz w:val="20"/>
                <w:szCs w:val="20"/>
              </w:rPr>
              <w:t>Должности и подразделения</w:t>
            </w:r>
          </w:p>
        </w:tc>
        <w:tc>
          <w:tcPr>
            <w:tcW w:w="356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3143A" w:rsidRPr="002F6CFF" w:rsidRDefault="00E3143A" w:rsidP="00E314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Средняя заработная плата в месяц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:rsidR="00E3143A" w:rsidRDefault="00E3143A" w:rsidP="00E314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Индексация, %</w:t>
            </w:r>
          </w:p>
        </w:tc>
        <w:tc>
          <w:tcPr>
            <w:tcW w:w="2345" w:type="dxa"/>
            <w:gridSpan w:val="2"/>
            <w:tcBorders>
              <w:top w:val="double" w:sz="4" w:space="0" w:color="auto"/>
            </w:tcBorders>
          </w:tcPr>
          <w:p w:rsidR="00E3143A" w:rsidRDefault="00E3143A" w:rsidP="005A5E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Отклонение роста от индексации</w:t>
            </w:r>
          </w:p>
        </w:tc>
      </w:tr>
      <w:tr w:rsidR="00E3143A" w:rsidRPr="00623202" w:rsidTr="00E3143A">
        <w:trPr>
          <w:trHeight w:val="20"/>
          <w:jc w:val="center"/>
        </w:trPr>
        <w:tc>
          <w:tcPr>
            <w:tcW w:w="2331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E3143A" w:rsidRPr="002F6CFF" w:rsidRDefault="00E3143A" w:rsidP="0019696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3143A" w:rsidRPr="002F6CFF" w:rsidRDefault="00E3143A" w:rsidP="00196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6CFF">
              <w:rPr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3143A" w:rsidRPr="002F6CFF" w:rsidRDefault="00E3143A" w:rsidP="001969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6CFF">
              <w:rPr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6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3143A" w:rsidRPr="002F6CFF" w:rsidRDefault="00E3143A" w:rsidP="00313F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Рост в </w:t>
            </w:r>
            <w:r w:rsidRPr="002F6CFF">
              <w:rPr>
                <w:b/>
                <w:color w:val="000000"/>
                <w:sz w:val="20"/>
                <w:szCs w:val="20"/>
              </w:rPr>
              <w:t>% к 2011</w:t>
            </w:r>
          </w:p>
        </w:tc>
        <w:tc>
          <w:tcPr>
            <w:tcW w:w="1500" w:type="dxa"/>
            <w:vMerge/>
            <w:tcBorders>
              <w:bottom w:val="double" w:sz="4" w:space="0" w:color="auto"/>
            </w:tcBorders>
          </w:tcPr>
          <w:p w:rsidR="00E3143A" w:rsidRPr="002F6CFF" w:rsidRDefault="00E3143A" w:rsidP="00313F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</w:tcPr>
          <w:p w:rsidR="00E3143A" w:rsidRPr="002F6CFF" w:rsidRDefault="00E3143A" w:rsidP="00313F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 пункт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E3143A" w:rsidRPr="002F6CFF" w:rsidRDefault="00E3143A" w:rsidP="00313F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3143A" w:rsidRPr="00623202" w:rsidTr="00E3143A">
        <w:trPr>
          <w:trHeight w:val="20"/>
          <w:jc w:val="center"/>
        </w:trPr>
        <w:tc>
          <w:tcPr>
            <w:tcW w:w="2331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E3143A" w:rsidRPr="00623202" w:rsidRDefault="00E3143A" w:rsidP="0019696C">
            <w:pPr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3143A" w:rsidRPr="00623202" w:rsidRDefault="00E3143A" w:rsidP="0019696C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88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166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34,8</w:t>
            </w:r>
            <w:r w:rsidR="00AB67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:rsidR="00E3143A" w:rsidRPr="00623202" w:rsidRDefault="00E3143A" w:rsidP="00E314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26,8% (6,5*6,5*6*5,5)</w:t>
            </w:r>
          </w:p>
        </w:tc>
        <w:tc>
          <w:tcPr>
            <w:tcW w:w="1321" w:type="dxa"/>
            <w:tcBorders>
              <w:top w:val="double" w:sz="4" w:space="0" w:color="auto"/>
            </w:tcBorders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E3143A">
              <w:rPr>
                <w:color w:val="000000"/>
                <w:sz w:val="20"/>
                <w:szCs w:val="20"/>
              </w:rPr>
              <w:t>8</w:t>
            </w:r>
            <w:r w:rsidR="0052415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bottom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E3143A">
              <w:rPr>
                <w:color w:val="000000"/>
                <w:sz w:val="20"/>
                <w:szCs w:val="20"/>
              </w:rPr>
              <w:t>29,9%</w:t>
            </w:r>
          </w:p>
        </w:tc>
      </w:tr>
      <w:tr w:rsidR="00E3143A" w:rsidRPr="00623202" w:rsidTr="00E3143A">
        <w:trPr>
          <w:trHeight w:val="20"/>
          <w:jc w:val="center"/>
        </w:trPr>
        <w:tc>
          <w:tcPr>
            <w:tcW w:w="2331" w:type="dxa"/>
            <w:shd w:val="clear" w:color="auto" w:fill="auto"/>
            <w:vAlign w:val="bottom"/>
            <w:hideMark/>
          </w:tcPr>
          <w:p w:rsidR="00E3143A" w:rsidRPr="00623202" w:rsidRDefault="00E3143A" w:rsidP="0019696C">
            <w:pPr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Заместитель директора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19696C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18,4</w:t>
            </w:r>
            <w:r w:rsidR="00AB67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vMerge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 w:rsidRPr="00E3143A">
              <w:rPr>
                <w:color w:val="000000"/>
                <w:sz w:val="20"/>
                <w:szCs w:val="20"/>
              </w:rPr>
              <w:t>-8,4</w:t>
            </w:r>
          </w:p>
        </w:tc>
        <w:tc>
          <w:tcPr>
            <w:tcW w:w="1024" w:type="dxa"/>
            <w:vAlign w:val="bottom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 w:rsidRPr="00E3143A">
              <w:rPr>
                <w:color w:val="000000"/>
                <w:sz w:val="20"/>
                <w:szCs w:val="20"/>
              </w:rPr>
              <w:t>-31,3%</w:t>
            </w:r>
          </w:p>
        </w:tc>
      </w:tr>
      <w:tr w:rsidR="00E3143A" w:rsidRPr="00623202" w:rsidTr="00E3143A">
        <w:trPr>
          <w:trHeight w:val="20"/>
          <w:jc w:val="center"/>
        </w:trPr>
        <w:tc>
          <w:tcPr>
            <w:tcW w:w="2331" w:type="dxa"/>
            <w:shd w:val="clear" w:color="auto" w:fill="auto"/>
            <w:vAlign w:val="bottom"/>
            <w:hideMark/>
          </w:tcPr>
          <w:p w:rsidR="00E3143A" w:rsidRPr="00623202" w:rsidRDefault="00E3143A" w:rsidP="0019696C">
            <w:pPr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19696C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42,1</w:t>
            </w:r>
            <w:r w:rsidR="00AB67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vMerge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E3143A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024" w:type="dxa"/>
            <w:vAlign w:val="bottom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E3143A">
              <w:rPr>
                <w:color w:val="000000"/>
                <w:sz w:val="20"/>
                <w:szCs w:val="20"/>
              </w:rPr>
              <w:t>57,1%</w:t>
            </w:r>
          </w:p>
        </w:tc>
      </w:tr>
      <w:tr w:rsidR="00E3143A" w:rsidRPr="00623202" w:rsidTr="00E3143A">
        <w:trPr>
          <w:trHeight w:val="20"/>
          <w:jc w:val="center"/>
        </w:trPr>
        <w:tc>
          <w:tcPr>
            <w:tcW w:w="2331" w:type="dxa"/>
            <w:shd w:val="clear" w:color="auto" w:fill="auto"/>
            <w:vAlign w:val="bottom"/>
            <w:hideMark/>
          </w:tcPr>
          <w:p w:rsidR="00E3143A" w:rsidRPr="00623202" w:rsidRDefault="00E3143A" w:rsidP="0019696C">
            <w:pPr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Водители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19696C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13,6</w:t>
            </w:r>
            <w:r w:rsidR="00AB67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vMerge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 w:rsidRPr="00E3143A">
              <w:rPr>
                <w:color w:val="000000"/>
                <w:sz w:val="20"/>
                <w:szCs w:val="20"/>
              </w:rPr>
              <w:t>-13,2</w:t>
            </w:r>
          </w:p>
        </w:tc>
        <w:tc>
          <w:tcPr>
            <w:tcW w:w="1024" w:type="dxa"/>
            <w:vAlign w:val="bottom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 w:rsidRPr="00E3143A">
              <w:rPr>
                <w:color w:val="000000"/>
                <w:sz w:val="20"/>
                <w:szCs w:val="20"/>
              </w:rPr>
              <w:t>-49,3%</w:t>
            </w:r>
          </w:p>
        </w:tc>
      </w:tr>
      <w:tr w:rsidR="00E3143A" w:rsidRPr="00623202" w:rsidTr="00E3143A">
        <w:trPr>
          <w:trHeight w:val="20"/>
          <w:jc w:val="center"/>
        </w:trPr>
        <w:tc>
          <w:tcPr>
            <w:tcW w:w="2331" w:type="dxa"/>
            <w:shd w:val="clear" w:color="auto" w:fill="auto"/>
            <w:vAlign w:val="bottom"/>
            <w:hideMark/>
          </w:tcPr>
          <w:p w:rsidR="00E3143A" w:rsidRPr="00623202" w:rsidRDefault="00E3143A" w:rsidP="0019696C">
            <w:pPr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РСиС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19696C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32,1</w:t>
            </w:r>
            <w:r w:rsidR="00AB67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vMerge/>
          </w:tcPr>
          <w:p w:rsidR="00E3143A" w:rsidRPr="00623202" w:rsidRDefault="00E3143A" w:rsidP="00CD01F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E3143A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24" w:type="dxa"/>
            <w:vAlign w:val="bottom"/>
          </w:tcPr>
          <w:p w:rsidR="00E3143A" w:rsidRPr="00E3143A" w:rsidRDefault="00E314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E3143A">
              <w:rPr>
                <w:color w:val="000000"/>
                <w:sz w:val="20"/>
                <w:szCs w:val="20"/>
              </w:rPr>
              <w:t>19,8%</w:t>
            </w:r>
          </w:p>
        </w:tc>
      </w:tr>
    </w:tbl>
    <w:p w:rsidR="0019696C" w:rsidRPr="00623202" w:rsidRDefault="0019696C" w:rsidP="0019696C">
      <w:pPr>
        <w:ind w:firstLine="709"/>
        <w:jc w:val="both"/>
      </w:pPr>
    </w:p>
    <w:p w:rsidR="006E5423" w:rsidRDefault="006E5423" w:rsidP="0019696C">
      <w:pPr>
        <w:ind w:firstLine="709"/>
        <w:jc w:val="both"/>
      </w:pPr>
      <w:r>
        <w:t>Для анализа использованы данные 2011 и 2015 годов по причине того, что в промежуточные годы часто происходила смена руководителей учреждения с осуществлением соответствующих выплат, что исключает корректность с</w:t>
      </w:r>
      <w:r w:rsidR="00E3143A">
        <w:t>о</w:t>
      </w:r>
      <w:r>
        <w:t>поставления</w:t>
      </w:r>
      <w:r w:rsidR="00E3143A">
        <w:t xml:space="preserve"> показателей</w:t>
      </w:r>
      <w:r>
        <w:t>.</w:t>
      </w:r>
    </w:p>
    <w:p w:rsidR="00AB67F8" w:rsidRDefault="0052415E" w:rsidP="0052415E">
      <w:pPr>
        <w:ind w:firstLine="709"/>
        <w:jc w:val="both"/>
        <w:rPr>
          <w:color w:val="000000"/>
        </w:rPr>
      </w:pPr>
      <w:r w:rsidRPr="00623202">
        <w:t xml:space="preserve">В 2015 году по сравнению с 2011 годом наибольший рост среднемесячной заработной платы наблюдается у директора </w:t>
      </w:r>
      <w:r w:rsidR="00AB67F8">
        <w:t xml:space="preserve">- </w:t>
      </w:r>
      <w:r>
        <w:t xml:space="preserve">с 93,6 до 126,2 тыс. руб., или на 34,8%, </w:t>
      </w:r>
      <w:r w:rsidRPr="00623202">
        <w:t>и главного бухгалтера</w:t>
      </w:r>
      <w:r>
        <w:t xml:space="preserve"> </w:t>
      </w:r>
      <w:r w:rsidR="00AB67F8">
        <w:t xml:space="preserve">– </w:t>
      </w:r>
      <w:r w:rsidR="007911C5">
        <w:t xml:space="preserve">с </w:t>
      </w:r>
      <w:r w:rsidR="00AB67F8">
        <w:t>69,3 до 98,4 тыс. руб., или на</w:t>
      </w:r>
      <w:r w:rsidRPr="00623202">
        <w:t xml:space="preserve"> </w:t>
      </w:r>
      <w:r w:rsidRPr="00623202">
        <w:rPr>
          <w:color w:val="000000"/>
        </w:rPr>
        <w:t>42,1</w:t>
      </w:r>
      <w:r w:rsidR="00AB67F8">
        <w:rPr>
          <w:color w:val="000000"/>
        </w:rPr>
        <w:t xml:space="preserve"> процента. Такой</w:t>
      </w:r>
      <w:r w:rsidRPr="00623202">
        <w:rPr>
          <w:color w:val="000000"/>
        </w:rPr>
        <w:t xml:space="preserve"> рост </w:t>
      </w:r>
      <w:r>
        <w:rPr>
          <w:color w:val="000000"/>
        </w:rPr>
        <w:t>превышает</w:t>
      </w:r>
      <w:r w:rsidRPr="00623202">
        <w:rPr>
          <w:color w:val="000000"/>
        </w:rPr>
        <w:t xml:space="preserve"> </w:t>
      </w:r>
      <w:r>
        <w:rPr>
          <w:color w:val="000000"/>
        </w:rPr>
        <w:t xml:space="preserve">темп </w:t>
      </w:r>
      <w:r w:rsidRPr="00623202">
        <w:rPr>
          <w:color w:val="000000"/>
        </w:rPr>
        <w:t>проведенны</w:t>
      </w:r>
      <w:r>
        <w:rPr>
          <w:color w:val="000000"/>
        </w:rPr>
        <w:t>х</w:t>
      </w:r>
      <w:r w:rsidRPr="00623202">
        <w:rPr>
          <w:color w:val="000000"/>
        </w:rPr>
        <w:t xml:space="preserve"> в 2011-201</w:t>
      </w:r>
      <w:r>
        <w:rPr>
          <w:color w:val="000000"/>
        </w:rPr>
        <w:t>4 годах индексаций</w:t>
      </w:r>
      <w:r w:rsidRPr="00623202">
        <w:rPr>
          <w:color w:val="000000"/>
        </w:rPr>
        <w:t xml:space="preserve"> заработной платы работников бюджетных учреждений, который в совокупности составил </w:t>
      </w:r>
      <w:r>
        <w:rPr>
          <w:color w:val="000000"/>
        </w:rPr>
        <w:t>26,8</w:t>
      </w:r>
      <w:r w:rsidRPr="00623202">
        <w:rPr>
          <w:color w:val="000000"/>
        </w:rPr>
        <w:t xml:space="preserve"> процента. У работников, имеющих наибольшую численность в учреждении – водителей</w:t>
      </w:r>
      <w:r w:rsidR="007911C5">
        <w:rPr>
          <w:color w:val="000000"/>
        </w:rPr>
        <w:t>,</w:t>
      </w:r>
      <w:r w:rsidRPr="00623202">
        <w:rPr>
          <w:color w:val="000000"/>
        </w:rPr>
        <w:t xml:space="preserve"> среднемесячн</w:t>
      </w:r>
      <w:r w:rsidR="00AB67F8">
        <w:rPr>
          <w:color w:val="000000"/>
        </w:rPr>
        <w:t>ая</w:t>
      </w:r>
      <w:r w:rsidRPr="00623202">
        <w:rPr>
          <w:color w:val="000000"/>
        </w:rPr>
        <w:t xml:space="preserve"> заработн</w:t>
      </w:r>
      <w:r w:rsidR="00AB67F8">
        <w:rPr>
          <w:color w:val="000000"/>
        </w:rPr>
        <w:t>ая</w:t>
      </w:r>
      <w:r w:rsidRPr="00623202">
        <w:rPr>
          <w:color w:val="000000"/>
        </w:rPr>
        <w:t xml:space="preserve"> плат</w:t>
      </w:r>
      <w:r w:rsidR="00AB67F8">
        <w:rPr>
          <w:color w:val="000000"/>
        </w:rPr>
        <w:t>а</w:t>
      </w:r>
      <w:r w:rsidRPr="00623202">
        <w:rPr>
          <w:color w:val="000000"/>
        </w:rPr>
        <w:t xml:space="preserve"> за 2015 год </w:t>
      </w:r>
      <w:r w:rsidR="00AB67F8">
        <w:rPr>
          <w:color w:val="000000"/>
        </w:rPr>
        <w:t xml:space="preserve"> составила 35,2 тыс. руб., что выше показателя 20</w:t>
      </w:r>
      <w:r w:rsidRPr="00623202">
        <w:rPr>
          <w:color w:val="000000"/>
        </w:rPr>
        <w:t>11 год</w:t>
      </w:r>
      <w:r w:rsidR="00AB67F8">
        <w:rPr>
          <w:color w:val="000000"/>
        </w:rPr>
        <w:t>а на</w:t>
      </w:r>
      <w:r w:rsidRPr="00623202">
        <w:rPr>
          <w:color w:val="000000"/>
        </w:rPr>
        <w:t xml:space="preserve"> 13,6</w:t>
      </w:r>
      <w:r w:rsidR="00AB67F8">
        <w:rPr>
          <w:color w:val="000000"/>
        </w:rPr>
        <w:t>%, но ниже показателя 2014 года (35,7 тыс. руб.).</w:t>
      </w:r>
      <w:r w:rsidRPr="00623202">
        <w:rPr>
          <w:color w:val="000000"/>
        </w:rPr>
        <w:t xml:space="preserve"> </w:t>
      </w:r>
      <w:r w:rsidR="00AB67F8">
        <w:rPr>
          <w:color w:val="000000"/>
        </w:rPr>
        <w:t>В</w:t>
      </w:r>
      <w:r w:rsidRPr="00623202">
        <w:rPr>
          <w:color w:val="000000"/>
        </w:rPr>
        <w:t xml:space="preserve"> 2015 году в отличие</w:t>
      </w:r>
      <w:r>
        <w:rPr>
          <w:color w:val="000000"/>
        </w:rPr>
        <w:t xml:space="preserve"> </w:t>
      </w:r>
      <w:r w:rsidRPr="00623202">
        <w:rPr>
          <w:color w:val="000000"/>
        </w:rPr>
        <w:t>от 2014 года в связи с необеспеченностью фонда оплаты труда не выплачена квартальная премия за 4 квартал.</w:t>
      </w:r>
    </w:p>
    <w:p w:rsidR="00712D08" w:rsidRPr="005416AC" w:rsidRDefault="00712D08" w:rsidP="005416A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23202">
        <w:rPr>
          <w:lang w:eastAsia="en-US"/>
        </w:rPr>
        <w:t xml:space="preserve">Проверкой оплаты труда руководства – </w:t>
      </w:r>
      <w:r w:rsidR="005416AC">
        <w:rPr>
          <w:lang w:eastAsia="en-US"/>
        </w:rPr>
        <w:t xml:space="preserve">генерального </w:t>
      </w:r>
      <w:r w:rsidRPr="00623202">
        <w:rPr>
          <w:lang w:eastAsia="en-US"/>
        </w:rPr>
        <w:t>директора, его заместителей, главного инженера и главного бухгалтера нарушений не</w:t>
      </w:r>
      <w:r w:rsidR="005416AC">
        <w:rPr>
          <w:lang w:eastAsia="en-US"/>
        </w:rPr>
        <w:t xml:space="preserve"> </w:t>
      </w:r>
      <w:r w:rsidRPr="00623202">
        <w:rPr>
          <w:lang w:eastAsia="en-US"/>
        </w:rPr>
        <w:t xml:space="preserve">установлено. Выплаты </w:t>
      </w:r>
      <w:r w:rsidR="005416AC">
        <w:rPr>
          <w:lang w:eastAsia="en-US"/>
        </w:rPr>
        <w:t xml:space="preserve">генеральному </w:t>
      </w:r>
      <w:r w:rsidRPr="00623202">
        <w:rPr>
          <w:lang w:eastAsia="en-US"/>
        </w:rPr>
        <w:t xml:space="preserve">директору производились в соответствии с трудовым договором, заключенным с учредителем (трудовой договор с министерством по управлению </w:t>
      </w:r>
      <w:r w:rsidRPr="005416AC">
        <w:rPr>
          <w:lang w:eastAsia="en-US"/>
        </w:rPr>
        <w:t>имуществом Волгоградской области от 20.05.2014). Разовые выплаты (премии, материальная помощь) выплачивались по решению учредителя.</w:t>
      </w:r>
    </w:p>
    <w:p w:rsidR="00712D08" w:rsidRPr="00171C53" w:rsidRDefault="005416AC" w:rsidP="005416AC">
      <w:pPr>
        <w:ind w:firstLine="709"/>
        <w:jc w:val="both"/>
        <w:rPr>
          <w:lang w:eastAsia="en-US"/>
        </w:rPr>
      </w:pPr>
      <w:r w:rsidRPr="00F11B4A">
        <w:rPr>
          <w:lang w:eastAsia="en-US"/>
        </w:rPr>
        <w:t>В</w:t>
      </w:r>
      <w:r w:rsidR="00712D08" w:rsidRPr="00F11B4A">
        <w:rPr>
          <w:lang w:eastAsia="en-US"/>
        </w:rPr>
        <w:t xml:space="preserve"> нарушение </w:t>
      </w:r>
      <w:r w:rsidR="000844C6" w:rsidRPr="00F11B4A">
        <w:rPr>
          <w:lang w:eastAsia="en-US"/>
        </w:rPr>
        <w:t xml:space="preserve">п. 6.1 </w:t>
      </w:r>
      <w:hyperlink w:anchor="sub_1000" w:history="1">
        <w:r w:rsidRPr="00F11B4A">
          <w:rPr>
            <w:rFonts w:eastAsia="Calibri"/>
          </w:rPr>
          <w:t>Положения</w:t>
        </w:r>
      </w:hyperlink>
      <w:r w:rsidRPr="00F11B4A">
        <w:rPr>
          <w:rFonts w:eastAsia="Calibri"/>
        </w:rPr>
        <w:t xml:space="preserve"> об оплате труда работников ГБУ «Исполнительная дирекция», утверждённого постановлением Администрации Волгоградской области от 01.03.2010 № 40-п (в ред. от</w:t>
      </w:r>
      <w:r w:rsidR="000844C6" w:rsidRPr="00F11B4A">
        <w:rPr>
          <w:rFonts w:eastAsia="Calibri"/>
        </w:rPr>
        <w:t xml:space="preserve"> </w:t>
      </w:r>
      <w:r w:rsidRPr="00F11B4A">
        <w:rPr>
          <w:rFonts w:eastAsia="Calibri"/>
        </w:rPr>
        <w:t>27.07.2015)</w:t>
      </w:r>
      <w:r w:rsidR="00997D8E" w:rsidRPr="00F11B4A">
        <w:rPr>
          <w:rFonts w:eastAsia="Calibri"/>
        </w:rPr>
        <w:t xml:space="preserve"> (далее – Положение № 40-п)</w:t>
      </w:r>
      <w:r w:rsidR="007911C5" w:rsidRPr="00F11B4A">
        <w:rPr>
          <w:rFonts w:eastAsia="Calibri"/>
        </w:rPr>
        <w:t>,</w:t>
      </w:r>
      <w:r w:rsidR="00712D08" w:rsidRPr="00F11B4A">
        <w:rPr>
          <w:lang w:eastAsia="en-US"/>
        </w:rPr>
        <w:t xml:space="preserve"> </w:t>
      </w:r>
      <w:r w:rsidR="00020230" w:rsidRPr="00F11B4A">
        <w:rPr>
          <w:lang w:eastAsia="en-US"/>
        </w:rPr>
        <w:t xml:space="preserve">18 работникам </w:t>
      </w:r>
      <w:r w:rsidR="00712D08" w:rsidRPr="00F11B4A">
        <w:rPr>
          <w:lang w:eastAsia="en-US"/>
        </w:rPr>
        <w:t>учреждени</w:t>
      </w:r>
      <w:r w:rsidR="00020230" w:rsidRPr="00F11B4A">
        <w:rPr>
          <w:lang w:eastAsia="en-US"/>
        </w:rPr>
        <w:t>я</w:t>
      </w:r>
      <w:r w:rsidR="00712D08" w:rsidRPr="00F11B4A">
        <w:rPr>
          <w:lang w:eastAsia="en-US"/>
        </w:rPr>
        <w:t xml:space="preserve"> </w:t>
      </w:r>
      <w:r w:rsidR="00020230" w:rsidRPr="00F11B4A">
        <w:rPr>
          <w:lang w:eastAsia="en-US"/>
        </w:rPr>
        <w:t xml:space="preserve">начислена и </w:t>
      </w:r>
      <w:r w:rsidR="00712D08" w:rsidRPr="00F11B4A">
        <w:rPr>
          <w:lang w:eastAsia="en-US"/>
        </w:rPr>
        <w:t>выплач</w:t>
      </w:r>
      <w:r w:rsidR="00020230" w:rsidRPr="00F11B4A">
        <w:rPr>
          <w:lang w:eastAsia="en-US"/>
        </w:rPr>
        <w:t>ена</w:t>
      </w:r>
      <w:r w:rsidR="00712D08" w:rsidRPr="00F11B4A">
        <w:rPr>
          <w:lang w:eastAsia="en-US"/>
        </w:rPr>
        <w:t xml:space="preserve"> материальная помощь в размере, превышающем введенное с 04.08.2015 ограничение в размере двух должностных окладов в год.</w:t>
      </w:r>
      <w:r w:rsidR="00020230" w:rsidRPr="00F11B4A">
        <w:rPr>
          <w:lang w:eastAsia="en-US"/>
        </w:rPr>
        <w:t xml:space="preserve"> Сумма превышения составила 351,0 тыс. рублей.</w:t>
      </w:r>
      <w:r w:rsidR="00712D08" w:rsidRPr="00F11B4A">
        <w:rPr>
          <w:lang w:eastAsia="en-US"/>
        </w:rPr>
        <w:t xml:space="preserve"> Выплата материальной помощи производилась в </w:t>
      </w:r>
      <w:r w:rsidR="00712D08" w:rsidRPr="00F11B4A">
        <w:rPr>
          <w:lang w:eastAsia="en-US"/>
        </w:rPr>
        <w:lastRenderedPageBreak/>
        <w:t>соответствии с ранее действовавшей редакцией Положения № 40-п в порядке и на условиях, определенных локальным актом учреждения (Правилами внутреннего распорядка от</w:t>
      </w:r>
      <w:r w:rsidR="00712D08" w:rsidRPr="00171C53">
        <w:rPr>
          <w:lang w:eastAsia="en-US"/>
        </w:rPr>
        <w:t xml:space="preserve"> 20.12.2012 № 521-л)</w:t>
      </w:r>
      <w:r w:rsidR="007911C5" w:rsidRPr="00171C53">
        <w:rPr>
          <w:lang w:eastAsia="en-US"/>
        </w:rPr>
        <w:t>,</w:t>
      </w:r>
      <w:r w:rsidR="00712D08" w:rsidRPr="00171C53">
        <w:rPr>
          <w:lang w:eastAsia="en-US"/>
        </w:rPr>
        <w:t xml:space="preserve"> – в размере двух месячных окладов (должностных окладов) с учетом установленных компенсационных и стимулирующих выплат. В ходе проверки Правила внутреннего распорядка приведены в соответствие с</w:t>
      </w:r>
      <w:r w:rsidR="00712D08" w:rsidRPr="005416AC">
        <w:rPr>
          <w:lang w:eastAsia="en-US"/>
        </w:rPr>
        <w:t xml:space="preserve"> Положением № 40-п и направлены на согласование </w:t>
      </w:r>
      <w:r w:rsidR="00171C53">
        <w:rPr>
          <w:lang w:eastAsia="en-US"/>
        </w:rPr>
        <w:t xml:space="preserve">в профсоюзный орган учреждения. </w:t>
      </w:r>
    </w:p>
    <w:p w:rsidR="0019696C" w:rsidRPr="00A2553F" w:rsidRDefault="0019696C" w:rsidP="001969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2553F" w:rsidRDefault="00A2553F" w:rsidP="000623ED">
      <w:pPr>
        <w:ind w:firstLine="709"/>
        <w:jc w:val="center"/>
        <w:rPr>
          <w:b/>
          <w:i/>
        </w:rPr>
      </w:pPr>
      <w:r>
        <w:rPr>
          <w:b/>
          <w:i/>
        </w:rPr>
        <w:t>Автопарк</w:t>
      </w:r>
      <w:r w:rsidR="00A406FC">
        <w:rPr>
          <w:b/>
          <w:i/>
        </w:rPr>
        <w:t xml:space="preserve"> учреждения</w:t>
      </w:r>
    </w:p>
    <w:p w:rsidR="000623ED" w:rsidRPr="00623202" w:rsidRDefault="000623ED" w:rsidP="000623ED">
      <w:pPr>
        <w:ind w:firstLine="720"/>
        <w:jc w:val="both"/>
      </w:pPr>
      <w:r w:rsidRPr="00623202">
        <w:t xml:space="preserve">Информация о количестве транспортных средств </w:t>
      </w:r>
      <w:r w:rsidR="00A2553F" w:rsidRPr="00623202">
        <w:t xml:space="preserve">в период с 01.01.2012 по дату проверки </w:t>
      </w:r>
      <w:r w:rsidRPr="00623202">
        <w:t>представлена в таблице.</w:t>
      </w:r>
    </w:p>
    <w:p w:rsidR="000623ED" w:rsidRPr="00623202" w:rsidRDefault="000623ED" w:rsidP="000623ED">
      <w:pPr>
        <w:ind w:firstLine="720"/>
        <w:jc w:val="right"/>
        <w:rPr>
          <w:sz w:val="22"/>
          <w:szCs w:val="22"/>
        </w:rPr>
      </w:pPr>
      <w:r w:rsidRPr="00623202">
        <w:rPr>
          <w:sz w:val="20"/>
          <w:szCs w:val="20"/>
        </w:rPr>
        <w:t>ед.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6"/>
        <w:gridCol w:w="1219"/>
        <w:gridCol w:w="1233"/>
        <w:gridCol w:w="1309"/>
      </w:tblGrid>
      <w:tr w:rsidR="000623ED" w:rsidRPr="00A2553F" w:rsidTr="0085623C">
        <w:trPr>
          <w:jc w:val="center"/>
        </w:trPr>
        <w:tc>
          <w:tcPr>
            <w:tcW w:w="5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A2553F" w:rsidRDefault="00A2553F" w:rsidP="00A2553F">
            <w:pPr>
              <w:jc w:val="center"/>
              <w:rPr>
                <w:b/>
                <w:sz w:val="20"/>
                <w:szCs w:val="20"/>
              </w:rPr>
            </w:pPr>
            <w:r w:rsidRPr="00A255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A2553F" w:rsidRDefault="000623ED" w:rsidP="0085623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2553F">
              <w:rPr>
                <w:b/>
                <w:sz w:val="18"/>
                <w:szCs w:val="18"/>
              </w:rPr>
              <w:t>на 01.01.2012</w:t>
            </w: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A2553F" w:rsidRDefault="000623ED" w:rsidP="0085623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2553F">
              <w:rPr>
                <w:b/>
                <w:sz w:val="18"/>
                <w:szCs w:val="18"/>
              </w:rPr>
              <w:t>на 01.01.2013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A2553F" w:rsidRDefault="000623ED" w:rsidP="0085623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2553F">
              <w:rPr>
                <w:b/>
                <w:sz w:val="18"/>
                <w:szCs w:val="18"/>
              </w:rPr>
              <w:t>на 15.12.2015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Всего транспортных средств, из них: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307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-легковые автомобили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253</w:t>
            </w: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288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272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-микроавтобусы</w:t>
            </w:r>
          </w:p>
        </w:tc>
        <w:tc>
          <w:tcPr>
            <w:tcW w:w="1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2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18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-иные</w:t>
            </w:r>
          </w:p>
        </w:tc>
        <w:tc>
          <w:tcPr>
            <w:tcW w:w="1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17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Поступление, в том числе: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37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-приобретено Учреждением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6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113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-поступило от органов власти ВО, из казны ВО</w:t>
            </w:r>
          </w:p>
        </w:tc>
        <w:tc>
          <w:tcPr>
            <w:tcW w:w="1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16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-поступило от иных учреждений, организаций</w:t>
            </w:r>
          </w:p>
        </w:tc>
        <w:tc>
          <w:tcPr>
            <w:tcW w:w="1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15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Выбытие, в том числе: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b/>
                <w:sz w:val="20"/>
                <w:szCs w:val="20"/>
              </w:rPr>
            </w:pPr>
            <w:r w:rsidRPr="00623202">
              <w:rPr>
                <w:b/>
                <w:sz w:val="20"/>
                <w:szCs w:val="20"/>
              </w:rPr>
              <w:t>41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-передано в муниципальную собственность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8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-передано в федеральную собственность</w:t>
            </w:r>
          </w:p>
        </w:tc>
        <w:tc>
          <w:tcPr>
            <w:tcW w:w="1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-передано органам исполнительной власти ВО, в казну</w:t>
            </w:r>
          </w:p>
        </w:tc>
        <w:tc>
          <w:tcPr>
            <w:tcW w:w="1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23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-передано иным учреждениям, организациям</w:t>
            </w:r>
          </w:p>
        </w:tc>
        <w:tc>
          <w:tcPr>
            <w:tcW w:w="1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4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-выбытие по решению суда</w:t>
            </w:r>
          </w:p>
        </w:tc>
        <w:tc>
          <w:tcPr>
            <w:tcW w:w="1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-списание</w:t>
            </w:r>
          </w:p>
        </w:tc>
        <w:tc>
          <w:tcPr>
            <w:tcW w:w="1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3</w:t>
            </w:r>
          </w:p>
        </w:tc>
      </w:tr>
      <w:tr w:rsidR="000623ED" w:rsidRPr="00623202" w:rsidTr="0085623C">
        <w:trPr>
          <w:jc w:val="center"/>
        </w:trPr>
        <w:tc>
          <w:tcPr>
            <w:tcW w:w="5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3ED" w:rsidRPr="00623202" w:rsidRDefault="000623ED" w:rsidP="0085623C">
            <w:pPr>
              <w:ind w:left="-57" w:right="-57"/>
              <w:jc w:val="both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-продажа</w:t>
            </w:r>
          </w:p>
        </w:tc>
        <w:tc>
          <w:tcPr>
            <w:tcW w:w="1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3ED" w:rsidRPr="00623202" w:rsidRDefault="000623ED" w:rsidP="0085623C">
            <w:pPr>
              <w:jc w:val="right"/>
              <w:rPr>
                <w:i/>
                <w:sz w:val="20"/>
                <w:szCs w:val="20"/>
              </w:rPr>
            </w:pPr>
            <w:r w:rsidRPr="00623202">
              <w:rPr>
                <w:i/>
                <w:sz w:val="20"/>
                <w:szCs w:val="20"/>
              </w:rPr>
              <w:t>2</w:t>
            </w:r>
          </w:p>
        </w:tc>
      </w:tr>
    </w:tbl>
    <w:p w:rsidR="000623ED" w:rsidRPr="00623202" w:rsidRDefault="000623ED" w:rsidP="000623ED">
      <w:pPr>
        <w:ind w:firstLine="720"/>
        <w:jc w:val="both"/>
        <w:rPr>
          <w:color w:val="FF0000"/>
        </w:rPr>
      </w:pPr>
    </w:p>
    <w:p w:rsidR="000623ED" w:rsidRPr="00623202" w:rsidRDefault="000623ED" w:rsidP="000623ED">
      <w:pPr>
        <w:ind w:firstLine="720"/>
        <w:jc w:val="both"/>
      </w:pPr>
      <w:r w:rsidRPr="00623202">
        <w:t xml:space="preserve">За период с 01.01.2013 до 15.12.2015 количество транспортных средств уменьшилось на 8 единиц, в том числе: </w:t>
      </w:r>
    </w:p>
    <w:p w:rsidR="000623ED" w:rsidRPr="00623202" w:rsidRDefault="000623ED" w:rsidP="000623ED">
      <w:pPr>
        <w:ind w:firstLine="720"/>
        <w:jc w:val="both"/>
        <w:rPr>
          <w:b/>
          <w:i/>
          <w:u w:val="single"/>
        </w:rPr>
      </w:pPr>
      <w:r w:rsidRPr="00623202">
        <w:rPr>
          <w:b/>
          <w:i/>
          <w:u w:val="single"/>
        </w:rPr>
        <w:t>поступило 37 единиц:</w:t>
      </w:r>
    </w:p>
    <w:p w:rsidR="000623ED" w:rsidRPr="00623202" w:rsidRDefault="000623ED" w:rsidP="000623ED">
      <w:pPr>
        <w:ind w:firstLine="720"/>
        <w:jc w:val="both"/>
      </w:pPr>
      <w:r w:rsidRPr="00623202">
        <w:t xml:space="preserve">-в 2013 году приобретено </w:t>
      </w:r>
      <w:r w:rsidRPr="00623202">
        <w:rPr>
          <w:i/>
        </w:rPr>
        <w:t>4 автомобиля</w:t>
      </w:r>
      <w:r w:rsidRPr="00623202">
        <w:t xml:space="preserve"> HYUNDAI VF (i40) 2013 </w:t>
      </w:r>
      <w:r w:rsidR="007911C5">
        <w:t>г.в.</w:t>
      </w:r>
      <w:r w:rsidRPr="00623202">
        <w:t xml:space="preserve"> </w:t>
      </w:r>
      <w:r w:rsidR="007911C5">
        <w:t>общей стоимостью</w:t>
      </w:r>
      <w:r w:rsidRPr="00623202">
        <w:t xml:space="preserve"> 3 796,0 тыс. руб</w:t>
      </w:r>
      <w:r w:rsidR="007911C5">
        <w:t>.</w:t>
      </w:r>
      <w:r w:rsidRPr="00623202">
        <w:t>;</w:t>
      </w:r>
    </w:p>
    <w:p w:rsidR="000623ED" w:rsidRPr="00623202" w:rsidRDefault="000623ED" w:rsidP="000623ED">
      <w:pPr>
        <w:ind w:firstLine="720"/>
        <w:jc w:val="both"/>
      </w:pPr>
      <w:r w:rsidRPr="00623202">
        <w:t xml:space="preserve">-в 2015 году приобретено </w:t>
      </w:r>
      <w:r w:rsidRPr="00623202">
        <w:rPr>
          <w:i/>
        </w:rPr>
        <w:t>2 автомобиля</w:t>
      </w:r>
      <w:r w:rsidRPr="00623202">
        <w:t xml:space="preserve"> (KIA KH (Quoris) 2013 </w:t>
      </w:r>
      <w:r w:rsidR="007911C5">
        <w:t>г.в.</w:t>
      </w:r>
      <w:r w:rsidRPr="00623202">
        <w:t xml:space="preserve"> </w:t>
      </w:r>
      <w:r w:rsidR="00632642">
        <w:t>за</w:t>
      </w:r>
      <w:r w:rsidRPr="00623202">
        <w:t xml:space="preserve"> 260,9 тыс. руб. и УАЗ-390995 2015 </w:t>
      </w:r>
      <w:r w:rsidR="007911C5">
        <w:t>г.в.</w:t>
      </w:r>
      <w:r w:rsidRPr="00623202">
        <w:t xml:space="preserve"> </w:t>
      </w:r>
      <w:r w:rsidR="00632642">
        <w:t>за</w:t>
      </w:r>
      <w:r w:rsidRPr="00623202">
        <w:t xml:space="preserve"> 545,0 тыс. рублей);</w:t>
      </w:r>
    </w:p>
    <w:p w:rsidR="000623ED" w:rsidRPr="00623202" w:rsidRDefault="000623ED" w:rsidP="000623ED">
      <w:pPr>
        <w:ind w:firstLine="720"/>
        <w:jc w:val="both"/>
      </w:pPr>
      <w:r w:rsidRPr="00623202">
        <w:t xml:space="preserve">-принято от органов власти Волгоградской области и из казны </w:t>
      </w:r>
      <w:r w:rsidRPr="00623202">
        <w:rPr>
          <w:i/>
        </w:rPr>
        <w:t>16 автомобилей</w:t>
      </w:r>
      <w:r w:rsidRPr="00623202">
        <w:t xml:space="preserve"> (от Волгоградской областной Думы – 12 ед., </w:t>
      </w:r>
      <w:r w:rsidR="00632642">
        <w:t>контрольно-счётной палаты Волгоградской области</w:t>
      </w:r>
      <w:r w:rsidRPr="00623202">
        <w:t xml:space="preserve"> – 2 ед., инспекции государственного надзора за техническим состоянием самоходных ма</w:t>
      </w:r>
      <w:r w:rsidR="00A2553F">
        <w:t>ш</w:t>
      </w:r>
      <w:r w:rsidRPr="00623202">
        <w:t>ин и других видов техники Волгоградской области – 1 ед., из казны Волгоградской области – 1 ед.);</w:t>
      </w:r>
    </w:p>
    <w:p w:rsidR="000623ED" w:rsidRPr="00623202" w:rsidRDefault="000623ED" w:rsidP="000623ED">
      <w:pPr>
        <w:ind w:firstLine="720"/>
        <w:jc w:val="both"/>
      </w:pPr>
      <w:r w:rsidRPr="00623202">
        <w:t>-</w:t>
      </w:r>
      <w:r w:rsidR="009E505A">
        <w:t>принято</w:t>
      </w:r>
      <w:r w:rsidRPr="00623202">
        <w:t xml:space="preserve"> от иных учреждений и организаций </w:t>
      </w:r>
      <w:r w:rsidRPr="00623202">
        <w:rPr>
          <w:i/>
        </w:rPr>
        <w:t>15 автомобилей</w:t>
      </w:r>
      <w:r w:rsidR="00FA1D30">
        <w:rPr>
          <w:i/>
        </w:rPr>
        <w:t xml:space="preserve"> (в том числе 4 микроавтобуса):</w:t>
      </w:r>
    </w:p>
    <w:p w:rsidR="00632642" w:rsidRPr="00153F2A" w:rsidRDefault="000623ED" w:rsidP="000623ED">
      <w:pPr>
        <w:ind w:firstLine="720"/>
        <w:jc w:val="both"/>
      </w:pPr>
      <w:r w:rsidRPr="00153F2A">
        <w:t>●</w:t>
      </w:r>
      <w:r w:rsidR="00632642" w:rsidRPr="00153F2A">
        <w:t xml:space="preserve">по </w:t>
      </w:r>
      <w:r w:rsidRPr="00153F2A">
        <w:t>договор</w:t>
      </w:r>
      <w:r w:rsidR="00153F2A" w:rsidRPr="00153F2A">
        <w:t>у</w:t>
      </w:r>
      <w:r w:rsidRPr="00153F2A">
        <w:t xml:space="preserve"> пожертвования</w:t>
      </w:r>
      <w:r w:rsidR="00632642" w:rsidRPr="00153F2A">
        <w:t xml:space="preserve"> </w:t>
      </w:r>
      <w:r w:rsidR="00153F2A" w:rsidRPr="00153F2A">
        <w:rPr>
          <w:i/>
        </w:rPr>
        <w:t>1</w:t>
      </w:r>
      <w:r w:rsidR="00632642" w:rsidRPr="00153F2A">
        <w:rPr>
          <w:i/>
        </w:rPr>
        <w:t xml:space="preserve"> автомобил</w:t>
      </w:r>
      <w:r w:rsidR="00153F2A" w:rsidRPr="00153F2A">
        <w:rPr>
          <w:i/>
        </w:rPr>
        <w:t>ь</w:t>
      </w:r>
      <w:r w:rsidR="00632642" w:rsidRPr="00153F2A">
        <w:rPr>
          <w:i/>
        </w:rPr>
        <w:t xml:space="preserve"> </w:t>
      </w:r>
      <w:r w:rsidR="00632642" w:rsidRPr="00153F2A">
        <w:t>от</w:t>
      </w:r>
      <w:r w:rsidR="00153F2A" w:rsidRPr="00153F2A">
        <w:t xml:space="preserve"> </w:t>
      </w:r>
      <w:r w:rsidR="00632642" w:rsidRPr="00153F2A">
        <w:t>ООО «Управляющая компания «Ритм»</w:t>
      </w:r>
      <w:r w:rsidR="00632642" w:rsidRPr="00153F2A">
        <w:rPr>
          <w:i/>
        </w:rPr>
        <w:t xml:space="preserve"> </w:t>
      </w:r>
      <w:r w:rsidR="00632642" w:rsidRPr="00153F2A">
        <w:t xml:space="preserve">- </w:t>
      </w:r>
      <w:r w:rsidR="00B80AC1">
        <w:t xml:space="preserve">микроавтобус </w:t>
      </w:r>
      <w:r w:rsidR="00632642" w:rsidRPr="00153F2A">
        <w:rPr>
          <w:lang w:val="en-US"/>
        </w:rPr>
        <w:t>HYUNDAI</w:t>
      </w:r>
      <w:r w:rsidR="00632642" w:rsidRPr="00153F2A">
        <w:t xml:space="preserve"> </w:t>
      </w:r>
      <w:r w:rsidR="00632642" w:rsidRPr="00153F2A">
        <w:rPr>
          <w:lang w:val="en-US"/>
        </w:rPr>
        <w:t>H</w:t>
      </w:r>
      <w:r w:rsidR="00632642" w:rsidRPr="00153F2A">
        <w:t>-1 2015 г.в. (1,7млн. руб.);</w:t>
      </w:r>
    </w:p>
    <w:p w:rsidR="00153F2A" w:rsidRPr="00153F2A" w:rsidRDefault="000623ED" w:rsidP="000623ED">
      <w:pPr>
        <w:ind w:firstLine="720"/>
        <w:jc w:val="both"/>
      </w:pPr>
      <w:r w:rsidRPr="00153F2A">
        <w:t>●</w:t>
      </w:r>
      <w:r w:rsidR="00153F2A" w:rsidRPr="00153F2A">
        <w:t xml:space="preserve">по </w:t>
      </w:r>
      <w:r w:rsidRPr="00153F2A">
        <w:t>договор</w:t>
      </w:r>
      <w:r w:rsidR="00153F2A" w:rsidRPr="00153F2A">
        <w:t>ам</w:t>
      </w:r>
      <w:r w:rsidRPr="00153F2A">
        <w:t xml:space="preserve"> безвозмездного пользования </w:t>
      </w:r>
      <w:r w:rsidR="00153F2A" w:rsidRPr="00153F2A">
        <w:rPr>
          <w:i/>
        </w:rPr>
        <w:t xml:space="preserve">14 автомобилей </w:t>
      </w:r>
      <w:r w:rsidR="00153F2A" w:rsidRPr="00153F2A">
        <w:t>о</w:t>
      </w:r>
      <w:r w:rsidR="00153F2A" w:rsidRPr="0053485F">
        <w:t>т:</w:t>
      </w:r>
    </w:p>
    <w:p w:rsidR="00153F2A" w:rsidRPr="00153F2A" w:rsidRDefault="00153F2A" w:rsidP="0053485F">
      <w:pPr>
        <w:ind w:firstLine="284"/>
        <w:jc w:val="both"/>
      </w:pPr>
      <w:r>
        <w:t>-</w:t>
      </w:r>
      <w:r w:rsidRPr="00153F2A">
        <w:t xml:space="preserve">ПАО «Волгоградоблэлектро» - </w:t>
      </w:r>
      <w:r w:rsidR="00B80AC1">
        <w:t xml:space="preserve">минивэн </w:t>
      </w:r>
      <w:r w:rsidRPr="00153F2A">
        <w:t xml:space="preserve">МЕРСЕДЕС БЕНЦ </w:t>
      </w:r>
      <w:r w:rsidRPr="00153F2A">
        <w:rPr>
          <w:lang w:val="en-US"/>
        </w:rPr>
        <w:t>V</w:t>
      </w:r>
      <w:r w:rsidRPr="00153F2A">
        <w:t xml:space="preserve"> 250 </w:t>
      </w:r>
      <w:r w:rsidRPr="00153F2A">
        <w:rPr>
          <w:lang w:val="en-US"/>
        </w:rPr>
        <w:t>BLUETEC</w:t>
      </w:r>
      <w:r w:rsidRPr="00153F2A">
        <w:t xml:space="preserve"> 2015 г.в. (4,8 млн. руб.), 9 автомобилей ТОЙОТА КАМРИ 2015 г.в. (1,4 млн. руб. каждый), </w:t>
      </w:r>
      <w:r w:rsidRPr="00153F2A">
        <w:rPr>
          <w:lang w:val="en-US"/>
        </w:rPr>
        <w:t>INFINITI</w:t>
      </w:r>
      <w:r w:rsidRPr="00153F2A">
        <w:t xml:space="preserve"> </w:t>
      </w:r>
      <w:r w:rsidRPr="00153F2A">
        <w:rPr>
          <w:lang w:val="en-US"/>
        </w:rPr>
        <w:t>QX</w:t>
      </w:r>
      <w:r w:rsidRPr="00153F2A">
        <w:t>56 2012 г.в.</w:t>
      </w:r>
      <w:r w:rsidR="004660D7">
        <w:t xml:space="preserve"> </w:t>
      </w:r>
      <w:r w:rsidRPr="00153F2A">
        <w:t>(получен в 2013 году) (4,8 млн. руб.);</w:t>
      </w:r>
    </w:p>
    <w:p w:rsidR="00153F2A" w:rsidRPr="00153F2A" w:rsidRDefault="00153F2A" w:rsidP="0053485F">
      <w:pPr>
        <w:ind w:firstLine="284"/>
        <w:jc w:val="both"/>
      </w:pPr>
      <w:r>
        <w:t>-</w:t>
      </w:r>
      <w:r w:rsidRPr="00153F2A">
        <w:t xml:space="preserve">ГУП «Волгофарм» - автобус ЛУИДОР-223700 2015 г.в. (3,3 млн. руб.), </w:t>
      </w:r>
      <w:r w:rsidRPr="00153F2A">
        <w:rPr>
          <w:lang w:val="en-US"/>
        </w:rPr>
        <w:t>KIA</w:t>
      </w:r>
      <w:r w:rsidRPr="00153F2A">
        <w:t xml:space="preserve"> </w:t>
      </w:r>
      <w:r w:rsidRPr="00153F2A">
        <w:rPr>
          <w:lang w:val="en-US"/>
        </w:rPr>
        <w:t>Quoris</w:t>
      </w:r>
      <w:r w:rsidRPr="00153F2A">
        <w:t xml:space="preserve"> 2015 г.в. (2,9 млн. руб.);</w:t>
      </w:r>
    </w:p>
    <w:p w:rsidR="00153F2A" w:rsidRPr="00153F2A" w:rsidRDefault="00153F2A" w:rsidP="0053485F">
      <w:pPr>
        <w:ind w:firstLine="284"/>
        <w:jc w:val="both"/>
      </w:pPr>
      <w:r>
        <w:t>-</w:t>
      </w:r>
      <w:r w:rsidRPr="00153F2A">
        <w:t xml:space="preserve">ООО «ВолгаСтройСнаб» - </w:t>
      </w:r>
      <w:r w:rsidRPr="00153F2A">
        <w:rPr>
          <w:lang w:val="en-US"/>
        </w:rPr>
        <w:t>Volkswagen</w:t>
      </w:r>
      <w:r w:rsidRPr="00153F2A">
        <w:t xml:space="preserve"> </w:t>
      </w:r>
      <w:r w:rsidRPr="00153F2A">
        <w:rPr>
          <w:lang w:val="en-US"/>
        </w:rPr>
        <w:t>Multivan</w:t>
      </w:r>
      <w:r w:rsidRPr="00153F2A">
        <w:t xml:space="preserve"> 3.2 2015 г.в. (4,4 млн. руб.).</w:t>
      </w:r>
    </w:p>
    <w:p w:rsidR="000623ED" w:rsidRPr="00623202" w:rsidRDefault="000623ED" w:rsidP="000623ED">
      <w:pPr>
        <w:ind w:firstLine="720"/>
        <w:jc w:val="both"/>
        <w:rPr>
          <w:b/>
          <w:i/>
          <w:u w:val="single"/>
        </w:rPr>
      </w:pPr>
      <w:r w:rsidRPr="00623202">
        <w:rPr>
          <w:b/>
          <w:i/>
          <w:u w:val="single"/>
        </w:rPr>
        <w:t>выбыл</w:t>
      </w:r>
      <w:r w:rsidR="00170447">
        <w:rPr>
          <w:b/>
          <w:i/>
          <w:u w:val="single"/>
        </w:rPr>
        <w:t>а</w:t>
      </w:r>
      <w:r w:rsidRPr="00623202">
        <w:rPr>
          <w:b/>
          <w:i/>
          <w:u w:val="single"/>
        </w:rPr>
        <w:t xml:space="preserve"> 41 единица:</w:t>
      </w:r>
    </w:p>
    <w:p w:rsidR="000623ED" w:rsidRPr="00623202" w:rsidRDefault="000623ED" w:rsidP="000623ED">
      <w:pPr>
        <w:ind w:firstLine="720"/>
        <w:jc w:val="both"/>
      </w:pPr>
      <w:r w:rsidRPr="00623202">
        <w:rPr>
          <w:i/>
        </w:rPr>
        <w:t>-8 единиц</w:t>
      </w:r>
      <w:r w:rsidRPr="00623202">
        <w:t xml:space="preserve"> в собственность Быковского, Котовского, Руднянского, Еланского и Палласовского муниципальных районов;</w:t>
      </w:r>
    </w:p>
    <w:p w:rsidR="000623ED" w:rsidRPr="00623202" w:rsidRDefault="000623ED" w:rsidP="000623ED">
      <w:pPr>
        <w:autoSpaceDE w:val="0"/>
        <w:autoSpaceDN w:val="0"/>
        <w:adjustRightInd w:val="0"/>
        <w:ind w:firstLine="720"/>
        <w:jc w:val="both"/>
      </w:pPr>
      <w:r w:rsidRPr="00623202">
        <w:rPr>
          <w:i/>
        </w:rPr>
        <w:lastRenderedPageBreak/>
        <w:t>-1 автомобиль</w:t>
      </w:r>
      <w:r w:rsidRPr="00623202">
        <w:t xml:space="preserve"> («</w:t>
      </w:r>
      <w:r w:rsidRPr="00623202">
        <w:rPr>
          <w:lang w:val="en-US"/>
        </w:rPr>
        <w:t>Lexus</w:t>
      </w:r>
      <w:r w:rsidRPr="00623202">
        <w:t xml:space="preserve">» </w:t>
      </w:r>
      <w:r w:rsidRPr="00623202">
        <w:rPr>
          <w:lang w:val="en-US"/>
        </w:rPr>
        <w:t>RX</w:t>
      </w:r>
      <w:r w:rsidRPr="00623202">
        <w:t>450</w:t>
      </w:r>
      <w:r w:rsidRPr="00623202">
        <w:rPr>
          <w:lang w:val="en-US"/>
        </w:rPr>
        <w:t>H</w:t>
      </w:r>
      <w:r w:rsidRPr="00623202">
        <w:t xml:space="preserve"> балансовой стоимостью 2 855,5 тыс. руб.)</w:t>
      </w:r>
      <w:r w:rsidRPr="00623202">
        <w:rPr>
          <w:lang w:eastAsia="en-US"/>
        </w:rPr>
        <w:t>, используем</w:t>
      </w:r>
      <w:r w:rsidR="0053485F">
        <w:rPr>
          <w:lang w:eastAsia="en-US"/>
        </w:rPr>
        <w:t>ый</w:t>
      </w:r>
      <w:r w:rsidRPr="00623202">
        <w:rPr>
          <w:lang w:eastAsia="en-US"/>
        </w:rPr>
        <w:t xml:space="preserve"> Управлением Федеральной службы безопасности Российской Федерации по Волгоградской области, в федеральную собственность</w:t>
      </w:r>
      <w:r w:rsidRPr="00623202">
        <w:t>;</w:t>
      </w:r>
    </w:p>
    <w:p w:rsidR="000623ED" w:rsidRPr="00623202" w:rsidRDefault="000623ED" w:rsidP="000623ED">
      <w:pPr>
        <w:autoSpaceDE w:val="0"/>
        <w:autoSpaceDN w:val="0"/>
        <w:adjustRightInd w:val="0"/>
        <w:ind w:firstLine="720"/>
        <w:jc w:val="both"/>
      </w:pPr>
      <w:r w:rsidRPr="00623202">
        <w:t>-</w:t>
      </w:r>
      <w:r w:rsidRPr="00623202">
        <w:rPr>
          <w:i/>
        </w:rPr>
        <w:t>1 автомобиль</w:t>
      </w:r>
      <w:r w:rsidRPr="00623202">
        <w:t xml:space="preserve"> на баланс Представительства Волгоградской области в городе Москве;</w:t>
      </w:r>
    </w:p>
    <w:p w:rsidR="000623ED" w:rsidRPr="00623202" w:rsidRDefault="000623ED" w:rsidP="000623ED">
      <w:pPr>
        <w:autoSpaceDE w:val="0"/>
        <w:autoSpaceDN w:val="0"/>
        <w:adjustRightInd w:val="0"/>
        <w:ind w:firstLine="720"/>
        <w:jc w:val="both"/>
      </w:pPr>
      <w:r w:rsidRPr="00623202">
        <w:t>-</w:t>
      </w:r>
      <w:r w:rsidRPr="00623202">
        <w:rPr>
          <w:i/>
        </w:rPr>
        <w:t>22 автомобиля</w:t>
      </w:r>
      <w:r w:rsidRPr="00623202">
        <w:t xml:space="preserve"> в состав имущества казны Волгоградской области (включены Законом об областном бюджете на 2015 год в программу приватизации (продажи) государственного имущества Волгоградской области);</w:t>
      </w:r>
    </w:p>
    <w:p w:rsidR="000623ED" w:rsidRPr="00623202" w:rsidRDefault="000623ED" w:rsidP="000623ED">
      <w:pPr>
        <w:autoSpaceDE w:val="0"/>
        <w:autoSpaceDN w:val="0"/>
        <w:adjustRightInd w:val="0"/>
        <w:ind w:firstLine="720"/>
        <w:jc w:val="both"/>
      </w:pPr>
      <w:r w:rsidRPr="00623202">
        <w:t>-</w:t>
      </w:r>
      <w:r w:rsidRPr="00623202">
        <w:rPr>
          <w:i/>
        </w:rPr>
        <w:t>4 автомобиля</w:t>
      </w:r>
      <w:r w:rsidRPr="00623202">
        <w:t xml:space="preserve"> Волгоградскому онкологическому диспансеру (Тойота Камри 2011 </w:t>
      </w:r>
      <w:r w:rsidR="0053485F">
        <w:t>г.в.</w:t>
      </w:r>
      <w:r w:rsidRPr="00623202">
        <w:t>), Волгоградской областной клинической больнице № 1 (HYUNDAI NF 2.0 GLАТ 2008 г.в.), Серафимовичской ЦРБ и Волгоградскому строительному техникуму (ГАЗ 3102 2006 года выпуска).</w:t>
      </w:r>
    </w:p>
    <w:p w:rsidR="000623ED" w:rsidRPr="00623202" w:rsidRDefault="000623ED" w:rsidP="000623ED">
      <w:pPr>
        <w:autoSpaceDE w:val="0"/>
        <w:autoSpaceDN w:val="0"/>
        <w:adjustRightInd w:val="0"/>
        <w:ind w:firstLine="720"/>
        <w:jc w:val="both"/>
      </w:pPr>
      <w:r w:rsidRPr="00623202">
        <w:t>-</w:t>
      </w:r>
      <w:r w:rsidRPr="00623202">
        <w:rPr>
          <w:i/>
        </w:rPr>
        <w:t>3 автомобиля</w:t>
      </w:r>
      <w:r w:rsidRPr="00623202">
        <w:t xml:space="preserve"> списаны и исключены;</w:t>
      </w:r>
    </w:p>
    <w:p w:rsidR="000623ED" w:rsidRDefault="000623ED" w:rsidP="000623ED">
      <w:pPr>
        <w:autoSpaceDE w:val="0"/>
        <w:autoSpaceDN w:val="0"/>
        <w:adjustRightInd w:val="0"/>
        <w:ind w:firstLine="720"/>
        <w:jc w:val="both"/>
      </w:pPr>
      <w:r w:rsidRPr="00623202">
        <w:t>-</w:t>
      </w:r>
      <w:r w:rsidRPr="00623202">
        <w:rPr>
          <w:i/>
        </w:rPr>
        <w:t>2 автомобиля</w:t>
      </w:r>
      <w:r w:rsidRPr="00623202">
        <w:t xml:space="preserve"> реализованы (</w:t>
      </w:r>
      <w:r w:rsidRPr="00623202">
        <w:rPr>
          <w:lang w:val="en-US"/>
        </w:rPr>
        <w:t>Mercedes</w:t>
      </w:r>
      <w:r w:rsidRPr="00623202">
        <w:t>-</w:t>
      </w:r>
      <w:r w:rsidRPr="00623202">
        <w:rPr>
          <w:lang w:val="en-US"/>
        </w:rPr>
        <w:t>Benz</w:t>
      </w:r>
      <w:r w:rsidRPr="00623202">
        <w:t xml:space="preserve"> </w:t>
      </w:r>
      <w:r w:rsidRPr="00623202">
        <w:rPr>
          <w:lang w:val="en-US"/>
        </w:rPr>
        <w:t>GL</w:t>
      </w:r>
      <w:r w:rsidRPr="00623202">
        <w:t xml:space="preserve"> 350 </w:t>
      </w:r>
      <w:r w:rsidRPr="00623202">
        <w:rPr>
          <w:lang w:val="en-US"/>
        </w:rPr>
        <w:t>CDI</w:t>
      </w:r>
      <w:r w:rsidRPr="00623202">
        <w:t xml:space="preserve"> 4</w:t>
      </w:r>
      <w:r w:rsidRPr="00623202">
        <w:rPr>
          <w:lang w:val="en-US"/>
        </w:rPr>
        <w:t>MATIC</w:t>
      </w:r>
      <w:r w:rsidRPr="00623202">
        <w:t xml:space="preserve"> 2011 </w:t>
      </w:r>
      <w:r w:rsidR="0053485F">
        <w:t>г.в.</w:t>
      </w:r>
      <w:r w:rsidRPr="00623202">
        <w:t xml:space="preserve">  и </w:t>
      </w:r>
      <w:r w:rsidRPr="00623202">
        <w:rPr>
          <w:lang w:val="en-US"/>
        </w:rPr>
        <w:t>Mercedes</w:t>
      </w:r>
      <w:r w:rsidRPr="00623202">
        <w:t>-</w:t>
      </w:r>
      <w:r w:rsidRPr="00623202">
        <w:rPr>
          <w:lang w:val="en-US"/>
        </w:rPr>
        <w:t>Benz</w:t>
      </w:r>
      <w:r w:rsidRPr="00623202">
        <w:t xml:space="preserve"> </w:t>
      </w:r>
      <w:r w:rsidRPr="00623202">
        <w:rPr>
          <w:lang w:val="en-US"/>
        </w:rPr>
        <w:t>S</w:t>
      </w:r>
      <w:r w:rsidRPr="00623202">
        <w:t>500  4</w:t>
      </w:r>
      <w:r w:rsidRPr="00623202">
        <w:rPr>
          <w:lang w:val="en-US"/>
        </w:rPr>
        <w:t>MATIC</w:t>
      </w:r>
      <w:r w:rsidRPr="00623202">
        <w:t xml:space="preserve"> 2011 </w:t>
      </w:r>
      <w:r w:rsidR="0053485F">
        <w:t>г.в.</w:t>
      </w:r>
      <w:r w:rsidRPr="00623202">
        <w:t>).</w:t>
      </w:r>
    </w:p>
    <w:p w:rsidR="000623ED" w:rsidRDefault="000623ED" w:rsidP="000623ED">
      <w:pPr>
        <w:ind w:firstLine="720"/>
        <w:jc w:val="both"/>
      </w:pPr>
      <w:r w:rsidRPr="00623202">
        <w:t xml:space="preserve">Закрепление служебных автомобилей за </w:t>
      </w:r>
      <w:r w:rsidR="001D7A49" w:rsidRPr="00623202">
        <w:t>должностными лицами</w:t>
      </w:r>
      <w:r w:rsidR="001D7A49">
        <w:t>,</w:t>
      </w:r>
      <w:r w:rsidR="001D7A49" w:rsidRPr="00623202">
        <w:t xml:space="preserve"> орган</w:t>
      </w:r>
      <w:r w:rsidR="001D7A49">
        <w:t>ами</w:t>
      </w:r>
      <w:r w:rsidR="001D7A49" w:rsidRPr="00623202">
        <w:t xml:space="preserve"> </w:t>
      </w:r>
      <w:r w:rsidR="00915C56">
        <w:t xml:space="preserve">исполнительной </w:t>
      </w:r>
      <w:r w:rsidR="001D7A49" w:rsidRPr="00623202">
        <w:t>власти</w:t>
      </w:r>
      <w:r w:rsidR="00915C56">
        <w:t xml:space="preserve"> </w:t>
      </w:r>
      <w:r w:rsidR="001D7A49" w:rsidRPr="00623202">
        <w:t xml:space="preserve">Волгоградской области </w:t>
      </w:r>
      <w:r w:rsidRPr="00623202">
        <w:t xml:space="preserve">и </w:t>
      </w:r>
      <w:r w:rsidR="001D7A49" w:rsidRPr="00623202">
        <w:t xml:space="preserve">должностными лицами </w:t>
      </w:r>
      <w:r w:rsidRPr="00623202">
        <w:t>федеральных органов власти (Государственная Дума Федерального Собрания РФ, Совет Федерации Федерального Собрания РФ, главный федеральный инспектор по Волгоградской области аппарата полномочного представителя Президента РФ в ЮФО)  на 13.11.2015 утверждено вице-губернатором – руководителем аппарата Губернатора Волгоградской области. Закрепление автомобилей, обслуживающих Волгоградскую областную Думу и контрольно-счетную палату Волгоградской области</w:t>
      </w:r>
      <w:r w:rsidR="00CD7A2B">
        <w:t>,</w:t>
      </w:r>
      <w:r w:rsidRPr="00623202">
        <w:t xml:space="preserve"> </w:t>
      </w:r>
      <w:r w:rsidR="000F26C1" w:rsidRPr="00623202">
        <w:t>согласовано с соответствующими органами</w:t>
      </w:r>
      <w:r w:rsidRPr="00623202">
        <w:t>. Информация о закреплении автомобилей представлена в таблице.</w:t>
      </w:r>
    </w:p>
    <w:p w:rsidR="000623ED" w:rsidRPr="00623202" w:rsidRDefault="002A1678" w:rsidP="002A1678">
      <w:pPr>
        <w:tabs>
          <w:tab w:val="left" w:pos="2552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3202">
        <w:rPr>
          <w:sz w:val="20"/>
          <w:szCs w:val="20"/>
        </w:rPr>
        <w:t>Е</w:t>
      </w:r>
      <w:r w:rsidR="000623ED" w:rsidRPr="00623202">
        <w:rPr>
          <w:sz w:val="20"/>
          <w:szCs w:val="20"/>
        </w:rPr>
        <w:t>д</w:t>
      </w:r>
      <w:r>
        <w:rPr>
          <w:sz w:val="20"/>
          <w:szCs w:val="20"/>
        </w:rPr>
        <w:t>.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8"/>
        <w:gridCol w:w="912"/>
        <w:gridCol w:w="912"/>
        <w:gridCol w:w="1097"/>
      </w:tblGrid>
      <w:tr w:rsidR="001D7A49" w:rsidRPr="00623202" w:rsidTr="001D7A49">
        <w:trPr>
          <w:trHeight w:val="135"/>
          <w:jc w:val="center"/>
        </w:trPr>
        <w:tc>
          <w:tcPr>
            <w:tcW w:w="5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D7A49" w:rsidRPr="00623202" w:rsidRDefault="001D7A49" w:rsidP="0085623C">
            <w:pPr>
              <w:ind w:firstLine="708"/>
              <w:jc w:val="center"/>
              <w:rPr>
                <w:b/>
                <w:sz w:val="18"/>
                <w:szCs w:val="18"/>
              </w:rPr>
            </w:pPr>
            <w:r w:rsidRPr="00623202">
              <w:rPr>
                <w:b/>
                <w:sz w:val="18"/>
                <w:szCs w:val="18"/>
              </w:rPr>
              <w:t>Назначение автомобиля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1D7A49" w:rsidRPr="00623202" w:rsidRDefault="001D7A49" w:rsidP="0085623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23202">
              <w:rPr>
                <w:b/>
                <w:sz w:val="18"/>
                <w:szCs w:val="18"/>
              </w:rPr>
              <w:t>На 01.05.2013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1D7A49" w:rsidRPr="00623202" w:rsidRDefault="001D7A49" w:rsidP="0085623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23202">
              <w:rPr>
                <w:b/>
                <w:sz w:val="18"/>
                <w:szCs w:val="18"/>
              </w:rPr>
              <w:t>На 13.11.2015</w:t>
            </w:r>
          </w:p>
        </w:tc>
        <w:tc>
          <w:tcPr>
            <w:tcW w:w="10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D7A49" w:rsidRPr="00623202" w:rsidRDefault="001D7A49" w:rsidP="001D7A49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23202">
              <w:rPr>
                <w:b/>
                <w:sz w:val="18"/>
                <w:szCs w:val="18"/>
              </w:rPr>
              <w:t>Отклонение гр.</w:t>
            </w:r>
            <w:r>
              <w:rPr>
                <w:b/>
                <w:sz w:val="18"/>
                <w:szCs w:val="18"/>
              </w:rPr>
              <w:t>3</w:t>
            </w:r>
            <w:r w:rsidRPr="00623202">
              <w:rPr>
                <w:b/>
                <w:sz w:val="18"/>
                <w:szCs w:val="18"/>
              </w:rPr>
              <w:t xml:space="preserve"> – гр.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1D7A49" w:rsidRPr="00623202" w:rsidTr="001D7A49">
        <w:trPr>
          <w:trHeight w:val="135"/>
          <w:jc w:val="center"/>
        </w:trPr>
        <w:tc>
          <w:tcPr>
            <w:tcW w:w="5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D7A49" w:rsidRPr="00623202" w:rsidRDefault="001D7A49" w:rsidP="0085623C">
            <w:pPr>
              <w:ind w:firstLine="708"/>
              <w:jc w:val="center"/>
              <w:rPr>
                <w:i/>
                <w:sz w:val="18"/>
                <w:szCs w:val="18"/>
              </w:rPr>
            </w:pPr>
            <w:r w:rsidRPr="0062320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D7A49" w:rsidRPr="00623202" w:rsidRDefault="001D7A49" w:rsidP="0085623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1D7A49" w:rsidRPr="00623202" w:rsidRDefault="001D7A49" w:rsidP="0085623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1D7A49" w:rsidRPr="00623202" w:rsidRDefault="001D7A49" w:rsidP="0085623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Волгоградская областная Дума</w:t>
            </w:r>
          </w:p>
        </w:tc>
        <w:tc>
          <w:tcPr>
            <w:tcW w:w="912" w:type="dxa"/>
            <w:tcBorders>
              <w:top w:val="double" w:sz="4" w:space="0" w:color="auto"/>
            </w:tcBorders>
            <w:vAlign w:val="center"/>
          </w:tcPr>
          <w:p w:rsidR="001D7A49" w:rsidRPr="00623202" w:rsidRDefault="001D7A49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57</w:t>
            </w:r>
          </w:p>
        </w:tc>
        <w:tc>
          <w:tcPr>
            <w:tcW w:w="912" w:type="dxa"/>
            <w:tcBorders>
              <w:top w:val="double" w:sz="4" w:space="0" w:color="auto"/>
            </w:tcBorders>
          </w:tcPr>
          <w:p w:rsidR="001D7A49" w:rsidRPr="00623202" w:rsidRDefault="001D7A49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:rsidR="001D7A49" w:rsidRPr="00623202" w:rsidRDefault="001D7A49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-10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ind w:firstLine="468"/>
              <w:jc w:val="both"/>
              <w:rPr>
                <w:sz w:val="18"/>
                <w:szCs w:val="18"/>
              </w:rPr>
            </w:pPr>
            <w:r w:rsidRPr="00623202">
              <w:rPr>
                <w:sz w:val="18"/>
                <w:szCs w:val="18"/>
              </w:rPr>
              <w:t>-персональные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sz w:val="16"/>
                <w:szCs w:val="16"/>
              </w:rPr>
            </w:pPr>
            <w:r w:rsidRPr="00623202">
              <w:rPr>
                <w:sz w:val="16"/>
                <w:szCs w:val="16"/>
              </w:rPr>
              <w:t>49</w:t>
            </w:r>
          </w:p>
        </w:tc>
        <w:tc>
          <w:tcPr>
            <w:tcW w:w="912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1097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-21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ind w:firstLine="468"/>
              <w:jc w:val="both"/>
              <w:rPr>
                <w:sz w:val="18"/>
                <w:szCs w:val="18"/>
              </w:rPr>
            </w:pPr>
            <w:r w:rsidRPr="00623202">
              <w:rPr>
                <w:sz w:val="18"/>
                <w:szCs w:val="18"/>
              </w:rPr>
              <w:t>-дежурные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sz w:val="16"/>
                <w:szCs w:val="16"/>
              </w:rPr>
            </w:pPr>
            <w:r w:rsidRPr="00623202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1097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+8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ind w:firstLine="468"/>
              <w:jc w:val="both"/>
              <w:rPr>
                <w:sz w:val="18"/>
                <w:szCs w:val="18"/>
              </w:rPr>
            </w:pPr>
            <w:r w:rsidRPr="00623202">
              <w:rPr>
                <w:sz w:val="18"/>
                <w:szCs w:val="18"/>
              </w:rPr>
              <w:t>-оперативные (резервные, разъездные)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sz w:val="16"/>
                <w:szCs w:val="16"/>
              </w:rPr>
            </w:pPr>
            <w:r w:rsidRPr="00623202">
              <w:rPr>
                <w:sz w:val="16"/>
                <w:szCs w:val="16"/>
              </w:rPr>
              <w:t>7</w:t>
            </w:r>
          </w:p>
        </w:tc>
        <w:tc>
          <w:tcPr>
            <w:tcW w:w="912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097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+3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Контрольно-счетная палата Волгоградской области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12" w:type="dxa"/>
          </w:tcPr>
          <w:p w:rsidR="001D7A49" w:rsidRPr="00623202" w:rsidRDefault="001D7A49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97" w:type="dxa"/>
          </w:tcPr>
          <w:p w:rsidR="001D7A49" w:rsidRPr="00623202" w:rsidRDefault="001D7A49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1D7A49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 xml:space="preserve">Аппарат </w:t>
            </w:r>
            <w:r>
              <w:rPr>
                <w:b/>
                <w:i/>
                <w:sz w:val="18"/>
                <w:szCs w:val="18"/>
              </w:rPr>
              <w:t>Губернатора Волгоградской области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64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1097" w:type="dxa"/>
            <w:vAlign w:val="center"/>
          </w:tcPr>
          <w:p w:rsidR="001D7A49" w:rsidRPr="00623202" w:rsidRDefault="001D7A49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-2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ind w:firstLine="468"/>
              <w:jc w:val="both"/>
              <w:rPr>
                <w:sz w:val="18"/>
                <w:szCs w:val="18"/>
              </w:rPr>
            </w:pPr>
            <w:r w:rsidRPr="00623202">
              <w:rPr>
                <w:sz w:val="18"/>
                <w:szCs w:val="18"/>
              </w:rPr>
              <w:t>-персональные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sz w:val="16"/>
                <w:szCs w:val="16"/>
              </w:rPr>
            </w:pPr>
            <w:r w:rsidRPr="00623202">
              <w:rPr>
                <w:sz w:val="16"/>
                <w:szCs w:val="16"/>
              </w:rPr>
              <w:t>49</w:t>
            </w:r>
          </w:p>
        </w:tc>
        <w:tc>
          <w:tcPr>
            <w:tcW w:w="912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1097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-9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ind w:firstLine="468"/>
              <w:jc w:val="both"/>
              <w:rPr>
                <w:sz w:val="18"/>
                <w:szCs w:val="18"/>
              </w:rPr>
            </w:pPr>
            <w:r w:rsidRPr="00623202">
              <w:rPr>
                <w:sz w:val="18"/>
                <w:szCs w:val="18"/>
              </w:rPr>
              <w:t>-оперативные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sz w:val="16"/>
                <w:szCs w:val="16"/>
              </w:rPr>
            </w:pPr>
            <w:r w:rsidRPr="00623202">
              <w:rPr>
                <w:sz w:val="16"/>
                <w:szCs w:val="16"/>
              </w:rPr>
              <w:t>---</w:t>
            </w:r>
          </w:p>
        </w:tc>
        <w:tc>
          <w:tcPr>
            <w:tcW w:w="912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1097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+9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ind w:firstLine="468"/>
              <w:jc w:val="both"/>
              <w:rPr>
                <w:sz w:val="18"/>
                <w:szCs w:val="18"/>
              </w:rPr>
            </w:pPr>
            <w:r w:rsidRPr="00623202">
              <w:rPr>
                <w:sz w:val="18"/>
                <w:szCs w:val="18"/>
              </w:rPr>
              <w:t>-для хозяйственных работ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sz w:val="16"/>
                <w:szCs w:val="16"/>
              </w:rPr>
            </w:pPr>
            <w:r w:rsidRPr="00623202">
              <w:rPr>
                <w:sz w:val="16"/>
                <w:szCs w:val="16"/>
              </w:rPr>
              <w:t>15</w:t>
            </w:r>
          </w:p>
        </w:tc>
        <w:tc>
          <w:tcPr>
            <w:tcW w:w="912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 w:rsidRPr="00623202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097" w:type="dxa"/>
          </w:tcPr>
          <w:p w:rsidR="001D7A49" w:rsidRPr="00623202" w:rsidRDefault="001D7A49" w:rsidP="0085623C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-2</w:t>
            </w:r>
          </w:p>
        </w:tc>
      </w:tr>
      <w:tr w:rsidR="001D7A49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1D7A49" w:rsidRPr="00623202" w:rsidRDefault="001D7A49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Органы исполнительной власти</w:t>
            </w:r>
          </w:p>
        </w:tc>
        <w:tc>
          <w:tcPr>
            <w:tcW w:w="912" w:type="dxa"/>
            <w:vAlign w:val="center"/>
          </w:tcPr>
          <w:p w:rsidR="001D7A49" w:rsidRPr="00623202" w:rsidRDefault="001D7A49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95</w:t>
            </w:r>
          </w:p>
        </w:tc>
        <w:tc>
          <w:tcPr>
            <w:tcW w:w="912" w:type="dxa"/>
          </w:tcPr>
          <w:p w:rsidR="001D7A49" w:rsidRPr="00623202" w:rsidRDefault="001D7A49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097" w:type="dxa"/>
          </w:tcPr>
          <w:p w:rsidR="001D7A49" w:rsidRPr="00623202" w:rsidRDefault="001D7A49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-7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A406F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Избирательная комиссия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A406F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12" w:type="dxa"/>
          </w:tcPr>
          <w:p w:rsidR="00915C56" w:rsidRPr="00623202" w:rsidRDefault="00915C56" w:rsidP="00A406F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:rsidR="00915C56" w:rsidRPr="00623202" w:rsidRDefault="00915C56" w:rsidP="00A406F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-1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Оперативные (резервные, разъездные)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912" w:type="dxa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1097" w:type="dxa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+32</w:t>
            </w:r>
          </w:p>
        </w:tc>
      </w:tr>
      <w:tr w:rsidR="00915C56" w:rsidRPr="00915C56" w:rsidTr="00A406FC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915C56" w:rsidRDefault="00915C56" w:rsidP="0085623C">
            <w:pPr>
              <w:jc w:val="both"/>
              <w:rPr>
                <w:b/>
                <w:sz w:val="18"/>
                <w:szCs w:val="18"/>
              </w:rPr>
            </w:pPr>
            <w:r w:rsidRPr="00915C56">
              <w:rPr>
                <w:b/>
                <w:sz w:val="18"/>
                <w:szCs w:val="18"/>
              </w:rPr>
              <w:t>Всего, обслуживающих госорганы Волгоградской области</w:t>
            </w:r>
          </w:p>
        </w:tc>
        <w:tc>
          <w:tcPr>
            <w:tcW w:w="912" w:type="dxa"/>
            <w:vAlign w:val="bottom"/>
          </w:tcPr>
          <w:p w:rsidR="00915C56" w:rsidRPr="00915C56" w:rsidRDefault="00915C56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915C56">
              <w:rPr>
                <w:b/>
                <w:bCs/>
                <w:i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912" w:type="dxa"/>
            <w:vAlign w:val="bottom"/>
          </w:tcPr>
          <w:p w:rsidR="00915C56" w:rsidRPr="00915C56" w:rsidRDefault="00915C56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915C56">
              <w:rPr>
                <w:b/>
                <w:bCs/>
                <w:i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097" w:type="dxa"/>
          </w:tcPr>
          <w:p w:rsidR="00915C56" w:rsidRPr="00915C56" w:rsidRDefault="00915C56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915C56">
              <w:rPr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Делегационные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912" w:type="dxa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97" w:type="dxa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-7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Государственная Дума Федерального Собрания РФ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-3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Совет Федерации Федерального Собрания РФ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12" w:type="dxa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97" w:type="dxa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Главный федеральный инспектор аппарата полномочного представителя президента РФ в ЮФО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Автомобили, переданные в аренду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097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-8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Автомобили, переданные в безвозмездное пользование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Автомобили для передачи, продажи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12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97" w:type="dxa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+5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both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Автомобили на списание</w:t>
            </w:r>
          </w:p>
        </w:tc>
        <w:tc>
          <w:tcPr>
            <w:tcW w:w="912" w:type="dxa"/>
            <w:tcBorders>
              <w:bottom w:val="double" w:sz="4" w:space="0" w:color="auto"/>
            </w:tcBorders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bottom w:val="double" w:sz="4" w:space="0" w:color="auto"/>
            </w:tcBorders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-3</w:t>
            </w:r>
          </w:p>
        </w:tc>
      </w:tr>
      <w:tr w:rsidR="00915C56" w:rsidRPr="00623202" w:rsidTr="001D7A49">
        <w:trPr>
          <w:jc w:val="center"/>
        </w:trPr>
        <w:tc>
          <w:tcPr>
            <w:tcW w:w="5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15C56" w:rsidRPr="00623202" w:rsidRDefault="00915C56" w:rsidP="0085623C">
            <w:pPr>
              <w:ind w:firstLine="708"/>
              <w:jc w:val="center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15C56" w:rsidRPr="00623202" w:rsidRDefault="00915C56" w:rsidP="0085623C">
            <w:pPr>
              <w:jc w:val="right"/>
              <w:rPr>
                <w:b/>
                <w:i/>
                <w:sz w:val="18"/>
                <w:szCs w:val="18"/>
              </w:rPr>
            </w:pPr>
            <w:r w:rsidRPr="00623202">
              <w:rPr>
                <w:b/>
                <w:i/>
                <w:sz w:val="18"/>
                <w:szCs w:val="18"/>
              </w:rPr>
              <w:t>311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307</w:t>
            </w:r>
          </w:p>
        </w:tc>
        <w:tc>
          <w:tcPr>
            <w:tcW w:w="10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915C56" w:rsidRPr="00623202" w:rsidRDefault="00915C56" w:rsidP="0085623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23202">
              <w:rPr>
                <w:b/>
                <w:bCs/>
                <w:i/>
                <w:iCs/>
                <w:sz w:val="18"/>
                <w:szCs w:val="18"/>
              </w:rPr>
              <w:t>-4</w:t>
            </w:r>
          </w:p>
        </w:tc>
      </w:tr>
    </w:tbl>
    <w:p w:rsidR="000623ED" w:rsidRPr="00623202" w:rsidRDefault="000623ED" w:rsidP="000623ED">
      <w:pPr>
        <w:ind w:firstLine="709"/>
        <w:rPr>
          <w:color w:val="FF0000"/>
        </w:rPr>
      </w:pPr>
    </w:p>
    <w:p w:rsidR="000623ED" w:rsidRPr="00970C33" w:rsidRDefault="000623ED" w:rsidP="000623ED">
      <w:pPr>
        <w:ind w:firstLine="720"/>
        <w:jc w:val="both"/>
      </w:pPr>
      <w:r w:rsidRPr="00623202">
        <w:t xml:space="preserve">По состоянию на 13.11.2015 </w:t>
      </w:r>
      <w:r w:rsidR="00915C56">
        <w:t xml:space="preserve">при общем сокращении парка учреждения с 311 до 307 автомобилей (-4 ед., 1,3%) </w:t>
      </w:r>
      <w:r w:rsidR="001D7A49">
        <w:t>наблюдается</w:t>
      </w:r>
      <w:r w:rsidRPr="00623202">
        <w:t xml:space="preserve"> увеличение количества автомобилей</w:t>
      </w:r>
      <w:r w:rsidR="007911C5">
        <w:t>,</w:t>
      </w:r>
      <w:r w:rsidR="00915C56">
        <w:t xml:space="preserve"> обслуживающих государственные органы Волгоградской области с 257 до 269 единиц (+12 ед., 4,7%)</w:t>
      </w:r>
      <w:r w:rsidR="007911C5">
        <w:t>,</w:t>
      </w:r>
      <w:r w:rsidR="00792E7E">
        <w:t xml:space="preserve"> за счёт увеличения на </w:t>
      </w:r>
      <w:r w:rsidR="00792E7E" w:rsidRPr="00623202">
        <w:t>44 единицы</w:t>
      </w:r>
      <w:r w:rsidR="00792E7E">
        <w:t xml:space="preserve"> автомобилей</w:t>
      </w:r>
      <w:r w:rsidRPr="00623202">
        <w:t xml:space="preserve">, используемых по заявкам и для замены технически неисправного транспорта (оперативных, резервных). В целом </w:t>
      </w:r>
      <w:r w:rsidR="00792E7E">
        <w:t xml:space="preserve">количество </w:t>
      </w:r>
      <w:r w:rsidR="00792E7E" w:rsidRPr="00623202">
        <w:t xml:space="preserve">оперативных, резервных </w:t>
      </w:r>
      <w:r w:rsidR="00792E7E">
        <w:t>автомобилей 80 единиц</w:t>
      </w:r>
      <w:r w:rsidRPr="00623202">
        <w:t xml:space="preserve">, что составляет </w:t>
      </w:r>
      <w:r w:rsidR="00792E7E">
        <w:t>29,7</w:t>
      </w:r>
      <w:r w:rsidRPr="00623202">
        <w:t>% парка автомобилей</w:t>
      </w:r>
      <w:r w:rsidR="00792E7E">
        <w:t xml:space="preserve">, </w:t>
      </w:r>
      <w:r w:rsidR="00792E7E" w:rsidRPr="00970C33">
        <w:t xml:space="preserve">обслуживающих </w:t>
      </w:r>
      <w:r w:rsidR="00531E04" w:rsidRPr="00970C33">
        <w:t xml:space="preserve">органы государственной власти и </w:t>
      </w:r>
      <w:r w:rsidR="00792E7E" w:rsidRPr="00970C33">
        <w:t xml:space="preserve">государственные органы </w:t>
      </w:r>
      <w:r w:rsidRPr="00970C33">
        <w:t>(</w:t>
      </w:r>
      <w:r w:rsidR="00792E7E" w:rsidRPr="00970C33">
        <w:t>269 единиц).</w:t>
      </w:r>
    </w:p>
    <w:p w:rsidR="00A84C7F" w:rsidRDefault="00A84C7F" w:rsidP="00A84C7F">
      <w:pPr>
        <w:ind w:firstLine="709"/>
        <w:rPr>
          <w:color w:val="FF0000"/>
        </w:rPr>
      </w:pPr>
    </w:p>
    <w:p w:rsidR="00EB55DC" w:rsidRDefault="00EB55DC" w:rsidP="00EB55DC">
      <w:pPr>
        <w:ind w:firstLine="720"/>
        <w:jc w:val="both"/>
      </w:pPr>
      <w:r w:rsidRPr="004A667B">
        <w:lastRenderedPageBreak/>
        <w:t>Оценить достаточность парка учреждения для выполнения функций по автотранспортному обслуживанию органов исполнительной власти не представляется возможным в связи с отсутствием нормативных правовых актов, каким бы то ни было образом устанавливающих нормы (нормативы) положенности обеспечения транспортными услугами (автотранспортными средствами) должностных лиц</w:t>
      </w:r>
      <w:r w:rsidR="00200D8E" w:rsidRPr="004A667B">
        <w:t xml:space="preserve"> (кроме лиц</w:t>
      </w:r>
      <w:r w:rsidR="005F0E6F" w:rsidRPr="004A667B">
        <w:t>,</w:t>
      </w:r>
      <w:r w:rsidR="00200D8E" w:rsidRPr="004A667B">
        <w:t xml:space="preserve"> замещающих государственные должности)</w:t>
      </w:r>
      <w:r w:rsidRPr="004A667B">
        <w:t xml:space="preserve"> и органов </w:t>
      </w:r>
      <w:r w:rsidR="00200D8E" w:rsidRPr="004A667B">
        <w:t xml:space="preserve">исполнительной </w:t>
      </w:r>
      <w:r w:rsidRPr="004A667B">
        <w:t>власти Волгоградской области.</w:t>
      </w:r>
    </w:p>
    <w:p w:rsidR="00B656B3" w:rsidRDefault="00B656B3" w:rsidP="00B80AC1">
      <w:pPr>
        <w:ind w:firstLine="720"/>
        <w:jc w:val="both"/>
      </w:pPr>
      <w:r>
        <w:t>На уровне регионов России присутствуют примеры нормативного регулирования порядка транспортного обслуживания органов власти и должностных лиц</w:t>
      </w:r>
      <w:r w:rsidR="000F68DB">
        <w:t xml:space="preserve"> (Краснодарский край, Ростовская, Астраханская области и пр.)</w:t>
      </w:r>
      <w:r>
        <w:t>.</w:t>
      </w:r>
      <w:r w:rsidRPr="00B656B3">
        <w:t xml:space="preserve"> </w:t>
      </w:r>
      <w:r w:rsidRPr="00623202">
        <w:t>Так</w:t>
      </w:r>
      <w:r>
        <w:t>,</w:t>
      </w:r>
      <w:r w:rsidRPr="00623202">
        <w:t xml:space="preserve"> постановлением Губернатора Астраханской области от 03.04.2009 № 146 «О транспортном обеспечении служебной деятельности должностных лиц органов государственной власти Астраханской области и иных лиц» </w:t>
      </w:r>
      <w:r>
        <w:t xml:space="preserve">установлены </w:t>
      </w:r>
      <w:r w:rsidRPr="00623202">
        <w:t xml:space="preserve">порядок использования служебного автотранспорта, лимиты </w:t>
      </w:r>
      <w:r w:rsidRPr="00B80AC1">
        <w:t>среднемесячного пробега автотранспорта, перечень должностей, за которыми закреплен автотранспорт и перечень исполнительных органов государственной власти, обеспечиваемых служебным автотранспортом</w:t>
      </w:r>
      <w:r w:rsidR="000F68DB" w:rsidRPr="00B80AC1">
        <w:t>.</w:t>
      </w:r>
    </w:p>
    <w:p w:rsidR="00B80AC1" w:rsidRPr="00623202" w:rsidRDefault="00B80AC1" w:rsidP="00B80AC1">
      <w:pPr>
        <w:ind w:firstLine="720"/>
        <w:jc w:val="both"/>
      </w:pPr>
      <w:r w:rsidRPr="00623202">
        <w:t xml:space="preserve">Учреждением предпринимались попытки </w:t>
      </w:r>
      <w:r>
        <w:t>инициировать нормативное закрепление порядка</w:t>
      </w:r>
      <w:r w:rsidRPr="00623202">
        <w:t xml:space="preserve"> </w:t>
      </w:r>
      <w:r>
        <w:t>авто</w:t>
      </w:r>
      <w:r w:rsidRPr="00623202">
        <w:t xml:space="preserve">транспортного обеспечения органов власти Волгоградской области. В январе 2013 года в Мингосимущество учреждением направлен проект постановления Правительства Волгоградской области «О нормах положенности автомобильного транспорта». </w:t>
      </w:r>
    </w:p>
    <w:p w:rsidR="00B80AC1" w:rsidRDefault="00B80AC1" w:rsidP="00B80AC1">
      <w:pPr>
        <w:ind w:firstLine="720"/>
        <w:jc w:val="both"/>
      </w:pPr>
      <w:r w:rsidRPr="00623202">
        <w:t xml:space="preserve">В 2015 году </w:t>
      </w:r>
      <w:r>
        <w:t>у</w:t>
      </w:r>
      <w:r w:rsidRPr="00623202">
        <w:t>чреждением разработан и в ходе проверки направлен в Аппарат Губернатора Волгоградской области очередной проект положения об автотранспортном обслуживании органов исполнительной власти Волгоградской области. Проектом определены должности персонального закрепления автомобилей, количество автомобилей для органов исполнительной власти</w:t>
      </w:r>
      <w:r w:rsidR="007911C5">
        <w:t>,</w:t>
      </w:r>
      <w:r w:rsidRPr="00623202">
        <w:t xml:space="preserve"> исходя из их штатной численности и порядок предоставления транспортных средств по заявкам и дежурного автотранспорта.</w:t>
      </w:r>
    </w:p>
    <w:p w:rsidR="00B80AC1" w:rsidRPr="00B80AC1" w:rsidRDefault="00B656B3" w:rsidP="00B80AC1">
      <w:pPr>
        <w:pStyle w:val="a3"/>
        <w:ind w:firstLine="720"/>
        <w:jc w:val="both"/>
        <w:rPr>
          <w:rFonts w:ascii="Times New Roman" w:eastAsia="Calibri" w:hAnsi="Times New Roman" w:cs="Times New Roman"/>
        </w:rPr>
      </w:pPr>
      <w:r w:rsidRPr="00B80AC1">
        <w:rPr>
          <w:rFonts w:ascii="Times New Roman" w:hAnsi="Times New Roman" w:cs="Times New Roman"/>
        </w:rPr>
        <w:t>Другим направлением нормативного регулирования, призванного обеспечить надлежащую эконом</w:t>
      </w:r>
      <w:r w:rsidR="000F68DB" w:rsidRPr="00B80AC1">
        <w:rPr>
          <w:rFonts w:ascii="Times New Roman" w:hAnsi="Times New Roman" w:cs="Times New Roman"/>
        </w:rPr>
        <w:t xml:space="preserve">ность использования бюджетных средств, являющуюся составной частью эффективности использования бюджетных средств (ст. 34 БК РФ), является нормирование в сфере закупок. В соответствии с ч. </w:t>
      </w:r>
      <w:r w:rsidR="000F68DB" w:rsidRPr="00B80AC1">
        <w:rPr>
          <w:rFonts w:ascii="Times New Roman" w:eastAsia="Calibri" w:hAnsi="Times New Roman" w:cs="Times New Roman"/>
        </w:rPr>
        <w:t xml:space="preserve">5 ст. 9. Федерального закона от 05.04.2013 № 44-ФЗ </w:t>
      </w:r>
      <w:r w:rsidR="00B80AC1">
        <w:rPr>
          <w:rFonts w:ascii="Times New Roman" w:eastAsia="Calibri" w:hAnsi="Times New Roman" w:cs="Times New Roman"/>
        </w:rPr>
        <w:t>«</w:t>
      </w:r>
      <w:r w:rsidR="000F68DB" w:rsidRPr="00B80AC1">
        <w:rPr>
          <w:rFonts w:ascii="Times New Roman" w:eastAsia="Calibri" w:hAnsi="Times New Roman" w:cs="Times New Roman"/>
        </w:rPr>
        <w:t>О контрактной системе в сфере закупок товаров, работ, услуг для обеспечения госуд</w:t>
      </w:r>
      <w:r w:rsidR="00B80AC1">
        <w:rPr>
          <w:rFonts w:ascii="Times New Roman" w:eastAsia="Calibri" w:hAnsi="Times New Roman" w:cs="Times New Roman"/>
        </w:rPr>
        <w:t>арственных и муниципальных нужд»</w:t>
      </w:r>
      <w:r w:rsidR="000F68DB" w:rsidRPr="00B80AC1">
        <w:rPr>
          <w:rFonts w:ascii="Times New Roman" w:eastAsia="Calibri" w:hAnsi="Times New Roman" w:cs="Times New Roman"/>
        </w:rPr>
        <w:t xml:space="preserve"> государственные органы  утверждают</w:t>
      </w:r>
      <w:r w:rsidR="00B80AC1" w:rsidRPr="00B80AC1">
        <w:rPr>
          <w:rFonts w:ascii="Times New Roman" w:eastAsia="Calibri" w:hAnsi="Times New Roman" w:cs="Times New Roman"/>
        </w:rPr>
        <w:t>,</w:t>
      </w:r>
      <w:r w:rsidR="000F68DB" w:rsidRPr="00B80AC1">
        <w:rPr>
          <w:rFonts w:ascii="Times New Roman" w:eastAsia="Calibri" w:hAnsi="Times New Roman" w:cs="Times New Roman"/>
        </w:rPr>
        <w:t xml:space="preserve"> в том числе нормативные затраты на обеспечение функций указанных органов</w:t>
      </w:r>
      <w:r w:rsidR="00B80AC1" w:rsidRPr="00B80AC1">
        <w:rPr>
          <w:rFonts w:ascii="Times New Roman" w:eastAsia="Calibri" w:hAnsi="Times New Roman" w:cs="Times New Roman"/>
        </w:rPr>
        <w:t>. В части деятельности ГБУ «Исполнительная дирекция» такие нормативные затраты не утверждены.</w:t>
      </w:r>
    </w:p>
    <w:p w:rsidR="0019696C" w:rsidRPr="00623202" w:rsidRDefault="0019696C" w:rsidP="0019696C">
      <w:pPr>
        <w:autoSpaceDE w:val="0"/>
        <w:autoSpaceDN w:val="0"/>
        <w:adjustRightInd w:val="0"/>
        <w:ind w:firstLine="720"/>
        <w:jc w:val="both"/>
      </w:pPr>
    </w:p>
    <w:p w:rsidR="0052247D" w:rsidRPr="00623202" w:rsidRDefault="0052247D" w:rsidP="0052247D">
      <w:pPr>
        <w:jc w:val="center"/>
        <w:rPr>
          <w:b/>
          <w:i/>
        </w:rPr>
      </w:pPr>
      <w:r w:rsidRPr="00623202">
        <w:rPr>
          <w:b/>
          <w:i/>
        </w:rPr>
        <w:t>Ремонтное, сервисное и техническое обслуживание автотранспортных средств</w:t>
      </w:r>
    </w:p>
    <w:p w:rsidR="0052247D" w:rsidRPr="00623202" w:rsidRDefault="004660D7" w:rsidP="0052247D">
      <w:pPr>
        <w:ind w:firstLine="680"/>
        <w:jc w:val="both"/>
      </w:pPr>
      <w:r>
        <w:t>В состав государственной работы по</w:t>
      </w:r>
      <w:r w:rsidR="0052247D" w:rsidRPr="00623202">
        <w:t xml:space="preserve"> автотранспортно</w:t>
      </w:r>
      <w:r>
        <w:t>му</w:t>
      </w:r>
      <w:r w:rsidR="0052247D" w:rsidRPr="00623202">
        <w:t xml:space="preserve"> обслуживани</w:t>
      </w:r>
      <w:r>
        <w:t>ю</w:t>
      </w:r>
      <w:r w:rsidR="007A6E59">
        <w:t>, выполняемой ГБУ «Исполнительная дирекция»</w:t>
      </w:r>
      <w:r w:rsidR="007911C5">
        <w:t>,</w:t>
      </w:r>
      <w:r w:rsidR="007A6E59">
        <w:t xml:space="preserve"> входит </w:t>
      </w:r>
      <w:r w:rsidR="0052247D" w:rsidRPr="00623202">
        <w:t xml:space="preserve"> ремонтное, сервисное и техническое обслуживание автотранспортных средств.</w:t>
      </w:r>
      <w:r w:rsidR="007A6E59">
        <w:t xml:space="preserve"> </w:t>
      </w:r>
      <w:r w:rsidR="0052247D" w:rsidRPr="00623202">
        <w:t>Для выполнения указанных функций предназначена ремонтно-механическая мастерская учреждения (далее – РММ) в составе 36 штатных единиц</w:t>
      </w:r>
      <w:r w:rsidR="007A6E59">
        <w:t xml:space="preserve">, в том числе 17 слесарей, 3 маляра, 2 электрогазосварщика и пр. </w:t>
      </w:r>
      <w:r w:rsidR="0052247D" w:rsidRPr="00623202">
        <w:t>С 2010 года существенного изменения количественного и качественного состава РММ не происходило. РММ находи</w:t>
      </w:r>
      <w:r w:rsidR="007A6E59">
        <w:t>лось</w:t>
      </w:r>
      <w:r w:rsidR="0052247D" w:rsidRPr="00623202">
        <w:t xml:space="preserve"> в подчинении главного инженера учреждения.</w:t>
      </w:r>
    </w:p>
    <w:p w:rsidR="0052247D" w:rsidRPr="00623202" w:rsidRDefault="0052247D" w:rsidP="002F110D">
      <w:pPr>
        <w:ind w:firstLine="720"/>
        <w:jc w:val="both"/>
      </w:pPr>
      <w:r w:rsidRPr="00623202">
        <w:t xml:space="preserve">Для выполнения своих функций РММ оснащена основным </w:t>
      </w:r>
      <w:r w:rsidR="00487487" w:rsidRPr="00623202">
        <w:t>оборудованием</w:t>
      </w:r>
      <w:r w:rsidR="004A667B">
        <w:t xml:space="preserve">: </w:t>
      </w:r>
      <w:r w:rsidR="00487487" w:rsidRPr="00623202">
        <w:t>подъемники, сварочный аппарат, стенд развала схождения колес, стенд шиномонтажный, стенд балансировочный, станок расточный</w:t>
      </w:r>
      <w:r w:rsidR="004A667B">
        <w:t>,</w:t>
      </w:r>
      <w:r w:rsidR="00487487" w:rsidRPr="00623202">
        <w:t xml:space="preserve"> краскопульты, моечное устройство, установка проверки и регулировки света, оборудование для диагностики ДВС, компрессоры, станки и  т.д.</w:t>
      </w:r>
      <w:r w:rsidR="002F110D">
        <w:t xml:space="preserve"> </w:t>
      </w:r>
      <w:r w:rsidRPr="00623202">
        <w:t xml:space="preserve">РММ по своему кадровому составу и техническому оснащению способна выполнять </w:t>
      </w:r>
      <w:r w:rsidR="009F031C" w:rsidRPr="00623202">
        <w:t>значительную часть</w:t>
      </w:r>
      <w:r w:rsidRPr="00623202">
        <w:t xml:space="preserve"> работ по ремонтному, сервисному и техническому обслуживанию автопарка учреждения</w:t>
      </w:r>
      <w:r w:rsidR="009F031C" w:rsidRPr="00623202">
        <w:t>.</w:t>
      </w:r>
      <w:r w:rsidRPr="00623202">
        <w:t xml:space="preserve"> </w:t>
      </w:r>
      <w:r w:rsidR="009F031C" w:rsidRPr="00623202">
        <w:t>И</w:t>
      </w:r>
      <w:r w:rsidRPr="00623202">
        <w:t>сключение</w:t>
      </w:r>
      <w:r w:rsidR="009F031C" w:rsidRPr="00623202">
        <w:t xml:space="preserve"> составляют работы по капремонту двигателей и АККП, связанные со сложными электронными системами современных автомобилей</w:t>
      </w:r>
      <w:r w:rsidR="00AB79E3">
        <w:t>,</w:t>
      </w:r>
      <w:r w:rsidR="009F031C" w:rsidRPr="00623202">
        <w:t xml:space="preserve"> и ряд работ по автомобилям премиум</w:t>
      </w:r>
      <w:r w:rsidR="002F110D">
        <w:t>-</w:t>
      </w:r>
      <w:r w:rsidR="009F031C" w:rsidRPr="00623202">
        <w:t>класса</w:t>
      </w:r>
      <w:r w:rsidRPr="00623202">
        <w:t>.</w:t>
      </w:r>
      <w:r w:rsidR="009F031C" w:rsidRPr="00623202">
        <w:t xml:space="preserve"> </w:t>
      </w:r>
      <w:r w:rsidR="002F110D">
        <w:t>П</w:t>
      </w:r>
      <w:r w:rsidR="009F031C" w:rsidRPr="00623202">
        <w:t xml:space="preserve">риобретение оборудования для осуществления </w:t>
      </w:r>
      <w:r w:rsidR="002F110D">
        <w:t xml:space="preserve">этого </w:t>
      </w:r>
      <w:r w:rsidR="009F031C" w:rsidRPr="00623202">
        <w:t xml:space="preserve">ряда </w:t>
      </w:r>
      <w:r w:rsidR="009F031C" w:rsidRPr="00623202">
        <w:lastRenderedPageBreak/>
        <w:t>работ экономически нецелесообразно в связи с незначительным количеством таких автомобилей и таких работ.</w:t>
      </w:r>
    </w:p>
    <w:p w:rsidR="0052247D" w:rsidRPr="00623202" w:rsidRDefault="00AB79E3" w:rsidP="0052247D">
      <w:pPr>
        <w:ind w:firstLine="680"/>
        <w:jc w:val="both"/>
      </w:pPr>
      <w:r>
        <w:t>С</w:t>
      </w:r>
      <w:r w:rsidR="00FB4BD9" w:rsidRPr="00623202">
        <w:t>ледует</w:t>
      </w:r>
      <w:r w:rsidR="0052247D" w:rsidRPr="00623202">
        <w:t xml:space="preserve"> отметить, что в обозримом прошлом учреждением не осуществлялись мероприятия по повышению квалификации работников РММ.</w:t>
      </w:r>
    </w:p>
    <w:p w:rsidR="0052247D" w:rsidRPr="00623202" w:rsidRDefault="004A667B" w:rsidP="008552C6">
      <w:pPr>
        <w:ind w:firstLine="680"/>
        <w:jc w:val="both"/>
      </w:pPr>
      <w:r>
        <w:t>Исследованием производственных процессов технического обслуживания и ремонта автомобилей установлено, что и</w:t>
      </w:r>
      <w:r w:rsidR="008552C6">
        <w:t>х</w:t>
      </w:r>
      <w:r>
        <w:t xml:space="preserve"> организация и учёт не отвечают современным требованиям</w:t>
      </w:r>
      <w:r w:rsidR="008552C6">
        <w:t>. Документация (</w:t>
      </w:r>
      <w:r w:rsidR="0052247D" w:rsidRPr="00623202">
        <w:t>дефектн</w:t>
      </w:r>
      <w:r w:rsidR="008552C6">
        <w:t>ые</w:t>
      </w:r>
      <w:r w:rsidR="0052247D" w:rsidRPr="00623202">
        <w:t xml:space="preserve"> ведомост</w:t>
      </w:r>
      <w:r w:rsidR="008552C6">
        <w:t>и</w:t>
      </w:r>
      <w:r w:rsidR="0052247D" w:rsidRPr="00623202">
        <w:t>, заказ</w:t>
      </w:r>
      <w:r w:rsidR="008552C6">
        <w:t>ы</w:t>
      </w:r>
      <w:r w:rsidR="0052247D" w:rsidRPr="00623202">
        <w:t>-наряд</w:t>
      </w:r>
      <w:r w:rsidR="008552C6">
        <w:t>ы</w:t>
      </w:r>
      <w:r w:rsidR="0052247D" w:rsidRPr="00623202">
        <w:t>, акт</w:t>
      </w:r>
      <w:r w:rsidR="008552C6">
        <w:t>ы</w:t>
      </w:r>
      <w:r w:rsidR="0052247D" w:rsidRPr="00623202">
        <w:t xml:space="preserve"> выполненных работ</w:t>
      </w:r>
      <w:r w:rsidR="008552C6">
        <w:t xml:space="preserve">) </w:t>
      </w:r>
      <w:r w:rsidR="0052247D" w:rsidRPr="00623202">
        <w:t xml:space="preserve">в автоматизированном виде не </w:t>
      </w:r>
      <w:r w:rsidR="008552C6">
        <w:t>формируются и не группируются</w:t>
      </w:r>
      <w:r w:rsidR="0052247D" w:rsidRPr="00623202">
        <w:t xml:space="preserve">, информация </w:t>
      </w:r>
      <w:r w:rsidR="008552C6">
        <w:t xml:space="preserve">об </w:t>
      </w:r>
      <w:r w:rsidR="008552C6" w:rsidRPr="00623202">
        <w:t>автомобилях</w:t>
      </w:r>
      <w:r w:rsidR="008552C6">
        <w:t>,</w:t>
      </w:r>
      <w:r w:rsidR="0052247D" w:rsidRPr="00623202">
        <w:t xml:space="preserve"> простаивающих на ремонте свыше одного дня</w:t>
      </w:r>
      <w:r w:rsidR="008552C6">
        <w:t>,</w:t>
      </w:r>
      <w:r w:rsidR="0052247D" w:rsidRPr="00623202">
        <w:t xml:space="preserve"> ведется вручную в журнале регистрации, сводные оперативные отчеты также составляются при необходимости вручную. Сплошной учет авторемонтных работ разной степени длительности в учреждении отсутствует. </w:t>
      </w:r>
      <w:r w:rsidR="006D2B93" w:rsidRPr="00623202">
        <w:t>Н</w:t>
      </w:r>
      <w:r w:rsidR="0052247D" w:rsidRPr="00623202">
        <w:t>а проведение техобслуживания</w:t>
      </w:r>
      <w:r w:rsidR="00AB79E3">
        <w:t xml:space="preserve"> и</w:t>
      </w:r>
      <w:r w:rsidR="0052247D" w:rsidRPr="00623202">
        <w:t xml:space="preserve"> различных видов ремонтов</w:t>
      </w:r>
      <w:r w:rsidR="006D2B93" w:rsidRPr="00623202">
        <w:t xml:space="preserve">  утверждены технологические карты</w:t>
      </w:r>
      <w:r w:rsidR="008552C6">
        <w:t>, но н</w:t>
      </w:r>
      <w:r w:rsidR="0052247D" w:rsidRPr="00623202">
        <w:t xml:space="preserve">ормы временных затрат на работы </w:t>
      </w:r>
      <w:r w:rsidR="006D2B93" w:rsidRPr="00623202">
        <w:t>не установлены</w:t>
      </w:r>
      <w:r w:rsidR="0052247D" w:rsidRPr="00623202">
        <w:t>.</w:t>
      </w:r>
    </w:p>
    <w:p w:rsidR="0052247D" w:rsidRPr="00623202" w:rsidRDefault="008552C6" w:rsidP="0052247D">
      <w:pPr>
        <w:ind w:firstLine="680"/>
        <w:jc w:val="both"/>
      </w:pPr>
      <w:r>
        <w:t>В</w:t>
      </w:r>
      <w:r w:rsidR="0052247D" w:rsidRPr="00623202">
        <w:t xml:space="preserve"> целях оценки работоспособности РММ проведён контрольный замер времени проведения отдельных видов технического обслуживания автомобиля. По результатам контрольного замера установлено, что длительность осуществления ТО-1 (техническое обслуживание 1) с момента постановки автомобиля на подъёмник и включающего штатную диагностику, замену моторного масла и фильтров с оформлением дефектной ведомости, заказ-наряда, получение расходных материалов на складе составляет 1,5 часа</w:t>
      </w:r>
      <w:r w:rsidR="00711F7A" w:rsidRPr="00623202">
        <w:t xml:space="preserve">. </w:t>
      </w:r>
      <w:r w:rsidR="0052247D" w:rsidRPr="00623202">
        <w:t>Проведённый контрольный замер, даже в условиях определённой «показательности», может служить подтверждением возможности организации работы РММ на высоком уровне</w:t>
      </w:r>
      <w:r w:rsidR="00EC1D30">
        <w:t>,</w:t>
      </w:r>
      <w:r w:rsidR="0052247D" w:rsidRPr="00623202">
        <w:t xml:space="preserve"> несмотря на отсутствие должной регламентации производственных процессов.</w:t>
      </w:r>
    </w:p>
    <w:p w:rsidR="0052247D" w:rsidRDefault="00965AA6" w:rsidP="001232A8">
      <w:pPr>
        <w:ind w:firstLine="680"/>
        <w:jc w:val="both"/>
      </w:pPr>
      <w:r>
        <w:t>Как указано выше</w:t>
      </w:r>
      <w:r w:rsidR="007911C5">
        <w:t>,</w:t>
      </w:r>
      <w:r w:rsidR="001232A8" w:rsidRPr="00623202">
        <w:t xml:space="preserve"> управленческий учёт результатов деятельности РММ не ведётся. О</w:t>
      </w:r>
      <w:r w:rsidR="0052247D" w:rsidRPr="00623202">
        <w:t>днозначно объективные данные о показателях деятельности РММ отсутствуют. В ходе проверки по субъективному усмотрению проверяющих и ответственных работников учреждения сформирована информация о деятельности РММ за 2014 год и 11,5 месяцев 2015 года. Сведения представлены в упрощённом виде в таблице.</w:t>
      </w:r>
    </w:p>
    <w:p w:rsidR="00F11B4A" w:rsidRPr="00623202" w:rsidRDefault="00CF156F" w:rsidP="001232A8">
      <w:pPr>
        <w:ind w:firstLine="6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шт.</w:t>
      </w:r>
    </w:p>
    <w:tbl>
      <w:tblPr>
        <w:tblW w:w="1006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851"/>
        <w:gridCol w:w="709"/>
        <w:gridCol w:w="858"/>
        <w:gridCol w:w="843"/>
        <w:gridCol w:w="830"/>
        <w:gridCol w:w="729"/>
        <w:gridCol w:w="1008"/>
        <w:gridCol w:w="835"/>
        <w:gridCol w:w="853"/>
        <w:gridCol w:w="989"/>
      </w:tblGrid>
      <w:tr w:rsidR="0052247D" w:rsidRPr="00623202" w:rsidTr="0085623C">
        <w:trPr>
          <w:trHeight w:val="20"/>
        </w:trPr>
        <w:tc>
          <w:tcPr>
            <w:tcW w:w="156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418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2402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Ежед-невное обслужи-вание</w:t>
            </w:r>
          </w:p>
        </w:tc>
        <w:tc>
          <w:tcPr>
            <w:tcW w:w="2677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Кузовные работы и окраска</w:t>
            </w:r>
          </w:p>
        </w:tc>
      </w:tr>
      <w:tr w:rsidR="0052247D" w:rsidRPr="00623202" w:rsidTr="0085623C">
        <w:trPr>
          <w:trHeight w:val="20"/>
        </w:trPr>
        <w:tc>
          <w:tcPr>
            <w:tcW w:w="1560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2247D" w:rsidRPr="00623202" w:rsidRDefault="0052247D" w:rsidP="0085623C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РММ</w:t>
            </w:r>
          </w:p>
        </w:tc>
        <w:tc>
          <w:tcPr>
            <w:tcW w:w="85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На стороне</w:t>
            </w:r>
          </w:p>
        </w:tc>
        <w:tc>
          <w:tcPr>
            <w:tcW w:w="84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2247D" w:rsidRPr="00623202" w:rsidRDefault="0052247D" w:rsidP="0085623C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РММ</w:t>
            </w:r>
          </w:p>
        </w:tc>
        <w:tc>
          <w:tcPr>
            <w:tcW w:w="72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На стороне</w:t>
            </w:r>
          </w:p>
        </w:tc>
        <w:tc>
          <w:tcPr>
            <w:tcW w:w="100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2247D" w:rsidRPr="00623202" w:rsidRDefault="0052247D" w:rsidP="0085623C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РММ</w:t>
            </w:r>
          </w:p>
        </w:tc>
        <w:tc>
          <w:tcPr>
            <w:tcW w:w="98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23202">
              <w:rPr>
                <w:color w:val="000000"/>
                <w:sz w:val="16"/>
                <w:szCs w:val="16"/>
              </w:rPr>
              <w:t>На стороне</w:t>
            </w:r>
          </w:p>
        </w:tc>
      </w:tr>
      <w:tr w:rsidR="0052247D" w:rsidRPr="00623202" w:rsidTr="0085623C">
        <w:trPr>
          <w:trHeight w:val="20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785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83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3 832</w:t>
            </w:r>
          </w:p>
        </w:tc>
        <w:tc>
          <w:tcPr>
            <w:tcW w:w="72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782</w:t>
            </w:r>
          </w:p>
        </w:tc>
        <w:tc>
          <w:tcPr>
            <w:tcW w:w="835" w:type="dxa"/>
            <w:tcBorders>
              <w:top w:val="double" w:sz="4" w:space="0" w:color="auto"/>
            </w:tcBorders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2247D" w:rsidRPr="00623202" w:rsidTr="0085623C">
        <w:trPr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11,5 мес. 2015</w:t>
            </w:r>
          </w:p>
        </w:tc>
        <w:tc>
          <w:tcPr>
            <w:tcW w:w="851" w:type="dxa"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696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663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43" w:type="dxa"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3 018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35" w:type="dxa"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202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2247D" w:rsidRPr="00623202" w:rsidTr="0085623C">
        <w:trPr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Изменение в %</w:t>
            </w:r>
          </w:p>
        </w:tc>
        <w:tc>
          <w:tcPr>
            <w:tcW w:w="851" w:type="dxa"/>
            <w:vAlign w:val="center"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-13%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-16%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+2,2 раза</w:t>
            </w:r>
          </w:p>
        </w:tc>
        <w:tc>
          <w:tcPr>
            <w:tcW w:w="843" w:type="dxa"/>
            <w:vAlign w:val="center"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-15%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-21%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+6 раз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-61%</w:t>
            </w:r>
          </w:p>
        </w:tc>
        <w:tc>
          <w:tcPr>
            <w:tcW w:w="835" w:type="dxa"/>
            <w:vAlign w:val="center"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+35%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-8%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52247D" w:rsidRPr="00623202" w:rsidRDefault="0052247D" w:rsidP="0052247D">
      <w:pPr>
        <w:ind w:firstLine="680"/>
        <w:jc w:val="both"/>
      </w:pPr>
      <w:r w:rsidRPr="00623202">
        <w:t>Представленные данные свидетельствуют об уменьшении общего объёма  основных видов работ в 2015 году по отношению к 2014 году на 13-15%, что, в целом, соответствует уменьшению объёма выполненной учреждением работы по автотранспортному обеспечению (526,7/632,7 машчас – 17%).</w:t>
      </w:r>
    </w:p>
    <w:p w:rsidR="0052247D" w:rsidRPr="00623202" w:rsidRDefault="0052247D" w:rsidP="0052247D">
      <w:pPr>
        <w:ind w:firstLine="680"/>
        <w:jc w:val="both"/>
      </w:pPr>
      <w:r w:rsidRPr="00623202">
        <w:t>При этом нагрузка непосредственно на РММ в 2015 году по отношению к 2014 году уменьшилась ещё в большей степени  - на 16-21 процент. Так, количество текущих ремонтов сократилось с 3832 до 3018 единиц. Такое значительное сокращение нагрузки обусловлено существенным увеличением количества работ, проведённых сторонними организациями</w:t>
      </w:r>
      <w:r w:rsidR="007911C5">
        <w:t>,</w:t>
      </w:r>
      <w:r w:rsidRPr="00623202">
        <w:t xml:space="preserve"> – количество текущих ремонтов на стороне увеличилось с 46 до 276 единиц, или в 6 раз. Доля ремонтов на стороне от общего количества ремонтов увеличилась с 1,2 до 8,4%, или в 7 раз.</w:t>
      </w:r>
    </w:p>
    <w:p w:rsidR="0052247D" w:rsidRPr="00623202" w:rsidRDefault="0052247D" w:rsidP="008552C6">
      <w:pPr>
        <w:ind w:firstLine="680"/>
        <w:jc w:val="both"/>
      </w:pPr>
      <w:r w:rsidRPr="00623202">
        <w:t xml:space="preserve">Сложившуюся ситуацию учреждение объясняет </w:t>
      </w:r>
      <w:r w:rsidR="008552C6">
        <w:t>тем, что</w:t>
      </w:r>
      <w:r w:rsidRPr="00623202">
        <w:t xml:space="preserve"> </w:t>
      </w:r>
      <w:r w:rsidR="00965AA6">
        <w:t xml:space="preserve">по причине отсутствия необходимых запасных частей </w:t>
      </w:r>
      <w:r w:rsidRPr="00623202">
        <w:t>в июне 2014 года количество автомобилей, подлежащих ремонту</w:t>
      </w:r>
      <w:r w:rsidR="00965AA6">
        <w:t>, достигло</w:t>
      </w:r>
      <w:r w:rsidRPr="00623202">
        <w:t xml:space="preserve"> 1/3 </w:t>
      </w:r>
      <w:r w:rsidR="00965AA6">
        <w:t>парка</w:t>
      </w:r>
      <w:r w:rsidRPr="00623202">
        <w:t xml:space="preserve">. </w:t>
      </w:r>
      <w:r w:rsidR="00965AA6">
        <w:t xml:space="preserve">В связи с </w:t>
      </w:r>
      <w:r w:rsidRPr="00623202">
        <w:t>длительност</w:t>
      </w:r>
      <w:r w:rsidR="00965AA6">
        <w:t>ь</w:t>
      </w:r>
      <w:r w:rsidR="0041300A">
        <w:t>ю</w:t>
      </w:r>
      <w:r w:rsidRPr="00623202">
        <w:t xml:space="preserve"> процедур закупки</w:t>
      </w:r>
      <w:r w:rsidR="00965AA6">
        <w:t xml:space="preserve"> запчастей</w:t>
      </w:r>
      <w:r w:rsidRPr="00623202">
        <w:t>, обусловленн</w:t>
      </w:r>
      <w:r w:rsidR="0041300A">
        <w:t>ой</w:t>
      </w:r>
      <w:r w:rsidRPr="00623202">
        <w:t xml:space="preserve"> законодательством о закупках</w:t>
      </w:r>
      <w:r w:rsidR="00965AA6">
        <w:t>, принято решение об увеличении объёмов ремонта автомобилей на стороне</w:t>
      </w:r>
      <w:r w:rsidRPr="00623202">
        <w:t>.</w:t>
      </w:r>
    </w:p>
    <w:p w:rsidR="0052247D" w:rsidRPr="00623202" w:rsidRDefault="0052247D" w:rsidP="0052247D">
      <w:pPr>
        <w:ind w:firstLine="680"/>
        <w:jc w:val="both"/>
      </w:pPr>
      <w:r w:rsidRPr="00623202">
        <w:t>Информация о причинах и количестве автомобилей, находящихся на ремонте, представлена диаграммой.</w:t>
      </w:r>
    </w:p>
    <w:p w:rsidR="0052247D" w:rsidRPr="00623202" w:rsidRDefault="00D517F4" w:rsidP="0052247D">
      <w:pPr>
        <w:jc w:val="center"/>
      </w:pPr>
      <w:r>
        <w:rPr>
          <w:noProof/>
        </w:rPr>
        <w:lastRenderedPageBreak/>
        <w:drawing>
          <wp:inline distT="0" distB="0" distL="0" distR="0">
            <wp:extent cx="6086475" cy="32004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247D" w:rsidRPr="00623202" w:rsidRDefault="0052247D" w:rsidP="0052247D">
      <w:pPr>
        <w:ind w:firstLine="680"/>
        <w:jc w:val="both"/>
      </w:pPr>
      <w:r w:rsidRPr="00623202">
        <w:t>Основными причинами нахождения автомобилей на ремонте являются необходимость проведения капитального ремонта двигателя, замены или ремонта КПП, АКПП и приобретения запасных частей.</w:t>
      </w:r>
    </w:p>
    <w:p w:rsidR="0052247D" w:rsidRPr="00623202" w:rsidRDefault="008552C6" w:rsidP="0052247D">
      <w:pPr>
        <w:ind w:firstLine="680"/>
        <w:jc w:val="both"/>
      </w:pPr>
      <w:r>
        <w:t>В</w:t>
      </w:r>
      <w:r w:rsidR="0052247D" w:rsidRPr="00623202">
        <w:t xml:space="preserve"> 2014 году в среднем на начало месяца на ремонте находилось 52 автомобиля, в 2015 году - 42 автомобиля, что составляет соответственно порядка 21-16% эксплуатируемого автопарка</w:t>
      </w:r>
      <w:r w:rsidR="00965AA6">
        <w:t xml:space="preserve"> (253 основных автомобиля)</w:t>
      </w:r>
      <w:r w:rsidR="0052247D" w:rsidRPr="00623202">
        <w:t>. Максимум приходится на июнь-август 2014 года, когда количество автомобилей в ремонте достигало 69 единиц, или 27% парка. В основном автомобили находились на ремонте из-за отсутствия запасных частей. Так, на 1 июня 2014 года по этой причине простаивало 50 автомобилей из 69, или 73 процента.</w:t>
      </w:r>
    </w:p>
    <w:p w:rsidR="0052247D" w:rsidRDefault="0052247D" w:rsidP="0052247D">
      <w:pPr>
        <w:ind w:firstLine="680"/>
        <w:jc w:val="both"/>
      </w:pPr>
      <w:r w:rsidRPr="00623202">
        <w:t>Всего в 2015 году сторонними организациями и предпринимателями оказано учреждению услуг по техническому обслуживанию, диагностике, ремонту и покраске автомобилей на  4 60</w:t>
      </w:r>
      <w:r w:rsidR="00CD7A2B">
        <w:t>2</w:t>
      </w:r>
      <w:r w:rsidRPr="00623202">
        <w:t>,</w:t>
      </w:r>
      <w:r w:rsidR="00CD7A2B">
        <w:t>1</w:t>
      </w:r>
      <w:r w:rsidRPr="00623202">
        <w:t xml:space="preserve"> тыс. руб., в том числе за счёт субсидии на финансовое обеспечение государственного задания - </w:t>
      </w:r>
      <w:r w:rsidRPr="00623202">
        <w:rPr>
          <w:bCs/>
        </w:rPr>
        <w:t>3 754,3 тыс. руб., за счёт собственных доходов – 847,8 тыс. рублей</w:t>
      </w:r>
      <w:r w:rsidRPr="00623202">
        <w:t>.</w:t>
      </w:r>
      <w:r w:rsidR="0041300A">
        <w:t xml:space="preserve"> </w:t>
      </w:r>
      <w:r w:rsidR="002F110D">
        <w:t xml:space="preserve">Информация о </w:t>
      </w:r>
      <w:r w:rsidRPr="00623202">
        <w:t>стоимост</w:t>
      </w:r>
      <w:r w:rsidR="007911C5">
        <w:t>и</w:t>
      </w:r>
      <w:r w:rsidRPr="00623202">
        <w:t xml:space="preserve"> работ по ремонту и техническому обслуживанию транспортных средств, выполненных сторонними организациями в 2014 году и за 11 месяцев 2015 года за счёт субсидии на финансовое обеспечение государственного задания</w:t>
      </w:r>
      <w:r w:rsidR="002F110D">
        <w:t>, представлена в таблице</w:t>
      </w:r>
      <w:r w:rsidRPr="00623202">
        <w:t xml:space="preserve">. </w:t>
      </w:r>
    </w:p>
    <w:p w:rsidR="002F110D" w:rsidRPr="00623202" w:rsidRDefault="002F110D" w:rsidP="0052247D">
      <w:pPr>
        <w:ind w:firstLine="6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10D">
        <w:rPr>
          <w:sz w:val="20"/>
          <w:szCs w:val="20"/>
        </w:rPr>
        <w:t>тыс. руб</w:t>
      </w:r>
      <w:r>
        <w:t>.</w:t>
      </w:r>
    </w:p>
    <w:tbl>
      <w:tblPr>
        <w:tblW w:w="6509" w:type="dxa"/>
        <w:jc w:val="center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51"/>
        <w:gridCol w:w="980"/>
        <w:gridCol w:w="862"/>
        <w:gridCol w:w="954"/>
        <w:gridCol w:w="954"/>
        <w:gridCol w:w="954"/>
        <w:gridCol w:w="954"/>
      </w:tblGrid>
      <w:tr w:rsidR="002F110D" w:rsidRPr="00623202" w:rsidTr="002F110D">
        <w:trPr>
          <w:trHeight w:val="20"/>
          <w:jc w:val="center"/>
        </w:trPr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F110D" w:rsidRPr="00623202" w:rsidRDefault="002F110D" w:rsidP="0085623C">
            <w:pPr>
              <w:jc w:val="center"/>
              <w:rPr>
                <w:b/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381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110D" w:rsidRPr="00623202" w:rsidRDefault="002F110D" w:rsidP="0085623C">
            <w:pPr>
              <w:jc w:val="center"/>
              <w:rPr>
                <w:b/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11 месяцев 2015 год</w:t>
            </w:r>
          </w:p>
        </w:tc>
      </w:tr>
      <w:tr w:rsidR="002F110D" w:rsidRPr="00623202" w:rsidTr="002F110D">
        <w:trPr>
          <w:trHeight w:val="20"/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F110D" w:rsidRPr="00623202" w:rsidRDefault="002F110D" w:rsidP="0085623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23202">
              <w:rPr>
                <w:bCs/>
                <w:sz w:val="20"/>
                <w:szCs w:val="20"/>
              </w:rPr>
              <w:t>работы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F110D" w:rsidRPr="00623202" w:rsidRDefault="002F110D" w:rsidP="0085623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23202">
              <w:rPr>
                <w:bCs/>
                <w:sz w:val="20"/>
                <w:szCs w:val="20"/>
              </w:rPr>
              <w:t>запчасти</w:t>
            </w: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F110D" w:rsidRPr="00623202" w:rsidRDefault="002F110D" w:rsidP="0085623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23202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110D" w:rsidRPr="00623202" w:rsidRDefault="002F110D" w:rsidP="0085623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23202">
              <w:rPr>
                <w:bCs/>
                <w:sz w:val="20"/>
                <w:szCs w:val="20"/>
              </w:rPr>
              <w:t>работы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:rsidR="002F110D" w:rsidRPr="00623202" w:rsidRDefault="002F110D" w:rsidP="0085623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23202">
              <w:rPr>
                <w:bCs/>
                <w:sz w:val="20"/>
                <w:szCs w:val="20"/>
              </w:rPr>
              <w:t>запчасти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:rsidR="002F110D" w:rsidRPr="00623202" w:rsidRDefault="002F110D" w:rsidP="0085623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23202">
              <w:rPr>
                <w:bCs/>
                <w:sz w:val="20"/>
                <w:szCs w:val="20"/>
              </w:rPr>
              <w:t>окраска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110D" w:rsidRPr="00623202" w:rsidRDefault="002F110D" w:rsidP="0085623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23202">
              <w:rPr>
                <w:bCs/>
                <w:sz w:val="20"/>
                <w:szCs w:val="20"/>
              </w:rPr>
              <w:t>всего</w:t>
            </w:r>
          </w:p>
        </w:tc>
      </w:tr>
      <w:tr w:rsidR="002F110D" w:rsidRPr="00623202" w:rsidTr="002F110D">
        <w:trPr>
          <w:trHeight w:val="20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F110D" w:rsidRPr="00623202" w:rsidRDefault="002F110D" w:rsidP="0085623C">
            <w:pPr>
              <w:jc w:val="right"/>
              <w:rPr>
                <w:b/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484,5</w:t>
            </w:r>
          </w:p>
        </w:tc>
        <w:tc>
          <w:tcPr>
            <w:tcW w:w="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F110D" w:rsidRPr="00623202" w:rsidRDefault="002F110D" w:rsidP="0085623C">
            <w:pPr>
              <w:jc w:val="right"/>
              <w:rPr>
                <w:b/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653,7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F110D" w:rsidRPr="00623202" w:rsidRDefault="002F110D" w:rsidP="0085623C">
            <w:pPr>
              <w:jc w:val="right"/>
              <w:rPr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1 138,2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2F110D" w:rsidRPr="00623202" w:rsidRDefault="002F110D" w:rsidP="0085623C">
            <w:pPr>
              <w:jc w:val="right"/>
              <w:rPr>
                <w:b/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1 451,3</w:t>
            </w:r>
          </w:p>
        </w:tc>
        <w:tc>
          <w:tcPr>
            <w:tcW w:w="95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F110D" w:rsidRPr="00623202" w:rsidRDefault="002F110D" w:rsidP="0085623C">
            <w:pPr>
              <w:jc w:val="right"/>
              <w:rPr>
                <w:b/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2 156,0</w:t>
            </w:r>
          </w:p>
        </w:tc>
        <w:tc>
          <w:tcPr>
            <w:tcW w:w="95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F110D" w:rsidRPr="00623202" w:rsidRDefault="002F110D" w:rsidP="0085623C">
            <w:pPr>
              <w:jc w:val="right"/>
              <w:rPr>
                <w:b/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110D" w:rsidRPr="00623202" w:rsidRDefault="002F110D" w:rsidP="0085623C">
            <w:pPr>
              <w:jc w:val="right"/>
              <w:rPr>
                <w:b/>
                <w:bCs/>
                <w:sz w:val="20"/>
                <w:szCs w:val="20"/>
              </w:rPr>
            </w:pPr>
            <w:r w:rsidRPr="00623202">
              <w:rPr>
                <w:b/>
                <w:bCs/>
                <w:sz w:val="20"/>
                <w:szCs w:val="20"/>
              </w:rPr>
              <w:t>3 754,3</w:t>
            </w:r>
          </w:p>
        </w:tc>
      </w:tr>
    </w:tbl>
    <w:p w:rsidR="0052247D" w:rsidRPr="00623202" w:rsidRDefault="002F110D" w:rsidP="0052247D">
      <w:pPr>
        <w:ind w:firstLine="680"/>
        <w:jc w:val="both"/>
      </w:pPr>
      <w:r>
        <w:t>Наблюдается</w:t>
      </w:r>
      <w:r w:rsidR="0052247D" w:rsidRPr="00623202">
        <w:t xml:space="preserve"> рост расходов </w:t>
      </w:r>
      <w:r>
        <w:t>у</w:t>
      </w:r>
      <w:r w:rsidR="0052247D" w:rsidRPr="00623202">
        <w:t>чреждения на ремонт сторонними организациями с 1138,2 тыс. руб. в 2014 году до 3754,3 тыс. руб. за 11 месяцев 2015 года, или в 3,3 раза. При этом расходы на оплату только работ (без учёта стоимости запчастей) увеличились с 484,5 тыс. руб. в 2014 году до 1451,3 тыс. руб. в 2015 году, или в 3 раза.</w:t>
      </w:r>
    </w:p>
    <w:p w:rsidR="0052247D" w:rsidRPr="00623202" w:rsidRDefault="0052247D" w:rsidP="0052247D">
      <w:pPr>
        <w:ind w:firstLine="680"/>
        <w:jc w:val="both"/>
      </w:pPr>
      <w:r w:rsidRPr="00623202">
        <w:t>В 2014 году официальными дилерами (организациями, имеющими прямой договор с производителями автомобилей) выполнены работы на 468,7 тыс. руб. (41,2% от общей суммы расходов). За 11 месяцев 2015 года ремонт автомобилей официальными дилерами выполнен на 119,6 тыс. руб., или 0,03% от общей суммы работ.</w:t>
      </w:r>
    </w:p>
    <w:p w:rsidR="0052247D" w:rsidRPr="00623202" w:rsidRDefault="0052247D" w:rsidP="0052247D">
      <w:pPr>
        <w:ind w:firstLine="680"/>
        <w:jc w:val="both"/>
      </w:pPr>
      <w:r w:rsidRPr="00623202">
        <w:t>Учитывая изложенную информацию о значительном увеличении закупок услуг по обслуживанию и ремонту автомобилей</w:t>
      </w:r>
      <w:r w:rsidR="007911C5">
        <w:t>,</w:t>
      </w:r>
      <w:r w:rsidRPr="00623202">
        <w:t xml:space="preserve"> проверкой проведено исследование вопросов закупки учреждением запасных частей и расходных материалов.</w:t>
      </w:r>
    </w:p>
    <w:p w:rsidR="0052247D" w:rsidRDefault="0052247D" w:rsidP="0052247D">
      <w:pPr>
        <w:ind w:firstLine="680"/>
        <w:jc w:val="both"/>
      </w:pPr>
      <w:r w:rsidRPr="00623202">
        <w:t>Информация о движении запасных частей в 2009-2015 го</w:t>
      </w:r>
      <w:r w:rsidR="0041300A">
        <w:t>дах представлена в таблице и диаграммой.</w:t>
      </w:r>
    </w:p>
    <w:p w:rsidR="00AB79E3" w:rsidRPr="00623202" w:rsidRDefault="00AB79E3" w:rsidP="0052247D">
      <w:pPr>
        <w:ind w:firstLine="680"/>
        <w:jc w:val="both"/>
      </w:pPr>
    </w:p>
    <w:tbl>
      <w:tblPr>
        <w:tblW w:w="9369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60"/>
        <w:gridCol w:w="1038"/>
        <w:gridCol w:w="992"/>
        <w:gridCol w:w="1134"/>
        <w:gridCol w:w="992"/>
        <w:gridCol w:w="1134"/>
        <w:gridCol w:w="993"/>
        <w:gridCol w:w="1134"/>
        <w:gridCol w:w="992"/>
      </w:tblGrid>
      <w:tr w:rsidR="0052247D" w:rsidRPr="00623202" w:rsidTr="0085623C">
        <w:trPr>
          <w:trHeight w:val="161"/>
        </w:trPr>
        <w:tc>
          <w:tcPr>
            <w:tcW w:w="9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Остаток</w:t>
            </w:r>
          </w:p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Приход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Остаток на конец года (15.12.2015)</w:t>
            </w:r>
          </w:p>
        </w:tc>
      </w:tr>
      <w:tr w:rsidR="0052247D" w:rsidRPr="00623202" w:rsidTr="0085623C">
        <w:trPr>
          <w:trHeight w:val="20"/>
        </w:trPr>
        <w:tc>
          <w:tcPr>
            <w:tcW w:w="9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247D" w:rsidRPr="00623202" w:rsidRDefault="0052247D" w:rsidP="008562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тыс. ед.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тыс. ед.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тыс. ед.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02">
              <w:rPr>
                <w:b/>
                <w:bCs/>
                <w:color w:val="000000"/>
                <w:sz w:val="20"/>
                <w:szCs w:val="20"/>
              </w:rPr>
              <w:t>тыс. ед.</w:t>
            </w:r>
          </w:p>
        </w:tc>
      </w:tr>
      <w:tr w:rsidR="0052247D" w:rsidRPr="00623202" w:rsidTr="0085623C">
        <w:trPr>
          <w:trHeight w:val="20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4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202">
              <w:rPr>
                <w:b/>
                <w:color w:val="000000"/>
                <w:sz w:val="20"/>
                <w:szCs w:val="20"/>
              </w:rPr>
              <w:t xml:space="preserve">2009 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52247D" w:rsidRPr="00623202" w:rsidTr="0085623C">
        <w:trPr>
          <w:trHeight w:val="20"/>
        </w:trPr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4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202">
              <w:rPr>
                <w:b/>
                <w:color w:val="000000"/>
                <w:sz w:val="20"/>
                <w:szCs w:val="20"/>
              </w:rPr>
              <w:t xml:space="preserve">2010 </w:t>
            </w:r>
          </w:p>
        </w:tc>
        <w:tc>
          <w:tcPr>
            <w:tcW w:w="103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52247D" w:rsidRPr="00623202" w:rsidTr="0085623C">
        <w:trPr>
          <w:trHeight w:val="20"/>
        </w:trPr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4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202">
              <w:rPr>
                <w:b/>
                <w:color w:val="000000"/>
                <w:sz w:val="20"/>
                <w:szCs w:val="20"/>
              </w:rPr>
              <w:t xml:space="preserve">2011 </w:t>
            </w:r>
          </w:p>
        </w:tc>
        <w:tc>
          <w:tcPr>
            <w:tcW w:w="103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10,9</w:t>
            </w:r>
          </w:p>
        </w:tc>
      </w:tr>
      <w:tr w:rsidR="0052247D" w:rsidRPr="00623202" w:rsidTr="0085623C">
        <w:trPr>
          <w:trHeight w:val="20"/>
        </w:trPr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4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202">
              <w:rPr>
                <w:b/>
                <w:color w:val="000000"/>
                <w:sz w:val="20"/>
                <w:szCs w:val="20"/>
              </w:rPr>
              <w:t xml:space="preserve">2012 </w:t>
            </w:r>
          </w:p>
        </w:tc>
        <w:tc>
          <w:tcPr>
            <w:tcW w:w="103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52247D" w:rsidRPr="00623202" w:rsidTr="0085623C">
        <w:trPr>
          <w:trHeight w:val="20"/>
        </w:trPr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4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202">
              <w:rPr>
                <w:b/>
                <w:color w:val="000000"/>
                <w:sz w:val="20"/>
                <w:szCs w:val="20"/>
              </w:rPr>
              <w:t xml:space="preserve">2013 </w:t>
            </w:r>
          </w:p>
        </w:tc>
        <w:tc>
          <w:tcPr>
            <w:tcW w:w="103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52247D" w:rsidRPr="00623202" w:rsidTr="0085623C">
        <w:trPr>
          <w:trHeight w:val="20"/>
        </w:trPr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4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202">
              <w:rPr>
                <w:b/>
                <w:color w:val="000000"/>
                <w:sz w:val="20"/>
                <w:szCs w:val="20"/>
              </w:rPr>
              <w:t xml:space="preserve">2014 </w:t>
            </w:r>
          </w:p>
        </w:tc>
        <w:tc>
          <w:tcPr>
            <w:tcW w:w="103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52247D" w:rsidRPr="00623202" w:rsidTr="0085623C">
        <w:trPr>
          <w:trHeight w:val="20"/>
        </w:trPr>
        <w:tc>
          <w:tcPr>
            <w:tcW w:w="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4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202">
              <w:rPr>
                <w:b/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10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247D" w:rsidRPr="00623202" w:rsidRDefault="0052247D" w:rsidP="0085623C">
            <w:pPr>
              <w:jc w:val="center"/>
              <w:rPr>
                <w:color w:val="000000"/>
                <w:sz w:val="20"/>
                <w:szCs w:val="20"/>
              </w:rPr>
            </w:pPr>
            <w:r w:rsidRPr="00623202">
              <w:rPr>
                <w:color w:val="000000"/>
                <w:sz w:val="20"/>
                <w:szCs w:val="20"/>
              </w:rPr>
              <w:t>17,7</w:t>
            </w:r>
          </w:p>
        </w:tc>
      </w:tr>
    </w:tbl>
    <w:p w:rsidR="0052247D" w:rsidRPr="00623202" w:rsidRDefault="00D517F4" w:rsidP="0052247D">
      <w:pPr>
        <w:jc w:val="both"/>
      </w:pPr>
      <w:r>
        <w:rPr>
          <w:noProof/>
        </w:rPr>
        <w:drawing>
          <wp:inline distT="0" distB="0" distL="0" distR="0">
            <wp:extent cx="5943600" cy="25717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247D" w:rsidRPr="00623202" w:rsidRDefault="0052247D" w:rsidP="0052247D">
      <w:pPr>
        <w:ind w:firstLine="709"/>
        <w:jc w:val="both"/>
      </w:pPr>
      <w:r w:rsidRPr="00623202">
        <w:t xml:space="preserve">В 2013 году отмечен резкий рост поступления запасных частей на склад </w:t>
      </w:r>
      <w:r w:rsidR="006063D5">
        <w:t>у</w:t>
      </w:r>
      <w:r w:rsidRPr="00623202">
        <w:t>чреждения в количественном выражении до 28,2 тыс. ед., или в 2 раза по сравнению с объемами закупки в 2010-2012 годах. При сопоставимых объемах закупок запасных частей в 2010</w:t>
      </w:r>
      <w:r w:rsidR="0041300A">
        <w:t>-</w:t>
      </w:r>
      <w:r w:rsidRPr="00623202">
        <w:t>2012 и 2014 годах объем закупки в 2015 году уменьшен до 7,5 тыс. ед., или практически в 2 раза. При этом темп снижения объёма остатков за 2015 год существенно меньше  - с 21,9 до 17,7 тыс. единиц (на 19%), что свидетельствует об относительной невостребованности запчастей, приобретённых в прошлые периоды.</w:t>
      </w:r>
    </w:p>
    <w:p w:rsidR="0052247D" w:rsidRPr="00623202" w:rsidRDefault="0052247D" w:rsidP="0052247D">
      <w:pPr>
        <w:ind w:firstLine="680"/>
        <w:jc w:val="both"/>
      </w:pPr>
      <w:r w:rsidRPr="00623202">
        <w:t>Факт наличия остатков запасных частей на сумму</w:t>
      </w:r>
      <w:r w:rsidR="007911C5">
        <w:t>,</w:t>
      </w:r>
      <w:r w:rsidRPr="00623202">
        <w:t xml:space="preserve"> сопоставимую или превышающую  их годовой оборот, отсутствие ритмичных закупок необходимых запасных частей свидетельствует о существенных проблемах в планировании и организации мероприятий по содержанию автомобильного парка и в недостаточной реализации принципа эффективности использования бюджетных средств, установленного ст. 34 БК РФ.</w:t>
      </w:r>
    </w:p>
    <w:p w:rsidR="0052247D" w:rsidRPr="00623202" w:rsidRDefault="006063D5" w:rsidP="0052247D">
      <w:pPr>
        <w:ind w:firstLine="720"/>
        <w:jc w:val="both"/>
        <w:rPr>
          <w:lang w:eastAsia="en-US"/>
        </w:rPr>
      </w:pPr>
      <w:r>
        <w:t>В</w:t>
      </w:r>
      <w:r w:rsidR="0052247D" w:rsidRPr="00623202">
        <w:t xml:space="preserve"> </w:t>
      </w:r>
      <w:r w:rsidR="001E1FE1">
        <w:t>у</w:t>
      </w:r>
      <w:r w:rsidR="0052247D" w:rsidRPr="00623202">
        <w:t>чреждении отсутствует система прогнозирования потребности в запасных частях и планирования складских остатков. Также не установлен  оптимальный (</w:t>
      </w:r>
      <w:r w:rsidR="0052247D" w:rsidRPr="00623202">
        <w:rPr>
          <w:lang w:eastAsia="en-US"/>
        </w:rPr>
        <w:t xml:space="preserve">минимальный) неснижаемый запас агрегатов, узлов, деталей. </w:t>
      </w:r>
    </w:p>
    <w:p w:rsidR="0052247D" w:rsidRDefault="0052247D" w:rsidP="0052247D">
      <w:pPr>
        <w:ind w:firstLine="680"/>
        <w:jc w:val="both"/>
      </w:pPr>
      <w:r w:rsidRPr="00623202">
        <w:t xml:space="preserve">Недостатки планирования потребности и запасов запасных частей приводят с одной стороны к </w:t>
      </w:r>
      <w:r w:rsidR="00F22838">
        <w:t>бессистемному</w:t>
      </w:r>
      <w:r w:rsidRPr="00623202">
        <w:t xml:space="preserve"> осуществлению затрат на приобретение одних запчастей</w:t>
      </w:r>
      <w:r w:rsidR="00F22838">
        <w:t>, значительная часть которых остаётся невостребованной</w:t>
      </w:r>
      <w:r w:rsidRPr="00623202">
        <w:t>, а с другой стороны к нехватке других</w:t>
      </w:r>
      <w:r w:rsidR="00F22838">
        <w:t xml:space="preserve"> запчастей</w:t>
      </w:r>
      <w:r w:rsidRPr="00623202">
        <w:t xml:space="preserve">. </w:t>
      </w:r>
    </w:p>
    <w:p w:rsidR="002F110D" w:rsidRPr="00623202" w:rsidRDefault="002F110D" w:rsidP="002F110D">
      <w:pPr>
        <w:ind w:firstLine="680"/>
        <w:jc w:val="both"/>
      </w:pPr>
      <w:r>
        <w:t>С</w:t>
      </w:r>
      <w:r w:rsidRPr="00623202">
        <w:t>бо</w:t>
      </w:r>
      <w:r>
        <w:t>и</w:t>
      </w:r>
      <w:r w:rsidRPr="00623202">
        <w:t xml:space="preserve"> в системе планировани</w:t>
      </w:r>
      <w:r w:rsidR="007911C5">
        <w:t>я</w:t>
      </w:r>
      <w:r w:rsidRPr="00623202">
        <w:t xml:space="preserve"> и прогнозирования закупок </w:t>
      </w:r>
      <w:r>
        <w:t>учреждения привели к тому</w:t>
      </w:r>
      <w:r w:rsidRPr="00623202">
        <w:t xml:space="preserve">, что в период с мая по сентябрь 2015 года на складе отсутствовал </w:t>
      </w:r>
      <w:r>
        <w:t>такой расходный материал первостепенной необходимости</w:t>
      </w:r>
      <w:r w:rsidR="0041300A">
        <w:t>,</w:t>
      </w:r>
      <w:r>
        <w:t xml:space="preserve"> как </w:t>
      </w:r>
      <w:r w:rsidRPr="00623202">
        <w:t xml:space="preserve">моторное масло различных видов. Нехватка </w:t>
      </w:r>
      <w:r w:rsidR="0041300A">
        <w:t xml:space="preserve">частично </w:t>
      </w:r>
      <w:r w:rsidRPr="00623202">
        <w:t>компенсировалась за счёт масла, приобретенного за счёт прочих доходов</w:t>
      </w:r>
      <w:r w:rsidR="001E1FE1">
        <w:t>.</w:t>
      </w:r>
    </w:p>
    <w:p w:rsidR="0052247D" w:rsidRDefault="0052247D" w:rsidP="0052247D">
      <w:pPr>
        <w:ind w:firstLine="680"/>
        <w:jc w:val="both"/>
      </w:pPr>
      <w:r w:rsidRPr="00623202">
        <w:t>На наличие указанных недостатков указывалось при проверке учреждения, проведённой КСП в первом полугодии 2013 года. В дальнейшем ситуация усугубилась крайней ограниченностью финансовых ресурсов в 2014-2015 годах.</w:t>
      </w:r>
    </w:p>
    <w:p w:rsidR="00CD7A2B" w:rsidRPr="00623202" w:rsidRDefault="00CD7A2B" w:rsidP="00CD7A2B">
      <w:pPr>
        <w:ind w:firstLine="680"/>
        <w:jc w:val="both"/>
      </w:pPr>
      <w:r>
        <w:t>Таким образом,</w:t>
      </w:r>
      <w:r w:rsidRPr="001E1FE1">
        <w:t xml:space="preserve"> </w:t>
      </w:r>
      <w:r>
        <w:t>о</w:t>
      </w:r>
      <w:r w:rsidRPr="00623202">
        <w:t xml:space="preserve">тсутствие надлежащей системы планирования и прогнозирования закупки запчастей привело </w:t>
      </w:r>
      <w:r w:rsidR="00EC5F38">
        <w:t>к нехватке необходимых запчастей на складе учреждения и увеличению закупки услуг</w:t>
      </w:r>
      <w:r w:rsidRPr="00623202">
        <w:t xml:space="preserve"> по ремонту автопарка у сторонних организаций</w:t>
      </w:r>
      <w:r w:rsidR="00EC5F38">
        <w:t>, объём которых без учета стоимости запчастей</w:t>
      </w:r>
      <w:r w:rsidRPr="00623202">
        <w:t xml:space="preserve"> увеличился с 484,5 тыс. руб. в 2014 году до 1451,3 тыс. руб. в </w:t>
      </w:r>
      <w:r w:rsidRPr="00623202">
        <w:lastRenderedPageBreak/>
        <w:t xml:space="preserve">2015 году, или в 3 раза. </w:t>
      </w:r>
      <w:r>
        <w:t>Существенное увеличение закупки услуг по ремонту автомобилей на стороне при наличии собственной, не полностью загруженной ремонтной базы привело к тому, что с</w:t>
      </w:r>
      <w:r w:rsidRPr="00623202">
        <w:t xml:space="preserve">редства областного бюджета в сумме </w:t>
      </w:r>
      <w:r w:rsidR="00EC5F38">
        <w:t>966,8</w:t>
      </w:r>
      <w:r w:rsidRPr="00623202">
        <w:t xml:space="preserve"> тыс. руб.</w:t>
      </w:r>
      <w:r w:rsidR="00EC5F38">
        <w:t xml:space="preserve"> (1451,3-484,5)</w:t>
      </w:r>
      <w:r w:rsidRPr="00623202">
        <w:t xml:space="preserve"> использованы неэффективно, принцип эффективности использования бюджетных средств, установленный ст. 34 БК РФ, реализован не в полной мере.</w:t>
      </w:r>
    </w:p>
    <w:p w:rsidR="00CD7A2B" w:rsidRPr="00623202" w:rsidRDefault="00CD7A2B" w:rsidP="0052247D">
      <w:pPr>
        <w:ind w:firstLine="680"/>
        <w:jc w:val="both"/>
      </w:pPr>
    </w:p>
    <w:p w:rsidR="00E30CF1" w:rsidRPr="00623202" w:rsidRDefault="0042447D" w:rsidP="0052247D">
      <w:pPr>
        <w:ind w:firstLine="680"/>
        <w:jc w:val="both"/>
      </w:pPr>
      <w:r w:rsidRPr="00623202">
        <w:t>Специалистами комитета по регулированию контрактной системы в сфере закупок Волгоградской области проведено исследование в</w:t>
      </w:r>
      <w:r w:rsidR="00E30CF1" w:rsidRPr="00623202">
        <w:t>опросов соблюдения законодательства о контрактной системе Российской Федерации при проведении закупок</w:t>
      </w:r>
      <w:r w:rsidR="00176B88">
        <w:t xml:space="preserve"> (материалы прилагаются)</w:t>
      </w:r>
      <w:r w:rsidR="00E30CF1" w:rsidRPr="00623202">
        <w:t xml:space="preserve">, которым выявлены </w:t>
      </w:r>
      <w:r w:rsidR="00010E02" w:rsidRPr="00623202">
        <w:t xml:space="preserve">признаки </w:t>
      </w:r>
      <w:r w:rsidR="00E30CF1" w:rsidRPr="00623202">
        <w:t>нарушени</w:t>
      </w:r>
      <w:r w:rsidR="00010E02" w:rsidRPr="00623202">
        <w:t>й</w:t>
      </w:r>
      <w:r w:rsidR="00E30CF1" w:rsidRPr="00623202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6B2B52" w:rsidRPr="00F958D5" w:rsidRDefault="00F958D5" w:rsidP="00F958D5">
      <w:pPr>
        <w:pStyle w:val="ConsPlusNormal"/>
        <w:ind w:right="-143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958D5">
        <w:rPr>
          <w:rFonts w:ascii="Times New Roman" w:hAnsi="Times New Roman" w:cs="Times New Roman"/>
          <w:sz w:val="24"/>
          <w:szCs w:val="24"/>
        </w:rPr>
        <w:t xml:space="preserve">-нарушения </w:t>
      </w:r>
      <w:r w:rsidR="006B2B52" w:rsidRPr="00F958D5">
        <w:rPr>
          <w:rFonts w:ascii="Times New Roman" w:hAnsi="Times New Roman" w:cs="Times New Roman"/>
          <w:sz w:val="24"/>
          <w:szCs w:val="24"/>
        </w:rPr>
        <w:t>при обосновании начальной (максимальной) цены контракта (2 закупки);</w:t>
      </w:r>
    </w:p>
    <w:p w:rsidR="00F958D5" w:rsidRPr="00F958D5" w:rsidRDefault="00F958D5" w:rsidP="00F958D5">
      <w:pPr>
        <w:ind w:firstLine="436"/>
        <w:jc w:val="both"/>
      </w:pPr>
      <w:r w:rsidRPr="00F958D5">
        <w:t>-неприменение мер ответственности и совершение иных действий в случае нарушения поставщиком (подрядчиком, исполнителем) условий по 25 контрактм (в ходе проверки учреждением подготовлены претензии</w:t>
      </w:r>
      <w:r w:rsidRPr="00F958D5">
        <w:rPr>
          <w:rFonts w:eastAsiaTheme="minorHAnsi"/>
          <w:lang w:eastAsia="en-US"/>
        </w:rPr>
        <w:t xml:space="preserve"> по 24 контрактам)</w:t>
      </w:r>
      <w:r w:rsidRPr="00F958D5">
        <w:t>;</w:t>
      </w:r>
    </w:p>
    <w:p w:rsidR="006B2B52" w:rsidRPr="00F958D5" w:rsidRDefault="00F958D5" w:rsidP="00F958D5">
      <w:pPr>
        <w:ind w:right="-143" w:firstLine="436"/>
        <w:jc w:val="both"/>
      </w:pPr>
      <w:r w:rsidRPr="00F958D5">
        <w:t>-</w:t>
      </w:r>
      <w:r w:rsidR="006B2B52" w:rsidRPr="00F958D5">
        <w:t>нарушение сроков размещения (не размещение) информации о заказах на поставку товаров, выполнение работ, оказание услуг на официальном сайте Российской Федерации в информационно-телекоммуникационной сети «Интернет» по 35 контрактам;</w:t>
      </w:r>
    </w:p>
    <w:p w:rsidR="006B2B52" w:rsidRPr="00F958D5" w:rsidRDefault="006B2B52" w:rsidP="00F958D5">
      <w:pPr>
        <w:pStyle w:val="ConsPlusNormal"/>
        <w:ind w:right="-143" w:firstLine="43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958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нарушение правил размещения</w:t>
      </w:r>
      <w:r w:rsidRPr="00F958D5">
        <w:rPr>
          <w:rFonts w:ascii="Times New Roman" w:hAnsi="Times New Roman" w:cs="Times New Roman"/>
          <w:sz w:val="24"/>
          <w:szCs w:val="24"/>
        </w:rPr>
        <w:t xml:space="preserve"> на официальном сайте планов-графиков размещения заказов</w:t>
      </w:r>
      <w:r w:rsidR="00F958D5">
        <w:rPr>
          <w:rFonts w:ascii="Times New Roman" w:hAnsi="Times New Roman" w:cs="Times New Roman"/>
          <w:sz w:val="24"/>
          <w:szCs w:val="24"/>
        </w:rPr>
        <w:t xml:space="preserve"> (4 случая).</w:t>
      </w:r>
    </w:p>
    <w:p w:rsidR="00CF085F" w:rsidRDefault="0056262E" w:rsidP="0052247D">
      <w:pPr>
        <w:ind w:firstLine="680"/>
        <w:jc w:val="both"/>
      </w:pPr>
      <w:r w:rsidRPr="00623202">
        <w:t>С</w:t>
      </w:r>
      <w:r w:rsidR="0042447D" w:rsidRPr="00623202">
        <w:t>пециалист</w:t>
      </w:r>
      <w:r w:rsidRPr="00623202">
        <w:t>ами</w:t>
      </w:r>
      <w:r w:rsidR="0042447D" w:rsidRPr="00623202">
        <w:t xml:space="preserve"> ГКУ ВО «Центр организации закупок» </w:t>
      </w:r>
      <w:r w:rsidRPr="00623202">
        <w:t>проведен выборочный анализ законченных исполнением контрактов госзакупок учреждения</w:t>
      </w:r>
      <w:r w:rsidR="00176B88">
        <w:t xml:space="preserve"> (материалы прилагаются)</w:t>
      </w:r>
      <w:r w:rsidR="00CD7A2B">
        <w:t>, которым</w:t>
      </w:r>
      <w:r w:rsidR="00CF085F" w:rsidRPr="00623202">
        <w:t xml:space="preserve"> в целом установлено следующее:</w:t>
      </w:r>
    </w:p>
    <w:p w:rsidR="00F958D5" w:rsidRDefault="00F958D5" w:rsidP="0052247D">
      <w:pPr>
        <w:ind w:firstLine="680"/>
        <w:jc w:val="both"/>
      </w:pPr>
      <w:r>
        <w:t xml:space="preserve">-необоснованность </w:t>
      </w:r>
      <w:r w:rsidR="00C32E08">
        <w:t xml:space="preserve">и неэффективность </w:t>
      </w:r>
      <w:r>
        <w:t>массовой закупки услуг по ремонту и техобслуживанию автомобилей на стороне при наличии собственной  ремонтной базы;</w:t>
      </w:r>
    </w:p>
    <w:p w:rsidR="00F958D5" w:rsidRDefault="00F958D5" w:rsidP="0052247D">
      <w:pPr>
        <w:ind w:firstLine="680"/>
        <w:jc w:val="both"/>
      </w:pPr>
      <w:r>
        <w:t>-проведение и приемка работ по ремонту и техобслуживанию автомобилей</w:t>
      </w:r>
      <w:r w:rsidR="00C32E08">
        <w:t xml:space="preserve"> и прочих работ</w:t>
      </w:r>
      <w:r>
        <w:t>, не предусмотренных контрактами, с нарушением установленных сроков</w:t>
      </w:r>
      <w:r w:rsidR="00C32E08">
        <w:t>;</w:t>
      </w:r>
    </w:p>
    <w:p w:rsidR="00C32E08" w:rsidRPr="00623202" w:rsidRDefault="00C32E08" w:rsidP="0052247D">
      <w:pPr>
        <w:ind w:firstLine="680"/>
        <w:jc w:val="both"/>
      </w:pPr>
      <w:r>
        <w:t>-отсутствие полного комплекта документов, подтверждающих факт и качество выполнения работ (оказания услуг).</w:t>
      </w:r>
    </w:p>
    <w:p w:rsidR="0042447D" w:rsidRPr="00623202" w:rsidRDefault="0042447D" w:rsidP="0052247D">
      <w:pPr>
        <w:ind w:firstLine="680"/>
        <w:jc w:val="both"/>
      </w:pPr>
    </w:p>
    <w:p w:rsidR="0042447D" w:rsidRDefault="002F110D" w:rsidP="0052247D">
      <w:pPr>
        <w:ind w:firstLine="680"/>
        <w:jc w:val="both"/>
        <w:rPr>
          <w:b/>
        </w:rPr>
      </w:pPr>
      <w:r w:rsidRPr="002F110D">
        <w:rPr>
          <w:b/>
        </w:rPr>
        <w:t>Выводы:</w:t>
      </w:r>
    </w:p>
    <w:p w:rsidR="00DE415F" w:rsidRDefault="00DE415F" w:rsidP="00DE415F">
      <w:pPr>
        <w:shd w:val="clear" w:color="auto" w:fill="FFFFFF"/>
        <w:ind w:firstLine="720"/>
        <w:jc w:val="both"/>
      </w:pPr>
      <w:r w:rsidRPr="00B12A38">
        <w:t>1.</w:t>
      </w:r>
      <w:r>
        <w:rPr>
          <w:b/>
        </w:rPr>
        <w:t xml:space="preserve"> </w:t>
      </w:r>
      <w:r w:rsidRPr="00623202">
        <w:t xml:space="preserve">Объём работы </w:t>
      </w:r>
      <w:r>
        <w:t xml:space="preserve">ГБУ «Исполнительная дирекция» </w:t>
      </w:r>
      <w:r w:rsidRPr="00623202">
        <w:t xml:space="preserve">по автотранспортному обеспечению </w:t>
      </w:r>
      <w:r>
        <w:t xml:space="preserve">государственных органов Волгоградской области </w:t>
      </w:r>
      <w:r w:rsidRPr="00623202">
        <w:t>в 2015 году уменьшился по отношению к 2014 году на 16,7</w:t>
      </w:r>
      <w:r>
        <w:t> </w:t>
      </w:r>
      <w:r w:rsidRPr="00623202">
        <w:t>% (с 632,3 до 526,7 тыс. машиночасов)</w:t>
      </w:r>
      <w:r>
        <w:t xml:space="preserve"> в связи с уменьшением количества автомобилей, обслуживающих</w:t>
      </w:r>
      <w:r w:rsidRPr="00DE415F">
        <w:t xml:space="preserve"> </w:t>
      </w:r>
      <w:r w:rsidRPr="00623202">
        <w:t>Волгоградск</w:t>
      </w:r>
      <w:r>
        <w:t>ую</w:t>
      </w:r>
      <w:r w:rsidRPr="00623202">
        <w:t xml:space="preserve"> областн</w:t>
      </w:r>
      <w:r>
        <w:t>ую</w:t>
      </w:r>
      <w:r w:rsidRPr="00623202">
        <w:t xml:space="preserve"> Дум</w:t>
      </w:r>
      <w:r>
        <w:t>у,</w:t>
      </w:r>
      <w:r w:rsidRPr="00623202">
        <w:t xml:space="preserve"> </w:t>
      </w:r>
      <w:r>
        <w:t>(с</w:t>
      </w:r>
      <w:r w:rsidR="00B12A38">
        <w:t> </w:t>
      </w:r>
      <w:r>
        <w:t>57 до 47), а также в связи с ужесточением контроля за использованием автотранспорта</w:t>
      </w:r>
      <w:r w:rsidRPr="00623202">
        <w:t>.</w:t>
      </w:r>
    </w:p>
    <w:p w:rsidR="00DE415F" w:rsidRDefault="00DE415F" w:rsidP="00DE415F">
      <w:pPr>
        <w:ind w:firstLine="680"/>
        <w:jc w:val="both"/>
      </w:pPr>
      <w:r w:rsidRPr="00623202">
        <w:t xml:space="preserve">При </w:t>
      </w:r>
      <w:r>
        <w:t>уменьшении объёма работ</w:t>
      </w:r>
      <w:r w:rsidRPr="00623202">
        <w:t xml:space="preserve"> сопоставимого уменьшения количества водителей и машин не произведено. В результате в 2015 году нагрузка на машины и водителей  упала на 13-15 процентов. Наблюдается самое низкое с 2006 года значение показателя нагрузки на 1 автомобиль - 1,9 тыс. машиночасов и одно из самых низких значений показателя нагрузки на 1 водителя - 2,07 тыс. машиночасов. Также в 2015 году не осуществлено сопоставимое уменьшение объёма субсидии на финансовое обеспечение выполнения государственного задания, что привело к росту стоимости машиночаса с 453,1 до 530,3 руб., или на 17 процентов. </w:t>
      </w:r>
    </w:p>
    <w:p w:rsidR="00DE415F" w:rsidRPr="00623202" w:rsidRDefault="00F94A63" w:rsidP="00F94A63">
      <w:pPr>
        <w:ind w:firstLine="680"/>
        <w:jc w:val="both"/>
        <w:rPr>
          <w:spacing w:val="-2"/>
        </w:rPr>
      </w:pPr>
      <w:r>
        <w:t>2. ГБУ «Исполнительная дирекция»</w:t>
      </w:r>
      <w:r w:rsidR="00DE415F">
        <w:t xml:space="preserve"> структурно состоит из 16 подразделений</w:t>
      </w:r>
      <w:r>
        <w:t xml:space="preserve"> общей штатной численностью </w:t>
      </w:r>
      <w:r w:rsidR="00DE415F" w:rsidRPr="00623202">
        <w:t xml:space="preserve">471 </w:t>
      </w:r>
      <w:r w:rsidR="00DE415F">
        <w:t>единиц</w:t>
      </w:r>
      <w:r>
        <w:t>а</w:t>
      </w:r>
      <w:r w:rsidR="00A63318">
        <w:t>, в том числе 256 должностей водителей</w:t>
      </w:r>
      <w:r>
        <w:t>.</w:t>
      </w:r>
      <w:r w:rsidR="00DE415F">
        <w:t xml:space="preserve"> </w:t>
      </w:r>
    </w:p>
    <w:p w:rsidR="00DE415F" w:rsidRDefault="00DE415F" w:rsidP="00DE415F">
      <w:pPr>
        <w:autoSpaceDE w:val="0"/>
        <w:autoSpaceDN w:val="0"/>
        <w:adjustRightInd w:val="0"/>
        <w:ind w:firstLine="720"/>
        <w:jc w:val="both"/>
      </w:pPr>
      <w:r w:rsidRPr="00623202">
        <w:t xml:space="preserve">Учреждение возглавляет генеральный директор, который </w:t>
      </w:r>
      <w:r w:rsidR="00A63318">
        <w:t xml:space="preserve">в настоящее время </w:t>
      </w:r>
      <w:r w:rsidRPr="00623202">
        <w:t>имеет трех заместителей</w:t>
      </w:r>
      <w:r w:rsidR="00F94A63">
        <w:t xml:space="preserve">, количество </w:t>
      </w:r>
      <w:r w:rsidR="00F94A63" w:rsidRPr="007911C5">
        <w:t xml:space="preserve">которых </w:t>
      </w:r>
      <w:r w:rsidRPr="007911C5">
        <w:t>является необоснованным и не</w:t>
      </w:r>
      <w:r w:rsidR="003540B9">
        <w:t>целесообразным</w:t>
      </w:r>
      <w:r w:rsidRPr="00623202">
        <w:t>. До 2011 года в структуре учреждения была предусмотрена одна должность заместителя директора. В последующем количество заместителей директора увеличивалось и доходило в 2014 году до пяти.</w:t>
      </w:r>
    </w:p>
    <w:p w:rsidR="00DE415F" w:rsidRPr="00623202" w:rsidRDefault="00DE415F" w:rsidP="00DE415F">
      <w:pPr>
        <w:ind w:firstLine="709"/>
        <w:jc w:val="both"/>
      </w:pPr>
      <w:r>
        <w:lastRenderedPageBreak/>
        <w:t>Количество руководителей и работников подразделений общего назначения увеличилось с 17 единиц в 2010 году до 36 в 2015 году, или более чем в 2 раза, в основном за счёт увеличения количества заместителей директора, численности существующих подразделений с их трансформацией, а также образования канцелярии.</w:t>
      </w:r>
    </w:p>
    <w:p w:rsidR="00DE415F" w:rsidRPr="00623202" w:rsidRDefault="00DE415F" w:rsidP="00DE415F">
      <w:pPr>
        <w:ind w:firstLine="709"/>
        <w:jc w:val="both"/>
      </w:pPr>
      <w:r>
        <w:t xml:space="preserve">По состоянию </w:t>
      </w:r>
      <w:r w:rsidRPr="00623202">
        <w:t>на 23.12.2015 укомплектованность состав</w:t>
      </w:r>
      <w:r>
        <w:t>ляла</w:t>
      </w:r>
      <w:r w:rsidRPr="00623202">
        <w:t xml:space="preserve"> 434 из 47</w:t>
      </w:r>
      <w:r>
        <w:t>1</w:t>
      </w:r>
      <w:r w:rsidRPr="00623202">
        <w:t xml:space="preserve"> штатных единиц</w:t>
      </w:r>
      <w:r>
        <w:t>, или 92 процента</w:t>
      </w:r>
      <w:r w:rsidRPr="00623202">
        <w:t xml:space="preserve">. Наибольшее число вакансий сложилось по </w:t>
      </w:r>
      <w:r>
        <w:t xml:space="preserve">должностям </w:t>
      </w:r>
      <w:r w:rsidRPr="00623202">
        <w:t>водител</w:t>
      </w:r>
      <w:r>
        <w:t>ей</w:t>
      </w:r>
      <w:r w:rsidRPr="00623202">
        <w:t xml:space="preserve"> – 23 из 265 (8,7%).</w:t>
      </w:r>
    </w:p>
    <w:p w:rsidR="00A63318" w:rsidRDefault="00A63318" w:rsidP="00DE415F">
      <w:pPr>
        <w:autoSpaceDE w:val="0"/>
        <w:autoSpaceDN w:val="0"/>
        <w:adjustRightInd w:val="0"/>
        <w:ind w:firstLine="720"/>
        <w:jc w:val="both"/>
      </w:pPr>
      <w:r>
        <w:t xml:space="preserve">3. Руководители трёх подразделений учреждения и один из заместителей генерального директора </w:t>
      </w:r>
      <w:r w:rsidR="00DE415F" w:rsidRPr="004B42E2">
        <w:t>не</w:t>
      </w:r>
      <w:r>
        <w:t xml:space="preserve"> </w:t>
      </w:r>
      <w:r w:rsidR="00DE415F" w:rsidRPr="004B42E2">
        <w:t>соответств</w:t>
      </w:r>
      <w:r>
        <w:t>уют</w:t>
      </w:r>
      <w:r w:rsidR="00DE415F" w:rsidRPr="004B42E2">
        <w:t xml:space="preserve"> установленным квалификационным требованиям к образованию или опыту работы</w:t>
      </w:r>
      <w:r>
        <w:t>.</w:t>
      </w:r>
    </w:p>
    <w:p w:rsidR="00A63318" w:rsidRDefault="00A63318" w:rsidP="00DE415F">
      <w:pPr>
        <w:autoSpaceDE w:val="0"/>
        <w:autoSpaceDN w:val="0"/>
        <w:adjustRightInd w:val="0"/>
        <w:ind w:firstLine="720"/>
        <w:jc w:val="both"/>
      </w:pPr>
      <w:r>
        <w:t xml:space="preserve">4. Среднемесячная заработная плата генерального директора учреждения в 2015 году составила 126,2 тыс. руб., водителя  - 35,2 тыс. рублей. За период </w:t>
      </w:r>
      <w:r w:rsidR="00FA1D30">
        <w:t>с 2011 по 2015 год темп роста среднемесячной заработной плат</w:t>
      </w:r>
      <w:r w:rsidR="007911C5">
        <w:t>ы</w:t>
      </w:r>
      <w:r w:rsidR="00FA1D30">
        <w:t xml:space="preserve"> генерального директора превышает </w:t>
      </w:r>
      <w:r w:rsidR="00FA1D30">
        <w:rPr>
          <w:color w:val="000000"/>
        </w:rPr>
        <w:t>темп индексаций</w:t>
      </w:r>
      <w:r w:rsidR="00FA1D30" w:rsidRPr="00623202">
        <w:rPr>
          <w:color w:val="000000"/>
        </w:rPr>
        <w:t xml:space="preserve"> заработной платы работников бюджетных учреждений</w:t>
      </w:r>
      <w:r w:rsidR="00FA1D30">
        <w:rPr>
          <w:color w:val="000000"/>
        </w:rPr>
        <w:t xml:space="preserve"> на 30%, </w:t>
      </w:r>
      <w:r w:rsidR="00FA1D30">
        <w:t>темп роста среднемесячной заработной платы водителей меньше темпа индексаций почти в два раза.</w:t>
      </w:r>
    </w:p>
    <w:p w:rsidR="00FA1D30" w:rsidRPr="00020230" w:rsidRDefault="00FA1D30" w:rsidP="00DE415F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5. </w:t>
      </w:r>
      <w:r w:rsidR="00DE415F" w:rsidRPr="005416AC">
        <w:rPr>
          <w:lang w:eastAsia="en-US"/>
        </w:rPr>
        <w:t xml:space="preserve">В нарушение </w:t>
      </w:r>
      <w:r w:rsidR="00DE415F">
        <w:rPr>
          <w:lang w:eastAsia="en-US"/>
        </w:rPr>
        <w:t xml:space="preserve">п. 6.1 </w:t>
      </w:r>
      <w:hyperlink w:anchor="sub_1000" w:history="1">
        <w:r w:rsidR="00DE415F" w:rsidRPr="005416AC">
          <w:rPr>
            <w:rFonts w:eastAsia="Calibri"/>
          </w:rPr>
          <w:t>Положения</w:t>
        </w:r>
      </w:hyperlink>
      <w:r w:rsidR="00DE415F" w:rsidRPr="005416AC">
        <w:rPr>
          <w:rFonts w:eastAsia="Calibri"/>
        </w:rPr>
        <w:t xml:space="preserve"> об оплате труда работников ГБУ «Исполнительная дирекция», утверждённого постановлением Администрации Волгоградской области от 01.03.2010 № 40-п (в ред. от</w:t>
      </w:r>
      <w:r w:rsidR="00DE415F">
        <w:rPr>
          <w:rFonts w:eastAsia="Calibri"/>
        </w:rPr>
        <w:t xml:space="preserve"> </w:t>
      </w:r>
      <w:r w:rsidR="00DE415F" w:rsidRPr="005416AC">
        <w:rPr>
          <w:rFonts w:eastAsia="Calibri"/>
        </w:rPr>
        <w:t>27.07.2015)</w:t>
      </w:r>
      <w:r w:rsidR="00DE415F">
        <w:rPr>
          <w:rFonts w:eastAsia="Calibri"/>
        </w:rPr>
        <w:t xml:space="preserve">, </w:t>
      </w:r>
      <w:r w:rsidR="00020230">
        <w:rPr>
          <w:rFonts w:eastAsia="Calibri"/>
        </w:rPr>
        <w:t xml:space="preserve">18 </w:t>
      </w:r>
      <w:r w:rsidR="00020230">
        <w:rPr>
          <w:lang w:eastAsia="en-US"/>
        </w:rPr>
        <w:t xml:space="preserve">работникам учреждения выплачена </w:t>
      </w:r>
      <w:r w:rsidR="00DE415F" w:rsidRPr="005416AC">
        <w:rPr>
          <w:lang w:eastAsia="en-US"/>
        </w:rPr>
        <w:t xml:space="preserve">материальная </w:t>
      </w:r>
      <w:r w:rsidR="00DE415F" w:rsidRPr="00020230">
        <w:rPr>
          <w:lang w:eastAsia="en-US"/>
        </w:rPr>
        <w:t>помощь в размере, превышающем введенное с 04.08.2015 ограничение в размере двух должностных окладов в год.</w:t>
      </w:r>
      <w:r w:rsidR="00020230" w:rsidRPr="00020230">
        <w:t xml:space="preserve"> </w:t>
      </w:r>
      <w:r w:rsidR="00020230" w:rsidRPr="00C7241E">
        <w:t>Сумма превышения составила 351,0 тыс. рублей.</w:t>
      </w:r>
      <w:r w:rsidR="00DE415F" w:rsidRPr="00020230">
        <w:rPr>
          <w:lang w:eastAsia="en-US"/>
        </w:rPr>
        <w:t xml:space="preserve"> В ходе проверки </w:t>
      </w:r>
      <w:r w:rsidRPr="00020230">
        <w:rPr>
          <w:lang w:eastAsia="en-US"/>
        </w:rPr>
        <w:t>начаты процедуры приведения локального правового акта учреждения в соответствие с указанным положением.</w:t>
      </w:r>
    </w:p>
    <w:p w:rsidR="00FA1D30" w:rsidRPr="00020230" w:rsidRDefault="00E2462B" w:rsidP="00DE415F">
      <w:pPr>
        <w:ind w:firstLine="709"/>
        <w:jc w:val="both"/>
        <w:rPr>
          <w:lang w:eastAsia="en-US"/>
        </w:rPr>
      </w:pPr>
      <w:r w:rsidRPr="00020230">
        <w:rPr>
          <w:lang w:eastAsia="en-US"/>
        </w:rPr>
        <w:t xml:space="preserve">6. По состоянию на 15.12.2015 автопарк учреждения составляет 307 автомобилей, в том числе 272 легковых, 18 микроавтобусов, 17 иных. </w:t>
      </w:r>
      <w:r w:rsidRPr="00020230">
        <w:t>Фактически в эксплуатации без учёта переданных в пользование, аренду, для продажи, вспомогательных и пр. находится 253 автомобиля.</w:t>
      </w:r>
      <w:r w:rsidRPr="00020230">
        <w:rPr>
          <w:lang w:eastAsia="en-US"/>
        </w:rPr>
        <w:t xml:space="preserve"> С 01.01.2013 общее количество автомобилей сократилось на 5,6 процента.</w:t>
      </w:r>
    </w:p>
    <w:p w:rsidR="00614AE5" w:rsidRDefault="00DC7734" w:rsidP="00DE415F">
      <w:pPr>
        <w:ind w:firstLine="720"/>
        <w:jc w:val="both"/>
      </w:pPr>
      <w:r>
        <w:t>7</w:t>
      </w:r>
      <w:r w:rsidR="00614AE5">
        <w:t>. В Волгоградской области в отличие от других регионов РФ не установлены н</w:t>
      </w:r>
      <w:r w:rsidR="00614AE5" w:rsidRPr="004A667B">
        <w:t>ормы (нормативы) положенности обеспечения транспортными услугами (автотранспортными средствами) должностных лиц (кроме лиц, замещающих государственные должности) и органов исполнительной власти Волгоградской области</w:t>
      </w:r>
      <w:r w:rsidR="00614AE5">
        <w:t>, что не даёт возможности о</w:t>
      </w:r>
      <w:r w:rsidR="00DE415F" w:rsidRPr="004A667B">
        <w:t>ценить достаточность</w:t>
      </w:r>
      <w:r w:rsidR="00614AE5">
        <w:t xml:space="preserve"> (избыточность)</w:t>
      </w:r>
      <w:r w:rsidR="00DE415F" w:rsidRPr="004A667B">
        <w:t xml:space="preserve"> парка учреждения для выполнения </w:t>
      </w:r>
      <w:r w:rsidR="00614AE5">
        <w:t xml:space="preserve">своих </w:t>
      </w:r>
      <w:r w:rsidR="00DE415F" w:rsidRPr="004A667B">
        <w:t xml:space="preserve">функций </w:t>
      </w:r>
      <w:r w:rsidR="00614AE5">
        <w:t>и не позволяет в достаточной степени реализовать принцип эффективности использования бюджетных средств, установленный ст. 34 БК РФ.</w:t>
      </w:r>
    </w:p>
    <w:p w:rsidR="00614AE5" w:rsidRDefault="00614AE5" w:rsidP="00DE415F">
      <w:pPr>
        <w:ind w:firstLine="720"/>
        <w:jc w:val="both"/>
      </w:pPr>
      <w:r>
        <w:t>Попытки у</w:t>
      </w:r>
      <w:r w:rsidRPr="00623202">
        <w:t>чреждени</w:t>
      </w:r>
      <w:r>
        <w:t>я</w:t>
      </w:r>
      <w:r w:rsidRPr="00623202">
        <w:t xml:space="preserve"> </w:t>
      </w:r>
      <w:r>
        <w:t>инициировать нормативное закрепление порядка</w:t>
      </w:r>
      <w:r w:rsidRPr="00623202">
        <w:t xml:space="preserve"> </w:t>
      </w:r>
      <w:r w:rsidR="00093D5E">
        <w:t xml:space="preserve">(нормирования) </w:t>
      </w:r>
      <w:r>
        <w:t>авто</w:t>
      </w:r>
      <w:r w:rsidRPr="00623202">
        <w:t>транспортного обеспечения органов власти Волгоградской области</w:t>
      </w:r>
      <w:r>
        <w:t xml:space="preserve"> результата не принесли.</w:t>
      </w:r>
    </w:p>
    <w:p w:rsidR="00DE415F" w:rsidRDefault="00DC7734" w:rsidP="00DE415F">
      <w:pPr>
        <w:autoSpaceDE w:val="0"/>
        <w:autoSpaceDN w:val="0"/>
        <w:adjustRightInd w:val="0"/>
        <w:ind w:firstLine="720"/>
        <w:jc w:val="both"/>
      </w:pPr>
      <w:r>
        <w:t>8</w:t>
      </w:r>
      <w:r w:rsidR="00093D5E">
        <w:t xml:space="preserve">. В структуре ГБУ «Исполнительная дирекция» присутствует подразделение, предназначенное для </w:t>
      </w:r>
      <w:r w:rsidR="00093D5E" w:rsidRPr="00623202">
        <w:t>ремонтно</w:t>
      </w:r>
      <w:r w:rsidR="00093D5E">
        <w:t>го</w:t>
      </w:r>
      <w:r w:rsidR="00093D5E" w:rsidRPr="00623202">
        <w:t>, сервисно</w:t>
      </w:r>
      <w:r w:rsidR="00093D5E">
        <w:t>го</w:t>
      </w:r>
      <w:r w:rsidR="00093D5E" w:rsidRPr="00623202">
        <w:t xml:space="preserve"> и техническо</w:t>
      </w:r>
      <w:r w:rsidR="00093D5E">
        <w:t>го</w:t>
      </w:r>
      <w:r w:rsidR="00093D5E" w:rsidRPr="00623202">
        <w:t xml:space="preserve"> обслуживани</w:t>
      </w:r>
      <w:r w:rsidR="00093D5E">
        <w:t>я</w:t>
      </w:r>
      <w:r w:rsidR="00093D5E" w:rsidRPr="00623202">
        <w:t xml:space="preserve"> автотранспортных средств</w:t>
      </w:r>
      <w:r w:rsidR="007911C5">
        <w:t>,</w:t>
      </w:r>
      <w:r w:rsidR="00093D5E">
        <w:t xml:space="preserve"> – ремонтно-механическая мастерская (РММ) штатной численностью 36 штатных единиц. РММ оснащена оборудованием и имеет в штате работников всех специальностей для выполнения подавляющего большинства работ и способна выполнять такие работы.</w:t>
      </w:r>
    </w:p>
    <w:p w:rsidR="001E1FE1" w:rsidRDefault="00093D5E" w:rsidP="001E1FE1">
      <w:pPr>
        <w:ind w:firstLine="720"/>
        <w:jc w:val="both"/>
      </w:pPr>
      <w:r>
        <w:t>Однако организация и учёт производственных процессов технического обслуживания и ремонта автомобилей не отвечают современным требованиям.</w:t>
      </w:r>
      <w:r w:rsidR="001E1FE1" w:rsidRPr="001E1FE1">
        <w:t xml:space="preserve"> </w:t>
      </w:r>
      <w:r w:rsidR="001E1FE1">
        <w:t>В</w:t>
      </w:r>
      <w:r w:rsidR="001E1FE1" w:rsidRPr="00623202">
        <w:t xml:space="preserve"> </w:t>
      </w:r>
      <w:r w:rsidR="001E1FE1">
        <w:t>у</w:t>
      </w:r>
      <w:r w:rsidR="001E1FE1" w:rsidRPr="00623202">
        <w:t>чреждении отсутствует система прогнозирования потребности в запасных частях и планирования складских остатков. Также не установлен оптимальный (</w:t>
      </w:r>
      <w:r w:rsidR="001E1FE1" w:rsidRPr="00623202">
        <w:rPr>
          <w:lang w:eastAsia="en-US"/>
        </w:rPr>
        <w:t>минимальный) неснижаемый запас агрегатов, узлов, деталей</w:t>
      </w:r>
      <w:r w:rsidR="001E1FE1">
        <w:rPr>
          <w:lang w:eastAsia="en-US"/>
        </w:rPr>
        <w:t xml:space="preserve"> и расходных материалов</w:t>
      </w:r>
      <w:r w:rsidR="001E1FE1" w:rsidRPr="00623202">
        <w:rPr>
          <w:lang w:eastAsia="en-US"/>
        </w:rPr>
        <w:t xml:space="preserve">. </w:t>
      </w:r>
      <w:r w:rsidR="001E1FE1" w:rsidRPr="00623202">
        <w:t>Факт наличия остатков запасных частей на сумму</w:t>
      </w:r>
      <w:r w:rsidR="007911C5">
        <w:t>,</w:t>
      </w:r>
      <w:r w:rsidR="001E1FE1" w:rsidRPr="00623202">
        <w:t xml:space="preserve"> сопоставимую или превышающую их годовой оборот, отсутствие ритмичных закупок необходимых запасных частей свидетельствует о существенных проблемах в планировании и организации мероприятий по содержанию автомобильного парка</w:t>
      </w:r>
      <w:r w:rsidR="001E1FE1">
        <w:t>,</w:t>
      </w:r>
      <w:r w:rsidR="001E1FE1" w:rsidRPr="00623202">
        <w:t xml:space="preserve"> </w:t>
      </w:r>
      <w:r w:rsidR="001E1FE1">
        <w:t xml:space="preserve">приводят к сбоям при автотранспортном обслуживании государственных органов Волгоградской </w:t>
      </w:r>
      <w:r w:rsidR="001E1FE1" w:rsidRPr="00623202">
        <w:t xml:space="preserve">и </w:t>
      </w:r>
      <w:r w:rsidR="001E1FE1">
        <w:t xml:space="preserve">не позволяют </w:t>
      </w:r>
      <w:r w:rsidR="001E1FE1" w:rsidRPr="00623202">
        <w:t xml:space="preserve">в </w:t>
      </w:r>
      <w:r w:rsidR="001E1FE1">
        <w:t>достаточной степени</w:t>
      </w:r>
      <w:r w:rsidR="001E1FE1" w:rsidRPr="00623202">
        <w:t xml:space="preserve"> реализ</w:t>
      </w:r>
      <w:r w:rsidR="001E1FE1">
        <w:t>овать</w:t>
      </w:r>
      <w:r w:rsidR="001E1FE1" w:rsidRPr="00623202">
        <w:t xml:space="preserve"> принцип эффективности использования бюджетных средств, установленн</w:t>
      </w:r>
      <w:r w:rsidR="001E1FE1">
        <w:t>ый</w:t>
      </w:r>
      <w:r w:rsidR="001E1FE1" w:rsidRPr="00623202">
        <w:t xml:space="preserve"> ст. 34 БК РФ.</w:t>
      </w:r>
    </w:p>
    <w:p w:rsidR="001E1FE1" w:rsidRPr="00623202" w:rsidRDefault="00DC7734" w:rsidP="001E1FE1">
      <w:pPr>
        <w:ind w:firstLine="680"/>
        <w:jc w:val="both"/>
      </w:pPr>
      <w:r>
        <w:lastRenderedPageBreak/>
        <w:t>9</w:t>
      </w:r>
      <w:r w:rsidR="001E1FE1">
        <w:t>.</w:t>
      </w:r>
      <w:r w:rsidR="001E1FE1" w:rsidRPr="001E1FE1">
        <w:t xml:space="preserve"> </w:t>
      </w:r>
      <w:r w:rsidR="001E1FE1">
        <w:t>О</w:t>
      </w:r>
      <w:r w:rsidR="001E1FE1" w:rsidRPr="00623202">
        <w:t>тсутствие надлежащей системы планирования и прогнозирования закупки запчастей привело в середине 2014 года к возникновению  кризисной</w:t>
      </w:r>
      <w:r w:rsidR="007911C5">
        <w:t xml:space="preserve"> </w:t>
      </w:r>
      <w:r w:rsidR="001E1FE1" w:rsidRPr="00623202">
        <w:t xml:space="preserve">ситуации – около 1/3 автопарка учреждения нуждалось в ремонте. К началу 2015 года ситуация локализована – количество ремонтопотребности сократилось до 15% парка. </w:t>
      </w:r>
      <w:r w:rsidR="001E1FE1">
        <w:t>Однако н</w:t>
      </w:r>
      <w:r w:rsidR="001E1FE1" w:rsidRPr="00623202">
        <w:t>адлежащей работы по повышению оптимальности закупки запчастей не проведено. В 2015 году закупка запчастей в требуемых объёмах не организована, усилия сконцетрированы на закупке услуг по ремон</w:t>
      </w:r>
      <w:r w:rsidR="00CD7A2B">
        <w:t>ту у сторонних организаций, что</w:t>
      </w:r>
      <w:r w:rsidR="001E1FE1" w:rsidRPr="00623202">
        <w:t xml:space="preserve"> в совокупности с уменьшени</w:t>
      </w:r>
      <w:r w:rsidR="00CD7A2B">
        <w:t>ем объёмов работ по госсзаданию</w:t>
      </w:r>
      <w:r w:rsidR="001E1FE1" w:rsidRPr="00623202">
        <w:t xml:space="preserve"> привело к уменьшению загрузки </w:t>
      </w:r>
      <w:r w:rsidR="00311F59">
        <w:t xml:space="preserve">достаточно оснащённой и укомплектованной </w:t>
      </w:r>
      <w:r w:rsidR="001E1FE1" w:rsidRPr="00623202">
        <w:t xml:space="preserve">РММ учреждения порядка на 20% по сравнению с 2014 годом. Объем </w:t>
      </w:r>
      <w:r w:rsidR="00EC5F38">
        <w:t>услуг</w:t>
      </w:r>
      <w:r w:rsidR="001E1FE1" w:rsidRPr="00623202">
        <w:t xml:space="preserve"> по ремонту автопарка у сторонних организаций (без учета стоимости запчастей) увеличился с 484,5 тыс. руб. в 2014 году до 1451,3 тыс. руб. в 2015 году, или в 3 раза. </w:t>
      </w:r>
      <w:r w:rsidR="00311F59">
        <w:t>Существенное увеличение закупки услуг по ремонту автомобилей на стороне при наличии собственной, не полностью загруженной ремонтной базы привело к тому, что с</w:t>
      </w:r>
      <w:r w:rsidR="001E1FE1" w:rsidRPr="00623202">
        <w:t xml:space="preserve">редства областного бюджета в сумме </w:t>
      </w:r>
      <w:r w:rsidR="00EC5F38">
        <w:t>966,8</w:t>
      </w:r>
      <w:r w:rsidR="001E1FE1" w:rsidRPr="00623202">
        <w:t xml:space="preserve"> тыс. руб. использованы неэффективно, принцип эффективности использования бюджетных средств, установленный ст. 34 БК РФ, реализован не в полной мере.</w:t>
      </w:r>
    </w:p>
    <w:p w:rsidR="00311F59" w:rsidRDefault="00311F59" w:rsidP="00311F59">
      <w:pPr>
        <w:ind w:firstLine="720"/>
        <w:jc w:val="both"/>
      </w:pPr>
      <w:r>
        <w:t>1</w:t>
      </w:r>
      <w:r w:rsidR="00DC7734">
        <w:t>0</w:t>
      </w:r>
      <w:r>
        <w:t>. И</w:t>
      </w:r>
      <w:r w:rsidR="00DE415F" w:rsidRPr="00623202">
        <w:t>сследование вопросов соблюдения законодательства о контрактной системе выявлены признаки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311F59" w:rsidRDefault="00311F59" w:rsidP="00311F59">
      <w:pPr>
        <w:ind w:firstLine="720"/>
        <w:jc w:val="both"/>
      </w:pPr>
    </w:p>
    <w:p w:rsidR="002A1678" w:rsidRDefault="00B12A38" w:rsidP="00987091">
      <w:pPr>
        <w:ind w:firstLine="720"/>
        <w:jc w:val="both"/>
        <w:rPr>
          <w:b/>
          <w:i/>
        </w:rPr>
      </w:pPr>
      <w:r w:rsidRPr="00987091">
        <w:rPr>
          <w:b/>
          <w:i/>
        </w:rPr>
        <w:t>Предложения:</w:t>
      </w:r>
    </w:p>
    <w:p w:rsidR="00DD6765" w:rsidRPr="005C0A41" w:rsidRDefault="00DD6765" w:rsidP="005C0A41">
      <w:pPr>
        <w:ind w:firstLine="720"/>
        <w:jc w:val="both"/>
        <w:rPr>
          <w:i/>
        </w:rPr>
      </w:pPr>
      <w:r w:rsidRPr="005C0A41">
        <w:rPr>
          <w:i/>
        </w:rPr>
        <w:t>Аппарату Губернатора Волгоградской области:</w:t>
      </w:r>
    </w:p>
    <w:p w:rsidR="00DD6765" w:rsidRPr="005C0A41" w:rsidRDefault="005C0A41" w:rsidP="005C0A41">
      <w:pPr>
        <w:pStyle w:val="af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C0A41">
        <w:rPr>
          <w:rFonts w:ascii="Times New Roman" w:hAnsi="Times New Roman" w:cs="Times New Roman"/>
        </w:rPr>
        <w:t>Инициировать (утвердить) правовое закрепление норм (нормативов) положенности обеспечения транспортными услугами (автотранспортными средствами) должностных лиц и органов исполнительной власти Волгоградской области.</w:t>
      </w:r>
    </w:p>
    <w:p w:rsidR="005C0A41" w:rsidRPr="00F11B4A" w:rsidRDefault="005C0A41" w:rsidP="005C0A41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B4A">
        <w:rPr>
          <w:rFonts w:ascii="Times New Roman" w:hAnsi="Times New Roman" w:cs="Times New Roman"/>
          <w:sz w:val="24"/>
          <w:szCs w:val="24"/>
        </w:rPr>
        <w:t>Рассмотреть вопрос о сокращении количества заместителей генерального директора учреждения.</w:t>
      </w:r>
    </w:p>
    <w:p w:rsidR="005C0A41" w:rsidRDefault="005C0A41" w:rsidP="005C0A41">
      <w:pPr>
        <w:ind w:firstLine="720"/>
        <w:jc w:val="both"/>
        <w:rPr>
          <w:b/>
          <w:i/>
        </w:rPr>
      </w:pPr>
    </w:p>
    <w:p w:rsidR="00DD6765" w:rsidRPr="00DD6765" w:rsidRDefault="00DD6765" w:rsidP="005C0A41">
      <w:pPr>
        <w:ind w:firstLine="720"/>
        <w:jc w:val="both"/>
        <w:rPr>
          <w:i/>
        </w:rPr>
      </w:pPr>
      <w:r w:rsidRPr="00DD6765">
        <w:rPr>
          <w:i/>
        </w:rPr>
        <w:t>ГБУ «Исполнительная дирекция:</w:t>
      </w:r>
    </w:p>
    <w:p w:rsidR="00B12A38" w:rsidRPr="00987091" w:rsidRDefault="00B12A38" w:rsidP="005C0A41">
      <w:pPr>
        <w:pStyle w:val="af1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091"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бюджетных средств разработать и реализовать комплекс мер, направленных на:</w:t>
      </w:r>
    </w:p>
    <w:p w:rsidR="00B12A38" w:rsidRPr="00987091" w:rsidRDefault="0075289C" w:rsidP="005C0A41">
      <w:pPr>
        <w:pStyle w:val="af1"/>
        <w:numPr>
          <w:ilvl w:val="1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091">
        <w:rPr>
          <w:rFonts w:ascii="Times New Roman" w:hAnsi="Times New Roman" w:cs="Times New Roman"/>
          <w:sz w:val="24"/>
          <w:szCs w:val="24"/>
        </w:rPr>
        <w:t>Снижение (сдерживание темпов роста) нормативных затрат на выполнение государственной работы по автотранспортному обеспечению.</w:t>
      </w:r>
    </w:p>
    <w:p w:rsidR="00856A9F" w:rsidRPr="00987091" w:rsidRDefault="00DD6765" w:rsidP="005C0A41">
      <w:pPr>
        <w:pStyle w:val="af1"/>
        <w:numPr>
          <w:ilvl w:val="1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п</w:t>
      </w:r>
      <w:r w:rsidR="00856A9F" w:rsidRPr="00987091">
        <w:rPr>
          <w:rFonts w:ascii="Times New Roman" w:hAnsi="Times New Roman" w:cs="Times New Roman"/>
          <w:sz w:val="24"/>
          <w:szCs w:val="24"/>
        </w:rPr>
        <w:t>равово</w:t>
      </w:r>
      <w:r w:rsidR="005C0A41">
        <w:rPr>
          <w:rFonts w:ascii="Times New Roman" w:hAnsi="Times New Roman" w:cs="Times New Roman"/>
          <w:sz w:val="24"/>
          <w:szCs w:val="24"/>
        </w:rPr>
        <w:t>го</w:t>
      </w:r>
      <w:r w:rsidR="00856A9F" w:rsidRPr="00987091">
        <w:rPr>
          <w:rFonts w:ascii="Times New Roman" w:hAnsi="Times New Roman" w:cs="Times New Roman"/>
          <w:sz w:val="24"/>
          <w:szCs w:val="24"/>
        </w:rPr>
        <w:t xml:space="preserve"> закреплени</w:t>
      </w:r>
      <w:r w:rsidR="005C0A41">
        <w:rPr>
          <w:rFonts w:ascii="Times New Roman" w:hAnsi="Times New Roman" w:cs="Times New Roman"/>
          <w:sz w:val="24"/>
          <w:szCs w:val="24"/>
        </w:rPr>
        <w:t>я</w:t>
      </w:r>
      <w:r w:rsidR="00856A9F" w:rsidRPr="00987091">
        <w:rPr>
          <w:rFonts w:ascii="Times New Roman" w:hAnsi="Times New Roman" w:cs="Times New Roman"/>
          <w:sz w:val="24"/>
          <w:szCs w:val="24"/>
        </w:rPr>
        <w:t xml:space="preserve"> норм (норматив</w:t>
      </w:r>
      <w:r w:rsidR="00987091" w:rsidRPr="00987091">
        <w:rPr>
          <w:rFonts w:ascii="Times New Roman" w:hAnsi="Times New Roman" w:cs="Times New Roman"/>
          <w:sz w:val="24"/>
          <w:szCs w:val="24"/>
        </w:rPr>
        <w:t>ов</w:t>
      </w:r>
      <w:r w:rsidR="00856A9F" w:rsidRPr="00987091">
        <w:rPr>
          <w:rFonts w:ascii="Times New Roman" w:hAnsi="Times New Roman" w:cs="Times New Roman"/>
          <w:sz w:val="24"/>
          <w:szCs w:val="24"/>
        </w:rPr>
        <w:t>) положенности обеспечения транспортными услугами (автотранспортными средствами) должностных лиц и органов исполнительной власти Волгоградской области.</w:t>
      </w:r>
    </w:p>
    <w:p w:rsidR="00987091" w:rsidRPr="00987091" w:rsidRDefault="00987091" w:rsidP="00987091">
      <w:pPr>
        <w:pStyle w:val="af1"/>
        <w:numPr>
          <w:ilvl w:val="1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87091">
        <w:rPr>
          <w:rFonts w:ascii="Times New Roman" w:hAnsi="Times New Roman" w:cs="Times New Roman"/>
          <w:sz w:val="24"/>
          <w:szCs w:val="24"/>
        </w:rPr>
        <w:t xml:space="preserve">адлежащую </w:t>
      </w:r>
      <w:r w:rsidR="00856A9F" w:rsidRPr="00987091">
        <w:rPr>
          <w:rFonts w:ascii="Times New Roman" w:hAnsi="Times New Roman" w:cs="Times New Roman"/>
          <w:sz w:val="24"/>
          <w:szCs w:val="24"/>
        </w:rPr>
        <w:t>организаци</w:t>
      </w:r>
      <w:r w:rsidRPr="00987091">
        <w:rPr>
          <w:rFonts w:ascii="Times New Roman" w:hAnsi="Times New Roman" w:cs="Times New Roman"/>
          <w:sz w:val="24"/>
          <w:szCs w:val="24"/>
        </w:rPr>
        <w:t>ю</w:t>
      </w:r>
      <w:r w:rsidR="00856A9F" w:rsidRPr="00987091">
        <w:rPr>
          <w:rFonts w:ascii="Times New Roman" w:hAnsi="Times New Roman" w:cs="Times New Roman"/>
          <w:sz w:val="24"/>
          <w:szCs w:val="24"/>
        </w:rPr>
        <w:t xml:space="preserve"> и учёт производственных процессов технического обслуживания и ремонта автомобилей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091" w:rsidRPr="00987091" w:rsidRDefault="00987091" w:rsidP="00987091">
      <w:pPr>
        <w:pStyle w:val="af1"/>
        <w:numPr>
          <w:ilvl w:val="1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87091">
        <w:rPr>
          <w:rFonts w:ascii="Times New Roman" w:hAnsi="Times New Roman" w:cs="Times New Roman"/>
          <w:sz w:val="24"/>
          <w:szCs w:val="24"/>
        </w:rPr>
        <w:t>оздание и внедрение</w:t>
      </w:r>
      <w:r w:rsidR="00856A9F" w:rsidRPr="00987091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987091">
        <w:rPr>
          <w:rFonts w:ascii="Times New Roman" w:hAnsi="Times New Roman" w:cs="Times New Roman"/>
          <w:sz w:val="24"/>
          <w:szCs w:val="24"/>
        </w:rPr>
        <w:t>ы</w:t>
      </w:r>
      <w:r w:rsidR="00856A9F" w:rsidRPr="00987091">
        <w:rPr>
          <w:rFonts w:ascii="Times New Roman" w:hAnsi="Times New Roman" w:cs="Times New Roman"/>
          <w:sz w:val="24"/>
          <w:szCs w:val="24"/>
        </w:rPr>
        <w:t xml:space="preserve"> прогнозирования потребности в запасных частях и планирования складских остатков.</w:t>
      </w:r>
    </w:p>
    <w:p w:rsidR="00987091" w:rsidRPr="00DD6765" w:rsidRDefault="00987091" w:rsidP="00DD6765">
      <w:pPr>
        <w:pStyle w:val="af1"/>
        <w:numPr>
          <w:ilvl w:val="1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091">
        <w:rPr>
          <w:rFonts w:ascii="Times New Roman" w:hAnsi="Times New Roman" w:cs="Times New Roman"/>
          <w:sz w:val="24"/>
          <w:szCs w:val="24"/>
        </w:rPr>
        <w:t xml:space="preserve">Реализацию комплексного подхода к обслуживанию и ремонту автопарка (собственными силами и путём закупки услуг сторонних организации) при обеспечении </w:t>
      </w:r>
      <w:r w:rsidRPr="00DD6765">
        <w:rPr>
          <w:rFonts w:ascii="Times New Roman" w:hAnsi="Times New Roman" w:cs="Times New Roman"/>
          <w:sz w:val="24"/>
          <w:szCs w:val="24"/>
        </w:rPr>
        <w:t>максимальной загрузки ремонтной базы учреждения.</w:t>
      </w:r>
    </w:p>
    <w:p w:rsidR="00DD6765" w:rsidRPr="00DD6765" w:rsidRDefault="00DD6765" w:rsidP="00DD6765">
      <w:pPr>
        <w:pStyle w:val="af1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6765">
        <w:rPr>
          <w:rFonts w:ascii="Times New Roman" w:hAnsi="Times New Roman" w:cs="Times New Roman"/>
          <w:sz w:val="24"/>
          <w:szCs w:val="24"/>
        </w:rPr>
        <w:t>Рассмотреть вопрос о сокращении количества заместителей генерального директора учреждения.</w:t>
      </w:r>
    </w:p>
    <w:p w:rsidR="00DD6765" w:rsidRPr="00DD6765" w:rsidRDefault="00DD6765" w:rsidP="00DD6765">
      <w:pPr>
        <w:pStyle w:val="af1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6765">
        <w:rPr>
          <w:rFonts w:ascii="Times New Roman" w:hAnsi="Times New Roman"/>
          <w:sz w:val="24"/>
          <w:szCs w:val="24"/>
        </w:rPr>
        <w:t xml:space="preserve">Не допускать назначения на должности лиц, не соответствующих </w:t>
      </w:r>
      <w:r w:rsidRPr="00DD6765">
        <w:rPr>
          <w:rFonts w:ascii="Times New Roman" w:hAnsi="Times New Roman" w:cs="Times New Roman"/>
          <w:sz w:val="24"/>
          <w:szCs w:val="24"/>
        </w:rPr>
        <w:t>квалификационным требованиям к образованию или опыту работы, установленных должностными инструкциями.</w:t>
      </w:r>
    </w:p>
    <w:p w:rsidR="00DD6765" w:rsidRPr="00DD6765" w:rsidRDefault="00DD6765" w:rsidP="00DD6765">
      <w:pPr>
        <w:pStyle w:val="af1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6765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Обеспечить выплату материальной помощи работникам учреждения в </w:t>
      </w:r>
      <w:r w:rsidR="005C0A41">
        <w:rPr>
          <w:rFonts w:ascii="Times New Roman" w:hAnsi="Times New Roman" w:cs="Times New Roman"/>
          <w:sz w:val="24"/>
          <w:szCs w:val="24"/>
          <w:lang w:eastAsia="en-US"/>
        </w:rPr>
        <w:t>размере</w:t>
      </w:r>
      <w:r w:rsidRPr="00DD6765">
        <w:rPr>
          <w:rFonts w:ascii="Times New Roman" w:hAnsi="Times New Roman" w:cs="Times New Roman"/>
          <w:sz w:val="24"/>
          <w:szCs w:val="24"/>
          <w:lang w:eastAsia="en-US"/>
        </w:rPr>
        <w:t>, установленн</w:t>
      </w:r>
      <w:r w:rsidR="005C0A41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DD6765">
        <w:rPr>
          <w:rFonts w:ascii="Times New Roman" w:hAnsi="Times New Roman" w:cs="Times New Roman"/>
          <w:sz w:val="24"/>
          <w:szCs w:val="24"/>
          <w:lang w:eastAsia="en-US"/>
        </w:rPr>
        <w:t xml:space="preserve"> п. 6.1 </w:t>
      </w:r>
      <w:hyperlink w:anchor="sub_1000" w:history="1">
        <w:r w:rsidRPr="00DD6765">
          <w:rPr>
            <w:rFonts w:ascii="Times New Roman" w:eastAsia="Calibri" w:hAnsi="Times New Roman" w:cs="Times New Roman"/>
            <w:sz w:val="24"/>
            <w:szCs w:val="24"/>
          </w:rPr>
          <w:t>Положения</w:t>
        </w:r>
      </w:hyperlink>
      <w:r w:rsidRPr="00DD6765">
        <w:rPr>
          <w:rFonts w:ascii="Times New Roman" w:eastAsia="Calibri" w:hAnsi="Times New Roman" w:cs="Times New Roman"/>
          <w:sz w:val="24"/>
          <w:szCs w:val="24"/>
        </w:rPr>
        <w:t xml:space="preserve"> об оплате труда работников ГБУ «Исполнительная дирекция», утверждённого постановлением Администрации Волгоградской области от 01.03.2010 № 40-п</w:t>
      </w:r>
      <w:r w:rsidR="00327811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B6017">
        <w:rPr>
          <w:rFonts w:ascii="Times New Roman" w:hAnsi="Times New Roman" w:cs="Times New Roman"/>
          <w:sz w:val="24"/>
          <w:szCs w:val="24"/>
          <w:lang w:eastAsia="en-US"/>
        </w:rPr>
        <w:t xml:space="preserve"> Рассмотреть вопрос о привлечении к ответственности виновных лиц. </w:t>
      </w:r>
    </w:p>
    <w:p w:rsidR="002A1678" w:rsidRDefault="002A1678" w:rsidP="00311F59">
      <w:pPr>
        <w:ind w:firstLine="720"/>
        <w:jc w:val="both"/>
      </w:pPr>
    </w:p>
    <w:p w:rsidR="00311F59" w:rsidRPr="00311F59" w:rsidRDefault="00311F59" w:rsidP="00311F59">
      <w:pPr>
        <w:ind w:firstLine="720"/>
        <w:jc w:val="both"/>
        <w:rPr>
          <w:b/>
          <w:i/>
        </w:rPr>
      </w:pPr>
      <w:r w:rsidRPr="00311F59">
        <w:rPr>
          <w:b/>
          <w:i/>
        </w:rPr>
        <w:t>Аудитор</w:t>
      </w:r>
      <w:r w:rsidRPr="00311F59">
        <w:rPr>
          <w:b/>
          <w:i/>
        </w:rPr>
        <w:tab/>
      </w:r>
      <w:r w:rsidRPr="00311F59">
        <w:rPr>
          <w:b/>
          <w:i/>
        </w:rPr>
        <w:tab/>
      </w:r>
      <w:r w:rsidRPr="00311F59">
        <w:rPr>
          <w:b/>
          <w:i/>
        </w:rPr>
        <w:tab/>
      </w:r>
      <w:r w:rsidRPr="00311F59">
        <w:rPr>
          <w:b/>
          <w:i/>
        </w:rPr>
        <w:tab/>
      </w:r>
      <w:r w:rsidRPr="00311F59">
        <w:rPr>
          <w:b/>
          <w:i/>
        </w:rPr>
        <w:tab/>
      </w:r>
      <w:r w:rsidRPr="00311F59">
        <w:rPr>
          <w:b/>
          <w:i/>
        </w:rPr>
        <w:tab/>
      </w:r>
      <w:r w:rsidRPr="00311F59">
        <w:rPr>
          <w:b/>
          <w:i/>
        </w:rPr>
        <w:tab/>
      </w:r>
      <w:r w:rsidRPr="00311F59">
        <w:rPr>
          <w:b/>
          <w:i/>
        </w:rPr>
        <w:tab/>
        <w:t>Н.Л.Ноздрюхина</w:t>
      </w:r>
    </w:p>
    <w:sectPr w:rsidR="00311F59" w:rsidRPr="00311F59" w:rsidSect="005C0A41">
      <w:headerReference w:type="even" r:id="rId12"/>
      <w:headerReference w:type="default" r:id="rId13"/>
      <w:pgSz w:w="11906" w:h="16838"/>
      <w:pgMar w:top="1276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D78" w:rsidRDefault="005C4D78" w:rsidP="00CB4894">
      <w:r>
        <w:separator/>
      </w:r>
    </w:p>
  </w:endnote>
  <w:endnote w:type="continuationSeparator" w:id="1">
    <w:p w:rsidR="005C4D78" w:rsidRDefault="005C4D78" w:rsidP="00CB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D78" w:rsidRDefault="005C4D78" w:rsidP="00CB4894">
      <w:r>
        <w:separator/>
      </w:r>
    </w:p>
  </w:footnote>
  <w:footnote w:type="continuationSeparator" w:id="1">
    <w:p w:rsidR="005C4D78" w:rsidRDefault="005C4D78" w:rsidP="00CB4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17" w:rsidRDefault="007B6017" w:rsidP="00B4349B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B6017" w:rsidRDefault="007B60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17" w:rsidRDefault="007B6017" w:rsidP="00B4349B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34430">
      <w:rPr>
        <w:rStyle w:val="af"/>
        <w:noProof/>
      </w:rPr>
      <w:t>14</w:t>
    </w:r>
    <w:r>
      <w:rPr>
        <w:rStyle w:val="af"/>
      </w:rPr>
      <w:fldChar w:fldCharType="end"/>
    </w:r>
  </w:p>
  <w:p w:rsidR="007B6017" w:rsidRDefault="007B6017">
    <w:pPr>
      <w:pStyle w:val="a7"/>
      <w:jc w:val="center"/>
    </w:pPr>
  </w:p>
  <w:p w:rsidR="007B6017" w:rsidRDefault="007B60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EC"/>
    <w:multiLevelType w:val="hybridMultilevel"/>
    <w:tmpl w:val="DBF86652"/>
    <w:lvl w:ilvl="0" w:tplc="04190001">
      <w:start w:val="2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B0B17"/>
    <w:multiLevelType w:val="multilevel"/>
    <w:tmpl w:val="D854C5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5312319B"/>
    <w:multiLevelType w:val="hybridMultilevel"/>
    <w:tmpl w:val="EB547652"/>
    <w:lvl w:ilvl="0" w:tplc="662AD54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5B040187"/>
    <w:multiLevelType w:val="hybridMultilevel"/>
    <w:tmpl w:val="A762C3EA"/>
    <w:lvl w:ilvl="0" w:tplc="041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4">
    <w:nsid w:val="623E3EF8"/>
    <w:multiLevelType w:val="hybridMultilevel"/>
    <w:tmpl w:val="89620054"/>
    <w:lvl w:ilvl="0" w:tplc="79A8AD08">
      <w:start w:val="3"/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CD66403"/>
    <w:multiLevelType w:val="hybridMultilevel"/>
    <w:tmpl w:val="C8701DA4"/>
    <w:lvl w:ilvl="0" w:tplc="23E8F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600"/>
    <w:rsid w:val="00001955"/>
    <w:rsid w:val="00001B83"/>
    <w:rsid w:val="00003D20"/>
    <w:rsid w:val="00004E13"/>
    <w:rsid w:val="00005DAE"/>
    <w:rsid w:val="0000688D"/>
    <w:rsid w:val="00006C37"/>
    <w:rsid w:val="00006EEE"/>
    <w:rsid w:val="00006F0D"/>
    <w:rsid w:val="00010E02"/>
    <w:rsid w:val="0001298D"/>
    <w:rsid w:val="00012F81"/>
    <w:rsid w:val="00014533"/>
    <w:rsid w:val="00014A51"/>
    <w:rsid w:val="00016835"/>
    <w:rsid w:val="000170AA"/>
    <w:rsid w:val="00017E38"/>
    <w:rsid w:val="00020230"/>
    <w:rsid w:val="00022621"/>
    <w:rsid w:val="00023FC7"/>
    <w:rsid w:val="0002491B"/>
    <w:rsid w:val="0002532D"/>
    <w:rsid w:val="00025977"/>
    <w:rsid w:val="000311E0"/>
    <w:rsid w:val="000312BF"/>
    <w:rsid w:val="000321C0"/>
    <w:rsid w:val="0003656A"/>
    <w:rsid w:val="0003656C"/>
    <w:rsid w:val="00037FE6"/>
    <w:rsid w:val="00041C5A"/>
    <w:rsid w:val="000441C4"/>
    <w:rsid w:val="00044E18"/>
    <w:rsid w:val="00052713"/>
    <w:rsid w:val="00054B9B"/>
    <w:rsid w:val="00056160"/>
    <w:rsid w:val="000623ED"/>
    <w:rsid w:val="00063C84"/>
    <w:rsid w:val="00065614"/>
    <w:rsid w:val="00070D73"/>
    <w:rsid w:val="0007124D"/>
    <w:rsid w:val="0007654F"/>
    <w:rsid w:val="000813E3"/>
    <w:rsid w:val="00081C85"/>
    <w:rsid w:val="000825E0"/>
    <w:rsid w:val="00083B76"/>
    <w:rsid w:val="000844C6"/>
    <w:rsid w:val="000849BD"/>
    <w:rsid w:val="00087C1B"/>
    <w:rsid w:val="00087C80"/>
    <w:rsid w:val="00092973"/>
    <w:rsid w:val="00092E77"/>
    <w:rsid w:val="00093D5E"/>
    <w:rsid w:val="000957FE"/>
    <w:rsid w:val="000A0126"/>
    <w:rsid w:val="000A157E"/>
    <w:rsid w:val="000A5113"/>
    <w:rsid w:val="000A5A53"/>
    <w:rsid w:val="000A5DEA"/>
    <w:rsid w:val="000A6AB7"/>
    <w:rsid w:val="000A77F3"/>
    <w:rsid w:val="000B03B2"/>
    <w:rsid w:val="000B1598"/>
    <w:rsid w:val="000B5830"/>
    <w:rsid w:val="000B71BF"/>
    <w:rsid w:val="000B7AC8"/>
    <w:rsid w:val="000C2A58"/>
    <w:rsid w:val="000C2E09"/>
    <w:rsid w:val="000D366A"/>
    <w:rsid w:val="000D3963"/>
    <w:rsid w:val="000D3B0A"/>
    <w:rsid w:val="000D3B9C"/>
    <w:rsid w:val="000D3DEC"/>
    <w:rsid w:val="000D6E2D"/>
    <w:rsid w:val="000E12FE"/>
    <w:rsid w:val="000E17A6"/>
    <w:rsid w:val="000E26CD"/>
    <w:rsid w:val="000E4EFF"/>
    <w:rsid w:val="000E59A3"/>
    <w:rsid w:val="000E75E7"/>
    <w:rsid w:val="000E7BCA"/>
    <w:rsid w:val="000F050F"/>
    <w:rsid w:val="000F26C1"/>
    <w:rsid w:val="000F28A3"/>
    <w:rsid w:val="000F4035"/>
    <w:rsid w:val="000F40F1"/>
    <w:rsid w:val="000F68DB"/>
    <w:rsid w:val="00102690"/>
    <w:rsid w:val="00104BFD"/>
    <w:rsid w:val="00110622"/>
    <w:rsid w:val="001111EE"/>
    <w:rsid w:val="0011214D"/>
    <w:rsid w:val="00113843"/>
    <w:rsid w:val="00113B48"/>
    <w:rsid w:val="00114A28"/>
    <w:rsid w:val="00114F75"/>
    <w:rsid w:val="00114F7F"/>
    <w:rsid w:val="00115EEF"/>
    <w:rsid w:val="001232A8"/>
    <w:rsid w:val="00123BDF"/>
    <w:rsid w:val="00124E38"/>
    <w:rsid w:val="00126571"/>
    <w:rsid w:val="001304F5"/>
    <w:rsid w:val="00130803"/>
    <w:rsid w:val="00130EF5"/>
    <w:rsid w:val="0013129E"/>
    <w:rsid w:val="001329A2"/>
    <w:rsid w:val="00134C20"/>
    <w:rsid w:val="00135361"/>
    <w:rsid w:val="0013559F"/>
    <w:rsid w:val="00135E2A"/>
    <w:rsid w:val="001366C3"/>
    <w:rsid w:val="0014154E"/>
    <w:rsid w:val="00141C46"/>
    <w:rsid w:val="00141C73"/>
    <w:rsid w:val="00144856"/>
    <w:rsid w:val="00146C91"/>
    <w:rsid w:val="00147518"/>
    <w:rsid w:val="00147592"/>
    <w:rsid w:val="00153641"/>
    <w:rsid w:val="00153F2A"/>
    <w:rsid w:val="00154F24"/>
    <w:rsid w:val="00155E69"/>
    <w:rsid w:val="00157788"/>
    <w:rsid w:val="0016081B"/>
    <w:rsid w:val="00160837"/>
    <w:rsid w:val="00165176"/>
    <w:rsid w:val="00166671"/>
    <w:rsid w:val="00170447"/>
    <w:rsid w:val="00171251"/>
    <w:rsid w:val="00171C53"/>
    <w:rsid w:val="001738F3"/>
    <w:rsid w:val="0017646F"/>
    <w:rsid w:val="00176B88"/>
    <w:rsid w:val="00176DF8"/>
    <w:rsid w:val="00177841"/>
    <w:rsid w:val="00180487"/>
    <w:rsid w:val="00181ABF"/>
    <w:rsid w:val="00181FDA"/>
    <w:rsid w:val="001828E8"/>
    <w:rsid w:val="00182F53"/>
    <w:rsid w:val="00183A2E"/>
    <w:rsid w:val="00184444"/>
    <w:rsid w:val="001867BC"/>
    <w:rsid w:val="0019107C"/>
    <w:rsid w:val="00192E20"/>
    <w:rsid w:val="001934C7"/>
    <w:rsid w:val="00195570"/>
    <w:rsid w:val="001958A9"/>
    <w:rsid w:val="0019696C"/>
    <w:rsid w:val="001979F7"/>
    <w:rsid w:val="00197B74"/>
    <w:rsid w:val="001A0773"/>
    <w:rsid w:val="001A0800"/>
    <w:rsid w:val="001A5CAE"/>
    <w:rsid w:val="001A68CC"/>
    <w:rsid w:val="001A7B36"/>
    <w:rsid w:val="001B2854"/>
    <w:rsid w:val="001B5326"/>
    <w:rsid w:val="001B5361"/>
    <w:rsid w:val="001B56E3"/>
    <w:rsid w:val="001B571D"/>
    <w:rsid w:val="001B6018"/>
    <w:rsid w:val="001B72B4"/>
    <w:rsid w:val="001C0EDC"/>
    <w:rsid w:val="001C2C5A"/>
    <w:rsid w:val="001C2E86"/>
    <w:rsid w:val="001C3D45"/>
    <w:rsid w:val="001C793A"/>
    <w:rsid w:val="001D2A39"/>
    <w:rsid w:val="001D381B"/>
    <w:rsid w:val="001D41AE"/>
    <w:rsid w:val="001D42DD"/>
    <w:rsid w:val="001D7A49"/>
    <w:rsid w:val="001E06EA"/>
    <w:rsid w:val="001E0D0D"/>
    <w:rsid w:val="001E0E9E"/>
    <w:rsid w:val="001E19AC"/>
    <w:rsid w:val="001E1FE1"/>
    <w:rsid w:val="001E246C"/>
    <w:rsid w:val="001E3744"/>
    <w:rsid w:val="001E48F1"/>
    <w:rsid w:val="001E4FC9"/>
    <w:rsid w:val="001E50EC"/>
    <w:rsid w:val="001E6DC1"/>
    <w:rsid w:val="001F09F1"/>
    <w:rsid w:val="001F0A9A"/>
    <w:rsid w:val="001F0D9D"/>
    <w:rsid w:val="001F302F"/>
    <w:rsid w:val="001F42DC"/>
    <w:rsid w:val="001F5792"/>
    <w:rsid w:val="001F5AE4"/>
    <w:rsid w:val="001F6944"/>
    <w:rsid w:val="00200D8E"/>
    <w:rsid w:val="00201961"/>
    <w:rsid w:val="002031BE"/>
    <w:rsid w:val="002036AA"/>
    <w:rsid w:val="002036F8"/>
    <w:rsid w:val="00205BC6"/>
    <w:rsid w:val="00206B68"/>
    <w:rsid w:val="00207A8E"/>
    <w:rsid w:val="00207F63"/>
    <w:rsid w:val="0021075C"/>
    <w:rsid w:val="002108EF"/>
    <w:rsid w:val="00211949"/>
    <w:rsid w:val="00212351"/>
    <w:rsid w:val="00216591"/>
    <w:rsid w:val="00220628"/>
    <w:rsid w:val="00220B10"/>
    <w:rsid w:val="00220FD6"/>
    <w:rsid w:val="002231FF"/>
    <w:rsid w:val="002239F0"/>
    <w:rsid w:val="00231735"/>
    <w:rsid w:val="0023359D"/>
    <w:rsid w:val="00233AC6"/>
    <w:rsid w:val="00234AFF"/>
    <w:rsid w:val="00235904"/>
    <w:rsid w:val="00235B63"/>
    <w:rsid w:val="002364D1"/>
    <w:rsid w:val="002371EA"/>
    <w:rsid w:val="00237319"/>
    <w:rsid w:val="002376F3"/>
    <w:rsid w:val="00240121"/>
    <w:rsid w:val="00241241"/>
    <w:rsid w:val="0024127B"/>
    <w:rsid w:val="00242A0C"/>
    <w:rsid w:val="00242F03"/>
    <w:rsid w:val="002459D8"/>
    <w:rsid w:val="002466DE"/>
    <w:rsid w:val="00246B20"/>
    <w:rsid w:val="00246E76"/>
    <w:rsid w:val="002503C1"/>
    <w:rsid w:val="00250713"/>
    <w:rsid w:val="002510A7"/>
    <w:rsid w:val="002513CD"/>
    <w:rsid w:val="002525A7"/>
    <w:rsid w:val="0025260E"/>
    <w:rsid w:val="00253E10"/>
    <w:rsid w:val="0025436B"/>
    <w:rsid w:val="002545D6"/>
    <w:rsid w:val="0025484C"/>
    <w:rsid w:val="00254BBF"/>
    <w:rsid w:val="002551F7"/>
    <w:rsid w:val="002555FD"/>
    <w:rsid w:val="00255B2D"/>
    <w:rsid w:val="00256C7B"/>
    <w:rsid w:val="00257052"/>
    <w:rsid w:val="002601AA"/>
    <w:rsid w:val="002601DD"/>
    <w:rsid w:val="00262CCF"/>
    <w:rsid w:val="00263D02"/>
    <w:rsid w:val="00263DAF"/>
    <w:rsid w:val="0026530A"/>
    <w:rsid w:val="00265AE0"/>
    <w:rsid w:val="00271856"/>
    <w:rsid w:val="002726A8"/>
    <w:rsid w:val="0027431C"/>
    <w:rsid w:val="00275BDA"/>
    <w:rsid w:val="00277FEA"/>
    <w:rsid w:val="00280246"/>
    <w:rsid w:val="00282767"/>
    <w:rsid w:val="0028337E"/>
    <w:rsid w:val="0028453C"/>
    <w:rsid w:val="002903DA"/>
    <w:rsid w:val="00291C28"/>
    <w:rsid w:val="002950A9"/>
    <w:rsid w:val="0029545C"/>
    <w:rsid w:val="00296312"/>
    <w:rsid w:val="00297529"/>
    <w:rsid w:val="002A1391"/>
    <w:rsid w:val="002A13BC"/>
    <w:rsid w:val="002A144A"/>
    <w:rsid w:val="002A1678"/>
    <w:rsid w:val="002A1D21"/>
    <w:rsid w:val="002A30B0"/>
    <w:rsid w:val="002A5ECE"/>
    <w:rsid w:val="002B0CAD"/>
    <w:rsid w:val="002B249D"/>
    <w:rsid w:val="002B5983"/>
    <w:rsid w:val="002B5D5A"/>
    <w:rsid w:val="002B5DAB"/>
    <w:rsid w:val="002C0AB2"/>
    <w:rsid w:val="002C171A"/>
    <w:rsid w:val="002C1E4A"/>
    <w:rsid w:val="002C1FE1"/>
    <w:rsid w:val="002C2D3F"/>
    <w:rsid w:val="002C3611"/>
    <w:rsid w:val="002C5048"/>
    <w:rsid w:val="002C64C2"/>
    <w:rsid w:val="002C676D"/>
    <w:rsid w:val="002D0042"/>
    <w:rsid w:val="002D0867"/>
    <w:rsid w:val="002D3AC0"/>
    <w:rsid w:val="002D4F7B"/>
    <w:rsid w:val="002D5568"/>
    <w:rsid w:val="002D5FC6"/>
    <w:rsid w:val="002D7CA1"/>
    <w:rsid w:val="002E06C6"/>
    <w:rsid w:val="002E1DCA"/>
    <w:rsid w:val="002E218E"/>
    <w:rsid w:val="002E25B9"/>
    <w:rsid w:val="002E2CE8"/>
    <w:rsid w:val="002E32C5"/>
    <w:rsid w:val="002E34BF"/>
    <w:rsid w:val="002E3786"/>
    <w:rsid w:val="002E4034"/>
    <w:rsid w:val="002E4233"/>
    <w:rsid w:val="002E42A1"/>
    <w:rsid w:val="002E5EEF"/>
    <w:rsid w:val="002F10D5"/>
    <w:rsid w:val="002F110D"/>
    <w:rsid w:val="002F13CF"/>
    <w:rsid w:val="002F175D"/>
    <w:rsid w:val="002F39D9"/>
    <w:rsid w:val="002F4FFA"/>
    <w:rsid w:val="002F6245"/>
    <w:rsid w:val="002F6CFF"/>
    <w:rsid w:val="002F745F"/>
    <w:rsid w:val="002F7483"/>
    <w:rsid w:val="003027FF"/>
    <w:rsid w:val="0030344C"/>
    <w:rsid w:val="003034AE"/>
    <w:rsid w:val="00304008"/>
    <w:rsid w:val="00305E78"/>
    <w:rsid w:val="00306015"/>
    <w:rsid w:val="00311F59"/>
    <w:rsid w:val="00313F3A"/>
    <w:rsid w:val="00315BD3"/>
    <w:rsid w:val="00317E88"/>
    <w:rsid w:val="003206D5"/>
    <w:rsid w:val="00321BBF"/>
    <w:rsid w:val="00321C7C"/>
    <w:rsid w:val="00322571"/>
    <w:rsid w:val="00325AC4"/>
    <w:rsid w:val="00326D1C"/>
    <w:rsid w:val="00327811"/>
    <w:rsid w:val="003306E0"/>
    <w:rsid w:val="00334047"/>
    <w:rsid w:val="00336F39"/>
    <w:rsid w:val="0034258E"/>
    <w:rsid w:val="00342A17"/>
    <w:rsid w:val="00342C1B"/>
    <w:rsid w:val="0034367B"/>
    <w:rsid w:val="00344DDA"/>
    <w:rsid w:val="003453CC"/>
    <w:rsid w:val="00347236"/>
    <w:rsid w:val="00347385"/>
    <w:rsid w:val="00347ACF"/>
    <w:rsid w:val="003511A4"/>
    <w:rsid w:val="00352585"/>
    <w:rsid w:val="003540B9"/>
    <w:rsid w:val="00354EF6"/>
    <w:rsid w:val="00355EC6"/>
    <w:rsid w:val="003564A4"/>
    <w:rsid w:val="00357466"/>
    <w:rsid w:val="00360695"/>
    <w:rsid w:val="00362F9F"/>
    <w:rsid w:val="00363811"/>
    <w:rsid w:val="00366A86"/>
    <w:rsid w:val="00367244"/>
    <w:rsid w:val="00367CE9"/>
    <w:rsid w:val="00372490"/>
    <w:rsid w:val="003729B6"/>
    <w:rsid w:val="00372C4B"/>
    <w:rsid w:val="003732CA"/>
    <w:rsid w:val="003733F1"/>
    <w:rsid w:val="0037357B"/>
    <w:rsid w:val="003747B1"/>
    <w:rsid w:val="00374FE8"/>
    <w:rsid w:val="00375BD4"/>
    <w:rsid w:val="00377D72"/>
    <w:rsid w:val="0038172F"/>
    <w:rsid w:val="003827CC"/>
    <w:rsid w:val="0038358E"/>
    <w:rsid w:val="00386E39"/>
    <w:rsid w:val="00390740"/>
    <w:rsid w:val="00394DBF"/>
    <w:rsid w:val="003951D9"/>
    <w:rsid w:val="0039572A"/>
    <w:rsid w:val="00396643"/>
    <w:rsid w:val="003A08B0"/>
    <w:rsid w:val="003A1050"/>
    <w:rsid w:val="003A124B"/>
    <w:rsid w:val="003A220C"/>
    <w:rsid w:val="003A2B46"/>
    <w:rsid w:val="003A3B27"/>
    <w:rsid w:val="003A3E51"/>
    <w:rsid w:val="003A5F1C"/>
    <w:rsid w:val="003A720B"/>
    <w:rsid w:val="003A761A"/>
    <w:rsid w:val="003B0691"/>
    <w:rsid w:val="003B0897"/>
    <w:rsid w:val="003B0BE3"/>
    <w:rsid w:val="003B440B"/>
    <w:rsid w:val="003B4CA4"/>
    <w:rsid w:val="003B6330"/>
    <w:rsid w:val="003B7DEA"/>
    <w:rsid w:val="003C3B5D"/>
    <w:rsid w:val="003C3F4E"/>
    <w:rsid w:val="003C63E1"/>
    <w:rsid w:val="003C65C2"/>
    <w:rsid w:val="003C7C53"/>
    <w:rsid w:val="003D0340"/>
    <w:rsid w:val="003D09A7"/>
    <w:rsid w:val="003D0F7D"/>
    <w:rsid w:val="003D1320"/>
    <w:rsid w:val="003D28AD"/>
    <w:rsid w:val="003D2D86"/>
    <w:rsid w:val="003D6051"/>
    <w:rsid w:val="003D682E"/>
    <w:rsid w:val="003D6BA5"/>
    <w:rsid w:val="003D7C3D"/>
    <w:rsid w:val="003E2411"/>
    <w:rsid w:val="003E2D73"/>
    <w:rsid w:val="003E3BE4"/>
    <w:rsid w:val="003F0548"/>
    <w:rsid w:val="003F1A47"/>
    <w:rsid w:val="003F3AA4"/>
    <w:rsid w:val="00402554"/>
    <w:rsid w:val="00402A95"/>
    <w:rsid w:val="00404B24"/>
    <w:rsid w:val="00404D40"/>
    <w:rsid w:val="00405B1B"/>
    <w:rsid w:val="00406BCB"/>
    <w:rsid w:val="00410107"/>
    <w:rsid w:val="00411E52"/>
    <w:rsid w:val="0041300A"/>
    <w:rsid w:val="00413D6B"/>
    <w:rsid w:val="00414CD8"/>
    <w:rsid w:val="0041608F"/>
    <w:rsid w:val="00416718"/>
    <w:rsid w:val="00416BA7"/>
    <w:rsid w:val="004208E1"/>
    <w:rsid w:val="004240A9"/>
    <w:rsid w:val="0042447D"/>
    <w:rsid w:val="00424A28"/>
    <w:rsid w:val="00426682"/>
    <w:rsid w:val="004266DA"/>
    <w:rsid w:val="00426ABA"/>
    <w:rsid w:val="004272D8"/>
    <w:rsid w:val="00430AA7"/>
    <w:rsid w:val="00432495"/>
    <w:rsid w:val="00432F95"/>
    <w:rsid w:val="004374FE"/>
    <w:rsid w:val="00441A55"/>
    <w:rsid w:val="00442AB2"/>
    <w:rsid w:val="00443910"/>
    <w:rsid w:val="00446E99"/>
    <w:rsid w:val="00447D39"/>
    <w:rsid w:val="00450950"/>
    <w:rsid w:val="00452D43"/>
    <w:rsid w:val="00453996"/>
    <w:rsid w:val="00453FEC"/>
    <w:rsid w:val="004546C9"/>
    <w:rsid w:val="004562C6"/>
    <w:rsid w:val="004602D6"/>
    <w:rsid w:val="00460C41"/>
    <w:rsid w:val="00460C5F"/>
    <w:rsid w:val="00462F40"/>
    <w:rsid w:val="00463463"/>
    <w:rsid w:val="004637C8"/>
    <w:rsid w:val="004649DA"/>
    <w:rsid w:val="00464A14"/>
    <w:rsid w:val="00464F35"/>
    <w:rsid w:val="004660D7"/>
    <w:rsid w:val="00466B4A"/>
    <w:rsid w:val="00472248"/>
    <w:rsid w:val="00472BE9"/>
    <w:rsid w:val="00474099"/>
    <w:rsid w:val="00476373"/>
    <w:rsid w:val="0048052E"/>
    <w:rsid w:val="004819AD"/>
    <w:rsid w:val="00481CBB"/>
    <w:rsid w:val="00484339"/>
    <w:rsid w:val="00487487"/>
    <w:rsid w:val="004916FF"/>
    <w:rsid w:val="004917DA"/>
    <w:rsid w:val="00492064"/>
    <w:rsid w:val="004928CC"/>
    <w:rsid w:val="00492BE3"/>
    <w:rsid w:val="0049343F"/>
    <w:rsid w:val="00493E8A"/>
    <w:rsid w:val="0049406F"/>
    <w:rsid w:val="004944EB"/>
    <w:rsid w:val="00495F2C"/>
    <w:rsid w:val="00495F60"/>
    <w:rsid w:val="004972C8"/>
    <w:rsid w:val="004A352C"/>
    <w:rsid w:val="004A4E42"/>
    <w:rsid w:val="004A6270"/>
    <w:rsid w:val="004A63F4"/>
    <w:rsid w:val="004A667B"/>
    <w:rsid w:val="004A7E3B"/>
    <w:rsid w:val="004B03DE"/>
    <w:rsid w:val="004B09AD"/>
    <w:rsid w:val="004B1289"/>
    <w:rsid w:val="004B1435"/>
    <w:rsid w:val="004B1E61"/>
    <w:rsid w:val="004B2D64"/>
    <w:rsid w:val="004B351B"/>
    <w:rsid w:val="004B41F3"/>
    <w:rsid w:val="004B42E2"/>
    <w:rsid w:val="004B448A"/>
    <w:rsid w:val="004B4E16"/>
    <w:rsid w:val="004B53FC"/>
    <w:rsid w:val="004B69C0"/>
    <w:rsid w:val="004B7752"/>
    <w:rsid w:val="004C071B"/>
    <w:rsid w:val="004C0B93"/>
    <w:rsid w:val="004C0DC7"/>
    <w:rsid w:val="004C1FA6"/>
    <w:rsid w:val="004C24B0"/>
    <w:rsid w:val="004C3441"/>
    <w:rsid w:val="004C611F"/>
    <w:rsid w:val="004D24F1"/>
    <w:rsid w:val="004D2AD4"/>
    <w:rsid w:val="004D3446"/>
    <w:rsid w:val="004D3F4D"/>
    <w:rsid w:val="004D44E3"/>
    <w:rsid w:val="004D670D"/>
    <w:rsid w:val="004D7E4E"/>
    <w:rsid w:val="004E0085"/>
    <w:rsid w:val="004E25AC"/>
    <w:rsid w:val="004E358E"/>
    <w:rsid w:val="004E4101"/>
    <w:rsid w:val="004E43D4"/>
    <w:rsid w:val="004E4511"/>
    <w:rsid w:val="004E539A"/>
    <w:rsid w:val="004E7A31"/>
    <w:rsid w:val="004F03C7"/>
    <w:rsid w:val="004F2AE6"/>
    <w:rsid w:val="004F51F6"/>
    <w:rsid w:val="004F54F1"/>
    <w:rsid w:val="004F753D"/>
    <w:rsid w:val="00500FE8"/>
    <w:rsid w:val="00503A96"/>
    <w:rsid w:val="0050578A"/>
    <w:rsid w:val="00507935"/>
    <w:rsid w:val="00511444"/>
    <w:rsid w:val="00511794"/>
    <w:rsid w:val="00512FE6"/>
    <w:rsid w:val="005133F0"/>
    <w:rsid w:val="00514879"/>
    <w:rsid w:val="00514B93"/>
    <w:rsid w:val="0051526C"/>
    <w:rsid w:val="0051637E"/>
    <w:rsid w:val="00517E2B"/>
    <w:rsid w:val="00520B0A"/>
    <w:rsid w:val="0052247D"/>
    <w:rsid w:val="00522CF3"/>
    <w:rsid w:val="0052415E"/>
    <w:rsid w:val="00526713"/>
    <w:rsid w:val="00526866"/>
    <w:rsid w:val="005270DA"/>
    <w:rsid w:val="00530072"/>
    <w:rsid w:val="00531E04"/>
    <w:rsid w:val="00532C41"/>
    <w:rsid w:val="0053310D"/>
    <w:rsid w:val="00534741"/>
    <w:rsid w:val="0053485F"/>
    <w:rsid w:val="00537561"/>
    <w:rsid w:val="00537C5A"/>
    <w:rsid w:val="005416AC"/>
    <w:rsid w:val="00544459"/>
    <w:rsid w:val="005526ED"/>
    <w:rsid w:val="00552B38"/>
    <w:rsid w:val="00554F3C"/>
    <w:rsid w:val="005553C2"/>
    <w:rsid w:val="00556BE4"/>
    <w:rsid w:val="00557878"/>
    <w:rsid w:val="00560366"/>
    <w:rsid w:val="0056262E"/>
    <w:rsid w:val="00562F19"/>
    <w:rsid w:val="00563D67"/>
    <w:rsid w:val="005655DF"/>
    <w:rsid w:val="00567ABD"/>
    <w:rsid w:val="0057040B"/>
    <w:rsid w:val="00570C15"/>
    <w:rsid w:val="005726FE"/>
    <w:rsid w:val="00572F18"/>
    <w:rsid w:val="0057336E"/>
    <w:rsid w:val="00574722"/>
    <w:rsid w:val="00574EA8"/>
    <w:rsid w:val="0057716E"/>
    <w:rsid w:val="0058020F"/>
    <w:rsid w:val="00584C20"/>
    <w:rsid w:val="0058754B"/>
    <w:rsid w:val="0059021D"/>
    <w:rsid w:val="00590CC8"/>
    <w:rsid w:val="005917FE"/>
    <w:rsid w:val="00591BD3"/>
    <w:rsid w:val="005925EE"/>
    <w:rsid w:val="00592D55"/>
    <w:rsid w:val="00593B73"/>
    <w:rsid w:val="00597B04"/>
    <w:rsid w:val="005A065C"/>
    <w:rsid w:val="005A1A7D"/>
    <w:rsid w:val="005A44E2"/>
    <w:rsid w:val="005A56B8"/>
    <w:rsid w:val="005A5800"/>
    <w:rsid w:val="005A5E8B"/>
    <w:rsid w:val="005A5EA5"/>
    <w:rsid w:val="005A610A"/>
    <w:rsid w:val="005A7A08"/>
    <w:rsid w:val="005B2098"/>
    <w:rsid w:val="005B256C"/>
    <w:rsid w:val="005B2A8A"/>
    <w:rsid w:val="005B4432"/>
    <w:rsid w:val="005B63BB"/>
    <w:rsid w:val="005B728F"/>
    <w:rsid w:val="005B7614"/>
    <w:rsid w:val="005C0A41"/>
    <w:rsid w:val="005C24F8"/>
    <w:rsid w:val="005C365C"/>
    <w:rsid w:val="005C4380"/>
    <w:rsid w:val="005C4D78"/>
    <w:rsid w:val="005C5A32"/>
    <w:rsid w:val="005C6118"/>
    <w:rsid w:val="005D24E4"/>
    <w:rsid w:val="005D2756"/>
    <w:rsid w:val="005D4AE1"/>
    <w:rsid w:val="005D58BC"/>
    <w:rsid w:val="005D58D5"/>
    <w:rsid w:val="005D5CCA"/>
    <w:rsid w:val="005D64A4"/>
    <w:rsid w:val="005D70C1"/>
    <w:rsid w:val="005E2843"/>
    <w:rsid w:val="005E2A9F"/>
    <w:rsid w:val="005E5A99"/>
    <w:rsid w:val="005E7AA1"/>
    <w:rsid w:val="005F041D"/>
    <w:rsid w:val="005F0D94"/>
    <w:rsid w:val="005F0E6F"/>
    <w:rsid w:val="005F1601"/>
    <w:rsid w:val="005F20B1"/>
    <w:rsid w:val="005F38DE"/>
    <w:rsid w:val="005F4A93"/>
    <w:rsid w:val="005F653E"/>
    <w:rsid w:val="005F6A00"/>
    <w:rsid w:val="0060278E"/>
    <w:rsid w:val="00603ADD"/>
    <w:rsid w:val="00604243"/>
    <w:rsid w:val="00605BD6"/>
    <w:rsid w:val="0060637D"/>
    <w:rsid w:val="006063D5"/>
    <w:rsid w:val="00607919"/>
    <w:rsid w:val="00614AE5"/>
    <w:rsid w:val="006153A3"/>
    <w:rsid w:val="00615A2B"/>
    <w:rsid w:val="00621EBA"/>
    <w:rsid w:val="00621F11"/>
    <w:rsid w:val="00622B39"/>
    <w:rsid w:val="00623202"/>
    <w:rsid w:val="00624DF7"/>
    <w:rsid w:val="006255ED"/>
    <w:rsid w:val="00626BD1"/>
    <w:rsid w:val="0062713A"/>
    <w:rsid w:val="00627B89"/>
    <w:rsid w:val="006325AF"/>
    <w:rsid w:val="00632642"/>
    <w:rsid w:val="00632F75"/>
    <w:rsid w:val="00634D03"/>
    <w:rsid w:val="00635710"/>
    <w:rsid w:val="00635CE1"/>
    <w:rsid w:val="00640F1D"/>
    <w:rsid w:val="00643ED7"/>
    <w:rsid w:val="00644F47"/>
    <w:rsid w:val="00646076"/>
    <w:rsid w:val="006509B6"/>
    <w:rsid w:val="00654805"/>
    <w:rsid w:val="00654BB2"/>
    <w:rsid w:val="00654FD5"/>
    <w:rsid w:val="00655113"/>
    <w:rsid w:val="00655C6A"/>
    <w:rsid w:val="00660102"/>
    <w:rsid w:val="00660762"/>
    <w:rsid w:val="00660DB0"/>
    <w:rsid w:val="00660F9B"/>
    <w:rsid w:val="006610DC"/>
    <w:rsid w:val="006631D7"/>
    <w:rsid w:val="00663BC8"/>
    <w:rsid w:val="006644BC"/>
    <w:rsid w:val="006655CD"/>
    <w:rsid w:val="00665921"/>
    <w:rsid w:val="006669CB"/>
    <w:rsid w:val="0066724C"/>
    <w:rsid w:val="006679B6"/>
    <w:rsid w:val="00672B46"/>
    <w:rsid w:val="0067442D"/>
    <w:rsid w:val="00674D4D"/>
    <w:rsid w:val="006757CC"/>
    <w:rsid w:val="006777E7"/>
    <w:rsid w:val="00680C0A"/>
    <w:rsid w:val="006813D2"/>
    <w:rsid w:val="0068222F"/>
    <w:rsid w:val="00682409"/>
    <w:rsid w:val="006826A4"/>
    <w:rsid w:val="00682D3E"/>
    <w:rsid w:val="0068481E"/>
    <w:rsid w:val="00684E38"/>
    <w:rsid w:val="0068604A"/>
    <w:rsid w:val="00686765"/>
    <w:rsid w:val="00686E5D"/>
    <w:rsid w:val="006906A2"/>
    <w:rsid w:val="00693546"/>
    <w:rsid w:val="00695D69"/>
    <w:rsid w:val="00696FEF"/>
    <w:rsid w:val="006A0A7E"/>
    <w:rsid w:val="006A0DB1"/>
    <w:rsid w:val="006A27FB"/>
    <w:rsid w:val="006A67AB"/>
    <w:rsid w:val="006A6AEB"/>
    <w:rsid w:val="006B0C66"/>
    <w:rsid w:val="006B0D9C"/>
    <w:rsid w:val="006B17A8"/>
    <w:rsid w:val="006B2260"/>
    <w:rsid w:val="006B2B52"/>
    <w:rsid w:val="006B6F2F"/>
    <w:rsid w:val="006C1935"/>
    <w:rsid w:val="006C39D5"/>
    <w:rsid w:val="006C3A8E"/>
    <w:rsid w:val="006C4161"/>
    <w:rsid w:val="006C5060"/>
    <w:rsid w:val="006C5094"/>
    <w:rsid w:val="006C6732"/>
    <w:rsid w:val="006C7F0A"/>
    <w:rsid w:val="006D0B68"/>
    <w:rsid w:val="006D2B93"/>
    <w:rsid w:val="006D3DAB"/>
    <w:rsid w:val="006D5247"/>
    <w:rsid w:val="006D5B43"/>
    <w:rsid w:val="006E08A5"/>
    <w:rsid w:val="006E2F71"/>
    <w:rsid w:val="006E5423"/>
    <w:rsid w:val="006E5D13"/>
    <w:rsid w:val="006E6C48"/>
    <w:rsid w:val="006F0487"/>
    <w:rsid w:val="006F2416"/>
    <w:rsid w:val="006F4CE0"/>
    <w:rsid w:val="006F4D3C"/>
    <w:rsid w:val="006F6576"/>
    <w:rsid w:val="006F69E2"/>
    <w:rsid w:val="00700646"/>
    <w:rsid w:val="00700EBB"/>
    <w:rsid w:val="00701E41"/>
    <w:rsid w:val="00703668"/>
    <w:rsid w:val="0070626F"/>
    <w:rsid w:val="00707D85"/>
    <w:rsid w:val="007107FD"/>
    <w:rsid w:val="00710D02"/>
    <w:rsid w:val="00711B5A"/>
    <w:rsid w:val="00711F7A"/>
    <w:rsid w:val="00712D08"/>
    <w:rsid w:val="00713725"/>
    <w:rsid w:val="00713D58"/>
    <w:rsid w:val="00714133"/>
    <w:rsid w:val="0071550A"/>
    <w:rsid w:val="007158D3"/>
    <w:rsid w:val="00722DF3"/>
    <w:rsid w:val="00723A04"/>
    <w:rsid w:val="00725B73"/>
    <w:rsid w:val="00725DB0"/>
    <w:rsid w:val="0072741A"/>
    <w:rsid w:val="00727B1A"/>
    <w:rsid w:val="00730CAE"/>
    <w:rsid w:val="00732C86"/>
    <w:rsid w:val="00734430"/>
    <w:rsid w:val="00737774"/>
    <w:rsid w:val="00737822"/>
    <w:rsid w:val="00737FDB"/>
    <w:rsid w:val="0074017B"/>
    <w:rsid w:val="00740F13"/>
    <w:rsid w:val="0074227B"/>
    <w:rsid w:val="00745217"/>
    <w:rsid w:val="00745A80"/>
    <w:rsid w:val="007466DA"/>
    <w:rsid w:val="00747D59"/>
    <w:rsid w:val="0075289C"/>
    <w:rsid w:val="0075345A"/>
    <w:rsid w:val="00754091"/>
    <w:rsid w:val="00754E9F"/>
    <w:rsid w:val="007612D0"/>
    <w:rsid w:val="007623EF"/>
    <w:rsid w:val="00762A28"/>
    <w:rsid w:val="00762AC4"/>
    <w:rsid w:val="00762EC9"/>
    <w:rsid w:val="00764FCD"/>
    <w:rsid w:val="0076714F"/>
    <w:rsid w:val="00767B68"/>
    <w:rsid w:val="0077094D"/>
    <w:rsid w:val="00771362"/>
    <w:rsid w:val="00771B14"/>
    <w:rsid w:val="00772AC9"/>
    <w:rsid w:val="007739A5"/>
    <w:rsid w:val="00775647"/>
    <w:rsid w:val="00776A0E"/>
    <w:rsid w:val="00776A60"/>
    <w:rsid w:val="007812A3"/>
    <w:rsid w:val="0078349B"/>
    <w:rsid w:val="00784880"/>
    <w:rsid w:val="00784DFE"/>
    <w:rsid w:val="007902A2"/>
    <w:rsid w:val="007911C5"/>
    <w:rsid w:val="0079293E"/>
    <w:rsid w:val="00792D33"/>
    <w:rsid w:val="00792E7E"/>
    <w:rsid w:val="007939F1"/>
    <w:rsid w:val="00795BC1"/>
    <w:rsid w:val="00796C1E"/>
    <w:rsid w:val="00797FA1"/>
    <w:rsid w:val="007A2C63"/>
    <w:rsid w:val="007A43F3"/>
    <w:rsid w:val="007A571E"/>
    <w:rsid w:val="007A6E59"/>
    <w:rsid w:val="007B3631"/>
    <w:rsid w:val="007B40A8"/>
    <w:rsid w:val="007B5DDC"/>
    <w:rsid w:val="007B6017"/>
    <w:rsid w:val="007B785C"/>
    <w:rsid w:val="007C009A"/>
    <w:rsid w:val="007C08B6"/>
    <w:rsid w:val="007C2A14"/>
    <w:rsid w:val="007C3312"/>
    <w:rsid w:val="007C6E3F"/>
    <w:rsid w:val="007C6EC9"/>
    <w:rsid w:val="007D005A"/>
    <w:rsid w:val="007D0354"/>
    <w:rsid w:val="007D1283"/>
    <w:rsid w:val="007D4D6B"/>
    <w:rsid w:val="007D77DF"/>
    <w:rsid w:val="007E2297"/>
    <w:rsid w:val="007E46A0"/>
    <w:rsid w:val="007E4A60"/>
    <w:rsid w:val="007E6BE9"/>
    <w:rsid w:val="007F0E73"/>
    <w:rsid w:val="007F1E92"/>
    <w:rsid w:val="007F3F30"/>
    <w:rsid w:val="00800419"/>
    <w:rsid w:val="008006E7"/>
    <w:rsid w:val="0080183C"/>
    <w:rsid w:val="00801B54"/>
    <w:rsid w:val="00802104"/>
    <w:rsid w:val="008024AC"/>
    <w:rsid w:val="0080365F"/>
    <w:rsid w:val="00803732"/>
    <w:rsid w:val="0080424E"/>
    <w:rsid w:val="00806970"/>
    <w:rsid w:val="0080718C"/>
    <w:rsid w:val="00810BDD"/>
    <w:rsid w:val="00811972"/>
    <w:rsid w:val="008119AA"/>
    <w:rsid w:val="00812111"/>
    <w:rsid w:val="008121F4"/>
    <w:rsid w:val="00813271"/>
    <w:rsid w:val="00814406"/>
    <w:rsid w:val="00815632"/>
    <w:rsid w:val="00817915"/>
    <w:rsid w:val="00817A1F"/>
    <w:rsid w:val="0082040B"/>
    <w:rsid w:val="00820E77"/>
    <w:rsid w:val="00821A32"/>
    <w:rsid w:val="00823855"/>
    <w:rsid w:val="00824082"/>
    <w:rsid w:val="0082444A"/>
    <w:rsid w:val="008247E3"/>
    <w:rsid w:val="0083084D"/>
    <w:rsid w:val="00830B10"/>
    <w:rsid w:val="008322D2"/>
    <w:rsid w:val="008337D0"/>
    <w:rsid w:val="00835206"/>
    <w:rsid w:val="008373E5"/>
    <w:rsid w:val="0084146C"/>
    <w:rsid w:val="00842547"/>
    <w:rsid w:val="00845C98"/>
    <w:rsid w:val="008465EA"/>
    <w:rsid w:val="00846BB1"/>
    <w:rsid w:val="008476C7"/>
    <w:rsid w:val="00847825"/>
    <w:rsid w:val="00847DB5"/>
    <w:rsid w:val="008513AC"/>
    <w:rsid w:val="008533B6"/>
    <w:rsid w:val="00853D9D"/>
    <w:rsid w:val="00853E0B"/>
    <w:rsid w:val="008552C6"/>
    <w:rsid w:val="00855D28"/>
    <w:rsid w:val="00855F71"/>
    <w:rsid w:val="0085623C"/>
    <w:rsid w:val="00856A9F"/>
    <w:rsid w:val="00857727"/>
    <w:rsid w:val="00857BFB"/>
    <w:rsid w:val="00860FE2"/>
    <w:rsid w:val="0086222D"/>
    <w:rsid w:val="00862896"/>
    <w:rsid w:val="00862FF8"/>
    <w:rsid w:val="00863E30"/>
    <w:rsid w:val="00865590"/>
    <w:rsid w:val="00871B72"/>
    <w:rsid w:val="00873F24"/>
    <w:rsid w:val="00876880"/>
    <w:rsid w:val="00877044"/>
    <w:rsid w:val="008808EA"/>
    <w:rsid w:val="008809FD"/>
    <w:rsid w:val="00882BE5"/>
    <w:rsid w:val="0088646F"/>
    <w:rsid w:val="008879EC"/>
    <w:rsid w:val="0089123B"/>
    <w:rsid w:val="00892909"/>
    <w:rsid w:val="00896825"/>
    <w:rsid w:val="008A05F9"/>
    <w:rsid w:val="008A1BB0"/>
    <w:rsid w:val="008A1E63"/>
    <w:rsid w:val="008A2E51"/>
    <w:rsid w:val="008A346C"/>
    <w:rsid w:val="008A69BD"/>
    <w:rsid w:val="008A6AB1"/>
    <w:rsid w:val="008A6D2E"/>
    <w:rsid w:val="008A7026"/>
    <w:rsid w:val="008B1F0A"/>
    <w:rsid w:val="008B4D21"/>
    <w:rsid w:val="008B6180"/>
    <w:rsid w:val="008B709E"/>
    <w:rsid w:val="008B767E"/>
    <w:rsid w:val="008C12D3"/>
    <w:rsid w:val="008C2E4D"/>
    <w:rsid w:val="008C331F"/>
    <w:rsid w:val="008C3976"/>
    <w:rsid w:val="008C64BC"/>
    <w:rsid w:val="008C6CDB"/>
    <w:rsid w:val="008D2CC0"/>
    <w:rsid w:val="008D4DCF"/>
    <w:rsid w:val="008D5A60"/>
    <w:rsid w:val="008D60F7"/>
    <w:rsid w:val="008D7C8A"/>
    <w:rsid w:val="008E095A"/>
    <w:rsid w:val="008E0BB1"/>
    <w:rsid w:val="008E4245"/>
    <w:rsid w:val="008E52EF"/>
    <w:rsid w:val="008E55A1"/>
    <w:rsid w:val="008E6290"/>
    <w:rsid w:val="008E6713"/>
    <w:rsid w:val="008E70C8"/>
    <w:rsid w:val="008E7296"/>
    <w:rsid w:val="008F2440"/>
    <w:rsid w:val="008F2DCC"/>
    <w:rsid w:val="008F377B"/>
    <w:rsid w:val="008F5BD4"/>
    <w:rsid w:val="008F6876"/>
    <w:rsid w:val="008F72C2"/>
    <w:rsid w:val="008F743E"/>
    <w:rsid w:val="00902CE5"/>
    <w:rsid w:val="009030FD"/>
    <w:rsid w:val="00903337"/>
    <w:rsid w:val="00905189"/>
    <w:rsid w:val="00905790"/>
    <w:rsid w:val="00905D5C"/>
    <w:rsid w:val="0090675D"/>
    <w:rsid w:val="009103C7"/>
    <w:rsid w:val="009118C6"/>
    <w:rsid w:val="00911B6E"/>
    <w:rsid w:val="00912614"/>
    <w:rsid w:val="00913922"/>
    <w:rsid w:val="00915C56"/>
    <w:rsid w:val="00916AD7"/>
    <w:rsid w:val="009176D9"/>
    <w:rsid w:val="00917B32"/>
    <w:rsid w:val="009210AA"/>
    <w:rsid w:val="00922A41"/>
    <w:rsid w:val="00925D8C"/>
    <w:rsid w:val="00927D0A"/>
    <w:rsid w:val="00930B62"/>
    <w:rsid w:val="00931C3D"/>
    <w:rsid w:val="0093241E"/>
    <w:rsid w:val="009339FC"/>
    <w:rsid w:val="00933AA6"/>
    <w:rsid w:val="00935D02"/>
    <w:rsid w:val="00936E6E"/>
    <w:rsid w:val="0093722B"/>
    <w:rsid w:val="009374AC"/>
    <w:rsid w:val="00940F72"/>
    <w:rsid w:val="00941C1B"/>
    <w:rsid w:val="00943546"/>
    <w:rsid w:val="00943A91"/>
    <w:rsid w:val="00944901"/>
    <w:rsid w:val="00947AE1"/>
    <w:rsid w:val="00947F47"/>
    <w:rsid w:val="00951A04"/>
    <w:rsid w:val="009528CF"/>
    <w:rsid w:val="00952AD0"/>
    <w:rsid w:val="00952E75"/>
    <w:rsid w:val="00953C12"/>
    <w:rsid w:val="00955093"/>
    <w:rsid w:val="009564D2"/>
    <w:rsid w:val="00957835"/>
    <w:rsid w:val="00957A8D"/>
    <w:rsid w:val="00957A8E"/>
    <w:rsid w:val="00962524"/>
    <w:rsid w:val="009627B5"/>
    <w:rsid w:val="00962FE7"/>
    <w:rsid w:val="00965A87"/>
    <w:rsid w:val="00965AA6"/>
    <w:rsid w:val="00966E68"/>
    <w:rsid w:val="009671FF"/>
    <w:rsid w:val="009700D9"/>
    <w:rsid w:val="00970C33"/>
    <w:rsid w:val="00972899"/>
    <w:rsid w:val="0097326C"/>
    <w:rsid w:val="00974235"/>
    <w:rsid w:val="009755AE"/>
    <w:rsid w:val="009760A3"/>
    <w:rsid w:val="009764B6"/>
    <w:rsid w:val="009768DD"/>
    <w:rsid w:val="0097697B"/>
    <w:rsid w:val="0097726B"/>
    <w:rsid w:val="00977822"/>
    <w:rsid w:val="009802D7"/>
    <w:rsid w:val="00980C6E"/>
    <w:rsid w:val="00984EB0"/>
    <w:rsid w:val="00987091"/>
    <w:rsid w:val="009874F5"/>
    <w:rsid w:val="00987C58"/>
    <w:rsid w:val="009900EE"/>
    <w:rsid w:val="009901AE"/>
    <w:rsid w:val="00991758"/>
    <w:rsid w:val="00993CA0"/>
    <w:rsid w:val="009961F9"/>
    <w:rsid w:val="00996C2A"/>
    <w:rsid w:val="00997C33"/>
    <w:rsid w:val="00997D8E"/>
    <w:rsid w:val="009A1D7C"/>
    <w:rsid w:val="009A30A9"/>
    <w:rsid w:val="009A5716"/>
    <w:rsid w:val="009A5857"/>
    <w:rsid w:val="009A7901"/>
    <w:rsid w:val="009B193F"/>
    <w:rsid w:val="009B2E1D"/>
    <w:rsid w:val="009B396F"/>
    <w:rsid w:val="009B467E"/>
    <w:rsid w:val="009B5CFF"/>
    <w:rsid w:val="009B6675"/>
    <w:rsid w:val="009B7674"/>
    <w:rsid w:val="009B7B39"/>
    <w:rsid w:val="009C17E7"/>
    <w:rsid w:val="009C195E"/>
    <w:rsid w:val="009C2B36"/>
    <w:rsid w:val="009C2F30"/>
    <w:rsid w:val="009C47BE"/>
    <w:rsid w:val="009C7147"/>
    <w:rsid w:val="009D19DD"/>
    <w:rsid w:val="009D4F02"/>
    <w:rsid w:val="009D5BA1"/>
    <w:rsid w:val="009D644E"/>
    <w:rsid w:val="009E27D7"/>
    <w:rsid w:val="009E3482"/>
    <w:rsid w:val="009E3B16"/>
    <w:rsid w:val="009E3DF1"/>
    <w:rsid w:val="009E505A"/>
    <w:rsid w:val="009E7749"/>
    <w:rsid w:val="009E7C1F"/>
    <w:rsid w:val="009F031C"/>
    <w:rsid w:val="009F5197"/>
    <w:rsid w:val="009F7150"/>
    <w:rsid w:val="00A008F4"/>
    <w:rsid w:val="00A00E33"/>
    <w:rsid w:val="00A029D6"/>
    <w:rsid w:val="00A029F8"/>
    <w:rsid w:val="00A03EFF"/>
    <w:rsid w:val="00A043EA"/>
    <w:rsid w:val="00A047A3"/>
    <w:rsid w:val="00A078BA"/>
    <w:rsid w:val="00A100DB"/>
    <w:rsid w:val="00A10857"/>
    <w:rsid w:val="00A10995"/>
    <w:rsid w:val="00A128AC"/>
    <w:rsid w:val="00A14787"/>
    <w:rsid w:val="00A14977"/>
    <w:rsid w:val="00A162BA"/>
    <w:rsid w:val="00A2097E"/>
    <w:rsid w:val="00A2123A"/>
    <w:rsid w:val="00A227A7"/>
    <w:rsid w:val="00A235F8"/>
    <w:rsid w:val="00A236D2"/>
    <w:rsid w:val="00A2490A"/>
    <w:rsid w:val="00A2553F"/>
    <w:rsid w:val="00A2633F"/>
    <w:rsid w:val="00A26576"/>
    <w:rsid w:val="00A314FB"/>
    <w:rsid w:val="00A32D0D"/>
    <w:rsid w:val="00A33EE7"/>
    <w:rsid w:val="00A34E6B"/>
    <w:rsid w:val="00A36FC8"/>
    <w:rsid w:val="00A3739C"/>
    <w:rsid w:val="00A406FC"/>
    <w:rsid w:val="00A408DF"/>
    <w:rsid w:val="00A43F42"/>
    <w:rsid w:val="00A44AB8"/>
    <w:rsid w:val="00A44DC2"/>
    <w:rsid w:val="00A4503D"/>
    <w:rsid w:val="00A47D1C"/>
    <w:rsid w:val="00A50267"/>
    <w:rsid w:val="00A504F8"/>
    <w:rsid w:val="00A51158"/>
    <w:rsid w:val="00A5211B"/>
    <w:rsid w:val="00A52B2B"/>
    <w:rsid w:val="00A53710"/>
    <w:rsid w:val="00A54EE5"/>
    <w:rsid w:val="00A565BF"/>
    <w:rsid w:val="00A57FC7"/>
    <w:rsid w:val="00A60C09"/>
    <w:rsid w:val="00A60E04"/>
    <w:rsid w:val="00A62281"/>
    <w:rsid w:val="00A63318"/>
    <w:rsid w:val="00A672EC"/>
    <w:rsid w:val="00A67C2B"/>
    <w:rsid w:val="00A67F30"/>
    <w:rsid w:val="00A70DE2"/>
    <w:rsid w:val="00A7297C"/>
    <w:rsid w:val="00A73689"/>
    <w:rsid w:val="00A747FC"/>
    <w:rsid w:val="00A77600"/>
    <w:rsid w:val="00A777A5"/>
    <w:rsid w:val="00A81E6C"/>
    <w:rsid w:val="00A8418C"/>
    <w:rsid w:val="00A84C7F"/>
    <w:rsid w:val="00A85383"/>
    <w:rsid w:val="00A85CD2"/>
    <w:rsid w:val="00A86872"/>
    <w:rsid w:val="00A86948"/>
    <w:rsid w:val="00A9060C"/>
    <w:rsid w:val="00A92EE4"/>
    <w:rsid w:val="00A93638"/>
    <w:rsid w:val="00A94AA1"/>
    <w:rsid w:val="00A94CAC"/>
    <w:rsid w:val="00A9581D"/>
    <w:rsid w:val="00A96C68"/>
    <w:rsid w:val="00AA0D98"/>
    <w:rsid w:val="00AA2AF6"/>
    <w:rsid w:val="00AA30D0"/>
    <w:rsid w:val="00AA43D3"/>
    <w:rsid w:val="00AA53B0"/>
    <w:rsid w:val="00AA55CD"/>
    <w:rsid w:val="00AA5B81"/>
    <w:rsid w:val="00AB0066"/>
    <w:rsid w:val="00AB18D8"/>
    <w:rsid w:val="00AB2EA9"/>
    <w:rsid w:val="00AB3748"/>
    <w:rsid w:val="00AB3DDF"/>
    <w:rsid w:val="00AB625A"/>
    <w:rsid w:val="00AB67F8"/>
    <w:rsid w:val="00AB6B8E"/>
    <w:rsid w:val="00AB789B"/>
    <w:rsid w:val="00AB79E3"/>
    <w:rsid w:val="00AC11ED"/>
    <w:rsid w:val="00AC162F"/>
    <w:rsid w:val="00AC2309"/>
    <w:rsid w:val="00AC353A"/>
    <w:rsid w:val="00AC5431"/>
    <w:rsid w:val="00AC579B"/>
    <w:rsid w:val="00AC6B12"/>
    <w:rsid w:val="00AD0B9F"/>
    <w:rsid w:val="00AD1273"/>
    <w:rsid w:val="00AD4CCF"/>
    <w:rsid w:val="00AD5EDD"/>
    <w:rsid w:val="00AD65DA"/>
    <w:rsid w:val="00AD65E7"/>
    <w:rsid w:val="00AD6607"/>
    <w:rsid w:val="00AD7623"/>
    <w:rsid w:val="00AE03F9"/>
    <w:rsid w:val="00AE0678"/>
    <w:rsid w:val="00AE0F8A"/>
    <w:rsid w:val="00AE3B64"/>
    <w:rsid w:val="00AE4BFA"/>
    <w:rsid w:val="00AE4FDD"/>
    <w:rsid w:val="00AF101F"/>
    <w:rsid w:val="00AF21AF"/>
    <w:rsid w:val="00AF37BF"/>
    <w:rsid w:val="00AF3AD0"/>
    <w:rsid w:val="00AF3D40"/>
    <w:rsid w:val="00AF5C77"/>
    <w:rsid w:val="00AF71BE"/>
    <w:rsid w:val="00AF77D1"/>
    <w:rsid w:val="00B005D8"/>
    <w:rsid w:val="00B02E8C"/>
    <w:rsid w:val="00B04378"/>
    <w:rsid w:val="00B05B56"/>
    <w:rsid w:val="00B1007C"/>
    <w:rsid w:val="00B10297"/>
    <w:rsid w:val="00B1088D"/>
    <w:rsid w:val="00B1114B"/>
    <w:rsid w:val="00B1132D"/>
    <w:rsid w:val="00B11478"/>
    <w:rsid w:val="00B1182E"/>
    <w:rsid w:val="00B12A38"/>
    <w:rsid w:val="00B12DB7"/>
    <w:rsid w:val="00B14111"/>
    <w:rsid w:val="00B15E00"/>
    <w:rsid w:val="00B15ECD"/>
    <w:rsid w:val="00B17E19"/>
    <w:rsid w:val="00B20CC5"/>
    <w:rsid w:val="00B20F56"/>
    <w:rsid w:val="00B219FB"/>
    <w:rsid w:val="00B23835"/>
    <w:rsid w:val="00B26747"/>
    <w:rsid w:val="00B2733D"/>
    <w:rsid w:val="00B30579"/>
    <w:rsid w:val="00B307E9"/>
    <w:rsid w:val="00B319E4"/>
    <w:rsid w:val="00B31A2E"/>
    <w:rsid w:val="00B31E22"/>
    <w:rsid w:val="00B34012"/>
    <w:rsid w:val="00B35299"/>
    <w:rsid w:val="00B36DEA"/>
    <w:rsid w:val="00B403AC"/>
    <w:rsid w:val="00B40556"/>
    <w:rsid w:val="00B40856"/>
    <w:rsid w:val="00B4141B"/>
    <w:rsid w:val="00B4349B"/>
    <w:rsid w:val="00B44EE8"/>
    <w:rsid w:val="00B44F83"/>
    <w:rsid w:val="00B46934"/>
    <w:rsid w:val="00B46A1B"/>
    <w:rsid w:val="00B46AD2"/>
    <w:rsid w:val="00B4762E"/>
    <w:rsid w:val="00B524D8"/>
    <w:rsid w:val="00B55CFC"/>
    <w:rsid w:val="00B56467"/>
    <w:rsid w:val="00B578C9"/>
    <w:rsid w:val="00B605C6"/>
    <w:rsid w:val="00B60E01"/>
    <w:rsid w:val="00B61C2F"/>
    <w:rsid w:val="00B62A91"/>
    <w:rsid w:val="00B62EAB"/>
    <w:rsid w:val="00B62F56"/>
    <w:rsid w:val="00B656B3"/>
    <w:rsid w:val="00B66C87"/>
    <w:rsid w:val="00B6742F"/>
    <w:rsid w:val="00B7051E"/>
    <w:rsid w:val="00B7288D"/>
    <w:rsid w:val="00B739D3"/>
    <w:rsid w:val="00B73D60"/>
    <w:rsid w:val="00B749A3"/>
    <w:rsid w:val="00B75511"/>
    <w:rsid w:val="00B75AD5"/>
    <w:rsid w:val="00B7686C"/>
    <w:rsid w:val="00B8093A"/>
    <w:rsid w:val="00B80AC1"/>
    <w:rsid w:val="00B81688"/>
    <w:rsid w:val="00B81FD4"/>
    <w:rsid w:val="00B82AEC"/>
    <w:rsid w:val="00B8381F"/>
    <w:rsid w:val="00B84557"/>
    <w:rsid w:val="00B902F3"/>
    <w:rsid w:val="00B90EC2"/>
    <w:rsid w:val="00B9137E"/>
    <w:rsid w:val="00B9165B"/>
    <w:rsid w:val="00B9244E"/>
    <w:rsid w:val="00B92979"/>
    <w:rsid w:val="00B94C1C"/>
    <w:rsid w:val="00B95A93"/>
    <w:rsid w:val="00B95B6F"/>
    <w:rsid w:val="00B96403"/>
    <w:rsid w:val="00B96568"/>
    <w:rsid w:val="00BA275C"/>
    <w:rsid w:val="00BA31FE"/>
    <w:rsid w:val="00BA4F8A"/>
    <w:rsid w:val="00BB0377"/>
    <w:rsid w:val="00BB23ED"/>
    <w:rsid w:val="00BB3EEB"/>
    <w:rsid w:val="00BB4ED1"/>
    <w:rsid w:val="00BB7071"/>
    <w:rsid w:val="00BB714F"/>
    <w:rsid w:val="00BC17FE"/>
    <w:rsid w:val="00BC466D"/>
    <w:rsid w:val="00BC6291"/>
    <w:rsid w:val="00BD2E22"/>
    <w:rsid w:val="00BD2FBE"/>
    <w:rsid w:val="00BD36CC"/>
    <w:rsid w:val="00BD4E69"/>
    <w:rsid w:val="00BD542A"/>
    <w:rsid w:val="00BD5A8D"/>
    <w:rsid w:val="00BD5D7F"/>
    <w:rsid w:val="00BD773D"/>
    <w:rsid w:val="00BE087C"/>
    <w:rsid w:val="00BE313B"/>
    <w:rsid w:val="00BE6EE6"/>
    <w:rsid w:val="00BE6F0C"/>
    <w:rsid w:val="00BE7BE5"/>
    <w:rsid w:val="00BE7E7D"/>
    <w:rsid w:val="00BF02BE"/>
    <w:rsid w:val="00BF0E24"/>
    <w:rsid w:val="00BF2415"/>
    <w:rsid w:val="00BF2B8B"/>
    <w:rsid w:val="00BF4418"/>
    <w:rsid w:val="00BF4AF4"/>
    <w:rsid w:val="00BF4BE2"/>
    <w:rsid w:val="00BF5028"/>
    <w:rsid w:val="00C001AE"/>
    <w:rsid w:val="00C019B7"/>
    <w:rsid w:val="00C01A82"/>
    <w:rsid w:val="00C023FE"/>
    <w:rsid w:val="00C0493E"/>
    <w:rsid w:val="00C0610D"/>
    <w:rsid w:val="00C06C3E"/>
    <w:rsid w:val="00C117D7"/>
    <w:rsid w:val="00C14331"/>
    <w:rsid w:val="00C15B6B"/>
    <w:rsid w:val="00C15F83"/>
    <w:rsid w:val="00C164AB"/>
    <w:rsid w:val="00C17061"/>
    <w:rsid w:val="00C204A9"/>
    <w:rsid w:val="00C21AC3"/>
    <w:rsid w:val="00C22380"/>
    <w:rsid w:val="00C25F4C"/>
    <w:rsid w:val="00C26CFB"/>
    <w:rsid w:val="00C27890"/>
    <w:rsid w:val="00C3070E"/>
    <w:rsid w:val="00C32E08"/>
    <w:rsid w:val="00C34AAC"/>
    <w:rsid w:val="00C350E7"/>
    <w:rsid w:val="00C35A9B"/>
    <w:rsid w:val="00C36669"/>
    <w:rsid w:val="00C40CE0"/>
    <w:rsid w:val="00C41616"/>
    <w:rsid w:val="00C41A61"/>
    <w:rsid w:val="00C42B44"/>
    <w:rsid w:val="00C42DB9"/>
    <w:rsid w:val="00C43C06"/>
    <w:rsid w:val="00C44A95"/>
    <w:rsid w:val="00C47AF4"/>
    <w:rsid w:val="00C50CCE"/>
    <w:rsid w:val="00C51ACF"/>
    <w:rsid w:val="00C5264F"/>
    <w:rsid w:val="00C53693"/>
    <w:rsid w:val="00C53E4A"/>
    <w:rsid w:val="00C56472"/>
    <w:rsid w:val="00C615DE"/>
    <w:rsid w:val="00C62592"/>
    <w:rsid w:val="00C637CE"/>
    <w:rsid w:val="00C63CF4"/>
    <w:rsid w:val="00C647CE"/>
    <w:rsid w:val="00C6677E"/>
    <w:rsid w:val="00C66D4C"/>
    <w:rsid w:val="00C66EFF"/>
    <w:rsid w:val="00C67C6E"/>
    <w:rsid w:val="00C708F9"/>
    <w:rsid w:val="00C71251"/>
    <w:rsid w:val="00C7194C"/>
    <w:rsid w:val="00C72BB3"/>
    <w:rsid w:val="00C735E3"/>
    <w:rsid w:val="00C748F2"/>
    <w:rsid w:val="00C76244"/>
    <w:rsid w:val="00C80091"/>
    <w:rsid w:val="00C803D9"/>
    <w:rsid w:val="00C811AA"/>
    <w:rsid w:val="00C82127"/>
    <w:rsid w:val="00C82A81"/>
    <w:rsid w:val="00C83341"/>
    <w:rsid w:val="00C833C0"/>
    <w:rsid w:val="00C84C20"/>
    <w:rsid w:val="00C84F2D"/>
    <w:rsid w:val="00C85402"/>
    <w:rsid w:val="00C86A50"/>
    <w:rsid w:val="00C87BC6"/>
    <w:rsid w:val="00C913D9"/>
    <w:rsid w:val="00C91A44"/>
    <w:rsid w:val="00C93482"/>
    <w:rsid w:val="00C95CFB"/>
    <w:rsid w:val="00C97CF6"/>
    <w:rsid w:val="00CA2107"/>
    <w:rsid w:val="00CA2732"/>
    <w:rsid w:val="00CA2980"/>
    <w:rsid w:val="00CA2FD1"/>
    <w:rsid w:val="00CA5689"/>
    <w:rsid w:val="00CA7257"/>
    <w:rsid w:val="00CA7EFC"/>
    <w:rsid w:val="00CB2EFB"/>
    <w:rsid w:val="00CB3384"/>
    <w:rsid w:val="00CB3C19"/>
    <w:rsid w:val="00CB4894"/>
    <w:rsid w:val="00CB5716"/>
    <w:rsid w:val="00CB5A8F"/>
    <w:rsid w:val="00CC13F9"/>
    <w:rsid w:val="00CC1906"/>
    <w:rsid w:val="00CC1DDE"/>
    <w:rsid w:val="00CC4A42"/>
    <w:rsid w:val="00CC517F"/>
    <w:rsid w:val="00CC72F5"/>
    <w:rsid w:val="00CC7423"/>
    <w:rsid w:val="00CC7DE3"/>
    <w:rsid w:val="00CD01FB"/>
    <w:rsid w:val="00CD1884"/>
    <w:rsid w:val="00CD1E4C"/>
    <w:rsid w:val="00CD1F62"/>
    <w:rsid w:val="00CD3712"/>
    <w:rsid w:val="00CD3C06"/>
    <w:rsid w:val="00CD409B"/>
    <w:rsid w:val="00CD4763"/>
    <w:rsid w:val="00CD4CEA"/>
    <w:rsid w:val="00CD5F2B"/>
    <w:rsid w:val="00CD6D39"/>
    <w:rsid w:val="00CD72C7"/>
    <w:rsid w:val="00CD7A2B"/>
    <w:rsid w:val="00CD7B02"/>
    <w:rsid w:val="00CE0966"/>
    <w:rsid w:val="00CE26B7"/>
    <w:rsid w:val="00CE32A1"/>
    <w:rsid w:val="00CE7CEF"/>
    <w:rsid w:val="00CF085F"/>
    <w:rsid w:val="00CF156F"/>
    <w:rsid w:val="00CF211D"/>
    <w:rsid w:val="00CF37C0"/>
    <w:rsid w:val="00CF485D"/>
    <w:rsid w:val="00CF4F59"/>
    <w:rsid w:val="00CF5E09"/>
    <w:rsid w:val="00CF667A"/>
    <w:rsid w:val="00CF6901"/>
    <w:rsid w:val="00D01418"/>
    <w:rsid w:val="00D03940"/>
    <w:rsid w:val="00D03EE4"/>
    <w:rsid w:val="00D04D25"/>
    <w:rsid w:val="00D06412"/>
    <w:rsid w:val="00D07C82"/>
    <w:rsid w:val="00D1150F"/>
    <w:rsid w:val="00D13523"/>
    <w:rsid w:val="00D13CA0"/>
    <w:rsid w:val="00D155F0"/>
    <w:rsid w:val="00D168B6"/>
    <w:rsid w:val="00D17E6F"/>
    <w:rsid w:val="00D225F5"/>
    <w:rsid w:val="00D2278D"/>
    <w:rsid w:val="00D23424"/>
    <w:rsid w:val="00D236D9"/>
    <w:rsid w:val="00D32FC0"/>
    <w:rsid w:val="00D32FFD"/>
    <w:rsid w:val="00D33DBB"/>
    <w:rsid w:val="00D34E8F"/>
    <w:rsid w:val="00D35384"/>
    <w:rsid w:val="00D36127"/>
    <w:rsid w:val="00D36184"/>
    <w:rsid w:val="00D365F1"/>
    <w:rsid w:val="00D37482"/>
    <w:rsid w:val="00D41F55"/>
    <w:rsid w:val="00D4211D"/>
    <w:rsid w:val="00D42CCD"/>
    <w:rsid w:val="00D42FCC"/>
    <w:rsid w:val="00D44887"/>
    <w:rsid w:val="00D47CA0"/>
    <w:rsid w:val="00D50D3F"/>
    <w:rsid w:val="00D517F4"/>
    <w:rsid w:val="00D52C7D"/>
    <w:rsid w:val="00D536D9"/>
    <w:rsid w:val="00D54B9A"/>
    <w:rsid w:val="00D56BDA"/>
    <w:rsid w:val="00D622C2"/>
    <w:rsid w:val="00D64933"/>
    <w:rsid w:val="00D65400"/>
    <w:rsid w:val="00D656CC"/>
    <w:rsid w:val="00D669CF"/>
    <w:rsid w:val="00D70323"/>
    <w:rsid w:val="00D704A5"/>
    <w:rsid w:val="00D7052D"/>
    <w:rsid w:val="00D7080E"/>
    <w:rsid w:val="00D713B5"/>
    <w:rsid w:val="00D72984"/>
    <w:rsid w:val="00D74898"/>
    <w:rsid w:val="00D75BAF"/>
    <w:rsid w:val="00D80679"/>
    <w:rsid w:val="00D8098A"/>
    <w:rsid w:val="00D80D40"/>
    <w:rsid w:val="00D8320B"/>
    <w:rsid w:val="00D83FF8"/>
    <w:rsid w:val="00D846AC"/>
    <w:rsid w:val="00D85B29"/>
    <w:rsid w:val="00D87555"/>
    <w:rsid w:val="00D87C32"/>
    <w:rsid w:val="00D91B69"/>
    <w:rsid w:val="00D91DE4"/>
    <w:rsid w:val="00D92ECB"/>
    <w:rsid w:val="00D93E58"/>
    <w:rsid w:val="00D9668A"/>
    <w:rsid w:val="00DA197B"/>
    <w:rsid w:val="00DA297F"/>
    <w:rsid w:val="00DA4721"/>
    <w:rsid w:val="00DB0B6D"/>
    <w:rsid w:val="00DB10FB"/>
    <w:rsid w:val="00DB27E4"/>
    <w:rsid w:val="00DB2C51"/>
    <w:rsid w:val="00DB48D5"/>
    <w:rsid w:val="00DB58DD"/>
    <w:rsid w:val="00DB692C"/>
    <w:rsid w:val="00DB7CEA"/>
    <w:rsid w:val="00DC1E5C"/>
    <w:rsid w:val="00DC54FD"/>
    <w:rsid w:val="00DC5EFB"/>
    <w:rsid w:val="00DC7734"/>
    <w:rsid w:val="00DC7863"/>
    <w:rsid w:val="00DD1731"/>
    <w:rsid w:val="00DD205C"/>
    <w:rsid w:val="00DD5773"/>
    <w:rsid w:val="00DD5797"/>
    <w:rsid w:val="00DD6765"/>
    <w:rsid w:val="00DD6D08"/>
    <w:rsid w:val="00DD7B98"/>
    <w:rsid w:val="00DE07A1"/>
    <w:rsid w:val="00DE415F"/>
    <w:rsid w:val="00DE56D9"/>
    <w:rsid w:val="00DE59F7"/>
    <w:rsid w:val="00DE5BB1"/>
    <w:rsid w:val="00DE5FDE"/>
    <w:rsid w:val="00DE7A67"/>
    <w:rsid w:val="00DE7EE9"/>
    <w:rsid w:val="00DF37D9"/>
    <w:rsid w:val="00DF4209"/>
    <w:rsid w:val="00DF493C"/>
    <w:rsid w:val="00DF59FF"/>
    <w:rsid w:val="00DF6473"/>
    <w:rsid w:val="00E0054A"/>
    <w:rsid w:val="00E00C53"/>
    <w:rsid w:val="00E03AB6"/>
    <w:rsid w:val="00E03D94"/>
    <w:rsid w:val="00E0449A"/>
    <w:rsid w:val="00E045EA"/>
    <w:rsid w:val="00E071C2"/>
    <w:rsid w:val="00E073AE"/>
    <w:rsid w:val="00E11166"/>
    <w:rsid w:val="00E12448"/>
    <w:rsid w:val="00E132CF"/>
    <w:rsid w:val="00E14953"/>
    <w:rsid w:val="00E17ACA"/>
    <w:rsid w:val="00E2179C"/>
    <w:rsid w:val="00E21E08"/>
    <w:rsid w:val="00E23089"/>
    <w:rsid w:val="00E2386A"/>
    <w:rsid w:val="00E2462B"/>
    <w:rsid w:val="00E27105"/>
    <w:rsid w:val="00E30CF1"/>
    <w:rsid w:val="00E310A1"/>
    <w:rsid w:val="00E3143A"/>
    <w:rsid w:val="00E343F4"/>
    <w:rsid w:val="00E35775"/>
    <w:rsid w:val="00E35B65"/>
    <w:rsid w:val="00E35CE6"/>
    <w:rsid w:val="00E40B7B"/>
    <w:rsid w:val="00E40FB9"/>
    <w:rsid w:val="00E4149D"/>
    <w:rsid w:val="00E41687"/>
    <w:rsid w:val="00E41C7B"/>
    <w:rsid w:val="00E41FF6"/>
    <w:rsid w:val="00E426A3"/>
    <w:rsid w:val="00E43688"/>
    <w:rsid w:val="00E43F6D"/>
    <w:rsid w:val="00E45E29"/>
    <w:rsid w:val="00E5102A"/>
    <w:rsid w:val="00E54318"/>
    <w:rsid w:val="00E55301"/>
    <w:rsid w:val="00E55640"/>
    <w:rsid w:val="00E61BE9"/>
    <w:rsid w:val="00E6224E"/>
    <w:rsid w:val="00E63C53"/>
    <w:rsid w:val="00E650AE"/>
    <w:rsid w:val="00E66325"/>
    <w:rsid w:val="00E70D29"/>
    <w:rsid w:val="00E72F2C"/>
    <w:rsid w:val="00E747DA"/>
    <w:rsid w:val="00E755C3"/>
    <w:rsid w:val="00E8438E"/>
    <w:rsid w:val="00E851C4"/>
    <w:rsid w:val="00E86742"/>
    <w:rsid w:val="00E8689A"/>
    <w:rsid w:val="00E873A0"/>
    <w:rsid w:val="00E87450"/>
    <w:rsid w:val="00E87F34"/>
    <w:rsid w:val="00E90CC9"/>
    <w:rsid w:val="00E9131E"/>
    <w:rsid w:val="00E91F1D"/>
    <w:rsid w:val="00E9578D"/>
    <w:rsid w:val="00EA0153"/>
    <w:rsid w:val="00EA01CA"/>
    <w:rsid w:val="00EA0849"/>
    <w:rsid w:val="00EA165E"/>
    <w:rsid w:val="00EA1B28"/>
    <w:rsid w:val="00EA5823"/>
    <w:rsid w:val="00EA5C3C"/>
    <w:rsid w:val="00EB05EC"/>
    <w:rsid w:val="00EB27C1"/>
    <w:rsid w:val="00EB30D9"/>
    <w:rsid w:val="00EB4368"/>
    <w:rsid w:val="00EB4443"/>
    <w:rsid w:val="00EB55DC"/>
    <w:rsid w:val="00EB7A73"/>
    <w:rsid w:val="00EC16C1"/>
    <w:rsid w:val="00EC1D30"/>
    <w:rsid w:val="00EC3310"/>
    <w:rsid w:val="00EC3E80"/>
    <w:rsid w:val="00EC4DB7"/>
    <w:rsid w:val="00EC5F38"/>
    <w:rsid w:val="00EC78D1"/>
    <w:rsid w:val="00ED2436"/>
    <w:rsid w:val="00ED43C3"/>
    <w:rsid w:val="00ED5C38"/>
    <w:rsid w:val="00ED61EB"/>
    <w:rsid w:val="00EE147A"/>
    <w:rsid w:val="00EE1585"/>
    <w:rsid w:val="00EE18F3"/>
    <w:rsid w:val="00EE52AA"/>
    <w:rsid w:val="00EE562F"/>
    <w:rsid w:val="00EE6FE2"/>
    <w:rsid w:val="00EE7285"/>
    <w:rsid w:val="00EF46D6"/>
    <w:rsid w:val="00EF58D2"/>
    <w:rsid w:val="00EF68C2"/>
    <w:rsid w:val="00EF73C7"/>
    <w:rsid w:val="00F00CE8"/>
    <w:rsid w:val="00F03974"/>
    <w:rsid w:val="00F041A7"/>
    <w:rsid w:val="00F046A1"/>
    <w:rsid w:val="00F0513B"/>
    <w:rsid w:val="00F05F1F"/>
    <w:rsid w:val="00F06A2F"/>
    <w:rsid w:val="00F11B4A"/>
    <w:rsid w:val="00F13359"/>
    <w:rsid w:val="00F200F7"/>
    <w:rsid w:val="00F210CC"/>
    <w:rsid w:val="00F22838"/>
    <w:rsid w:val="00F2306B"/>
    <w:rsid w:val="00F246AD"/>
    <w:rsid w:val="00F247B9"/>
    <w:rsid w:val="00F25D41"/>
    <w:rsid w:val="00F25E98"/>
    <w:rsid w:val="00F25F99"/>
    <w:rsid w:val="00F2622A"/>
    <w:rsid w:val="00F26369"/>
    <w:rsid w:val="00F263CC"/>
    <w:rsid w:val="00F31359"/>
    <w:rsid w:val="00F3256F"/>
    <w:rsid w:val="00F32C05"/>
    <w:rsid w:val="00F3522D"/>
    <w:rsid w:val="00F357F8"/>
    <w:rsid w:val="00F41EDA"/>
    <w:rsid w:val="00F42AB6"/>
    <w:rsid w:val="00F444C2"/>
    <w:rsid w:val="00F455B1"/>
    <w:rsid w:val="00F46D73"/>
    <w:rsid w:val="00F47451"/>
    <w:rsid w:val="00F50569"/>
    <w:rsid w:val="00F51A69"/>
    <w:rsid w:val="00F6081C"/>
    <w:rsid w:val="00F653DA"/>
    <w:rsid w:val="00F653F5"/>
    <w:rsid w:val="00F6701C"/>
    <w:rsid w:val="00F675EC"/>
    <w:rsid w:val="00F67E82"/>
    <w:rsid w:val="00F721C0"/>
    <w:rsid w:val="00F722A9"/>
    <w:rsid w:val="00F724E6"/>
    <w:rsid w:val="00F7356B"/>
    <w:rsid w:val="00F73E65"/>
    <w:rsid w:val="00F74B9F"/>
    <w:rsid w:val="00F75D9F"/>
    <w:rsid w:val="00F763A8"/>
    <w:rsid w:val="00F763D2"/>
    <w:rsid w:val="00F775FE"/>
    <w:rsid w:val="00F8315B"/>
    <w:rsid w:val="00F85741"/>
    <w:rsid w:val="00F90342"/>
    <w:rsid w:val="00F905F6"/>
    <w:rsid w:val="00F91270"/>
    <w:rsid w:val="00F913EE"/>
    <w:rsid w:val="00F92274"/>
    <w:rsid w:val="00F928DF"/>
    <w:rsid w:val="00F93AF1"/>
    <w:rsid w:val="00F949B9"/>
    <w:rsid w:val="00F94A63"/>
    <w:rsid w:val="00F958D5"/>
    <w:rsid w:val="00FA01AC"/>
    <w:rsid w:val="00FA1669"/>
    <w:rsid w:val="00FA1D30"/>
    <w:rsid w:val="00FA3B62"/>
    <w:rsid w:val="00FA503F"/>
    <w:rsid w:val="00FA53DE"/>
    <w:rsid w:val="00FA58BF"/>
    <w:rsid w:val="00FA5AFB"/>
    <w:rsid w:val="00FA7348"/>
    <w:rsid w:val="00FB0198"/>
    <w:rsid w:val="00FB089A"/>
    <w:rsid w:val="00FB1551"/>
    <w:rsid w:val="00FB44AB"/>
    <w:rsid w:val="00FB4BD9"/>
    <w:rsid w:val="00FC02EC"/>
    <w:rsid w:val="00FC03B7"/>
    <w:rsid w:val="00FC0754"/>
    <w:rsid w:val="00FC0771"/>
    <w:rsid w:val="00FC14D6"/>
    <w:rsid w:val="00FC1588"/>
    <w:rsid w:val="00FC1F5C"/>
    <w:rsid w:val="00FC577D"/>
    <w:rsid w:val="00FC78BE"/>
    <w:rsid w:val="00FD0F1A"/>
    <w:rsid w:val="00FD3012"/>
    <w:rsid w:val="00FD6D3C"/>
    <w:rsid w:val="00FD7A6C"/>
    <w:rsid w:val="00FE0080"/>
    <w:rsid w:val="00FE1871"/>
    <w:rsid w:val="00FE2A7A"/>
    <w:rsid w:val="00FE2BA1"/>
    <w:rsid w:val="00FE3C4F"/>
    <w:rsid w:val="00FE3D81"/>
    <w:rsid w:val="00FE434C"/>
    <w:rsid w:val="00FE4D25"/>
    <w:rsid w:val="00FE72CC"/>
    <w:rsid w:val="00FF1EE3"/>
    <w:rsid w:val="00F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F7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776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776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77600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semiHidden/>
    <w:rsid w:val="00572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72F18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572F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72F18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556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B4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B489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CB4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B4894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B1007C"/>
    <w:rPr>
      <w:rFonts w:cs="Times New Roman"/>
      <w:i/>
      <w:iCs/>
    </w:rPr>
  </w:style>
  <w:style w:type="character" w:styleId="ac">
    <w:name w:val="Hyperlink"/>
    <w:basedOn w:val="a0"/>
    <w:uiPriority w:val="99"/>
    <w:rsid w:val="00B1007C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rsid w:val="005E2A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E2A9F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8E6290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2F7483"/>
    <w:rPr>
      <w:rFonts w:ascii="Arial" w:hAnsi="Arial" w:cs="Arial"/>
      <w:b/>
      <w:bCs/>
      <w:color w:val="26282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7483"/>
    <w:rPr>
      <w:color w:val="106BBE"/>
    </w:rPr>
  </w:style>
  <w:style w:type="paragraph" w:styleId="af1">
    <w:name w:val="List Paragraph"/>
    <w:basedOn w:val="a"/>
    <w:uiPriority w:val="34"/>
    <w:qFormat/>
    <w:rsid w:val="001969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224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247D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E07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1">
    <w:name w:val="Сетка таблицы2"/>
    <w:basedOn w:val="a1"/>
    <w:next w:val="a6"/>
    <w:rsid w:val="00682D3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006EEE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06EEE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6B2B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6B2B5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4110150051560522E-2"/>
          <c:y val="6.079392426304326E-2"/>
          <c:w val="0.89605606414546357"/>
          <c:h val="0.6264864096897557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работ, тыс. машиночасов</c:v>
                </c:pt>
              </c:strCache>
            </c:strRef>
          </c:tx>
          <c:spPr>
            <a:ln w="38093" cmpd="thickThin">
              <a:solidFill>
                <a:srgbClr val="0070C0"/>
              </a:solidFill>
            </a:ln>
          </c:spPr>
          <c:marker>
            <c:symbol val="circle"/>
            <c:size val="3"/>
            <c:spPr>
              <a:noFill/>
              <a:ln>
                <a:solidFill>
                  <a:srgbClr val="0070C0"/>
                </a:solidFill>
              </a:ln>
            </c:spPr>
          </c:marker>
          <c:dLbls>
            <c:numFmt formatCode="#,##0.0" sourceLinked="0"/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Лист1!$A$2:$A$7</c:f>
              <c:strCache>
                <c:ptCount val="6"/>
                <c:pt idx="0">
                  <c:v>2006 год</c:v>
                </c:pt>
                <c:pt idx="1">
                  <c:v>2010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445.6</c:v>
                </c:pt>
                <c:pt idx="1">
                  <c:v>453.4</c:v>
                </c:pt>
                <c:pt idx="2">
                  <c:v>607</c:v>
                </c:pt>
                <c:pt idx="3">
                  <c:v>633.20000000000005</c:v>
                </c:pt>
                <c:pt idx="4">
                  <c:v>632.29999999999995</c:v>
                </c:pt>
                <c:pt idx="5">
                  <c:v>526.70000000000005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водителей</c:v>
                </c:pt>
              </c:strCache>
            </c:strRef>
          </c:tx>
          <c:spPr>
            <a:ln w="38093" cmpd="sng">
              <a:solidFill>
                <a:srgbClr val="0070C0"/>
              </a:solidFill>
              <a:prstDash val="sysDot"/>
            </a:ln>
          </c:spPr>
          <c:marker>
            <c:symbol val="circle"/>
            <c:size val="3"/>
            <c:spPr>
              <a:noFill/>
              <a:ln>
                <a:solidFill>
                  <a:srgbClr val="0070C0"/>
                </a:solidFill>
              </a:ln>
            </c:spPr>
          </c:marke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Лист1!$A$2:$A$7</c:f>
              <c:strCache>
                <c:ptCount val="6"/>
                <c:pt idx="0">
                  <c:v>2006 год</c:v>
                </c:pt>
                <c:pt idx="1">
                  <c:v>2010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187</c:v>
                </c:pt>
                <c:pt idx="1">
                  <c:v>234</c:v>
                </c:pt>
                <c:pt idx="2">
                  <c:v>272</c:v>
                </c:pt>
                <c:pt idx="3">
                  <c:v>260</c:v>
                </c:pt>
                <c:pt idx="4">
                  <c:v>260</c:v>
                </c:pt>
                <c:pt idx="5">
                  <c:v>254</c:v>
                </c:pt>
              </c:numCache>
            </c:numRef>
          </c:val>
        </c:ser>
        <c:marker val="1"/>
        <c:axId val="61428864"/>
        <c:axId val="61430400"/>
      </c:line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автомобилей</c:v>
                </c:pt>
              </c:strCache>
            </c:strRef>
          </c:tx>
          <c:spPr>
            <a:ln w="38093" cmpd="dbl">
              <a:solidFill>
                <a:schemeClr val="bg1">
                  <a:lumMod val="50000"/>
                </a:schemeClr>
              </a:solidFill>
            </a:ln>
          </c:spPr>
          <c:marker>
            <c:symbol val="circle"/>
            <c:size val="3"/>
            <c:spPr>
              <a:noFill/>
              <a:ln>
                <a:solidFill>
                  <a:prstClr val="white">
                    <a:lumMod val="50000"/>
                  </a:prstClr>
                </a:solidFill>
              </a:ln>
            </c:spPr>
          </c:marker>
          <c:dLbls>
            <c:numFmt formatCode="#,##0.0" sourceLinked="0"/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Лист1!$A$2:$A$7</c:f>
              <c:strCache>
                <c:ptCount val="6"/>
                <c:pt idx="0">
                  <c:v>2006 год</c:v>
                </c:pt>
                <c:pt idx="1">
                  <c:v>2010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200</c:v>
                </c:pt>
                <c:pt idx="1">
                  <c:v>230</c:v>
                </c:pt>
                <c:pt idx="2">
                  <c:v>279</c:v>
                </c:pt>
                <c:pt idx="3">
                  <c:v>291</c:v>
                </c:pt>
                <c:pt idx="4">
                  <c:v>292</c:v>
                </c:pt>
                <c:pt idx="5">
                  <c:v>281</c:v>
                </c:pt>
              </c:numCache>
            </c:numRef>
          </c:val>
        </c:ser>
        <c:marker val="1"/>
        <c:axId val="62906752"/>
        <c:axId val="64128128"/>
      </c:lineChart>
      <c:catAx>
        <c:axId val="61428864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ru-RU"/>
          </a:p>
        </c:txPr>
        <c:crossAx val="61430400"/>
        <c:crosses val="autoZero"/>
        <c:auto val="1"/>
        <c:lblAlgn val="ctr"/>
        <c:lblOffset val="100"/>
      </c:catAx>
      <c:valAx>
        <c:axId val="61430400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61428864"/>
        <c:crosses val="autoZero"/>
        <c:crossBetween val="between"/>
      </c:valAx>
      <c:catAx>
        <c:axId val="62906752"/>
        <c:scaling>
          <c:orientation val="minMax"/>
        </c:scaling>
        <c:delete val="1"/>
        <c:axPos val="b"/>
        <c:tickLblPos val="none"/>
        <c:crossAx val="64128128"/>
        <c:crosses val="autoZero"/>
        <c:auto val="1"/>
        <c:lblAlgn val="ctr"/>
        <c:lblOffset val="100"/>
      </c:catAx>
      <c:valAx>
        <c:axId val="64128128"/>
        <c:scaling>
          <c:orientation val="minMax"/>
          <c:max val="450"/>
          <c:min val="100"/>
        </c:scaling>
        <c:axPos val="r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2906752"/>
        <c:crosses val="max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000" b="0"/>
            </a:pPr>
            <a:endParaRPr lang="ru-RU"/>
          </a:p>
        </c:txPr>
      </c:legendEntry>
      <c:layout>
        <c:manualLayout>
          <c:xMode val="edge"/>
          <c:yMode val="edge"/>
          <c:x val="1.0325989381620463E-2"/>
          <c:y val="0.77948175396994268"/>
          <c:w val="0.98789949301940405"/>
          <c:h val="0.18553815908146856"/>
        </c:manualLayout>
      </c:layout>
      <c:txPr>
        <a:bodyPr/>
        <a:lstStyle/>
        <a:p>
          <a:pPr>
            <a:defRPr sz="900" b="0"/>
          </a:pPr>
          <a:endParaRPr lang="ru-RU"/>
        </a:p>
      </c:txPr>
    </c:legend>
    <c:plotVisOnly val="1"/>
    <c:dispBlanksAs val="gap"/>
  </c:chart>
  <c:spPr>
    <a:ln>
      <a:solidFill>
        <a:srgbClr val="4F81BD"/>
      </a:solidFill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4110150051560502E-2"/>
          <c:y val="6.0793924263043211E-2"/>
          <c:w val="0.89605606414546357"/>
          <c:h val="0.62648640968975577"/>
        </c:manualLayout>
      </c:layou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стоимость машиночаса</c:v>
                </c:pt>
              </c:strCache>
            </c:strRef>
          </c:tx>
          <c:spPr>
            <a:ln w="38114" cmpd="dbl">
              <a:solidFill>
                <a:schemeClr val="bg1">
                  <a:lumMod val="50000"/>
                </a:schemeClr>
              </a:solidFill>
            </a:ln>
          </c:spPr>
          <c:marker>
            <c:symbol val="circle"/>
            <c:size val="4"/>
            <c:spPr>
              <a:noFill/>
              <a:ln>
                <a:solidFill>
                  <a:prstClr val="white">
                    <a:lumMod val="50000"/>
                  </a:prstClr>
                </a:solidFill>
              </a:ln>
            </c:spPr>
          </c:marker>
          <c:dLbls>
            <c:dLbl>
              <c:idx val="0"/>
              <c:layout>
                <c:manualLayout>
                  <c:x val="-3.6324786324786328E-2"/>
                  <c:y val="1.9826517967781943E-2"/>
                </c:manualLayout>
              </c:layout>
              <c:dLblPos val="t"/>
              <c:showVal val="1"/>
            </c:dLbl>
            <c:numFmt formatCode="#,##0.0" sourceLinked="0"/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Лист1!$A$2:$A$7</c:f>
              <c:strCache>
                <c:ptCount val="6"/>
                <c:pt idx="0">
                  <c:v>2006 год</c:v>
                </c:pt>
                <c:pt idx="1">
                  <c:v>2010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216.6</c:v>
                </c:pt>
                <c:pt idx="1">
                  <c:v>379.2</c:v>
                </c:pt>
                <c:pt idx="2">
                  <c:v>448.3</c:v>
                </c:pt>
                <c:pt idx="3">
                  <c:v>460.8</c:v>
                </c:pt>
                <c:pt idx="4">
                  <c:v>453.1</c:v>
                </c:pt>
                <c:pt idx="5">
                  <c:v>530.29999999999995</c:v>
                </c:pt>
              </c:numCache>
            </c:numRef>
          </c:val>
        </c:ser>
        <c:marker val="1"/>
        <c:axId val="93724672"/>
        <c:axId val="93726208"/>
      </c:lineChar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нагрузка на 1 автомобиль, тыс. машиночасов/автомобиль</c:v>
                </c:pt>
              </c:strCache>
            </c:strRef>
          </c:tx>
          <c:spPr>
            <a:ln w="38114" cmpd="thickThin">
              <a:solidFill>
                <a:srgbClr val="0070C0"/>
              </a:solidFill>
            </a:ln>
          </c:spPr>
          <c:marker>
            <c:symbol val="circle"/>
            <c:size val="4"/>
            <c:spPr>
              <a:noFill/>
              <a:ln>
                <a:solidFill>
                  <a:srgbClr val="0070C0"/>
                </a:solidFill>
              </a:ln>
            </c:spPr>
          </c:marker>
          <c:dLbls>
            <c:numFmt formatCode="#,##0.0" sourceLinked="0"/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Лист1!$A$2:$A$7</c:f>
              <c:strCache>
                <c:ptCount val="6"/>
                <c:pt idx="0">
                  <c:v>2006 год</c:v>
                </c:pt>
                <c:pt idx="1">
                  <c:v>2010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2.23</c:v>
                </c:pt>
                <c:pt idx="1">
                  <c:v>1.9700000000000077</c:v>
                </c:pt>
                <c:pt idx="2">
                  <c:v>2.1800000000000002</c:v>
                </c:pt>
                <c:pt idx="3">
                  <c:v>2.1800000000000002</c:v>
                </c:pt>
                <c:pt idx="4">
                  <c:v>2.17</c:v>
                </c:pt>
                <c:pt idx="5">
                  <c:v>1.87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нагрузка на 1 водителя, тыс. машиночасов на 1 водителя</c:v>
                </c:pt>
              </c:strCache>
            </c:strRef>
          </c:tx>
          <c:spPr>
            <a:ln w="38114" cmpd="sng">
              <a:solidFill>
                <a:srgbClr val="0070C0"/>
              </a:solidFill>
              <a:prstDash val="sysDot"/>
            </a:ln>
          </c:spPr>
          <c:marker>
            <c:symbol val="circle"/>
            <c:size val="4"/>
            <c:spPr>
              <a:noFill/>
              <a:ln>
                <a:solidFill>
                  <a:srgbClr val="0070C0"/>
                </a:solidFill>
              </a:ln>
            </c:spPr>
          </c:marke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Лист1!$A$2:$A$7</c:f>
              <c:strCache>
                <c:ptCount val="6"/>
                <c:pt idx="0">
                  <c:v>2006 год</c:v>
                </c:pt>
                <c:pt idx="1">
                  <c:v>2010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2.38</c:v>
                </c:pt>
                <c:pt idx="1">
                  <c:v>1.9400000000000077</c:v>
                </c:pt>
                <c:pt idx="2">
                  <c:v>2.23</c:v>
                </c:pt>
                <c:pt idx="3">
                  <c:v>2.44</c:v>
                </c:pt>
                <c:pt idx="4">
                  <c:v>2.4299999999999997</c:v>
                </c:pt>
                <c:pt idx="5">
                  <c:v>2.0699999999999998</c:v>
                </c:pt>
              </c:numCache>
            </c:numRef>
          </c:val>
        </c:ser>
        <c:marker val="1"/>
        <c:axId val="93852416"/>
        <c:axId val="93878144"/>
      </c:lineChart>
      <c:catAx>
        <c:axId val="9372467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ru-RU"/>
          </a:p>
        </c:txPr>
        <c:crossAx val="93726208"/>
        <c:crosses val="autoZero"/>
        <c:auto val="1"/>
        <c:lblAlgn val="ctr"/>
        <c:lblOffset val="100"/>
      </c:catAx>
      <c:valAx>
        <c:axId val="93726208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93724672"/>
        <c:crosses val="autoZero"/>
        <c:crossBetween val="between"/>
      </c:valAx>
      <c:catAx>
        <c:axId val="93852416"/>
        <c:scaling>
          <c:orientation val="minMax"/>
        </c:scaling>
        <c:delete val="1"/>
        <c:axPos val="b"/>
        <c:tickLblPos val="none"/>
        <c:crossAx val="93878144"/>
        <c:crosses val="autoZero"/>
        <c:auto val="1"/>
        <c:lblAlgn val="ctr"/>
        <c:lblOffset val="100"/>
      </c:catAx>
      <c:valAx>
        <c:axId val="93878144"/>
        <c:scaling>
          <c:orientation val="minMax"/>
          <c:max val="4"/>
          <c:min val="1"/>
        </c:scaling>
        <c:axPos val="r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3852416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1.032598938162046E-2"/>
          <c:y val="0.77948175396994301"/>
          <c:w val="0.98789949301940383"/>
          <c:h val="0.18553815908146845"/>
        </c:manualLayout>
      </c:layout>
      <c:txPr>
        <a:bodyPr/>
        <a:lstStyle/>
        <a:p>
          <a:pPr>
            <a:defRPr sz="1000" b="0"/>
          </a:pPr>
          <a:endParaRPr lang="ru-RU"/>
        </a:p>
      </c:txPr>
    </c:legend>
    <c:plotVisOnly val="1"/>
    <c:dispBlanksAs val="gap"/>
  </c:chart>
  <c:spPr>
    <a:ln>
      <a:solidFill>
        <a:srgbClr val="4F81BD"/>
      </a:solidFill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7" i="1"/>
            </a:pPr>
            <a:r>
              <a:rPr lang="ru-RU" sz="1198" i="1"/>
              <a:t>Количество автомобилей в ремонте, ед.</a:t>
            </a:r>
          </a:p>
          <a:p>
            <a:pPr>
              <a:defRPr sz="997" i="1"/>
            </a:pPr>
            <a:r>
              <a:rPr lang="ru-RU" sz="1198" i="1"/>
              <a:t>       </a:t>
            </a:r>
          </a:p>
          <a:p>
            <a:pPr>
              <a:defRPr sz="997" i="1"/>
            </a:pPr>
            <a:r>
              <a:rPr lang="ru-RU" sz="999" i="1"/>
              <a:t>  2014 год                                                              </a:t>
            </a:r>
            <a:r>
              <a:rPr lang="ru-RU" sz="999" i="1" baseline="0"/>
              <a:t> 2015 год</a:t>
            </a:r>
            <a:endParaRPr lang="ru-RU" sz="1000" i="1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 ремонте, всего</c:v>
                </c:pt>
              </c:strCache>
            </c:strRef>
          </c:tx>
          <c:spPr>
            <a:ln w="38044" cmpd="thickThin">
              <a:solidFill>
                <a:srgbClr val="0070C0"/>
              </a:solidFill>
            </a:ln>
          </c:spPr>
          <c:marker>
            <c:symbol val="circle"/>
            <c:size val="3"/>
            <c:spPr>
              <a:noFill/>
              <a:ln>
                <a:solidFill>
                  <a:srgbClr val="0070C0"/>
                </a:solidFill>
              </a:ln>
            </c:spPr>
          </c:marker>
          <c:dLbls>
            <c:txPr>
              <a:bodyPr/>
              <a:lstStyle/>
              <a:p>
                <a:pPr>
                  <a:defRPr sz="799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Лист1!$A$2:$A$25</c:f>
              <c:strCache>
                <c:ptCount val="2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  <c:pt idx="13">
                  <c:v>февраль</c:v>
                </c:pt>
                <c:pt idx="14">
                  <c:v>март</c:v>
                </c:pt>
                <c:pt idx="15">
                  <c:v>апрель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август</c:v>
                </c:pt>
                <c:pt idx="20">
                  <c:v>сентябрь</c:v>
                </c:pt>
                <c:pt idx="21">
                  <c:v>октябрь</c:v>
                </c:pt>
                <c:pt idx="22">
                  <c:v>ноябрь</c:v>
                </c:pt>
                <c:pt idx="23">
                  <c:v>декабрь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26</c:v>
                </c:pt>
                <c:pt idx="1">
                  <c:v>35</c:v>
                </c:pt>
                <c:pt idx="2">
                  <c:v>45</c:v>
                </c:pt>
                <c:pt idx="3">
                  <c:v>40</c:v>
                </c:pt>
                <c:pt idx="4">
                  <c:v>47</c:v>
                </c:pt>
                <c:pt idx="5">
                  <c:v>69</c:v>
                </c:pt>
                <c:pt idx="6">
                  <c:v>67</c:v>
                </c:pt>
                <c:pt idx="7">
                  <c:v>68</c:v>
                </c:pt>
                <c:pt idx="8">
                  <c:v>60</c:v>
                </c:pt>
                <c:pt idx="9">
                  <c:v>47</c:v>
                </c:pt>
                <c:pt idx="10">
                  <c:v>55</c:v>
                </c:pt>
                <c:pt idx="11">
                  <c:v>59</c:v>
                </c:pt>
                <c:pt idx="12">
                  <c:v>41</c:v>
                </c:pt>
                <c:pt idx="13">
                  <c:v>43</c:v>
                </c:pt>
                <c:pt idx="14">
                  <c:v>38</c:v>
                </c:pt>
                <c:pt idx="15">
                  <c:v>43</c:v>
                </c:pt>
                <c:pt idx="16">
                  <c:v>45</c:v>
                </c:pt>
                <c:pt idx="17">
                  <c:v>45</c:v>
                </c:pt>
                <c:pt idx="18">
                  <c:v>39</c:v>
                </c:pt>
                <c:pt idx="19">
                  <c:v>35</c:v>
                </c:pt>
                <c:pt idx="20">
                  <c:v>41</c:v>
                </c:pt>
                <c:pt idx="21">
                  <c:v>47</c:v>
                </c:pt>
                <c:pt idx="22">
                  <c:v>52</c:v>
                </c:pt>
                <c:pt idx="23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т.ч. из-за отсутствия запчастей</c:v>
                </c:pt>
              </c:strCache>
            </c:strRef>
          </c:tx>
          <c:spPr>
            <a:ln w="38044" cmpd="sng">
              <a:solidFill>
                <a:srgbClr val="0070C0"/>
              </a:solidFill>
              <a:prstDash val="sysDot"/>
            </a:ln>
          </c:spPr>
          <c:marker>
            <c:symbol val="circle"/>
            <c:size val="3"/>
            <c:spPr>
              <a:noFill/>
              <a:ln>
                <a:solidFill>
                  <a:srgbClr val="0070C0"/>
                </a:solidFill>
              </a:ln>
            </c:spPr>
          </c:marker>
          <c:dLbls>
            <c:txPr>
              <a:bodyPr/>
              <a:lstStyle/>
              <a:p>
                <a:pPr>
                  <a:defRPr sz="799"/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Лист1!$A$2:$A$25</c:f>
              <c:strCache>
                <c:ptCount val="2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  <c:pt idx="13">
                  <c:v>февраль</c:v>
                </c:pt>
                <c:pt idx="14">
                  <c:v>март</c:v>
                </c:pt>
                <c:pt idx="15">
                  <c:v>апрель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август</c:v>
                </c:pt>
                <c:pt idx="20">
                  <c:v>сентябрь</c:v>
                </c:pt>
                <c:pt idx="21">
                  <c:v>октябрь</c:v>
                </c:pt>
                <c:pt idx="22">
                  <c:v>ноябрь</c:v>
                </c:pt>
                <c:pt idx="23">
                  <c:v>декабрь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14</c:v>
                </c:pt>
                <c:pt idx="1">
                  <c:v>21</c:v>
                </c:pt>
                <c:pt idx="2">
                  <c:v>27</c:v>
                </c:pt>
                <c:pt idx="3">
                  <c:v>25</c:v>
                </c:pt>
                <c:pt idx="4">
                  <c:v>30</c:v>
                </c:pt>
                <c:pt idx="5">
                  <c:v>50</c:v>
                </c:pt>
                <c:pt idx="6">
                  <c:v>45</c:v>
                </c:pt>
                <c:pt idx="7">
                  <c:v>44</c:v>
                </c:pt>
                <c:pt idx="8">
                  <c:v>42</c:v>
                </c:pt>
                <c:pt idx="9">
                  <c:v>30</c:v>
                </c:pt>
                <c:pt idx="10">
                  <c:v>34</c:v>
                </c:pt>
                <c:pt idx="11">
                  <c:v>42</c:v>
                </c:pt>
                <c:pt idx="12">
                  <c:v>19</c:v>
                </c:pt>
                <c:pt idx="13">
                  <c:v>23</c:v>
                </c:pt>
                <c:pt idx="14">
                  <c:v>17</c:v>
                </c:pt>
                <c:pt idx="15">
                  <c:v>21</c:v>
                </c:pt>
                <c:pt idx="16">
                  <c:v>24</c:v>
                </c:pt>
                <c:pt idx="17">
                  <c:v>19</c:v>
                </c:pt>
                <c:pt idx="18">
                  <c:v>19</c:v>
                </c:pt>
                <c:pt idx="19">
                  <c:v>16</c:v>
                </c:pt>
                <c:pt idx="20">
                  <c:v>19</c:v>
                </c:pt>
                <c:pt idx="21">
                  <c:v>24</c:v>
                </c:pt>
                <c:pt idx="22">
                  <c:v>33</c:v>
                </c:pt>
                <c:pt idx="23">
                  <c:v>17</c:v>
                </c:pt>
              </c:numCache>
            </c:numRef>
          </c:val>
        </c:ser>
        <c:dLbls>
          <c:showVal val="1"/>
        </c:dLbls>
        <c:marker val="1"/>
        <c:axId val="97417856"/>
        <c:axId val="99170176"/>
      </c:lineChart>
      <c:catAx>
        <c:axId val="97417856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99" b="0"/>
            </a:pPr>
            <a:endParaRPr lang="ru-RU"/>
          </a:p>
        </c:txPr>
        <c:crossAx val="99170176"/>
        <c:crosses val="autoZero"/>
        <c:auto val="1"/>
        <c:lblAlgn val="ctr"/>
        <c:lblOffset val="100"/>
      </c:catAx>
      <c:valAx>
        <c:axId val="99170176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единицы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799"/>
            </a:pPr>
            <a:endParaRPr lang="ru-RU"/>
          </a:p>
        </c:txPr>
        <c:crossAx val="97417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981489595199743E-2"/>
          <c:y val="0.84750656167978999"/>
          <c:w val="0.84824071871779161"/>
          <c:h val="0.12868396051720571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приход</c:v>
                </c:pt>
              </c:strCache>
            </c:strRef>
          </c:tx>
          <c:spPr>
            <a:ln w="38063" cmpd="thickThin">
              <a:solidFill>
                <a:srgbClr val="0070C0"/>
              </a:solidFill>
            </a:ln>
          </c:spPr>
          <c:marker>
            <c:symbol val="circle"/>
            <c:size val="3"/>
            <c:spPr>
              <a:noFill/>
              <a:ln>
                <a:solidFill>
                  <a:srgbClr val="0070C0"/>
                </a:solidFill>
              </a:ln>
            </c:spPr>
          </c:marker>
          <c:dLbls>
            <c:txPr>
              <a:bodyPr/>
              <a:lstStyle/>
              <a:p>
                <a:pPr>
                  <a:defRPr sz="799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Лист1!$A$2:$A$8</c:f>
              <c:strCache>
                <c:ptCount val="7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  <c:pt idx="4">
                  <c:v>2013 год</c:v>
                </c:pt>
                <c:pt idx="5">
                  <c:v>2014 год</c:v>
                </c:pt>
                <c:pt idx="6">
                  <c:v>2015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20.399999999999999</c:v>
                </c:pt>
                <c:pt idx="1">
                  <c:v>14.9</c:v>
                </c:pt>
                <c:pt idx="2">
                  <c:v>12.7</c:v>
                </c:pt>
                <c:pt idx="3">
                  <c:v>14.1</c:v>
                </c:pt>
                <c:pt idx="4">
                  <c:v>28.2</c:v>
                </c:pt>
                <c:pt idx="5">
                  <c:v>14.5</c:v>
                </c:pt>
                <c:pt idx="6">
                  <c:v>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остаток на конец года</c:v>
                </c:pt>
              </c:strCache>
            </c:strRef>
          </c:tx>
          <c:spPr>
            <a:ln w="38063" cmpd="sng">
              <a:solidFill>
                <a:srgbClr val="0070C0"/>
              </a:solidFill>
              <a:prstDash val="sysDot"/>
            </a:ln>
          </c:spPr>
          <c:marker>
            <c:symbol val="circle"/>
            <c:size val="3"/>
            <c:spPr>
              <a:noFill/>
              <a:ln>
                <a:solidFill>
                  <a:srgbClr val="0070C0"/>
                </a:solidFill>
              </a:ln>
            </c:spPr>
          </c:marker>
          <c:dLbls>
            <c:txPr>
              <a:bodyPr/>
              <a:lstStyle/>
              <a:p>
                <a:pPr>
                  <a:defRPr sz="799"/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Лист1!$A$2:$A$8</c:f>
              <c:strCache>
                <c:ptCount val="7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  <c:pt idx="4">
                  <c:v>2013 год</c:v>
                </c:pt>
                <c:pt idx="5">
                  <c:v>2014 год</c:v>
                </c:pt>
                <c:pt idx="6">
                  <c:v>2015 год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14.3</c:v>
                </c:pt>
                <c:pt idx="1">
                  <c:v>8.7000000000000011</c:v>
                </c:pt>
                <c:pt idx="2">
                  <c:v>10.9</c:v>
                </c:pt>
                <c:pt idx="3">
                  <c:v>10.200000000000001</c:v>
                </c:pt>
                <c:pt idx="4">
                  <c:v>22.6</c:v>
                </c:pt>
                <c:pt idx="5">
                  <c:v>21.9</c:v>
                </c:pt>
                <c:pt idx="6">
                  <c:v>17.7</c:v>
                </c:pt>
              </c:numCache>
            </c:numRef>
          </c:val>
        </c:ser>
        <c:dLbls>
          <c:showVal val="1"/>
        </c:dLbls>
        <c:marker val="1"/>
        <c:axId val="101496320"/>
        <c:axId val="101564800"/>
      </c:lineChart>
      <c:catAx>
        <c:axId val="101496320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101564800"/>
        <c:crosses val="autoZero"/>
        <c:auto val="1"/>
        <c:lblAlgn val="ctr"/>
        <c:lblOffset val="100"/>
      </c:catAx>
      <c:valAx>
        <c:axId val="101564800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тыс. единиц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799"/>
            </a:pPr>
            <a:endParaRPr lang="ru-RU"/>
          </a:p>
        </c:txPr>
        <c:crossAx val="101496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981464857609545E-2"/>
          <c:y val="0.84750656167978999"/>
          <c:w val="0.84824078586267859"/>
          <c:h val="0.12868402988088068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FDC9-329A-420D-B467-AAAE9DEB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6448</Words>
  <Characters>36758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Горина</cp:lastModifiedBy>
  <cp:revision>9</cp:revision>
  <cp:lastPrinted>2016-02-19T07:36:00Z</cp:lastPrinted>
  <dcterms:created xsi:type="dcterms:W3CDTF">2016-01-25T11:59:00Z</dcterms:created>
  <dcterms:modified xsi:type="dcterms:W3CDTF">2016-02-19T13:00:00Z</dcterms:modified>
</cp:coreProperties>
</file>