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3284"/>
        <w:gridCol w:w="2636"/>
        <w:gridCol w:w="4394"/>
      </w:tblGrid>
      <w:tr w:rsidR="00A9679F" w:rsidRPr="00DF57F8" w:rsidTr="00A9679F">
        <w:tc>
          <w:tcPr>
            <w:tcW w:w="3284" w:type="dxa"/>
          </w:tcPr>
          <w:p w:rsidR="00A9679F" w:rsidRPr="00DF57F8" w:rsidRDefault="00A9679F" w:rsidP="00A9679F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636" w:type="dxa"/>
          </w:tcPr>
          <w:p w:rsidR="00A9679F" w:rsidRPr="00DF57F8" w:rsidRDefault="00A9679F" w:rsidP="00A9679F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4394" w:type="dxa"/>
          </w:tcPr>
          <w:p w:rsidR="00A9679F" w:rsidRPr="00DF57F8" w:rsidRDefault="00A9679F" w:rsidP="00A9679F">
            <w:pPr>
              <w:tabs>
                <w:tab w:val="left" w:pos="2505"/>
              </w:tabs>
              <w:rPr>
                <w:rFonts w:eastAsia="Calibri"/>
                <w:b/>
                <w:i/>
                <w:lang w:eastAsia="en-US"/>
              </w:rPr>
            </w:pPr>
            <w:r w:rsidRPr="00DF57F8">
              <w:rPr>
                <w:b/>
                <w:i/>
                <w:lang w:eastAsia="en-US"/>
              </w:rPr>
              <w:t>Утверждаю</w:t>
            </w:r>
          </w:p>
          <w:p w:rsidR="00A9679F" w:rsidRPr="00DF57F8" w:rsidRDefault="00A9679F" w:rsidP="00A9679F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DF57F8">
              <w:rPr>
                <w:b/>
                <w:i/>
                <w:lang w:eastAsia="en-US"/>
              </w:rPr>
              <w:t xml:space="preserve">председатель контрольно - </w:t>
            </w:r>
            <w:proofErr w:type="gramStart"/>
            <w:r w:rsidRPr="00DF57F8">
              <w:rPr>
                <w:b/>
                <w:i/>
                <w:lang w:eastAsia="en-US"/>
              </w:rPr>
              <w:t>счетной</w:t>
            </w:r>
            <w:proofErr w:type="gramEnd"/>
            <w:r w:rsidRPr="00DF57F8">
              <w:rPr>
                <w:b/>
                <w:i/>
                <w:lang w:eastAsia="en-US"/>
              </w:rPr>
              <w:t xml:space="preserve"> </w:t>
            </w:r>
          </w:p>
          <w:p w:rsidR="00A9679F" w:rsidRPr="00DF57F8" w:rsidRDefault="00A9679F" w:rsidP="00A9679F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DF57F8">
              <w:rPr>
                <w:b/>
                <w:i/>
                <w:lang w:eastAsia="en-US"/>
              </w:rPr>
              <w:t>палаты Волгоградской области</w:t>
            </w:r>
          </w:p>
          <w:p w:rsidR="00A9679F" w:rsidRPr="00DF57F8" w:rsidRDefault="00A9679F" w:rsidP="00A9679F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DF57F8">
              <w:rPr>
                <w:b/>
                <w:i/>
                <w:lang w:eastAsia="en-US"/>
              </w:rPr>
              <w:t xml:space="preserve">______________ </w:t>
            </w:r>
            <w:proofErr w:type="gramStart"/>
            <w:r w:rsidRPr="00DF57F8">
              <w:rPr>
                <w:b/>
                <w:i/>
                <w:lang w:eastAsia="en-US"/>
              </w:rPr>
              <w:t>И. А.</w:t>
            </w:r>
            <w:proofErr w:type="gramEnd"/>
            <w:r w:rsidRPr="00DF57F8">
              <w:rPr>
                <w:b/>
                <w:i/>
                <w:lang w:eastAsia="en-US"/>
              </w:rPr>
              <w:t xml:space="preserve"> Дьяченко</w:t>
            </w:r>
          </w:p>
          <w:p w:rsidR="00A9679F" w:rsidRPr="00DF57F8" w:rsidRDefault="00A9679F" w:rsidP="00A9679F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DF57F8">
              <w:rPr>
                <w:b/>
                <w:i/>
                <w:lang w:eastAsia="en-US"/>
              </w:rPr>
              <w:t xml:space="preserve">« ___» </w:t>
            </w:r>
            <w:r>
              <w:rPr>
                <w:b/>
                <w:i/>
                <w:lang w:eastAsia="en-US"/>
              </w:rPr>
              <w:t>апреля</w:t>
            </w:r>
            <w:r w:rsidRPr="00DF57F8">
              <w:rPr>
                <w:b/>
                <w:i/>
                <w:lang w:eastAsia="en-US"/>
              </w:rPr>
              <w:t xml:space="preserve"> 201</w:t>
            </w:r>
            <w:r w:rsidR="00A53B46">
              <w:rPr>
                <w:b/>
                <w:i/>
                <w:lang w:eastAsia="en-US"/>
              </w:rPr>
              <w:t>8</w:t>
            </w:r>
            <w:r w:rsidRPr="00DF57F8">
              <w:rPr>
                <w:b/>
                <w:i/>
                <w:lang w:eastAsia="en-US"/>
              </w:rPr>
              <w:t xml:space="preserve"> года </w:t>
            </w:r>
          </w:p>
          <w:p w:rsidR="00A9679F" w:rsidRPr="00DF57F8" w:rsidRDefault="00A9679F" w:rsidP="00A9679F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A9679F" w:rsidRPr="00DF57F8" w:rsidRDefault="00A9679F" w:rsidP="00A9679F">
      <w:pPr>
        <w:tabs>
          <w:tab w:val="left" w:pos="2505"/>
        </w:tabs>
        <w:jc w:val="center"/>
        <w:rPr>
          <w:rFonts w:eastAsia="Calibri"/>
          <w:b/>
          <w:i/>
        </w:rPr>
      </w:pPr>
    </w:p>
    <w:p w:rsidR="00A9679F" w:rsidRPr="00DF57F8" w:rsidRDefault="00A9679F" w:rsidP="00A9679F">
      <w:pPr>
        <w:tabs>
          <w:tab w:val="left" w:pos="2505"/>
        </w:tabs>
        <w:ind w:firstLine="709"/>
        <w:jc w:val="center"/>
        <w:rPr>
          <w:b/>
          <w:i/>
        </w:rPr>
      </w:pPr>
      <w:r w:rsidRPr="00DF57F8">
        <w:rPr>
          <w:b/>
          <w:i/>
        </w:rPr>
        <w:t>ЗАКЛЮЧЕНИЕ</w:t>
      </w:r>
    </w:p>
    <w:p w:rsidR="00A9679F" w:rsidRPr="00DF57F8" w:rsidRDefault="00A9679F" w:rsidP="00A9679F">
      <w:pPr>
        <w:ind w:firstLine="709"/>
        <w:jc w:val="center"/>
        <w:rPr>
          <w:b/>
          <w:i/>
        </w:rPr>
      </w:pPr>
      <w:r w:rsidRPr="00DF57F8">
        <w:rPr>
          <w:b/>
          <w:i/>
        </w:rPr>
        <w:t>о результатах внешней  проверки бюджетной отчетности и отдельных вопросов</w:t>
      </w:r>
    </w:p>
    <w:p w:rsidR="00A9679F" w:rsidRPr="00DF57F8" w:rsidRDefault="00A9679F" w:rsidP="00A9679F">
      <w:pPr>
        <w:ind w:firstLine="709"/>
        <w:jc w:val="center"/>
        <w:rPr>
          <w:b/>
          <w:i/>
        </w:rPr>
      </w:pPr>
      <w:r w:rsidRPr="00DF57F8">
        <w:rPr>
          <w:b/>
          <w:i/>
        </w:rPr>
        <w:t xml:space="preserve">исполнения областного бюджета главным администратором средств </w:t>
      </w:r>
    </w:p>
    <w:p w:rsidR="00A9679F" w:rsidRPr="00DF57F8" w:rsidRDefault="00A9679F" w:rsidP="00A9679F">
      <w:pPr>
        <w:ind w:firstLine="709"/>
        <w:jc w:val="center"/>
        <w:rPr>
          <w:b/>
          <w:i/>
        </w:rPr>
      </w:pPr>
      <w:r w:rsidRPr="00DF57F8">
        <w:rPr>
          <w:b/>
          <w:i/>
        </w:rPr>
        <w:t>областного бюджета – комитетом информационных технологий</w:t>
      </w:r>
    </w:p>
    <w:p w:rsidR="00A9679F" w:rsidRPr="00DF57F8" w:rsidRDefault="00A9679F" w:rsidP="00A9679F">
      <w:pPr>
        <w:ind w:firstLine="709"/>
        <w:jc w:val="center"/>
        <w:rPr>
          <w:b/>
          <w:i/>
        </w:rPr>
      </w:pPr>
      <w:r w:rsidRPr="00DF57F8">
        <w:rPr>
          <w:b/>
          <w:i/>
        </w:rPr>
        <w:t>Волгоградской области за 201</w:t>
      </w:r>
      <w:r w:rsidR="00A53B46">
        <w:rPr>
          <w:b/>
          <w:i/>
        </w:rPr>
        <w:t>7</w:t>
      </w:r>
      <w:r w:rsidRPr="00DF57F8">
        <w:rPr>
          <w:b/>
          <w:i/>
        </w:rPr>
        <w:t xml:space="preserve"> год</w:t>
      </w:r>
    </w:p>
    <w:p w:rsidR="00A9679F" w:rsidRPr="00DF57F8" w:rsidRDefault="00A9679F" w:rsidP="00A9679F"/>
    <w:p w:rsidR="00A9679F" w:rsidRPr="00DF57F8" w:rsidRDefault="00A9679F" w:rsidP="00A9679F">
      <w:pPr>
        <w:pStyle w:val="ae"/>
        <w:ind w:firstLine="708"/>
        <w:jc w:val="both"/>
        <w:rPr>
          <w:b w:val="0"/>
        </w:rPr>
      </w:pPr>
      <w:proofErr w:type="gramStart"/>
      <w:r w:rsidRPr="00DF57F8">
        <w:rPr>
          <w:b w:val="0"/>
        </w:rPr>
        <w:t>На основании статьи 264.4 Бюджетного Кодекса РФ (далее - БК РФ) и в соответствии с планом работы контрольно-счетной палаты Волгоградской области (далее - КСП) на 201</w:t>
      </w:r>
      <w:r w:rsidR="00A53B46">
        <w:rPr>
          <w:b w:val="0"/>
        </w:rPr>
        <w:t>8</w:t>
      </w:r>
      <w:r w:rsidRPr="00DF57F8">
        <w:rPr>
          <w:b w:val="0"/>
        </w:rPr>
        <w:t xml:space="preserve"> год, утвержденным </w:t>
      </w:r>
      <w:r w:rsidR="00A53B46">
        <w:rPr>
          <w:b w:val="0"/>
        </w:rPr>
        <w:t>постановлением коллегии КСП от 1</w:t>
      </w:r>
      <w:r w:rsidRPr="00DF57F8">
        <w:rPr>
          <w:b w:val="0"/>
        </w:rPr>
        <w:t>9.12.201</w:t>
      </w:r>
      <w:r w:rsidR="00A53B46">
        <w:rPr>
          <w:b w:val="0"/>
        </w:rPr>
        <w:t>7</w:t>
      </w:r>
      <w:r w:rsidRPr="00DF57F8">
        <w:rPr>
          <w:b w:val="0"/>
        </w:rPr>
        <w:t xml:space="preserve"> № 2</w:t>
      </w:r>
      <w:r w:rsidR="00A53B46">
        <w:rPr>
          <w:b w:val="0"/>
        </w:rPr>
        <w:t>0</w:t>
      </w:r>
      <w:r w:rsidRPr="00DF57F8">
        <w:rPr>
          <w:b w:val="0"/>
        </w:rPr>
        <w:t>/</w:t>
      </w:r>
      <w:r w:rsidR="00A53B46">
        <w:rPr>
          <w:b w:val="0"/>
        </w:rPr>
        <w:t>2</w:t>
      </w:r>
      <w:r w:rsidRPr="00DF57F8">
        <w:rPr>
          <w:b w:val="0"/>
        </w:rPr>
        <w:t>, проведена внешняя камеральная проверка бюджетной отчетности и отдельных вопросов исполнения областного бюджета за 201</w:t>
      </w:r>
      <w:r w:rsidR="00A53B46">
        <w:rPr>
          <w:b w:val="0"/>
        </w:rPr>
        <w:t>7</w:t>
      </w:r>
      <w:r w:rsidRPr="00DF57F8">
        <w:rPr>
          <w:b w:val="0"/>
        </w:rPr>
        <w:t xml:space="preserve"> год главным администратором средств областного бюджета – комитетом информационных технологий Волгоградской области (далее – Комитет).</w:t>
      </w:r>
      <w:proofErr w:type="gramEnd"/>
    </w:p>
    <w:p w:rsidR="0025054E" w:rsidRPr="007D405A" w:rsidRDefault="0025054E" w:rsidP="0025054E">
      <w:pPr>
        <w:tabs>
          <w:tab w:val="left" w:pos="1290"/>
        </w:tabs>
        <w:rPr>
          <w:b/>
          <w:color w:val="FF0000"/>
        </w:rPr>
      </w:pPr>
    </w:p>
    <w:p w:rsidR="0025054E" w:rsidRPr="00A53B46" w:rsidRDefault="0025054E" w:rsidP="0025054E">
      <w:pPr>
        <w:tabs>
          <w:tab w:val="left" w:pos="1290"/>
        </w:tabs>
        <w:jc w:val="center"/>
        <w:rPr>
          <w:b/>
        </w:rPr>
      </w:pPr>
      <w:r w:rsidRPr="00A53B46">
        <w:rPr>
          <w:b/>
        </w:rPr>
        <w:t>Общие сведения</w:t>
      </w:r>
    </w:p>
    <w:p w:rsidR="0025054E" w:rsidRPr="00872FD4" w:rsidRDefault="0025054E" w:rsidP="00F87E95">
      <w:pPr>
        <w:ind w:firstLine="709"/>
        <w:jc w:val="both"/>
      </w:pPr>
      <w:r w:rsidRPr="00872FD4">
        <w:t>В соответствии с Законом Волгоградской области от 15.03.2012 № 22-ОД «О системе органов исполнительной власти Волгоградской области» Комитет входит в систему органов исполнительной власти Волгоградской области. Положением о Комитете, утверждённым постановлением Губернатора Волгоградской области от 28.11.2013 № 1234</w:t>
      </w:r>
      <w:r w:rsidR="00ED0E0F">
        <w:t>,</w:t>
      </w:r>
      <w:r w:rsidRPr="00872FD4">
        <w:t xml:space="preserve"> определено, что Комитет является органом исполнительной власти Волгоградской области, уполномоченным в сфере информационных технологий, связи, телекоммуникаций, развития информационного общества и формирования электронного правительства на территории Волгоградской области.</w:t>
      </w:r>
    </w:p>
    <w:p w:rsidR="00872FD4" w:rsidRDefault="00872FD4" w:rsidP="00872FD4">
      <w:pPr>
        <w:ind w:firstLine="709"/>
        <w:jc w:val="both"/>
      </w:pPr>
      <w:r w:rsidRPr="00DF57F8">
        <w:t xml:space="preserve">В соответствии с </w:t>
      </w:r>
      <w:r w:rsidR="00ED0E0F">
        <w:t>С</w:t>
      </w:r>
      <w:r w:rsidR="00211F01">
        <w:t>оглашением от 27.05.2015 №</w:t>
      </w:r>
      <w:r w:rsidRPr="00DF57F8">
        <w:t xml:space="preserve">6  полномочия по ведению бухгалтерского учета и формированию бюджетной отчетности </w:t>
      </w:r>
      <w:r w:rsidR="00F47FA0" w:rsidRPr="00DF57F8">
        <w:t xml:space="preserve">Комитетом </w:t>
      </w:r>
      <w:r w:rsidRPr="00DF57F8">
        <w:t xml:space="preserve">переданы ГКУ Волгоградской области «Центр бюджетного учета и отчетности» (далее – ГКУ «ЦБУ»). По условиям </w:t>
      </w:r>
      <w:r w:rsidR="00ED0E0F">
        <w:t>С</w:t>
      </w:r>
      <w:r w:rsidRPr="00DF57F8">
        <w:t>оглашения основными обязанностями явля</w:t>
      </w:r>
      <w:r>
        <w:t>ю</w:t>
      </w:r>
      <w:r w:rsidRPr="00DF57F8">
        <w:t>тся: у Комитета – своевременное предоставление ГКУ «ЦБУ» необходимых первичных учетных документов, у ГКУ «ЦБУ» – обеспеч</w:t>
      </w:r>
      <w:r>
        <w:t>ение</w:t>
      </w:r>
      <w:r w:rsidRPr="00DF57F8">
        <w:t xml:space="preserve"> квалифицированно</w:t>
      </w:r>
      <w:r>
        <w:t>го</w:t>
      </w:r>
      <w:r w:rsidRPr="00DF57F8">
        <w:t xml:space="preserve"> и  своевременно</w:t>
      </w:r>
      <w:r>
        <w:t>го</w:t>
      </w:r>
      <w:r w:rsidRPr="00DF57F8">
        <w:t xml:space="preserve"> ведени</w:t>
      </w:r>
      <w:r>
        <w:t>я</w:t>
      </w:r>
      <w:r w:rsidRPr="00DF57F8">
        <w:t xml:space="preserve"> бухгалтерского и налогового учета, формирование отчетности в соответствии с требованиями действующего законодательства.</w:t>
      </w:r>
    </w:p>
    <w:p w:rsidR="00135817" w:rsidRPr="00F833CD" w:rsidRDefault="00135817" w:rsidP="00F87E9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B09C6">
        <w:rPr>
          <w:rFonts w:ascii="Times New Roman" w:hAnsi="Times New Roman"/>
          <w:b w:val="0"/>
          <w:color w:val="auto"/>
          <w:sz w:val="24"/>
          <w:szCs w:val="24"/>
        </w:rPr>
        <w:t>Законом</w:t>
      </w:r>
      <w:r w:rsidR="00DB09C6" w:rsidRPr="00DB09C6">
        <w:rPr>
          <w:rFonts w:ascii="Times New Roman" w:hAnsi="Times New Roman"/>
          <w:b w:val="0"/>
          <w:color w:val="auto"/>
          <w:sz w:val="24"/>
          <w:szCs w:val="24"/>
        </w:rPr>
        <w:t xml:space="preserve"> Волгоградской области от 06.12.2016 №126-ОД «Об областном бюджете на 2017 год и плановый период 2018 и 2019 годов» (далее – Закон </w:t>
      </w:r>
      <w:r w:rsidRPr="00DB09C6">
        <w:rPr>
          <w:rFonts w:ascii="Times New Roman" w:hAnsi="Times New Roman"/>
          <w:b w:val="0"/>
          <w:color w:val="auto"/>
          <w:sz w:val="24"/>
          <w:szCs w:val="24"/>
        </w:rPr>
        <w:t>об областном бюджете</w:t>
      </w:r>
      <w:r w:rsidR="00DB09C6" w:rsidRPr="00DB09C6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="00780E33" w:rsidRPr="00DB09C6">
        <w:rPr>
          <w:rFonts w:ascii="Times New Roman" w:hAnsi="Times New Roman"/>
          <w:b w:val="0"/>
          <w:color w:val="auto"/>
          <w:sz w:val="24"/>
          <w:szCs w:val="24"/>
        </w:rPr>
        <w:t xml:space="preserve"> в первоначальной редакции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предельная штатная численность государственных гражданских служащих (далее – ГГС) Комитета, содержание которых осуществляется за счет средств областного бюджета, утверждена в количестве </w:t>
      </w:r>
      <w:r w:rsidR="00780E33" w:rsidRPr="00F833CD">
        <w:rPr>
          <w:rFonts w:ascii="Times New Roman" w:hAnsi="Times New Roman"/>
          <w:b w:val="0"/>
          <w:color w:val="auto"/>
          <w:sz w:val="24"/>
          <w:szCs w:val="24"/>
        </w:rPr>
        <w:t>32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единиц. </w:t>
      </w:r>
      <w:r w:rsidR="00780E33"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В редакции Закона об областном бюджете от 28.06.2017 предельная численность ГГС уменьшена до 27 единиц. 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На 01.01.2018 численность Комитета включала </w:t>
      </w:r>
      <w:r w:rsidR="007D2F84" w:rsidRPr="00F833C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государственную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должность (председатель Комитета), 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>27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ГГС и </w:t>
      </w:r>
      <w:r w:rsidR="007D2F84" w:rsidRPr="00F833C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должност</w:t>
      </w:r>
      <w:r w:rsidR="007D2F84" w:rsidRPr="00F833CD">
        <w:rPr>
          <w:rFonts w:ascii="Times New Roman" w:hAnsi="Times New Roman"/>
          <w:b w:val="0"/>
          <w:color w:val="auto"/>
          <w:sz w:val="24"/>
          <w:szCs w:val="24"/>
        </w:rPr>
        <w:t>ь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>, не отнесенн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>ую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к </w:t>
      </w:r>
      <w:r w:rsidR="005361EB"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категории 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>должност</w:t>
      </w:r>
      <w:r w:rsidR="005361EB" w:rsidRPr="00F833CD">
        <w:rPr>
          <w:rFonts w:ascii="Times New Roman" w:hAnsi="Times New Roman"/>
          <w:b w:val="0"/>
          <w:color w:val="auto"/>
          <w:sz w:val="24"/>
          <w:szCs w:val="24"/>
        </w:rPr>
        <w:t>ей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ГГС</w:t>
      </w:r>
      <w:r w:rsidR="00C03818"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(специалист первой категории</w:t>
      </w:r>
      <w:r w:rsidR="00C03818" w:rsidRPr="00F833CD">
        <w:rPr>
          <w:b w:val="0"/>
          <w:color w:val="auto"/>
        </w:rPr>
        <w:t>)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>. Факти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чески на 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>01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>.201</w:t>
      </w:r>
      <w:r w:rsidR="009D44D5" w:rsidRPr="00F833CD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замещен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>27 единиц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должност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>ей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, в том числе </w:t>
      </w:r>
      <w:r w:rsidR="00A333A1" w:rsidRPr="00F833CD">
        <w:rPr>
          <w:rFonts w:ascii="Times New Roman" w:hAnsi="Times New Roman"/>
          <w:b w:val="0"/>
          <w:color w:val="auto"/>
          <w:sz w:val="24"/>
          <w:szCs w:val="24"/>
        </w:rPr>
        <w:t>25</w:t>
      </w:r>
      <w:r w:rsidRPr="00F833CD">
        <w:rPr>
          <w:rFonts w:ascii="Times New Roman" w:hAnsi="Times New Roman"/>
          <w:b w:val="0"/>
          <w:color w:val="auto"/>
          <w:sz w:val="24"/>
          <w:szCs w:val="24"/>
        </w:rPr>
        <w:t xml:space="preserve"> ГГС.</w:t>
      </w:r>
    </w:p>
    <w:p w:rsidR="00604430" w:rsidRDefault="0025054E" w:rsidP="00604430">
      <w:pPr>
        <w:ind w:firstLine="708"/>
        <w:jc w:val="both"/>
      </w:pPr>
      <w:r w:rsidRPr="00F833CD">
        <w:t xml:space="preserve">Комитет является учредителем государственного </w:t>
      </w:r>
      <w:r w:rsidR="009E1862" w:rsidRPr="00F833CD">
        <w:t>казенного</w:t>
      </w:r>
      <w:r w:rsidRPr="00F833CD">
        <w:t xml:space="preserve"> учреждения «Центр информационных технологий Волгоградской области» (далее – Г</w:t>
      </w:r>
      <w:r w:rsidR="009E1862" w:rsidRPr="00F833CD">
        <w:t>К</w:t>
      </w:r>
      <w:r w:rsidRPr="00F833CD">
        <w:t xml:space="preserve">У </w:t>
      </w:r>
      <w:r w:rsidR="000E6514" w:rsidRPr="00F833CD">
        <w:t>«</w:t>
      </w:r>
      <w:r w:rsidRPr="00F833CD">
        <w:t>ЦИТ</w:t>
      </w:r>
      <w:r w:rsidR="000E6514" w:rsidRPr="00F833CD">
        <w:t>»</w:t>
      </w:r>
      <w:r w:rsidRPr="00F833CD">
        <w:t>).</w:t>
      </w:r>
      <w:r w:rsidR="00604430" w:rsidRPr="00F833CD">
        <w:t xml:space="preserve"> </w:t>
      </w:r>
      <w:r w:rsidR="009E1862" w:rsidRPr="00F833CD">
        <w:t>В</w:t>
      </w:r>
      <w:r w:rsidR="00604430" w:rsidRPr="00F833CD">
        <w:t xml:space="preserve"> соответствии с постановлением Администрации Волгог</w:t>
      </w:r>
      <w:r w:rsidR="00F87E95" w:rsidRPr="00F833CD">
        <w:t>радской области от 22.12.2016 №</w:t>
      </w:r>
      <w:r w:rsidR="009870DB" w:rsidRPr="00F833CD">
        <w:t xml:space="preserve"> </w:t>
      </w:r>
      <w:r w:rsidR="00604430" w:rsidRPr="00F833CD">
        <w:t>714-п</w:t>
      </w:r>
      <w:r w:rsidR="009E1862" w:rsidRPr="00F833CD">
        <w:t xml:space="preserve"> ГКУ «ЦИТ» создано</w:t>
      </w:r>
      <w:r w:rsidR="00F87E95" w:rsidRPr="00F833CD">
        <w:t xml:space="preserve"> путем изменения типа и наименования </w:t>
      </w:r>
      <w:r w:rsidR="00604430" w:rsidRPr="00F833CD">
        <w:t>государственно</w:t>
      </w:r>
      <w:r w:rsidR="00780E33" w:rsidRPr="00F833CD">
        <w:t>го</w:t>
      </w:r>
      <w:r w:rsidR="00604430" w:rsidRPr="00F833CD">
        <w:t xml:space="preserve"> </w:t>
      </w:r>
      <w:r w:rsidR="00780E33" w:rsidRPr="00F833CD">
        <w:t>бюджетного учреждения</w:t>
      </w:r>
      <w:r w:rsidR="00604430" w:rsidRPr="00F833CD">
        <w:t xml:space="preserve"> «Центр информационных технологий Волгоградской области»</w:t>
      </w:r>
      <w:r w:rsidR="0056121D" w:rsidRPr="00F833CD">
        <w:t xml:space="preserve"> (далее – Г</w:t>
      </w:r>
      <w:r w:rsidR="00780E33" w:rsidRPr="00F833CD">
        <w:t>Б</w:t>
      </w:r>
      <w:r w:rsidR="0056121D" w:rsidRPr="00F833CD">
        <w:t>У «ЦИТ»).</w:t>
      </w:r>
    </w:p>
    <w:p w:rsidR="00657E72" w:rsidRPr="00064E3D" w:rsidRDefault="00064E3D" w:rsidP="00657E72">
      <w:pPr>
        <w:jc w:val="center"/>
        <w:rPr>
          <w:b/>
          <w:i/>
        </w:rPr>
      </w:pPr>
      <w:r>
        <w:rPr>
          <w:b/>
          <w:i/>
        </w:rPr>
        <w:lastRenderedPageBreak/>
        <w:t>Полнота и достоверность отчетности</w:t>
      </w:r>
    </w:p>
    <w:p w:rsidR="00657E72" w:rsidRPr="0033196F" w:rsidRDefault="00657E72" w:rsidP="00657E72">
      <w:pPr>
        <w:pStyle w:val="afb"/>
        <w:ind w:firstLine="709"/>
        <w:jc w:val="both"/>
        <w:rPr>
          <w:rFonts w:ascii="Times New Roman" w:hAnsi="Times New Roman" w:cs="Times New Roman"/>
        </w:rPr>
      </w:pPr>
      <w:r w:rsidRPr="0033196F">
        <w:rPr>
          <w:rFonts w:ascii="Times New Roman" w:hAnsi="Times New Roman" w:cs="Times New Roman"/>
        </w:rPr>
        <w:t>Сводная бюджетная отчетность Комитета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– Инструкция № 191н).</w:t>
      </w:r>
    </w:p>
    <w:p w:rsidR="00D462B0" w:rsidRPr="0033196F" w:rsidRDefault="00657E72" w:rsidP="00D462B0">
      <w:pPr>
        <w:ind w:firstLine="709"/>
        <w:jc w:val="both"/>
      </w:pPr>
      <w:r w:rsidRPr="0033196F">
        <w:t>Проверкой сводной отчетности Комитета установлены следующие нарушения:</w:t>
      </w:r>
    </w:p>
    <w:p w:rsidR="00FF226D" w:rsidRDefault="00055F48" w:rsidP="00D462B0">
      <w:pPr>
        <w:ind w:firstLine="709"/>
        <w:jc w:val="both"/>
      </w:pPr>
      <w:r w:rsidRPr="00FF226D">
        <w:rPr>
          <w:b/>
          <w:bCs/>
        </w:rPr>
        <w:t>1.</w:t>
      </w:r>
      <w:r w:rsidRPr="00FF226D">
        <w:rPr>
          <w:bCs/>
        </w:rPr>
        <w:t xml:space="preserve"> </w:t>
      </w:r>
      <w:proofErr w:type="gramStart"/>
      <w:r w:rsidR="00CA2927" w:rsidRPr="00FF226D">
        <w:t xml:space="preserve">В нарушение ст.10 </w:t>
      </w:r>
      <w:r w:rsidR="00BB6EAE">
        <w:t xml:space="preserve">Федерального </w:t>
      </w:r>
      <w:r w:rsidR="00CA2927" w:rsidRPr="00FF226D">
        <w:t>Закона</w:t>
      </w:r>
      <w:r w:rsidR="00BB6EAE">
        <w:t xml:space="preserve"> от 06.12.2011</w:t>
      </w:r>
      <w:r w:rsidR="00CA2927" w:rsidRPr="00FF226D">
        <w:t xml:space="preserve"> № 402-ФЗ</w:t>
      </w:r>
      <w:r w:rsidR="00BB6EAE">
        <w:t xml:space="preserve"> «О бухгалтерском учете»</w:t>
      </w:r>
      <w:r w:rsidR="00C83CB4">
        <w:t xml:space="preserve"> (далее – Закон № 402-ФЗ)</w:t>
      </w:r>
      <w:r w:rsidR="00CA2927" w:rsidRPr="00FF226D">
        <w:t xml:space="preserve"> и п.324 приказа Минфина РФ от 01.12.2010 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 </w:t>
      </w:r>
      <w:r w:rsidR="00CA2927" w:rsidRPr="00FF226D">
        <w:rPr>
          <w:b/>
          <w:i/>
        </w:rPr>
        <w:t>в</w:t>
      </w:r>
      <w:proofErr w:type="gramEnd"/>
      <w:r w:rsidR="00CA2927" w:rsidRPr="00FF226D">
        <w:rPr>
          <w:b/>
          <w:i/>
        </w:rPr>
        <w:t xml:space="preserve"> главной книге по счету 150400000 «Сметные (плановые, прогнозные) назначения»</w:t>
      </w:r>
      <w:r w:rsidR="00CA2927" w:rsidRPr="00FF226D">
        <w:t xml:space="preserve"> не нашли отражения установленные Комитету прогнозные показатели по </w:t>
      </w:r>
      <w:proofErr w:type="spellStart"/>
      <w:r w:rsidR="00CA2927" w:rsidRPr="00FF226D">
        <w:t>администрируемым</w:t>
      </w:r>
      <w:proofErr w:type="spellEnd"/>
      <w:r w:rsidR="00CA2927" w:rsidRPr="00FF226D">
        <w:t xml:space="preserve"> Комитетом доходам областного бюджет</w:t>
      </w:r>
      <w:r w:rsidR="00FF226D">
        <w:t xml:space="preserve">а в сумме 14 688,2 тыс. рублей. </w:t>
      </w:r>
    </w:p>
    <w:p w:rsidR="00070F46" w:rsidRPr="00FF226D" w:rsidRDefault="0033196F" w:rsidP="00D462B0">
      <w:pPr>
        <w:ind w:firstLine="709"/>
        <w:jc w:val="both"/>
      </w:pPr>
      <w:r w:rsidRPr="00FF226D">
        <w:t>У</w:t>
      </w:r>
      <w:r w:rsidR="00070F46" w:rsidRPr="00FF226D">
        <w:t xml:space="preserve">казанное нарушение требований к бухгалтерскому учету привело к </w:t>
      </w:r>
      <w:r w:rsidR="00070F46" w:rsidRPr="00D90C82">
        <w:rPr>
          <w:i/>
          <w:u w:val="single"/>
        </w:rPr>
        <w:t xml:space="preserve">искажению </w:t>
      </w:r>
      <w:r w:rsidR="00E8356C" w:rsidRPr="00D90C82">
        <w:rPr>
          <w:i/>
          <w:u w:val="single"/>
        </w:rPr>
        <w:t xml:space="preserve">двух </w:t>
      </w:r>
      <w:r w:rsidR="00070F46" w:rsidRPr="00D90C82">
        <w:rPr>
          <w:i/>
          <w:u w:val="single"/>
        </w:rPr>
        <w:t xml:space="preserve">показателей </w:t>
      </w:r>
      <w:r w:rsidR="00E8356C" w:rsidRPr="00D90C82">
        <w:rPr>
          <w:i/>
          <w:u w:val="single"/>
        </w:rPr>
        <w:t>бухгалтерской (финансовой) отчетности</w:t>
      </w:r>
      <w:r w:rsidR="00070F46" w:rsidRPr="00FF226D">
        <w:t xml:space="preserve"> Комитета</w:t>
      </w:r>
      <w:r w:rsidR="00E8356C" w:rsidRPr="00FF226D">
        <w:t>, выраженных в денежном измерении</w:t>
      </w:r>
      <w:r w:rsidR="00E8356C" w:rsidRPr="00D90C82">
        <w:rPr>
          <w:i/>
          <w:u w:val="single"/>
        </w:rPr>
        <w:t>, не менее чем на 10 процентов</w:t>
      </w:r>
      <w:r w:rsidR="00E8356C" w:rsidRPr="00FF226D">
        <w:t>, а именно</w:t>
      </w:r>
      <w:r w:rsidR="00070F46" w:rsidRPr="00FF226D">
        <w:t>:</w:t>
      </w:r>
    </w:p>
    <w:p w:rsidR="00CA2927" w:rsidRPr="00FF226D" w:rsidRDefault="00070F46" w:rsidP="00D462B0">
      <w:pPr>
        <w:ind w:firstLine="709"/>
        <w:jc w:val="both"/>
        <w:rPr>
          <w:bCs/>
        </w:rPr>
      </w:pPr>
      <w:r w:rsidRPr="00FF226D">
        <w:t>-</w:t>
      </w:r>
      <w:r w:rsidR="00E8356C" w:rsidRPr="00FF226D">
        <w:t>показатель в графе 4 «</w:t>
      </w:r>
      <w:r w:rsidR="00E8356C" w:rsidRPr="00FF226D">
        <w:rPr>
          <w:bCs/>
        </w:rPr>
        <w:t xml:space="preserve">Утвержденные бюджетные назначения» </w:t>
      </w:r>
      <w:r w:rsidR="00E8356C" w:rsidRPr="00FF226D">
        <w:t xml:space="preserve">по строке 010 «Доходы бюджета – всего» </w:t>
      </w:r>
      <w:r w:rsidR="00687366" w:rsidRPr="00FF226D">
        <w:rPr>
          <w:b/>
          <w:i/>
        </w:rPr>
        <w:t>О</w:t>
      </w:r>
      <w:r w:rsidRPr="00FF226D">
        <w:rPr>
          <w:b/>
          <w:i/>
        </w:rPr>
        <w:t>тчет</w:t>
      </w:r>
      <w:r w:rsidR="008D6266" w:rsidRPr="00FF226D">
        <w:rPr>
          <w:b/>
          <w:i/>
        </w:rPr>
        <w:t>а</w:t>
      </w:r>
      <w:r w:rsidRPr="00FF226D">
        <w:rPr>
          <w:b/>
          <w:i/>
        </w:rPr>
        <w:t xml:space="preserve"> об исполнении бюджета (ф.0503127)</w:t>
      </w:r>
      <w:r w:rsidR="00E8356C" w:rsidRPr="00FF226D">
        <w:t xml:space="preserve"> в сумме 140,2 тыс. руб. искажен на 14 688,2 тыс. руб., или на 99,0%</w:t>
      </w:r>
      <w:r w:rsidRPr="00FF226D">
        <w:rPr>
          <w:bCs/>
        </w:rPr>
        <w:t>;</w:t>
      </w:r>
    </w:p>
    <w:p w:rsidR="00070F46" w:rsidRPr="00FF226D" w:rsidRDefault="00070F46" w:rsidP="00D462B0">
      <w:pPr>
        <w:ind w:firstLine="709"/>
        <w:jc w:val="both"/>
        <w:rPr>
          <w:bCs/>
        </w:rPr>
      </w:pPr>
      <w:r w:rsidRPr="00FF226D">
        <w:rPr>
          <w:bCs/>
        </w:rPr>
        <w:t>-</w:t>
      </w:r>
      <w:r w:rsidR="00E8356C" w:rsidRPr="00FF226D">
        <w:rPr>
          <w:bCs/>
        </w:rPr>
        <w:t xml:space="preserve">показатель в графе 3 «Утвержденные бюджетные назначения (прогнозные показатели)» по строке 010 «Доходы, всего» </w:t>
      </w:r>
      <w:r w:rsidRPr="00FF226D">
        <w:rPr>
          <w:b/>
          <w:bCs/>
          <w:i/>
        </w:rPr>
        <w:t>сведени</w:t>
      </w:r>
      <w:r w:rsidR="008D6266" w:rsidRPr="00FF226D">
        <w:rPr>
          <w:b/>
          <w:bCs/>
          <w:i/>
        </w:rPr>
        <w:t>й</w:t>
      </w:r>
      <w:r w:rsidRPr="00FF226D">
        <w:rPr>
          <w:b/>
          <w:bCs/>
          <w:i/>
        </w:rPr>
        <w:t xml:space="preserve"> об исполнении бюджета (ф.0503164)</w:t>
      </w:r>
      <w:r w:rsidR="00E8356C" w:rsidRPr="00FF226D">
        <w:rPr>
          <w:bCs/>
        </w:rPr>
        <w:t xml:space="preserve"> в сумме</w:t>
      </w:r>
      <w:r w:rsidRPr="00FF226D">
        <w:rPr>
          <w:bCs/>
        </w:rPr>
        <w:t xml:space="preserve"> </w:t>
      </w:r>
      <w:r w:rsidR="00E8356C" w:rsidRPr="00FF226D">
        <w:t xml:space="preserve">140,2 тыс. руб. искажен на 14 688,2 тыс. руб., или </w:t>
      </w:r>
      <w:r w:rsidR="004C539C">
        <w:t>на 99,0 процентов</w:t>
      </w:r>
      <w:r w:rsidR="008D6266" w:rsidRPr="00FF226D">
        <w:rPr>
          <w:bCs/>
        </w:rPr>
        <w:t>.</w:t>
      </w:r>
    </w:p>
    <w:p w:rsidR="003946C7" w:rsidRPr="00FF226D" w:rsidRDefault="00070BDD" w:rsidP="003946C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226D">
        <w:rPr>
          <w:b/>
        </w:rPr>
        <w:t>2</w:t>
      </w:r>
      <w:r w:rsidR="000719EB" w:rsidRPr="00FF226D">
        <w:rPr>
          <w:b/>
        </w:rPr>
        <w:t>.</w:t>
      </w:r>
      <w:r w:rsidR="000719EB" w:rsidRPr="00FF226D">
        <w:t xml:space="preserve"> </w:t>
      </w:r>
      <w:r w:rsidR="003946C7" w:rsidRPr="00FF226D">
        <w:rPr>
          <w:rFonts w:eastAsiaTheme="minorHAnsi"/>
          <w:lang w:eastAsia="en-US"/>
        </w:rPr>
        <w:t xml:space="preserve">В двадцати девяти случаях </w:t>
      </w:r>
      <w:r w:rsidR="003946C7" w:rsidRPr="00FF226D">
        <w:t>в</w:t>
      </w:r>
      <w:r w:rsidR="003946C7" w:rsidRPr="00FF226D">
        <w:rPr>
          <w:rFonts w:eastAsiaTheme="minorHAnsi"/>
          <w:lang w:eastAsia="en-US"/>
        </w:rPr>
        <w:t xml:space="preserve"> нарушение п. 167 Инструкции № 191н в </w:t>
      </w:r>
      <w:r w:rsidR="003946C7" w:rsidRPr="00FF226D">
        <w:rPr>
          <w:b/>
          <w:i/>
        </w:rPr>
        <w:t>Сведениях по дебиторской и кредиторской задолженности</w:t>
      </w:r>
      <w:r w:rsidR="003946C7" w:rsidRPr="00FF226D">
        <w:rPr>
          <w:rFonts w:eastAsiaTheme="minorHAnsi"/>
          <w:b/>
          <w:i/>
          <w:lang w:eastAsia="en-US"/>
        </w:rPr>
        <w:t xml:space="preserve"> (ф.0503169)</w:t>
      </w:r>
      <w:r w:rsidR="003946C7" w:rsidRPr="00FF226D">
        <w:rPr>
          <w:rFonts w:eastAsiaTheme="minorHAnsi"/>
          <w:lang w:eastAsia="en-US"/>
        </w:rPr>
        <w:t xml:space="preserve"> не отражена информация о просроченной дебиторской задолженности ГКУ «ЦИТ» по состоянию на 01.01.2018 на общую сумму 289,1 тыс. руб.:</w:t>
      </w:r>
    </w:p>
    <w:p w:rsidR="003946C7" w:rsidRPr="00FF226D" w:rsidRDefault="003946C7" w:rsidP="003946C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226D">
        <w:rPr>
          <w:rFonts w:eastAsiaTheme="minorHAnsi"/>
          <w:lang w:eastAsia="en-US"/>
        </w:rPr>
        <w:t>-по 28 договорам за услуги по выпуску ключей электронной подписи в общей сумме 69,1 тыс. руб.;</w:t>
      </w:r>
    </w:p>
    <w:p w:rsidR="003946C7" w:rsidRPr="00FF226D" w:rsidRDefault="003946C7" w:rsidP="003946C7">
      <w:pPr>
        <w:autoSpaceDE w:val="0"/>
        <w:autoSpaceDN w:val="0"/>
        <w:adjustRightInd w:val="0"/>
        <w:ind w:firstLine="709"/>
        <w:jc w:val="both"/>
      </w:pPr>
      <w:r w:rsidRPr="00FF226D">
        <w:rPr>
          <w:rFonts w:eastAsiaTheme="minorHAnsi"/>
          <w:lang w:eastAsia="en-US"/>
        </w:rPr>
        <w:t>-по договору с МУП «Волгоградское пассажирское автотранспортное предприятие №7» на оказание услуг по мониторингу движения транспортных сре</w:t>
      </w:r>
      <w:proofErr w:type="gramStart"/>
      <w:r w:rsidRPr="00FF226D">
        <w:rPr>
          <w:rFonts w:eastAsiaTheme="minorHAnsi"/>
          <w:lang w:eastAsia="en-US"/>
        </w:rPr>
        <w:t>дств в с</w:t>
      </w:r>
      <w:proofErr w:type="gramEnd"/>
      <w:r w:rsidRPr="00FF226D">
        <w:rPr>
          <w:rFonts w:eastAsiaTheme="minorHAnsi"/>
          <w:lang w:eastAsia="en-US"/>
        </w:rPr>
        <w:t>умме 220,0 тыс. рублей.</w:t>
      </w:r>
    </w:p>
    <w:p w:rsidR="003946C7" w:rsidRPr="00FF226D" w:rsidRDefault="003946C7" w:rsidP="003946C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226D">
        <w:rPr>
          <w:rFonts w:eastAsiaTheme="minorHAnsi"/>
          <w:lang w:eastAsia="en-US"/>
        </w:rPr>
        <w:t>В результате показатель строки «Всего задолженности» в графе 11 «Просроченная сумма задо</w:t>
      </w:r>
      <w:r w:rsidR="00D90C82">
        <w:rPr>
          <w:rFonts w:eastAsiaTheme="minorHAnsi"/>
          <w:lang w:eastAsia="en-US"/>
        </w:rPr>
        <w:t>л</w:t>
      </w:r>
      <w:r w:rsidRPr="00FF226D">
        <w:rPr>
          <w:rFonts w:eastAsiaTheme="minorHAnsi"/>
          <w:lang w:eastAsia="en-US"/>
        </w:rPr>
        <w:t xml:space="preserve">женности на конец отчетного периода» </w:t>
      </w:r>
      <w:r w:rsidRPr="00FF226D">
        <w:rPr>
          <w:rFonts w:eastAsiaTheme="minorHAnsi"/>
          <w:b/>
          <w:i/>
          <w:lang w:eastAsia="en-US"/>
        </w:rPr>
        <w:t>Сведений по дебиторской и кредиторской задолженности (ф.0503169)</w:t>
      </w:r>
      <w:r w:rsidRPr="00FF226D">
        <w:rPr>
          <w:rFonts w:eastAsiaTheme="minorHAnsi"/>
          <w:lang w:eastAsia="en-US"/>
        </w:rPr>
        <w:t xml:space="preserve"> в сумме 29,1 тыс. руб. </w:t>
      </w:r>
      <w:r w:rsidRPr="00D90C82">
        <w:rPr>
          <w:rFonts w:eastAsiaTheme="minorHAnsi"/>
          <w:i/>
          <w:u w:val="single"/>
          <w:lang w:eastAsia="en-US"/>
        </w:rPr>
        <w:t xml:space="preserve">искажен на 289,1 тыс. руб., или </w:t>
      </w:r>
      <w:r w:rsidR="004C539C">
        <w:rPr>
          <w:rFonts w:eastAsiaTheme="minorHAnsi"/>
          <w:i/>
          <w:u w:val="single"/>
          <w:lang w:eastAsia="en-US"/>
        </w:rPr>
        <w:t>на 90,8 процента</w:t>
      </w:r>
      <w:r w:rsidRPr="00FF226D">
        <w:rPr>
          <w:rFonts w:eastAsiaTheme="minorHAnsi"/>
          <w:lang w:eastAsia="en-US"/>
        </w:rPr>
        <w:t>.</w:t>
      </w:r>
    </w:p>
    <w:p w:rsidR="003946C7" w:rsidRPr="006359A1" w:rsidRDefault="00070BDD" w:rsidP="003946C7">
      <w:pPr>
        <w:ind w:firstLine="709"/>
        <w:jc w:val="both"/>
        <w:rPr>
          <w:bCs/>
        </w:rPr>
      </w:pPr>
      <w:r w:rsidRPr="006359A1">
        <w:rPr>
          <w:b/>
          <w:bCs/>
        </w:rPr>
        <w:t>3</w:t>
      </w:r>
      <w:r w:rsidR="00370FB8" w:rsidRPr="006359A1">
        <w:rPr>
          <w:b/>
          <w:bCs/>
        </w:rPr>
        <w:t>.</w:t>
      </w:r>
      <w:r w:rsidR="00370FB8" w:rsidRPr="006359A1">
        <w:rPr>
          <w:bCs/>
        </w:rPr>
        <w:t xml:space="preserve"> </w:t>
      </w:r>
      <w:r w:rsidR="003946C7" w:rsidRPr="006359A1">
        <w:t xml:space="preserve">В нарушение п. 170.2 Инструкции № 191н </w:t>
      </w:r>
      <w:r w:rsidR="003946C7" w:rsidRPr="006359A1">
        <w:rPr>
          <w:bCs/>
        </w:rPr>
        <w:t xml:space="preserve">в графе 7 </w:t>
      </w:r>
      <w:r w:rsidR="003946C7" w:rsidRPr="006359A1">
        <w:rPr>
          <w:b/>
          <w:i/>
        </w:rPr>
        <w:t>Сведений о принятых и неисполненных обязательствах получателя бюджетных средств</w:t>
      </w:r>
      <w:r w:rsidR="003946C7" w:rsidRPr="006359A1">
        <w:rPr>
          <w:b/>
          <w:bCs/>
          <w:i/>
        </w:rPr>
        <w:t xml:space="preserve"> (ф. 0503175)</w:t>
      </w:r>
      <w:r w:rsidR="003946C7" w:rsidRPr="006359A1">
        <w:rPr>
          <w:bCs/>
        </w:rPr>
        <w:t xml:space="preserve"> отражены не</w:t>
      </w:r>
      <w:r w:rsidR="004C539C">
        <w:rPr>
          <w:bCs/>
        </w:rPr>
        <w:t xml:space="preserve"> </w:t>
      </w:r>
      <w:r w:rsidR="003946C7" w:rsidRPr="006359A1">
        <w:rPr>
          <w:bCs/>
        </w:rPr>
        <w:t>предусмотренные Инструкцией № 191 коды причин образования неисполненных обязательств.</w:t>
      </w:r>
    </w:p>
    <w:p w:rsidR="003946C7" w:rsidRPr="006359A1" w:rsidRDefault="00070BDD" w:rsidP="003946C7">
      <w:pPr>
        <w:ind w:firstLine="709"/>
        <w:jc w:val="both"/>
        <w:rPr>
          <w:bCs/>
        </w:rPr>
      </w:pPr>
      <w:r w:rsidRPr="006359A1">
        <w:rPr>
          <w:b/>
        </w:rPr>
        <w:t>4</w:t>
      </w:r>
      <w:r w:rsidR="00217B0B" w:rsidRPr="006359A1">
        <w:rPr>
          <w:b/>
        </w:rPr>
        <w:t>.</w:t>
      </w:r>
      <w:r w:rsidR="00217B0B" w:rsidRPr="006359A1">
        <w:t xml:space="preserve"> </w:t>
      </w:r>
      <w:r w:rsidR="003946C7" w:rsidRPr="006359A1">
        <w:rPr>
          <w:bCs/>
        </w:rPr>
        <w:t xml:space="preserve">В нарушение п.172 Инструкции № 191н в графе 4 </w:t>
      </w:r>
      <w:r w:rsidR="003946C7" w:rsidRPr="006359A1">
        <w:rPr>
          <w:b/>
          <w:bCs/>
          <w:i/>
        </w:rPr>
        <w:t>Сведений об использовании информационных технологий (ф.0503177)</w:t>
      </w:r>
      <w:r w:rsidR="003946C7" w:rsidRPr="006359A1">
        <w:rPr>
          <w:bCs/>
        </w:rPr>
        <w:t xml:space="preserve"> отражены данные о принятых денежных обязательствах по расходам Комитета на информационно-коммуникационные технологии. Согласно п.172 Инструкции № 191н в графе 4 указывается сумма расходов субъекта бюджетной отчетности. В письме Федерального казначейства Министерства </w:t>
      </w:r>
      <w:r w:rsidR="004C539C">
        <w:rPr>
          <w:bCs/>
        </w:rPr>
        <w:t>ф</w:t>
      </w:r>
      <w:r w:rsidR="003946C7" w:rsidRPr="006359A1">
        <w:rPr>
          <w:bCs/>
        </w:rPr>
        <w:t>инансов РФ от 20.10.2017 № 07-04-05/08-807 приведены разъяснения, согласно которым показатели Сведений об использовании информационных технологий (ф.0503177) должны корреспондироваться с показателями Отчета об</w:t>
      </w:r>
      <w:r w:rsidR="006359A1" w:rsidRPr="006359A1">
        <w:rPr>
          <w:bCs/>
        </w:rPr>
        <w:t xml:space="preserve"> исполнении бюджета (ф.0503127), то есть с данными по исполнению бюджета.</w:t>
      </w:r>
    </w:p>
    <w:p w:rsidR="003946C7" w:rsidRPr="006359A1" w:rsidRDefault="003946C7" w:rsidP="003946C7">
      <w:pPr>
        <w:ind w:firstLine="709"/>
        <w:jc w:val="both"/>
      </w:pPr>
      <w:r w:rsidRPr="006359A1">
        <w:lastRenderedPageBreak/>
        <w:t xml:space="preserve">Вышеуказанное нарушение привело </w:t>
      </w:r>
      <w:r w:rsidRPr="00D90C82">
        <w:rPr>
          <w:i/>
          <w:u w:val="single"/>
        </w:rPr>
        <w:t>к искажению показателей бухгалтерской (финансовой) отчетности</w:t>
      </w:r>
      <w:r w:rsidRPr="006359A1">
        <w:t xml:space="preserve"> Комитета, выраженных в денежном измерении. Показатель в графе 4 «Сумма, руб.» по строке 900 «Итого» в сумме 849 910,5 тыс. руб. </w:t>
      </w:r>
      <w:r w:rsidRPr="00D90C82">
        <w:rPr>
          <w:i/>
          <w:u w:val="single"/>
        </w:rPr>
        <w:t xml:space="preserve">искажен на 564 315,5 тыс. руб., </w:t>
      </w:r>
      <w:r w:rsidR="004F36E9">
        <w:rPr>
          <w:i/>
          <w:u w:val="single"/>
        </w:rPr>
        <w:t>или</w:t>
      </w:r>
      <w:r w:rsidRPr="00D90C82">
        <w:rPr>
          <w:i/>
          <w:u w:val="single"/>
        </w:rPr>
        <w:t xml:space="preserve"> на 197,6</w:t>
      </w:r>
      <w:r w:rsidR="007C2AD2">
        <w:rPr>
          <w:i/>
          <w:u w:val="single"/>
        </w:rPr>
        <w:t xml:space="preserve"> процента</w:t>
      </w:r>
      <w:r w:rsidRPr="006359A1">
        <w:t>.</w:t>
      </w:r>
    </w:p>
    <w:p w:rsidR="007D2F84" w:rsidRPr="006359A1" w:rsidRDefault="00070BDD" w:rsidP="00DE57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59A1">
        <w:rPr>
          <w:rFonts w:eastAsiaTheme="minorHAnsi"/>
          <w:b/>
          <w:lang w:eastAsia="en-US"/>
        </w:rPr>
        <w:t>5</w:t>
      </w:r>
      <w:r w:rsidR="007D2F84" w:rsidRPr="006359A1">
        <w:rPr>
          <w:rFonts w:eastAsiaTheme="minorHAnsi"/>
          <w:b/>
          <w:lang w:eastAsia="en-US"/>
        </w:rPr>
        <w:t>.</w:t>
      </w:r>
      <w:r w:rsidR="007D2F84" w:rsidRPr="006359A1">
        <w:rPr>
          <w:rFonts w:eastAsiaTheme="minorHAnsi"/>
          <w:lang w:eastAsia="en-US"/>
        </w:rPr>
        <w:t xml:space="preserve"> В нарушение п.160 Инструкции № 191н в </w:t>
      </w:r>
      <w:r w:rsidR="007D2F84" w:rsidRPr="006359A1">
        <w:rPr>
          <w:rFonts w:eastAsiaTheme="minorHAnsi"/>
          <w:b/>
          <w:i/>
          <w:lang w:eastAsia="en-US"/>
        </w:rPr>
        <w:t>Сведениях о количестве подведомственных участников бюджетного процесса, учреждений и государственных (муниципальных) унитарных предприятий (ф.0503161)</w:t>
      </w:r>
      <w:r w:rsidR="007D2F84" w:rsidRPr="006359A1">
        <w:rPr>
          <w:rFonts w:eastAsiaTheme="minorHAnsi"/>
          <w:lang w:eastAsia="en-US"/>
        </w:rPr>
        <w:t xml:space="preserve"> отражена недостоверная информация о количестве подведомственных учреждений (два вместо одного).</w:t>
      </w:r>
    </w:p>
    <w:p w:rsidR="00217B0B" w:rsidRPr="00F47FA0" w:rsidRDefault="00217B0B" w:rsidP="00217B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</w:pPr>
    </w:p>
    <w:p w:rsidR="006359A1" w:rsidRPr="006359A1" w:rsidRDefault="006359A1" w:rsidP="006359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359A1">
        <w:t xml:space="preserve">Согласно п. 1 примечаний к ст. 15.11 </w:t>
      </w:r>
      <w:proofErr w:type="spellStart"/>
      <w:r w:rsidRPr="006359A1">
        <w:t>КоАП</w:t>
      </w:r>
      <w:proofErr w:type="spellEnd"/>
      <w:r w:rsidRPr="006359A1">
        <w:t xml:space="preserve"> РФ</w:t>
      </w:r>
      <w:r w:rsidRPr="006359A1">
        <w:rPr>
          <w:rFonts w:eastAsiaTheme="minorHAnsi"/>
          <w:lang w:eastAsia="en-US"/>
        </w:rPr>
        <w:t xml:space="preserve"> искажение любого показателя бухгалтерской (финансовой) отчетности, выраженного в денежном измерении, не менее чем на 10 процентов является грубым нарушением требований к бухгалтерскому учету, в том числе к бухгалтерской (финансовой) отчетности, за что предусмотрена административная ответственности по ч. 1 ст. 15.11 </w:t>
      </w:r>
      <w:proofErr w:type="spellStart"/>
      <w:r w:rsidRPr="006359A1">
        <w:rPr>
          <w:rFonts w:eastAsiaTheme="minorHAnsi"/>
          <w:lang w:eastAsia="en-US"/>
        </w:rPr>
        <w:t>КоАП</w:t>
      </w:r>
      <w:proofErr w:type="spellEnd"/>
      <w:r w:rsidRPr="006359A1">
        <w:rPr>
          <w:rFonts w:eastAsiaTheme="minorHAnsi"/>
          <w:lang w:eastAsia="en-US"/>
        </w:rPr>
        <w:t xml:space="preserve"> РФ.</w:t>
      </w:r>
      <w:proofErr w:type="gramEnd"/>
    </w:p>
    <w:p w:rsidR="00C83CB4" w:rsidRPr="006359A1" w:rsidRDefault="007D2F84" w:rsidP="00217B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9A1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перечисленные н</w:t>
      </w:r>
      <w:r w:rsidR="00217B0B" w:rsidRPr="006359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арушения устранены (включая представление пересмотренной бухгалтерской (финансовой) отчетности) до утверждения бухгалтерской (финансовой) отчетности </w:t>
      </w:r>
      <w:r w:rsidR="00DF3815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путем представления в комитет финансов Волгоградской области исправленных форм бюджетной отчетности</w:t>
      </w:r>
      <w:r w:rsidR="00412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</w:t>
      </w:r>
      <w:proofErr w:type="gramStart"/>
      <w:r w:rsidR="00412842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связи</w:t>
      </w:r>
      <w:proofErr w:type="gramEnd"/>
      <w:r w:rsidR="00412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чем на основании </w:t>
      </w:r>
      <w:r w:rsidR="00C83CB4" w:rsidRPr="00C8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п.2 </w:t>
      </w:r>
      <w:r w:rsidR="00DF381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C83CB4" w:rsidRPr="00C8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римечаний к ст. 15.11 </w:t>
      </w:r>
      <w:proofErr w:type="spellStart"/>
      <w:r w:rsidR="00C83CB4" w:rsidRPr="00C83CB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КоАП</w:t>
      </w:r>
      <w:proofErr w:type="spellEnd"/>
      <w:r w:rsidR="00C83CB4" w:rsidRPr="00C83C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</w:t>
      </w:r>
      <w:r w:rsidR="0041284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об административном правонарушении не составлялся.</w:t>
      </w:r>
    </w:p>
    <w:p w:rsidR="00FF121E" w:rsidRPr="00A53B46" w:rsidRDefault="00FF121E" w:rsidP="00E425F2">
      <w:pPr>
        <w:jc w:val="center"/>
        <w:rPr>
          <w:b/>
          <w:i/>
          <w:color w:val="FF0000"/>
        </w:rPr>
      </w:pPr>
    </w:p>
    <w:p w:rsidR="0025054E" w:rsidRPr="00DB09C6" w:rsidRDefault="0025054E" w:rsidP="0025054E">
      <w:pPr>
        <w:autoSpaceDE w:val="0"/>
        <w:autoSpaceDN w:val="0"/>
        <w:adjustRightInd w:val="0"/>
        <w:ind w:firstLine="360"/>
        <w:jc w:val="center"/>
        <w:rPr>
          <w:b/>
          <w:bCs/>
          <w:i/>
        </w:rPr>
      </w:pPr>
      <w:r w:rsidRPr="00DB09C6">
        <w:rPr>
          <w:b/>
          <w:i/>
        </w:rPr>
        <w:t>Исполнение плановых назначений по закрепленным доходам</w:t>
      </w:r>
    </w:p>
    <w:p w:rsidR="0025054E" w:rsidRPr="00DB09C6" w:rsidRDefault="0025054E" w:rsidP="0025054E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</w:t>
      </w:r>
      <w:proofErr w:type="spellStart"/>
      <w:r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Комитетом доходах и фактическом </w:t>
      </w:r>
      <w:r w:rsidR="00BC2744"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поступлении за 201</w:t>
      </w:r>
      <w:r w:rsidR="00705250"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7</w:t>
      </w:r>
      <w:r w:rsidR="0032498C" w:rsidRPr="00DB09C6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таблице:</w:t>
      </w:r>
    </w:p>
    <w:p w:rsidR="0025054E" w:rsidRPr="00DB09C6" w:rsidRDefault="0025054E" w:rsidP="0025054E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DB09C6">
        <w:rPr>
          <w:b/>
          <w:sz w:val="20"/>
          <w:szCs w:val="20"/>
        </w:rPr>
        <w:t xml:space="preserve">                           </w:t>
      </w:r>
      <w:r w:rsidRPr="00DB09C6">
        <w:rPr>
          <w:i/>
          <w:sz w:val="20"/>
          <w:szCs w:val="20"/>
        </w:rPr>
        <w:t>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34"/>
        <w:gridCol w:w="5703"/>
        <w:gridCol w:w="1134"/>
        <w:gridCol w:w="1134"/>
        <w:gridCol w:w="1134"/>
      </w:tblGrid>
      <w:tr w:rsidR="0027711D" w:rsidRPr="00DB09C6" w:rsidTr="0027711D">
        <w:trPr>
          <w:trHeight w:val="4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711D" w:rsidRPr="00DB09C6" w:rsidRDefault="0027711D" w:rsidP="00807617">
            <w:pPr>
              <w:jc w:val="center"/>
              <w:rPr>
                <w:b/>
                <w:sz w:val="20"/>
                <w:szCs w:val="20"/>
              </w:rPr>
            </w:pPr>
            <w:r w:rsidRPr="00DB09C6">
              <w:rPr>
                <w:b/>
                <w:sz w:val="20"/>
                <w:szCs w:val="20"/>
              </w:rPr>
              <w:t>№</w:t>
            </w:r>
          </w:p>
          <w:p w:rsidR="0027711D" w:rsidRPr="00DB09C6" w:rsidRDefault="0027711D" w:rsidP="008076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B09C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B09C6">
              <w:rPr>
                <w:b/>
                <w:sz w:val="20"/>
                <w:szCs w:val="20"/>
              </w:rPr>
              <w:t>/</w:t>
            </w:r>
            <w:proofErr w:type="spellStart"/>
            <w:r w:rsidRPr="00DB09C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27711D" w:rsidRPr="00DB09C6" w:rsidRDefault="0027711D">
            <w:pPr>
              <w:jc w:val="center"/>
              <w:rPr>
                <w:b/>
                <w:sz w:val="20"/>
                <w:szCs w:val="20"/>
              </w:rPr>
            </w:pPr>
            <w:r w:rsidRPr="00DB09C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7711D" w:rsidRPr="00DB09C6" w:rsidRDefault="0027711D" w:rsidP="00C83CB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B09C6">
              <w:rPr>
                <w:b/>
                <w:sz w:val="20"/>
                <w:szCs w:val="20"/>
              </w:rPr>
              <w:t>Утверждено</w:t>
            </w:r>
            <w:r w:rsidR="00E91889" w:rsidRPr="00DB09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27711D" w:rsidRPr="00DB09C6" w:rsidRDefault="0027711D" w:rsidP="0027711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B09C6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7711D" w:rsidRPr="00DB09C6" w:rsidRDefault="0027711D" w:rsidP="0027711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B09C6">
              <w:rPr>
                <w:b/>
                <w:sz w:val="20"/>
                <w:szCs w:val="20"/>
              </w:rPr>
              <w:t>Отклонение</w:t>
            </w:r>
          </w:p>
        </w:tc>
      </w:tr>
      <w:tr w:rsidR="00DC0F25" w:rsidRPr="00DB09C6" w:rsidTr="00B245C8">
        <w:trPr>
          <w:trHeight w:val="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1</w:t>
            </w:r>
          </w:p>
        </w:tc>
        <w:tc>
          <w:tcPr>
            <w:tcW w:w="5703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DC0F25" w:rsidRPr="00DB09C6" w:rsidRDefault="00DC0F25">
            <w:pPr>
              <w:rPr>
                <w:b/>
                <w:sz w:val="20"/>
                <w:szCs w:val="20"/>
              </w:rPr>
            </w:pPr>
            <w:r w:rsidRPr="00DB09C6">
              <w:rPr>
                <w:b/>
                <w:sz w:val="20"/>
                <w:szCs w:val="20"/>
              </w:rPr>
              <w:t>Доходы бюджета - всего</w:t>
            </w:r>
            <w:r w:rsidRPr="00DB09C6">
              <w:rPr>
                <w:sz w:val="20"/>
                <w:szCs w:val="20"/>
              </w:rPr>
              <w:t xml:space="preserve"> </w:t>
            </w:r>
            <w:r w:rsidRPr="00DB09C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14 828,4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17 704,5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2 876,1</w:t>
            </w:r>
          </w:p>
        </w:tc>
      </w:tr>
      <w:tr w:rsidR="00DC0F25" w:rsidRPr="00DB09C6" w:rsidTr="00B245C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</w:tcBorders>
            <w:vAlign w:val="center"/>
            <w:hideMark/>
          </w:tcPr>
          <w:p w:rsidR="00DC0F25" w:rsidRPr="00DB09C6" w:rsidRDefault="00DC0F25" w:rsidP="0027711D">
            <w:pPr>
              <w:jc w:val="both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  <w:p w:rsidR="00DC0F25" w:rsidRPr="00DB09C6" w:rsidRDefault="00DC0F25" w:rsidP="0027711D">
            <w:pPr>
              <w:jc w:val="both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(837 1 00 00000 00 0000 000)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3 005,7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2 865,5</w:t>
            </w:r>
          </w:p>
        </w:tc>
      </w:tr>
      <w:tr w:rsidR="00DC0F25" w:rsidRPr="00DB09C6" w:rsidTr="0027711D">
        <w:trPr>
          <w:trHeight w:val="7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3</w:t>
            </w:r>
          </w:p>
        </w:tc>
        <w:tc>
          <w:tcPr>
            <w:tcW w:w="5703" w:type="dxa"/>
            <w:vAlign w:val="center"/>
            <w:hideMark/>
          </w:tcPr>
          <w:p w:rsidR="00DC0F25" w:rsidRPr="00DB09C6" w:rsidRDefault="00DC0F25">
            <w:pPr>
              <w:jc w:val="both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Прочие доходы от компенсации затрат бюджетов субъектов РФ</w:t>
            </w:r>
          </w:p>
          <w:p w:rsidR="00DC0F25" w:rsidRPr="00DB09C6" w:rsidRDefault="00DC0F25">
            <w:pPr>
              <w:jc w:val="both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(837 1 13 02992 02 0000 130)</w:t>
            </w:r>
          </w:p>
        </w:tc>
        <w:tc>
          <w:tcPr>
            <w:tcW w:w="1134" w:type="dxa"/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3 005,7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3 002,5</w:t>
            </w:r>
          </w:p>
        </w:tc>
      </w:tr>
      <w:tr w:rsidR="00DC0F25" w:rsidRPr="00DB09C6" w:rsidTr="00B245C8">
        <w:trPr>
          <w:trHeight w:val="70"/>
        </w:trPr>
        <w:tc>
          <w:tcPr>
            <w:tcW w:w="5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4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  <w:hideMark/>
          </w:tcPr>
          <w:p w:rsidR="00DC0F25" w:rsidRPr="00DB09C6" w:rsidRDefault="00DC0F25">
            <w:pPr>
              <w:jc w:val="both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 (837 1 16 90020 02 000 140)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-137,0</w:t>
            </w:r>
          </w:p>
        </w:tc>
      </w:tr>
      <w:tr w:rsidR="00DC0F25" w:rsidRPr="00DB09C6" w:rsidTr="00B245C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</w:tcBorders>
            <w:vAlign w:val="center"/>
            <w:hideMark/>
          </w:tcPr>
          <w:p w:rsidR="00DC0F25" w:rsidRPr="00DB09C6" w:rsidRDefault="00DC0F25">
            <w:pPr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DB09C6">
              <w:rPr>
                <w:b/>
                <w:bCs/>
                <w:sz w:val="20"/>
                <w:szCs w:val="20"/>
              </w:rPr>
              <w:br/>
              <w:t>(837 2 00 00000 00 0000 000)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14 688,2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14 698,8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 w:rsidP="00C83CB4">
            <w:pPr>
              <w:jc w:val="right"/>
              <w:rPr>
                <w:b/>
                <w:bCs/>
                <w:sz w:val="20"/>
                <w:szCs w:val="20"/>
              </w:rPr>
            </w:pPr>
            <w:r w:rsidRPr="00DB09C6">
              <w:rPr>
                <w:b/>
                <w:bCs/>
                <w:sz w:val="20"/>
                <w:szCs w:val="20"/>
              </w:rPr>
              <w:t>10,6</w:t>
            </w:r>
          </w:p>
        </w:tc>
      </w:tr>
      <w:tr w:rsidR="00DC0F25" w:rsidRPr="00DB09C6" w:rsidTr="0027711D">
        <w:trPr>
          <w:trHeight w:val="7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6</w:t>
            </w:r>
          </w:p>
        </w:tc>
        <w:tc>
          <w:tcPr>
            <w:tcW w:w="5703" w:type="dxa"/>
            <w:vAlign w:val="center"/>
            <w:hideMark/>
          </w:tcPr>
          <w:p w:rsidR="00DC0F25" w:rsidRPr="00DB09C6" w:rsidRDefault="00DC0F25">
            <w:pPr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Субсидии бюджетам субъектов РФ на поддержку региональных проектов в сфере информационных технологий</w:t>
            </w:r>
          </w:p>
          <w:p w:rsidR="00DC0F25" w:rsidRPr="00DB09C6" w:rsidRDefault="00DC0F25">
            <w:pPr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(837 2 02 25028 02 0000 151)</w:t>
            </w:r>
          </w:p>
        </w:tc>
        <w:tc>
          <w:tcPr>
            <w:tcW w:w="1134" w:type="dxa"/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14 688,2</w:t>
            </w:r>
          </w:p>
        </w:tc>
        <w:tc>
          <w:tcPr>
            <w:tcW w:w="1134" w:type="dxa"/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14 688,2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0,0</w:t>
            </w:r>
          </w:p>
        </w:tc>
      </w:tr>
      <w:tr w:rsidR="00DC0F25" w:rsidRPr="00DB09C6" w:rsidTr="0027711D">
        <w:trPr>
          <w:trHeight w:val="70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0F25" w:rsidRPr="00DB09C6" w:rsidRDefault="00DC0F25" w:rsidP="00D85B92">
            <w:pPr>
              <w:jc w:val="center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7</w:t>
            </w:r>
          </w:p>
        </w:tc>
        <w:tc>
          <w:tcPr>
            <w:tcW w:w="5703" w:type="dxa"/>
            <w:tcBorders>
              <w:bottom w:val="double" w:sz="4" w:space="0" w:color="auto"/>
            </w:tcBorders>
            <w:vAlign w:val="center"/>
            <w:hideMark/>
          </w:tcPr>
          <w:p w:rsidR="00DC0F25" w:rsidRPr="00DB09C6" w:rsidRDefault="00DC0F25" w:rsidP="0027711D">
            <w:pPr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Доходы бюджетов субъектов РФ от возврата бюджетными учреждениями остатков субсидий прошлых лет</w:t>
            </w:r>
          </w:p>
          <w:p w:rsidR="00DC0F25" w:rsidRPr="00DB09C6" w:rsidRDefault="00DC0F25" w:rsidP="0027711D">
            <w:pPr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(837 2 18 02010 02 0000 180)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0F25" w:rsidRPr="00DB09C6" w:rsidRDefault="00DC0F25">
            <w:pPr>
              <w:jc w:val="right"/>
              <w:rPr>
                <w:sz w:val="20"/>
                <w:szCs w:val="20"/>
              </w:rPr>
            </w:pPr>
            <w:r w:rsidRPr="00DB09C6">
              <w:rPr>
                <w:sz w:val="20"/>
                <w:szCs w:val="20"/>
              </w:rPr>
              <w:t>10,6</w:t>
            </w:r>
          </w:p>
        </w:tc>
      </w:tr>
    </w:tbl>
    <w:p w:rsidR="00DB0B7E" w:rsidRPr="00E43482" w:rsidRDefault="00DB0B7E" w:rsidP="0025054E">
      <w:pPr>
        <w:ind w:firstLine="708"/>
        <w:jc w:val="both"/>
        <w:rPr>
          <w:sz w:val="16"/>
          <w:szCs w:val="16"/>
        </w:rPr>
      </w:pPr>
    </w:p>
    <w:p w:rsidR="00176C62" w:rsidRDefault="00176C62" w:rsidP="00625A98">
      <w:pPr>
        <w:ind w:firstLine="709"/>
        <w:jc w:val="both"/>
      </w:pPr>
      <w:r w:rsidRPr="00DB09C6">
        <w:t xml:space="preserve">Доходы Комитета сложились в основном за счет субсидии из федерального бюджета в сумме 14 688,2 тыс. руб. и доходов ГКУ «ЦИТ» </w:t>
      </w:r>
      <w:r w:rsidR="009A0EED" w:rsidRPr="00DB09C6">
        <w:t>за</w:t>
      </w:r>
      <w:r w:rsidR="00916762" w:rsidRPr="00DB09C6">
        <w:t xml:space="preserve"> выполнение работ по мониторингу движения транспортных средств и</w:t>
      </w:r>
      <w:r w:rsidR="009A0EED" w:rsidRPr="00DB09C6">
        <w:t xml:space="preserve"> реализацию ключей электронных подписей (3 005,7 тыс. руб.).</w:t>
      </w:r>
    </w:p>
    <w:bookmarkEnd w:id="0"/>
    <w:p w:rsidR="0025054E" w:rsidRPr="00DB09C6" w:rsidRDefault="0025054E" w:rsidP="0025054E">
      <w:pPr>
        <w:tabs>
          <w:tab w:val="left" w:pos="1106"/>
        </w:tabs>
        <w:jc w:val="center"/>
        <w:rPr>
          <w:b/>
          <w:i/>
        </w:rPr>
      </w:pPr>
      <w:r w:rsidRPr="00DB09C6">
        <w:rPr>
          <w:b/>
          <w:i/>
        </w:rPr>
        <w:t>Исполнение расходов</w:t>
      </w:r>
    </w:p>
    <w:p w:rsidR="00115C7D" w:rsidRDefault="00A20ECF" w:rsidP="009F4A7D">
      <w:pPr>
        <w:tabs>
          <w:tab w:val="left" w:pos="1106"/>
        </w:tabs>
        <w:ind w:firstLine="709"/>
        <w:jc w:val="both"/>
      </w:pPr>
      <w:r w:rsidRPr="00CF1C14">
        <w:t xml:space="preserve">Законом об областном бюджете </w:t>
      </w:r>
      <w:r w:rsidR="00533660" w:rsidRPr="00CF1C14">
        <w:t xml:space="preserve">Комитету утверждены бюджетные ассигнования в сумме 1 151 660,7 тыс. рублей. По росписи расходов и по отчету об исполнении бюджета (ф.0503127) утвержденные бюджетные назначения </w:t>
      </w:r>
      <w:r w:rsidR="009160E5" w:rsidRPr="00CF1C14">
        <w:t>составили 514 924,9 тыс. руб., что на 636 735,8 тыс. руб., или более чем в 2,2 раза меньше объема, утвержденного Законом об областном бюджете.</w:t>
      </w:r>
      <w:r w:rsidR="007F4CF9" w:rsidRPr="00CF1C14">
        <w:t xml:space="preserve"> </w:t>
      </w:r>
      <w:r w:rsidR="00854566">
        <w:t xml:space="preserve">Объем принятых Комитетом бюджетных обязательств в 2017 году </w:t>
      </w:r>
      <w:r w:rsidR="009E63EB">
        <w:t>(</w:t>
      </w:r>
      <w:r w:rsidR="00854566">
        <w:t>1 021 807,4 тыс. руб.</w:t>
      </w:r>
      <w:r w:rsidR="009E63EB">
        <w:t>)</w:t>
      </w:r>
      <w:r w:rsidR="00854566">
        <w:t xml:space="preserve"> </w:t>
      </w:r>
      <w:r w:rsidR="009E63EB">
        <w:t>не</w:t>
      </w:r>
      <w:r w:rsidR="00854566">
        <w:t xml:space="preserve"> превы</w:t>
      </w:r>
      <w:r w:rsidR="009E63EB">
        <w:t>сил</w:t>
      </w:r>
      <w:r w:rsidR="00854566">
        <w:t xml:space="preserve"> объем</w:t>
      </w:r>
      <w:r w:rsidR="009E63EB">
        <w:t xml:space="preserve"> бюджетных ассигнований,</w:t>
      </w:r>
      <w:r w:rsidR="00854566">
        <w:t xml:space="preserve"> утвержденны</w:t>
      </w:r>
      <w:r w:rsidR="009E63EB">
        <w:t>й</w:t>
      </w:r>
      <w:r w:rsidR="00854566">
        <w:t xml:space="preserve"> </w:t>
      </w:r>
      <w:r w:rsidR="009E63EB">
        <w:t>Законом об областном бюджете, но превысил в 2 раза утвержденный сводной бюджетной росписью объем бюджетных н</w:t>
      </w:r>
      <w:r w:rsidR="008F2446">
        <w:t>азначений (514 924,9 тыс. руб.</w:t>
      </w:r>
      <w:r w:rsidR="009E63EB">
        <w:t>).</w:t>
      </w:r>
    </w:p>
    <w:p w:rsidR="00263300" w:rsidRPr="00CF1C14" w:rsidRDefault="007F4CF9" w:rsidP="00854566">
      <w:pPr>
        <w:tabs>
          <w:tab w:val="left" w:pos="1106"/>
        </w:tabs>
        <w:ind w:firstLine="709"/>
        <w:jc w:val="both"/>
      </w:pPr>
      <w:r w:rsidRPr="00CF1C14">
        <w:lastRenderedPageBreak/>
        <w:t xml:space="preserve">Указанное отклонение обусловлено </w:t>
      </w:r>
      <w:r w:rsidR="006401DA" w:rsidRPr="00CF1C14">
        <w:t xml:space="preserve">перераспределением бюджетных ассигнований между текущим финансовым годом и плановым периодом </w:t>
      </w:r>
      <w:r w:rsidR="00475E63" w:rsidRPr="00CF1C14">
        <w:t>(</w:t>
      </w:r>
      <w:r w:rsidR="00475E63" w:rsidRPr="00CF1C14">
        <w:rPr>
          <w:i/>
        </w:rPr>
        <w:t>абзац 11 статьи 5.1 Закона Волгоградской области от 11.06.2008 №1694-ОД «О бюджетном процессе в Волгоградской области»</w:t>
      </w:r>
      <w:r w:rsidR="00CF1C14" w:rsidRPr="00CF1C14">
        <w:rPr>
          <w:i/>
        </w:rPr>
        <w:t>)</w:t>
      </w:r>
      <w:r w:rsidR="00CF1C14" w:rsidRPr="00CF1C14">
        <w:t xml:space="preserve"> на основании решений комитета финансов Волгоградской области.</w:t>
      </w:r>
      <w:r w:rsidR="00475E63" w:rsidRPr="00CF1C14">
        <w:t xml:space="preserve"> </w:t>
      </w:r>
    </w:p>
    <w:p w:rsidR="00854566" w:rsidRPr="00E43482" w:rsidRDefault="00854566" w:rsidP="00475E63">
      <w:pPr>
        <w:ind w:firstLine="709"/>
        <w:jc w:val="both"/>
        <w:rPr>
          <w:sz w:val="16"/>
          <w:szCs w:val="16"/>
        </w:rPr>
      </w:pPr>
    </w:p>
    <w:p w:rsidR="00475E63" w:rsidRPr="00CF1C14" w:rsidRDefault="00475E63" w:rsidP="00475E63">
      <w:pPr>
        <w:ind w:firstLine="709"/>
        <w:jc w:val="both"/>
      </w:pPr>
      <w:r w:rsidRPr="00CF1C14">
        <w:t>Анализ исполнения бюджетных назначений Комитета представлен в таблице:</w:t>
      </w:r>
    </w:p>
    <w:p w:rsidR="00475E63" w:rsidRPr="00CF1C14" w:rsidRDefault="00525431" w:rsidP="00525431">
      <w:pPr>
        <w:tabs>
          <w:tab w:val="left" w:pos="1106"/>
        </w:tabs>
        <w:ind w:firstLine="709"/>
        <w:jc w:val="right"/>
        <w:rPr>
          <w:i/>
          <w:sz w:val="22"/>
          <w:szCs w:val="22"/>
        </w:rPr>
      </w:pPr>
      <w:r w:rsidRPr="00CF1C14">
        <w:rPr>
          <w:i/>
          <w:sz w:val="22"/>
          <w:szCs w:val="22"/>
        </w:rPr>
        <w:t>тыс. руб.</w:t>
      </w:r>
    </w:p>
    <w:tbl>
      <w:tblPr>
        <w:tblW w:w="9877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40"/>
        <w:gridCol w:w="283"/>
        <w:gridCol w:w="4111"/>
        <w:gridCol w:w="851"/>
        <w:gridCol w:w="850"/>
        <w:gridCol w:w="993"/>
        <w:gridCol w:w="850"/>
        <w:gridCol w:w="709"/>
        <w:gridCol w:w="790"/>
      </w:tblGrid>
      <w:tr w:rsidR="00525431" w:rsidRPr="00CF1C14" w:rsidTr="00CC5351">
        <w:trPr>
          <w:trHeight w:val="255"/>
        </w:trPr>
        <w:tc>
          <w:tcPr>
            <w:tcW w:w="723" w:type="dxa"/>
            <w:gridSpan w:val="2"/>
            <w:vMerge w:val="restart"/>
            <w:shd w:val="clear" w:color="auto" w:fill="auto"/>
            <w:vAlign w:val="center"/>
            <w:hideMark/>
          </w:tcPr>
          <w:p w:rsidR="009E3FE2" w:rsidRPr="00CF1C14" w:rsidRDefault="009E3FE2" w:rsidP="009E3FE2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КБК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9E3FE2" w:rsidRPr="00CF1C14" w:rsidRDefault="009E3FE2" w:rsidP="009875A9">
            <w:pPr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E3FE2" w:rsidRPr="00CF1C14" w:rsidRDefault="009E3FE2" w:rsidP="009E3F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Закон об областном бюджете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E3FE2" w:rsidRPr="00CF1C14" w:rsidRDefault="009E3FE2" w:rsidP="009E3FE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F1C14">
              <w:rPr>
                <w:sz w:val="16"/>
                <w:szCs w:val="16"/>
              </w:rPr>
              <w:t>Утвержд</w:t>
            </w:r>
            <w:proofErr w:type="spellEnd"/>
            <w:r w:rsidRPr="00CF1C14">
              <w:rPr>
                <w:sz w:val="16"/>
                <w:szCs w:val="16"/>
              </w:rPr>
              <w:t>.</w:t>
            </w:r>
            <w:r w:rsidRPr="00CF1C14">
              <w:rPr>
                <w:sz w:val="16"/>
                <w:szCs w:val="16"/>
              </w:rPr>
              <w:br/>
              <w:t>бюджетные</w:t>
            </w:r>
            <w:r w:rsidRPr="00CF1C14">
              <w:rPr>
                <w:sz w:val="16"/>
                <w:szCs w:val="16"/>
              </w:rPr>
              <w:br/>
              <w:t>назначения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E3FE2" w:rsidRPr="00CF1C14" w:rsidRDefault="009E3FE2" w:rsidP="009E3F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Лимиты</w:t>
            </w:r>
            <w:r w:rsidRPr="00CF1C14">
              <w:rPr>
                <w:sz w:val="16"/>
                <w:szCs w:val="16"/>
              </w:rPr>
              <w:br/>
              <w:t>бюджетных</w:t>
            </w:r>
            <w:r w:rsidRPr="00CF1C14">
              <w:rPr>
                <w:sz w:val="16"/>
                <w:szCs w:val="16"/>
              </w:rPr>
              <w:br/>
              <w:t>обязательств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E3FE2" w:rsidRPr="00CF1C14" w:rsidRDefault="009E3FE2" w:rsidP="009E3FE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Исполнено</w:t>
            </w:r>
          </w:p>
        </w:tc>
        <w:tc>
          <w:tcPr>
            <w:tcW w:w="1499" w:type="dxa"/>
            <w:gridSpan w:val="2"/>
            <w:shd w:val="clear" w:color="auto" w:fill="auto"/>
            <w:noWrap/>
            <w:vAlign w:val="center"/>
            <w:hideMark/>
          </w:tcPr>
          <w:p w:rsidR="009E3FE2" w:rsidRPr="00CF1C14" w:rsidRDefault="009E3FE2" w:rsidP="00031391">
            <w:pPr>
              <w:ind w:left="-109" w:right="-46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525431" w:rsidRPr="00CF1C14" w:rsidTr="00CC5351">
        <w:trPr>
          <w:trHeight w:val="270"/>
        </w:trPr>
        <w:tc>
          <w:tcPr>
            <w:tcW w:w="72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E3FE2" w:rsidRPr="00CF1C14" w:rsidRDefault="009E3FE2" w:rsidP="009F5C2D">
            <w:pPr>
              <w:ind w:left="-94" w:right="-108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9E3FE2" w:rsidRPr="00CF1C14" w:rsidRDefault="009E3FE2" w:rsidP="009875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9E3FE2" w:rsidRPr="00CF1C14" w:rsidRDefault="009E3FE2" w:rsidP="009875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9E3FE2" w:rsidRPr="00CF1C14" w:rsidRDefault="009E3FE2" w:rsidP="009875A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9E3FE2" w:rsidRPr="00CF1C14" w:rsidRDefault="009E3FE2" w:rsidP="009875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9E3FE2" w:rsidRPr="00CF1C14" w:rsidRDefault="009E3FE2" w:rsidP="009875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E3FE2" w:rsidRPr="00CF1C14" w:rsidRDefault="009E3FE2" w:rsidP="009875A9">
            <w:pPr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тыс. руб.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E3FE2" w:rsidRPr="00CF1C14" w:rsidRDefault="009E3FE2" w:rsidP="009875A9">
            <w:pPr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340AAD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1 151 660,7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514 924,9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513 449,1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510 302,5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4 622,3</w:t>
            </w:r>
          </w:p>
        </w:tc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C14">
              <w:rPr>
                <w:b/>
                <w:bCs/>
                <w:sz w:val="16"/>
                <w:szCs w:val="16"/>
              </w:rPr>
              <w:t>0,9%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 xml:space="preserve">  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0113</w:t>
            </w:r>
          </w:p>
          <w:p w:rsidR="00525431" w:rsidRPr="00CF1C14" w:rsidRDefault="0052543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ВЦП «Отдельные мероприятия в сфере связи и информатизации»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38 219,7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38 752,6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38 752,6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38 719,3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33,3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0,1%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38 219,7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38 748,6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38 748,6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38 715,3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33,3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0,1%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0113</w:t>
            </w:r>
          </w:p>
          <w:p w:rsidR="00525431" w:rsidRPr="00CF1C14" w:rsidRDefault="0052543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b/>
                <w:sz w:val="16"/>
                <w:szCs w:val="16"/>
              </w:rPr>
            </w:pPr>
            <w:proofErr w:type="spellStart"/>
            <w:r w:rsidRPr="00CF1C14">
              <w:rPr>
                <w:b/>
                <w:sz w:val="16"/>
                <w:szCs w:val="16"/>
              </w:rPr>
              <w:t>Непрограммные</w:t>
            </w:r>
            <w:proofErr w:type="spellEnd"/>
            <w:r w:rsidRPr="00CF1C14">
              <w:rPr>
                <w:b/>
                <w:sz w:val="16"/>
                <w:szCs w:val="16"/>
              </w:rPr>
              <w:t xml:space="preserve"> направления обеспечения деятельности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30 139,5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28 601,0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27 646,0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25 526,8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3 074,2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11,1%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27 918,7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27 819,2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26 864,2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24 745,0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3 074,2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11,4%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690,8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134,2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134,2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134,2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1 530,0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638,7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638,7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638,7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52543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0113</w:t>
            </w:r>
          </w:p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990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25431" w:rsidRPr="00CF1C14" w:rsidRDefault="0052543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25431" w:rsidRPr="00CF1C14" w:rsidRDefault="0052543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0204</w:t>
            </w:r>
          </w:p>
          <w:p w:rsidR="00CC5351" w:rsidRPr="00CF1C14" w:rsidRDefault="00CC5351" w:rsidP="002C001F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990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proofErr w:type="spellStart"/>
            <w:r w:rsidRPr="00CF1C14">
              <w:rPr>
                <w:b/>
                <w:sz w:val="16"/>
                <w:szCs w:val="16"/>
              </w:rPr>
              <w:t>Непрограммные</w:t>
            </w:r>
            <w:proofErr w:type="spellEnd"/>
            <w:r w:rsidRPr="00CF1C14">
              <w:rPr>
                <w:b/>
                <w:sz w:val="16"/>
                <w:szCs w:val="16"/>
              </w:rPr>
              <w:t xml:space="preserve"> расходы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21 670,0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21 670,0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21 669,9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2C001F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21 670,0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21 670,0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21 669,9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0309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CC5351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Подпрограмма 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2014 - 2017 годы»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100 063,0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1 801,1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1 801,1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1 801,1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100 063,0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1 801,1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1 801,1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1 801,1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0309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Волгоградской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50 000,0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50 000,0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0409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Волгоградской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272 981,8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187 427,5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187 427,5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187 427,5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173 081,8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157 578,1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157 578,1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157 578,1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500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99 900,0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29 849,4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29 849,4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29 849,4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0410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Волгоградской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70 000,0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23 844,6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23 844,6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23 844,6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23 844,6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23 844,6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23 844,6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25 000,0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0410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Государственная программа Волгоградской области "Информационное общество (2014 - 2020 годы)"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146 029,3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69 333,6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69 218,4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68 834,6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498,9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0,7%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18 902,8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18 778,9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18 663,7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18 280,0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498,9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2,7%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124 015,0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47 524,1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47 524,1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47 524,1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600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2 981,5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2 981,5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2 981,5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2 981,5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130,0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49,1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0410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lastRenderedPageBreak/>
              <w:t>270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Государственная п</w:t>
            </w:r>
            <w:r w:rsidR="00AE0E44" w:rsidRPr="00CF1C14">
              <w:rPr>
                <w:b/>
                <w:sz w:val="16"/>
                <w:szCs w:val="16"/>
              </w:rPr>
              <w:t xml:space="preserve">рограмма Волгоградской области </w:t>
            </w:r>
            <w:r w:rsidR="00AE0E44" w:rsidRPr="00CF1C14">
              <w:rPr>
                <w:b/>
                <w:sz w:val="16"/>
                <w:szCs w:val="16"/>
              </w:rPr>
              <w:lastRenderedPageBreak/>
              <w:t>«</w:t>
            </w:r>
            <w:r w:rsidRPr="00CF1C14">
              <w:rPr>
                <w:b/>
                <w:sz w:val="16"/>
                <w:szCs w:val="16"/>
              </w:rPr>
              <w:t>Использование результатов космической деятельности в интересах социально-экономического и инновационного развития Волгоградс</w:t>
            </w:r>
            <w:r w:rsidR="00AE0E44" w:rsidRPr="00CF1C14">
              <w:rPr>
                <w:b/>
                <w:sz w:val="16"/>
                <w:szCs w:val="16"/>
              </w:rPr>
              <w:t>кой области на 2014 - 2018 годы»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lastRenderedPageBreak/>
              <w:t>18 215,7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11 794,7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11 710,1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11 415,9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378,8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3,2%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8 272,8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9 501,7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9 417,1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9 122,9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378,8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9 942,9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2 293,0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2 293,0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2 293,0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0410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660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CC5351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ВЦП «Обеспечение сетевой безопасности государственных информационных ресурсов»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58 960,4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8 834,2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8 795,1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8 662,1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172,0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2,0%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5 009,4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5 009,4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4 970,4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4 837,4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172,0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3,5%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53 951,0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3 824,7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3 824,7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3 824,7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0410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990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proofErr w:type="spellStart"/>
            <w:r w:rsidRPr="00CF1C14">
              <w:rPr>
                <w:b/>
                <w:sz w:val="16"/>
                <w:szCs w:val="16"/>
              </w:rPr>
              <w:t>Непрограммные</w:t>
            </w:r>
            <w:proofErr w:type="spellEnd"/>
            <w:r w:rsidRPr="00CF1C14">
              <w:rPr>
                <w:b/>
                <w:sz w:val="16"/>
                <w:szCs w:val="16"/>
              </w:rPr>
              <w:t xml:space="preserve"> расходы государственных органов Волгоградской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19 833,2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19 833,2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0412</w:t>
            </w:r>
          </w:p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014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Волгоградской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347 218,2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122 865,7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122 583,7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122 400,8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464,9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b/>
                <w:sz w:val="16"/>
                <w:szCs w:val="16"/>
              </w:rPr>
            </w:pPr>
            <w:r w:rsidRPr="00CF1C14">
              <w:rPr>
                <w:b/>
                <w:sz w:val="16"/>
                <w:szCs w:val="16"/>
              </w:rPr>
              <w:t>0,4%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6 285,3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8 561,7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8 279,7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8 096,8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464,9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5,6%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340 932,9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114 284,8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114 284,8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114 284,8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852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9875A9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  <w:tr w:rsidR="00CC5351" w:rsidRPr="00CF1C14" w:rsidTr="00CC5351">
        <w:trPr>
          <w:trHeight w:val="2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9F5C2D">
            <w:pPr>
              <w:ind w:left="-94" w:right="-108"/>
              <w:jc w:val="center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831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C5351" w:rsidRPr="00CF1C14" w:rsidRDefault="00CC5351" w:rsidP="002C001F">
            <w:pPr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16,3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16,3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ind w:left="-108"/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16,3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CC5351" w:rsidRPr="00CF1C14" w:rsidRDefault="00CC5351" w:rsidP="00525431">
            <w:pPr>
              <w:jc w:val="right"/>
              <w:rPr>
                <w:sz w:val="16"/>
                <w:szCs w:val="16"/>
              </w:rPr>
            </w:pPr>
            <w:r w:rsidRPr="00CF1C14">
              <w:rPr>
                <w:sz w:val="16"/>
                <w:szCs w:val="16"/>
              </w:rPr>
              <w:t>0,0%</w:t>
            </w:r>
          </w:p>
        </w:tc>
      </w:tr>
    </w:tbl>
    <w:p w:rsidR="00475E63" w:rsidRPr="00E43482" w:rsidRDefault="00475E63" w:rsidP="009F4A7D">
      <w:pPr>
        <w:tabs>
          <w:tab w:val="left" w:pos="1106"/>
        </w:tabs>
        <w:ind w:firstLine="709"/>
        <w:jc w:val="both"/>
        <w:rPr>
          <w:sz w:val="16"/>
          <w:szCs w:val="16"/>
        </w:rPr>
      </w:pPr>
    </w:p>
    <w:p w:rsidR="002C001F" w:rsidRPr="00CB0A18" w:rsidRDefault="002C001F" w:rsidP="002C001F">
      <w:pPr>
        <w:autoSpaceDE w:val="0"/>
        <w:autoSpaceDN w:val="0"/>
        <w:adjustRightInd w:val="0"/>
        <w:ind w:firstLine="709"/>
        <w:jc w:val="both"/>
      </w:pPr>
      <w:r w:rsidRPr="00CB0A18">
        <w:t xml:space="preserve">Бюджетные назначения исполнены в сумме 510 302,5 тыс. руб., или на 99,1 процента. Согласно сведениям об исполнении бюджета (ф.0503164) неисполнение назначений в сумме 4 622,3 тыс. руб. </w:t>
      </w:r>
      <w:r w:rsidR="000D1A46" w:rsidRPr="00CB0A18">
        <w:t xml:space="preserve">в основном </w:t>
      </w:r>
      <w:r w:rsidRPr="00CB0A18">
        <w:t xml:space="preserve">сложилось по причине отсутствия финансирования и </w:t>
      </w:r>
      <w:r w:rsidR="007C7CD0" w:rsidRPr="00CB0A18">
        <w:t xml:space="preserve">лимитов </w:t>
      </w:r>
      <w:r w:rsidRPr="00CB0A18">
        <w:t>бюджетных обязательств.</w:t>
      </w:r>
    </w:p>
    <w:p w:rsidR="002A1456" w:rsidRPr="00CB0A18" w:rsidRDefault="002A1456" w:rsidP="002A1456">
      <w:pPr>
        <w:tabs>
          <w:tab w:val="left" w:pos="1106"/>
        </w:tabs>
        <w:ind w:firstLine="709"/>
        <w:jc w:val="both"/>
      </w:pPr>
      <w:r w:rsidRPr="00CB0A18">
        <w:t xml:space="preserve">Большая часть расходов Комитета направлена на реализацию </w:t>
      </w:r>
      <w:r w:rsidR="00311335" w:rsidRPr="00CB0A18">
        <w:t>трех</w:t>
      </w:r>
      <w:r w:rsidRPr="00CB0A18">
        <w:t xml:space="preserve"> государственных программ Волгоградской области и двух ведомственных целевых программ:</w:t>
      </w:r>
    </w:p>
    <w:p w:rsidR="002A1456" w:rsidRPr="00CB0A18" w:rsidRDefault="002A1456" w:rsidP="002A1456">
      <w:pPr>
        <w:autoSpaceDE w:val="0"/>
        <w:autoSpaceDN w:val="0"/>
        <w:adjustRightInd w:val="0"/>
        <w:ind w:firstLine="709"/>
        <w:jc w:val="both"/>
      </w:pPr>
      <w:r w:rsidRPr="00CB0A18">
        <w:t>-государственная программа Волгоградской области «Защита населения и территории от чрезвычайных ситуаций, обеспечение пожарной безопасности» на 2014-2017 годы» утверждена постановлением Правительства Волгоградской области от 22.11.2013 № 650-п (далее – ГП «Защита населения»);</w:t>
      </w:r>
    </w:p>
    <w:p w:rsidR="002A1456" w:rsidRPr="00CB0A18" w:rsidRDefault="002A1456" w:rsidP="002A1456">
      <w:pPr>
        <w:autoSpaceDE w:val="0"/>
        <w:autoSpaceDN w:val="0"/>
        <w:adjustRightInd w:val="0"/>
        <w:ind w:firstLine="709"/>
        <w:jc w:val="both"/>
      </w:pPr>
      <w:r w:rsidRPr="00CB0A18">
        <w:t>-государственная программа Волгоградской области «Информационное общество (2014 - 2020 годы)» утверждена постановлением Правительства Волгоградской области от 23.12.2013 № 777-п (далее – ГП «Информационное общество»)</w:t>
      </w:r>
      <w:r w:rsidR="00395FC2" w:rsidRPr="00CB0A18">
        <w:t>, утратила силу с 01.01.2018</w:t>
      </w:r>
      <w:r w:rsidRPr="00CB0A18">
        <w:t>;</w:t>
      </w:r>
    </w:p>
    <w:p w:rsidR="002A1456" w:rsidRPr="00CB0A18" w:rsidRDefault="002A1456" w:rsidP="002A1456">
      <w:pPr>
        <w:autoSpaceDE w:val="0"/>
        <w:autoSpaceDN w:val="0"/>
        <w:adjustRightInd w:val="0"/>
        <w:ind w:firstLine="709"/>
        <w:jc w:val="both"/>
      </w:pPr>
      <w:r w:rsidRPr="00CB0A18">
        <w:t>-государственная программа Волгоградской области «Использование результатов космической деятельности в интересах социально-экономического и инновационного развития Волгоградской области на 2014 - 2018 годы» утверждена постановлением Правительства Волгоградской области от 10.02.2014 № 68-п (далее – ГП РКД);</w:t>
      </w:r>
    </w:p>
    <w:p w:rsidR="002A1456" w:rsidRPr="00CB0A18" w:rsidRDefault="002A1456" w:rsidP="002A1456">
      <w:pPr>
        <w:ind w:firstLine="709"/>
        <w:jc w:val="both"/>
      </w:pPr>
      <w:r w:rsidRPr="00CB0A18">
        <w:t>-ведомственная целевая программа «Отдельные мероприятия в сфере связи и информатизации» утверждена</w:t>
      </w:r>
      <w:r w:rsidR="00DA6379">
        <w:t xml:space="preserve"> приказом Комитета </w:t>
      </w:r>
      <w:r w:rsidRPr="00CB0A18">
        <w:t xml:space="preserve">от </w:t>
      </w:r>
      <w:r w:rsidR="003D0144" w:rsidRPr="00CB0A18">
        <w:t>19</w:t>
      </w:r>
      <w:r w:rsidRPr="00CB0A18">
        <w:t>.12.</w:t>
      </w:r>
      <w:r w:rsidR="003D0144" w:rsidRPr="00CB0A18">
        <w:t>2016</w:t>
      </w:r>
      <w:r w:rsidRPr="00CB0A18">
        <w:t xml:space="preserve"> № </w:t>
      </w:r>
      <w:r w:rsidR="003D0144" w:rsidRPr="00CB0A18">
        <w:t>158</w:t>
      </w:r>
      <w:r w:rsidRPr="00CB0A18">
        <w:t>-о/</w:t>
      </w:r>
      <w:proofErr w:type="spellStart"/>
      <w:r w:rsidRPr="00CB0A18">
        <w:t>д</w:t>
      </w:r>
      <w:proofErr w:type="spellEnd"/>
      <w:r w:rsidRPr="00CB0A18">
        <w:t xml:space="preserve"> (далее – ВЦП «</w:t>
      </w:r>
      <w:r w:rsidR="00395FC2" w:rsidRPr="00CB0A18">
        <w:t>Связь и информатизация</w:t>
      </w:r>
      <w:r w:rsidRPr="00CB0A18">
        <w:t>»);</w:t>
      </w:r>
    </w:p>
    <w:p w:rsidR="00395FC2" w:rsidRPr="00CB0A18" w:rsidRDefault="00395FC2" w:rsidP="002A1456">
      <w:pPr>
        <w:ind w:firstLine="709"/>
        <w:jc w:val="both"/>
      </w:pPr>
      <w:r w:rsidRPr="00CB0A18">
        <w:t>-</w:t>
      </w:r>
      <w:r w:rsidR="00B81D0E" w:rsidRPr="00CB0A18">
        <w:t>ведомственная целевая программа «Обеспечение сетевой безопасности государственных информационных ресурсов Администрации Волгоградской области (2015-2017 годы)» утвержд</w:t>
      </w:r>
      <w:r w:rsidR="003D0144" w:rsidRPr="00CB0A18">
        <w:t>е</w:t>
      </w:r>
      <w:r w:rsidR="00B81D0E" w:rsidRPr="00CB0A18">
        <w:t>на приказом Комитета от 30.12.2016 № 170-о/</w:t>
      </w:r>
      <w:proofErr w:type="spellStart"/>
      <w:r w:rsidR="00B81D0E" w:rsidRPr="00CB0A18">
        <w:t>д</w:t>
      </w:r>
      <w:proofErr w:type="spellEnd"/>
      <w:r w:rsidR="00B81D0E" w:rsidRPr="00CB0A18">
        <w:t xml:space="preserve"> ДСП (далее – ВЦП «Сетевая безопасность»).</w:t>
      </w:r>
    </w:p>
    <w:p w:rsidR="002A1456" w:rsidRDefault="002A1456" w:rsidP="002A1456">
      <w:pPr>
        <w:autoSpaceDE w:val="0"/>
        <w:autoSpaceDN w:val="0"/>
        <w:adjustRightInd w:val="0"/>
        <w:ind w:firstLine="709"/>
        <w:jc w:val="both"/>
      </w:pPr>
      <w:r w:rsidRPr="00CB0A18">
        <w:t>Внепрограммные расходы осуществлены на содержание Комитета и на централизованное обеспечение в сфере информационных технологий для государственных нужд Волгоградской области.</w:t>
      </w:r>
    </w:p>
    <w:p w:rsidR="009E63EB" w:rsidRPr="00CB0A18" w:rsidRDefault="009E63EB" w:rsidP="002A1456">
      <w:pPr>
        <w:autoSpaceDE w:val="0"/>
        <w:autoSpaceDN w:val="0"/>
        <w:adjustRightInd w:val="0"/>
        <w:ind w:firstLine="709"/>
        <w:jc w:val="both"/>
      </w:pPr>
    </w:p>
    <w:p w:rsidR="00286668" w:rsidRPr="00A53B46" w:rsidRDefault="00286668" w:rsidP="002A145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A6A76" w:rsidRPr="00393E2D" w:rsidRDefault="005A6A76" w:rsidP="005A6A76">
      <w:pPr>
        <w:autoSpaceDE w:val="0"/>
        <w:autoSpaceDN w:val="0"/>
        <w:adjustRightInd w:val="0"/>
        <w:jc w:val="center"/>
        <w:rPr>
          <w:b/>
          <w:i/>
        </w:rPr>
      </w:pPr>
      <w:r w:rsidRPr="00393E2D">
        <w:rPr>
          <w:b/>
          <w:i/>
        </w:rPr>
        <w:lastRenderedPageBreak/>
        <w:t>Расходы на оплату труда</w:t>
      </w:r>
    </w:p>
    <w:p w:rsidR="005A6A76" w:rsidRPr="00FD2202" w:rsidRDefault="005A6A76" w:rsidP="005A6A76">
      <w:pPr>
        <w:ind w:firstLine="709"/>
        <w:jc w:val="both"/>
      </w:pPr>
      <w:r w:rsidRPr="00FD2202">
        <w:t>Бюджетные назначения на оплату труда с начислениями (211, 213 КОСГУ) утверждены в сумме 27 239,1 тыс. руб., что не превысило расчетный фонд оплаты труда</w:t>
      </w:r>
      <w:r w:rsidR="00FD2202" w:rsidRPr="00FD2202">
        <w:t xml:space="preserve"> (27 278,7 тыс. руб.)</w:t>
      </w:r>
      <w:r w:rsidRPr="00FD2202">
        <w:t>, и исполнены в сумме 24 324,9 тыс. руб., или на 89,3 процента.</w:t>
      </w:r>
    </w:p>
    <w:p w:rsidR="005A6A76" w:rsidRPr="00FD2202" w:rsidRDefault="005A6A76" w:rsidP="005A6A76">
      <w:pPr>
        <w:ind w:firstLine="709"/>
        <w:jc w:val="both"/>
      </w:pPr>
      <w:r w:rsidRPr="00FD2202">
        <w:t xml:space="preserve">Согласно данным </w:t>
      </w:r>
      <w:r w:rsidRPr="00FD2202">
        <w:rPr>
          <w:b/>
          <w:i/>
        </w:rPr>
        <w:t>Отчета о бюджетных обязательствах (ф.0503128)</w:t>
      </w:r>
      <w:r w:rsidRPr="00FD2202">
        <w:t xml:space="preserve"> неисполненные денежные обязательства по оплате труда на 01.01.2018 сложились в сумме 1 151,0 тыс. руб. в связи с отсутствием финансирования расходов на выплату заработной платы работникам Комитета за декабрь 2017 года.</w:t>
      </w:r>
    </w:p>
    <w:p w:rsidR="002A1456" w:rsidRPr="00A53B46" w:rsidRDefault="002A1456" w:rsidP="0025054E">
      <w:pPr>
        <w:ind w:firstLine="708"/>
        <w:jc w:val="both"/>
        <w:rPr>
          <w:color w:val="FF0000"/>
        </w:rPr>
      </w:pPr>
    </w:p>
    <w:p w:rsidR="005A6A76" w:rsidRPr="00FD2202" w:rsidRDefault="0025054E" w:rsidP="005A6A76">
      <w:pPr>
        <w:ind w:firstLine="708"/>
        <w:jc w:val="center"/>
        <w:rPr>
          <w:b/>
          <w:i/>
        </w:rPr>
      </w:pPr>
      <w:r w:rsidRPr="00FD2202">
        <w:rPr>
          <w:b/>
          <w:i/>
        </w:rPr>
        <w:t>Сравнительный анализ</w:t>
      </w:r>
      <w:r w:rsidR="005A6A76" w:rsidRPr="00FD2202">
        <w:rPr>
          <w:b/>
          <w:i/>
        </w:rPr>
        <w:t xml:space="preserve"> показателей</w:t>
      </w:r>
    </w:p>
    <w:p w:rsidR="005A6A76" w:rsidRPr="00FD2202" w:rsidRDefault="0025054E" w:rsidP="005A6A76">
      <w:pPr>
        <w:ind w:firstLine="708"/>
        <w:jc w:val="center"/>
      </w:pPr>
      <w:r w:rsidRPr="00FD2202">
        <w:rPr>
          <w:b/>
          <w:i/>
        </w:rPr>
        <w:t>исполнения расходов областного бюджета за 201</w:t>
      </w:r>
      <w:r w:rsidR="00B80C8B" w:rsidRPr="00FD2202">
        <w:rPr>
          <w:b/>
          <w:i/>
        </w:rPr>
        <w:t>6</w:t>
      </w:r>
      <w:r w:rsidRPr="00FD2202">
        <w:rPr>
          <w:b/>
          <w:i/>
        </w:rPr>
        <w:t xml:space="preserve"> год и 201</w:t>
      </w:r>
      <w:r w:rsidR="00B80C8B" w:rsidRPr="00FD2202">
        <w:rPr>
          <w:b/>
          <w:i/>
        </w:rPr>
        <w:t>7</w:t>
      </w:r>
      <w:r w:rsidRPr="00FD2202">
        <w:rPr>
          <w:b/>
          <w:i/>
        </w:rPr>
        <w:t xml:space="preserve"> год</w:t>
      </w:r>
    </w:p>
    <w:p w:rsidR="0025054E" w:rsidRPr="00FD2202" w:rsidRDefault="0025054E" w:rsidP="0025054E">
      <w:pPr>
        <w:ind w:firstLine="708"/>
        <w:jc w:val="right"/>
        <w:rPr>
          <w:i/>
          <w:sz w:val="20"/>
          <w:szCs w:val="20"/>
        </w:rPr>
      </w:pPr>
      <w:r w:rsidRPr="00FD2202">
        <w:rPr>
          <w:i/>
          <w:sz w:val="20"/>
          <w:szCs w:val="20"/>
        </w:rPr>
        <w:t>тыс. руб.</w:t>
      </w:r>
    </w:p>
    <w:tbl>
      <w:tblPr>
        <w:tblW w:w="9600" w:type="dxa"/>
        <w:tblInd w:w="85" w:type="dxa"/>
        <w:tblLook w:val="04A0"/>
      </w:tblPr>
      <w:tblGrid>
        <w:gridCol w:w="1083"/>
        <w:gridCol w:w="4377"/>
        <w:gridCol w:w="1040"/>
        <w:gridCol w:w="1040"/>
        <w:gridCol w:w="1100"/>
        <w:gridCol w:w="960"/>
      </w:tblGrid>
      <w:tr w:rsidR="00B80C8B" w:rsidRPr="00FD2202" w:rsidTr="00393E2D">
        <w:trPr>
          <w:trHeight w:val="20"/>
        </w:trPr>
        <w:tc>
          <w:tcPr>
            <w:tcW w:w="10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77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2016 год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2017 год</w:t>
            </w:r>
          </w:p>
        </w:tc>
        <w:tc>
          <w:tcPr>
            <w:tcW w:w="2060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Отклонение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</w:p>
        </w:tc>
        <w:tc>
          <w:tcPr>
            <w:tcW w:w="4377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%</w:t>
            </w:r>
          </w:p>
        </w:tc>
      </w:tr>
      <w:tr w:rsidR="00B80C8B" w:rsidRPr="00FD2202" w:rsidTr="00B80C8B">
        <w:trPr>
          <w:trHeight w:val="20"/>
        </w:trPr>
        <w:tc>
          <w:tcPr>
            <w:tcW w:w="54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b/>
                <w:bCs/>
                <w:sz w:val="20"/>
                <w:szCs w:val="20"/>
              </w:rPr>
            </w:pPr>
            <w:r w:rsidRPr="00FD2202">
              <w:rPr>
                <w:b/>
                <w:bCs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b/>
                <w:bCs/>
                <w:sz w:val="20"/>
                <w:szCs w:val="20"/>
              </w:rPr>
            </w:pPr>
            <w:r w:rsidRPr="00FD2202">
              <w:rPr>
                <w:b/>
                <w:bCs/>
                <w:sz w:val="20"/>
                <w:szCs w:val="20"/>
              </w:rPr>
              <w:t>342 423,1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b/>
                <w:bCs/>
                <w:sz w:val="20"/>
                <w:szCs w:val="20"/>
              </w:rPr>
            </w:pPr>
            <w:r w:rsidRPr="00FD2202">
              <w:rPr>
                <w:b/>
                <w:bCs/>
                <w:sz w:val="20"/>
                <w:szCs w:val="20"/>
              </w:rPr>
              <w:t>510 302,5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b/>
                <w:bCs/>
                <w:sz w:val="20"/>
                <w:szCs w:val="20"/>
              </w:rPr>
            </w:pPr>
            <w:r w:rsidRPr="00FD2202">
              <w:rPr>
                <w:b/>
                <w:bCs/>
                <w:sz w:val="20"/>
                <w:szCs w:val="20"/>
              </w:rPr>
              <w:t>167 879,4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b/>
                <w:bCs/>
                <w:sz w:val="20"/>
                <w:szCs w:val="20"/>
              </w:rPr>
            </w:pPr>
            <w:r w:rsidRPr="00FD2202">
              <w:rPr>
                <w:b/>
                <w:bCs/>
                <w:sz w:val="20"/>
                <w:szCs w:val="20"/>
              </w:rPr>
              <w:t>49,0%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0113</w:t>
            </w:r>
          </w:p>
        </w:tc>
        <w:tc>
          <w:tcPr>
            <w:tcW w:w="43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69 199,1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64 246,0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-4 953,1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-7,2%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0204</w:t>
            </w:r>
          </w:p>
        </w:tc>
        <w:tc>
          <w:tcPr>
            <w:tcW w:w="43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21 670,0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21 669,9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-0,1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0,0%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0309</w:t>
            </w:r>
          </w:p>
        </w:tc>
        <w:tc>
          <w:tcPr>
            <w:tcW w:w="43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Защита населения и территории от ЧС…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36 625,1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1 801,1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-34 824,0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-95,1%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0409</w:t>
            </w:r>
          </w:p>
        </w:tc>
        <w:tc>
          <w:tcPr>
            <w:tcW w:w="43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187 427,5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187 427,5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A67209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---</w:t>
            </w:r>
            <w:r w:rsidR="00B80C8B" w:rsidRPr="00FD2202">
              <w:rPr>
                <w:sz w:val="20"/>
                <w:szCs w:val="20"/>
              </w:rPr>
              <w:t> 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0410</w:t>
            </w:r>
          </w:p>
        </w:tc>
        <w:tc>
          <w:tcPr>
            <w:tcW w:w="43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126 190,2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112 757,2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-13 433,0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-10,6%</w:t>
            </w:r>
          </w:p>
        </w:tc>
      </w:tr>
      <w:tr w:rsidR="00B80C8B" w:rsidRPr="00FD2202" w:rsidTr="00393E2D">
        <w:trPr>
          <w:trHeight w:val="20"/>
        </w:trPr>
        <w:tc>
          <w:tcPr>
            <w:tcW w:w="1083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center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0412</w:t>
            </w:r>
          </w:p>
        </w:tc>
        <w:tc>
          <w:tcPr>
            <w:tcW w:w="437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D2202">
              <w:rPr>
                <w:sz w:val="20"/>
                <w:szCs w:val="20"/>
              </w:rPr>
              <w:t>нац</w:t>
            </w:r>
            <w:proofErr w:type="spellEnd"/>
            <w:r w:rsidRPr="00FD2202">
              <w:rPr>
                <w:sz w:val="20"/>
                <w:szCs w:val="20"/>
              </w:rPr>
              <w:t>.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88 738,7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122 400,8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33 662,1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80C8B" w:rsidRPr="00FD2202" w:rsidRDefault="00B80C8B" w:rsidP="00B80C8B">
            <w:pPr>
              <w:jc w:val="right"/>
              <w:rPr>
                <w:sz w:val="20"/>
                <w:szCs w:val="20"/>
              </w:rPr>
            </w:pPr>
            <w:r w:rsidRPr="00FD2202">
              <w:rPr>
                <w:sz w:val="20"/>
                <w:szCs w:val="20"/>
              </w:rPr>
              <w:t>37,9%</w:t>
            </w:r>
          </w:p>
        </w:tc>
      </w:tr>
    </w:tbl>
    <w:p w:rsidR="00B80C8B" w:rsidRPr="00E43482" w:rsidRDefault="00B80C8B" w:rsidP="00B80C8B">
      <w:pPr>
        <w:ind w:firstLine="708"/>
        <w:jc w:val="both"/>
        <w:rPr>
          <w:sz w:val="16"/>
          <w:szCs w:val="16"/>
        </w:rPr>
      </w:pPr>
    </w:p>
    <w:p w:rsidR="00B80C8B" w:rsidRPr="00393E2D" w:rsidRDefault="007959CE" w:rsidP="00736C49">
      <w:pPr>
        <w:ind w:firstLine="708"/>
        <w:jc w:val="both"/>
      </w:pPr>
      <w:proofErr w:type="gramStart"/>
      <w:r w:rsidRPr="00393E2D">
        <w:t xml:space="preserve">Увеличение расходов Комитета в 2017 году по сравнению с 2016 годом на 167 879,4 тыс. руб., или в 1,5 раза обусловлено реализацией с 2017 года мероприятий в рамках подпрограммы </w:t>
      </w:r>
      <w:r w:rsidR="00BF06E6" w:rsidRPr="00393E2D">
        <w:t>«Построение (развитие) аппаратно-программного комплекса «Безопасный город» на территории Волгоградской области» ГП «Защита населения»</w:t>
      </w:r>
      <w:r w:rsidR="00393E2D" w:rsidRPr="00393E2D">
        <w:t xml:space="preserve"> за счет бюджетных ассигнований дорожного фонда (подраздел 0409)</w:t>
      </w:r>
      <w:r w:rsidR="007753BD" w:rsidRPr="00393E2D">
        <w:t>, а именно</w:t>
      </w:r>
      <w:r w:rsidR="002F291A" w:rsidRPr="00393E2D">
        <w:t>:</w:t>
      </w:r>
      <w:proofErr w:type="gramEnd"/>
    </w:p>
    <w:p w:rsidR="007753BD" w:rsidRPr="00393E2D" w:rsidRDefault="007753BD" w:rsidP="007753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93E2D">
        <w:t>-о</w:t>
      </w:r>
      <w:r w:rsidRPr="00393E2D">
        <w:rPr>
          <w:rFonts w:eastAsia="Calibri"/>
        </w:rPr>
        <w:t xml:space="preserve">беспечение работоспособности переносных комплексов </w:t>
      </w:r>
      <w:proofErr w:type="spellStart"/>
      <w:r w:rsidRPr="00393E2D">
        <w:rPr>
          <w:rFonts w:eastAsia="Calibri"/>
        </w:rPr>
        <w:t>фотовидеофиксации</w:t>
      </w:r>
      <w:proofErr w:type="spellEnd"/>
      <w:r w:rsidRPr="00393E2D">
        <w:rPr>
          <w:rFonts w:eastAsia="Calibri"/>
        </w:rPr>
        <w:t xml:space="preserve"> (4 677,5 тыс. руб.);</w:t>
      </w:r>
    </w:p>
    <w:p w:rsidR="007753BD" w:rsidRPr="00393E2D" w:rsidRDefault="007753BD" w:rsidP="007753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93E2D">
        <w:rPr>
          <w:rFonts w:eastAsia="Calibri"/>
        </w:rPr>
        <w:t>-</w:t>
      </w:r>
      <w:r w:rsidRPr="00393E2D">
        <w:t>м</w:t>
      </w:r>
      <w:r w:rsidRPr="00393E2D">
        <w:rPr>
          <w:rFonts w:eastAsia="Calibri"/>
        </w:rPr>
        <w:t xml:space="preserve">одернизация и развитие подсистемы контроля и выявления </w:t>
      </w:r>
      <w:proofErr w:type="gramStart"/>
      <w:r w:rsidRPr="00393E2D">
        <w:rPr>
          <w:rFonts w:eastAsia="Calibri"/>
        </w:rPr>
        <w:t>нарушений Правил дорожного движения комплексной информационной системы видеонаблюдения Волгоградской</w:t>
      </w:r>
      <w:proofErr w:type="gramEnd"/>
      <w:r w:rsidRPr="00393E2D">
        <w:rPr>
          <w:rFonts w:eastAsia="Calibri"/>
        </w:rPr>
        <w:t xml:space="preserve"> области, обеспечение работоспособности подсистемы в течение срока службы комплексов </w:t>
      </w:r>
      <w:proofErr w:type="spellStart"/>
      <w:r w:rsidRPr="00393E2D">
        <w:rPr>
          <w:rFonts w:eastAsia="Calibri"/>
        </w:rPr>
        <w:t>фотовидеофиксации</w:t>
      </w:r>
      <w:proofErr w:type="spellEnd"/>
      <w:r w:rsidRPr="00393E2D">
        <w:rPr>
          <w:rFonts w:eastAsia="Calibri"/>
        </w:rPr>
        <w:t xml:space="preserve">, демонтаж и утилизация комплексов </w:t>
      </w:r>
      <w:proofErr w:type="spellStart"/>
      <w:r w:rsidRPr="00393E2D">
        <w:rPr>
          <w:rFonts w:eastAsia="Calibri"/>
        </w:rPr>
        <w:t>фотовидеофиксации</w:t>
      </w:r>
      <w:proofErr w:type="spellEnd"/>
      <w:r w:rsidRPr="00393E2D">
        <w:rPr>
          <w:rFonts w:eastAsia="Calibri"/>
        </w:rPr>
        <w:t xml:space="preserve"> (112 764,0 тыс. руб.);</w:t>
      </w:r>
    </w:p>
    <w:p w:rsidR="007753BD" w:rsidRPr="00393E2D" w:rsidRDefault="007753BD" w:rsidP="007753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93E2D">
        <w:rPr>
          <w:rFonts w:eastAsia="Calibri"/>
        </w:rPr>
        <w:t>-приобретение услуги фиксации нарушений скоростного режима (средняя скорость) на региональных участках автодорог Волгоградской области (40 136,6 тыс. руб.);</w:t>
      </w:r>
    </w:p>
    <w:p w:rsidR="007753BD" w:rsidRPr="00393E2D" w:rsidRDefault="007753BD" w:rsidP="007753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93E2D">
        <w:rPr>
          <w:rFonts w:eastAsia="Calibri"/>
        </w:rPr>
        <w:t>-</w:t>
      </w:r>
      <w:r w:rsidRPr="00393E2D">
        <w:t>с</w:t>
      </w:r>
      <w:r w:rsidRPr="00393E2D">
        <w:rPr>
          <w:rFonts w:eastAsia="Calibri"/>
        </w:rPr>
        <w:t>оздание и обеспечение внедрения системы адаптивного управления светофорными объектами на маршрутах движения контрагентов FIFA и лиц, включенных в списки FIFA, в период проведения чемпионата мира по футболу 2018 года (29 849,4 тыс. руб.).</w:t>
      </w:r>
    </w:p>
    <w:p w:rsidR="00EB3A3D" w:rsidRPr="00393E2D" w:rsidRDefault="00EB3A3D" w:rsidP="00F50F0C">
      <w:pPr>
        <w:autoSpaceDE w:val="0"/>
        <w:autoSpaceDN w:val="0"/>
        <w:adjustRightInd w:val="0"/>
        <w:ind w:firstLine="709"/>
        <w:jc w:val="both"/>
      </w:pPr>
    </w:p>
    <w:p w:rsidR="0025054E" w:rsidRPr="003825FE" w:rsidRDefault="0025054E" w:rsidP="0025054E">
      <w:pPr>
        <w:autoSpaceDE w:val="0"/>
        <w:autoSpaceDN w:val="0"/>
        <w:adjustRightInd w:val="0"/>
        <w:jc w:val="center"/>
        <w:rPr>
          <w:b/>
          <w:i/>
        </w:rPr>
      </w:pPr>
      <w:r w:rsidRPr="003825FE">
        <w:rPr>
          <w:b/>
          <w:i/>
        </w:rPr>
        <w:t>Состояние дебиторской и кредиторской задолженности</w:t>
      </w:r>
    </w:p>
    <w:p w:rsidR="0025054E" w:rsidRPr="003825FE" w:rsidRDefault="0025054E" w:rsidP="0025054E">
      <w:pPr>
        <w:autoSpaceDE w:val="0"/>
        <w:autoSpaceDN w:val="0"/>
        <w:adjustRightInd w:val="0"/>
        <w:ind w:firstLine="709"/>
        <w:jc w:val="both"/>
      </w:pPr>
      <w:r w:rsidRPr="003825FE">
        <w:t>Информация о динамике дебиторской и кредиторской задолженности в 201</w:t>
      </w:r>
      <w:r w:rsidR="000834EB" w:rsidRPr="003825FE">
        <w:t>7</w:t>
      </w:r>
      <w:r w:rsidRPr="003825FE">
        <w:t xml:space="preserve"> году приведена в следующей таблице</w:t>
      </w:r>
      <w:r w:rsidR="00A00AD8" w:rsidRPr="003825FE">
        <w:t>:</w:t>
      </w:r>
    </w:p>
    <w:p w:rsidR="00A00AD8" w:rsidRPr="003825FE" w:rsidRDefault="00A00AD8" w:rsidP="00A00AD8">
      <w:pPr>
        <w:autoSpaceDE w:val="0"/>
        <w:autoSpaceDN w:val="0"/>
        <w:adjustRightInd w:val="0"/>
        <w:ind w:firstLine="709"/>
        <w:jc w:val="right"/>
      </w:pPr>
      <w:r w:rsidRPr="003825FE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1311"/>
        <w:gridCol w:w="1311"/>
        <w:gridCol w:w="1311"/>
        <w:gridCol w:w="1312"/>
      </w:tblGrid>
      <w:tr w:rsidR="001608B3" w:rsidRPr="003825FE" w:rsidTr="001608B3">
        <w:trPr>
          <w:trHeight w:val="20"/>
        </w:trPr>
        <w:tc>
          <w:tcPr>
            <w:tcW w:w="439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F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FE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FE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3825FE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18"/>
                <w:szCs w:val="18"/>
              </w:rPr>
            </w:pPr>
            <w:r w:rsidRPr="003825FE">
              <w:rPr>
                <w:b/>
                <w:bCs/>
                <w:sz w:val="18"/>
                <w:szCs w:val="18"/>
              </w:rPr>
              <w:t>на 01.01.2017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18"/>
                <w:szCs w:val="18"/>
              </w:rPr>
            </w:pPr>
            <w:r w:rsidRPr="003825FE">
              <w:rPr>
                <w:b/>
                <w:bCs/>
                <w:sz w:val="18"/>
                <w:szCs w:val="18"/>
              </w:rPr>
              <w:t>на 01.01.2018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FE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5F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 xml:space="preserve">Дебиторская  задолженность ИТОГО, 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160,6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28 502,8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28 342,2</w:t>
            </w:r>
          </w:p>
        </w:tc>
        <w:tc>
          <w:tcPr>
            <w:tcW w:w="13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в 177,5 раза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25FE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60,3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446,5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386,2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+ в 7,4 раза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28 006,4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28 006,4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+ 100,0%</w:t>
            </w:r>
            <w:r w:rsidR="001608B3" w:rsidRPr="003825FE">
              <w:rPr>
                <w:sz w:val="20"/>
                <w:szCs w:val="20"/>
              </w:rPr>
              <w:t> 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1,1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1,1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+ 100,0%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100,3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48,8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-51,5</w:t>
            </w:r>
          </w:p>
        </w:tc>
        <w:tc>
          <w:tcPr>
            <w:tcW w:w="13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- в 2,0 раза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ИТОГО, 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120 215,6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681 487,7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561 272,2</w:t>
            </w:r>
          </w:p>
        </w:tc>
        <w:tc>
          <w:tcPr>
            <w:tcW w:w="13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+ в 5,7 раза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i/>
                <w:iCs/>
                <w:sz w:val="18"/>
                <w:szCs w:val="18"/>
              </w:rPr>
            </w:pPr>
            <w:r w:rsidRPr="003825FE">
              <w:rPr>
                <w:i/>
                <w:iCs/>
                <w:sz w:val="18"/>
                <w:szCs w:val="18"/>
              </w:rPr>
              <w:t>в</w:t>
            </w:r>
            <w:r w:rsidRPr="003825F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25FE">
              <w:rPr>
                <w:i/>
                <w:iCs/>
                <w:sz w:val="18"/>
                <w:szCs w:val="18"/>
              </w:rPr>
              <w:t>том числе: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825F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lastRenderedPageBreak/>
              <w:t>расчеты по принятым обязательствам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120 153,2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680 050,9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559 897,7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+ в 5,7 раза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35,5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1 334,0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1 298,5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+ в 37,6 раза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17,5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17,5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DA6379" w:rsidP="001608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81,7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81,7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+ 100,0%</w:t>
            </w:r>
          </w:p>
        </w:tc>
      </w:tr>
      <w:tr w:rsidR="001608B3" w:rsidRPr="003825FE" w:rsidTr="001608B3">
        <w:trPr>
          <w:trHeight w:val="20"/>
        </w:trPr>
        <w:tc>
          <w:tcPr>
            <w:tcW w:w="43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9,4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3,6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1608B3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-5,8</w:t>
            </w:r>
          </w:p>
        </w:tc>
        <w:tc>
          <w:tcPr>
            <w:tcW w:w="13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08B3" w:rsidRPr="003825FE" w:rsidRDefault="00477420" w:rsidP="001608B3">
            <w:pPr>
              <w:jc w:val="right"/>
              <w:rPr>
                <w:sz w:val="20"/>
                <w:szCs w:val="20"/>
              </w:rPr>
            </w:pPr>
            <w:r w:rsidRPr="003825FE">
              <w:rPr>
                <w:sz w:val="20"/>
                <w:szCs w:val="20"/>
              </w:rPr>
              <w:t>- в 2,6 раза</w:t>
            </w:r>
          </w:p>
        </w:tc>
      </w:tr>
    </w:tbl>
    <w:p w:rsidR="001608B3" w:rsidRPr="00E43482" w:rsidRDefault="001608B3" w:rsidP="002505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608B3" w:rsidRPr="003825FE" w:rsidRDefault="00872D1E" w:rsidP="0025054E">
      <w:pPr>
        <w:autoSpaceDE w:val="0"/>
        <w:autoSpaceDN w:val="0"/>
        <w:adjustRightInd w:val="0"/>
        <w:ind w:firstLine="709"/>
        <w:jc w:val="both"/>
      </w:pPr>
      <w:r w:rsidRPr="003825FE">
        <w:t>Дебиторская задолженность Комитета в течение 2017 года увеличилась со 160,6 тыс. руб. до 28 502,8 тыс. руб. в основном за счет выплаченных авансов по долгосрочным контрактам</w:t>
      </w:r>
      <w:r w:rsidR="00047951" w:rsidRPr="003825FE">
        <w:t>:</w:t>
      </w:r>
    </w:p>
    <w:p w:rsidR="00872D1E" w:rsidRPr="004F5C4B" w:rsidRDefault="00047951" w:rsidP="0025054E">
      <w:pPr>
        <w:autoSpaceDE w:val="0"/>
        <w:autoSpaceDN w:val="0"/>
        <w:adjustRightInd w:val="0"/>
        <w:ind w:firstLine="709"/>
        <w:jc w:val="both"/>
      </w:pPr>
      <w:r w:rsidRPr="003825FE">
        <w:t>-23 754,6 тыс. руб.</w:t>
      </w:r>
      <w:r w:rsidR="00304E31" w:rsidRPr="003825FE">
        <w:t xml:space="preserve"> по государственному контракту</w:t>
      </w:r>
      <w:r w:rsidRPr="003825FE">
        <w:t xml:space="preserve"> </w:t>
      </w:r>
      <w:r w:rsidR="00304E31" w:rsidRPr="003825FE">
        <w:t>на</w:t>
      </w:r>
      <w:r w:rsidR="00820E88" w:rsidRPr="003825FE">
        <w:t xml:space="preserve"> поставку </w:t>
      </w:r>
      <w:r w:rsidR="00820E88" w:rsidRPr="003825FE">
        <w:rPr>
          <w:shd w:val="clear" w:color="auto" w:fill="FFFFFF"/>
        </w:rPr>
        <w:t xml:space="preserve">модульного </w:t>
      </w:r>
      <w:r w:rsidR="00820E88" w:rsidRPr="003825FE">
        <w:t xml:space="preserve">сооружения, оборудованного комплексом инженерно-технических систем, предназначенного для размещения </w:t>
      </w:r>
      <w:proofErr w:type="spellStart"/>
      <w:r w:rsidR="00820E88" w:rsidRPr="003825FE">
        <w:t>ИТ-оборудования</w:t>
      </w:r>
      <w:proofErr w:type="spellEnd"/>
      <w:r w:rsidR="00820E88" w:rsidRPr="003825FE">
        <w:t xml:space="preserve"> единого</w:t>
      </w:r>
      <w:r w:rsidR="00820E88" w:rsidRPr="004F5C4B">
        <w:t xml:space="preserve"> центра обработки данных органов исполнительной власти Волгоградской</w:t>
      </w:r>
      <w:r w:rsidR="00DA6379">
        <w:t xml:space="preserve"> области</w:t>
      </w:r>
      <w:r w:rsidR="00820E88" w:rsidRPr="004F5C4B">
        <w:t>;</w:t>
      </w:r>
    </w:p>
    <w:p w:rsidR="00820E88" w:rsidRPr="004F5C4B" w:rsidRDefault="00820E88" w:rsidP="0025054E">
      <w:pPr>
        <w:autoSpaceDE w:val="0"/>
        <w:autoSpaceDN w:val="0"/>
        <w:adjustRightInd w:val="0"/>
        <w:ind w:firstLine="709"/>
        <w:jc w:val="both"/>
      </w:pPr>
      <w:r w:rsidRPr="004F5C4B">
        <w:t>-2</w:t>
      </w:r>
      <w:r w:rsidR="00304E31" w:rsidRPr="004F5C4B">
        <w:t> </w:t>
      </w:r>
      <w:r w:rsidRPr="004F5C4B">
        <w:t>818</w:t>
      </w:r>
      <w:r w:rsidR="00304E31" w:rsidRPr="004F5C4B">
        <w:t>,1 тыс. руб. по государственному контракту на выполнение работ по модернизации и развитию подсистемы контроля и выявления нарушений правил дорожного движения</w:t>
      </w:r>
      <w:r w:rsidR="00BB2118" w:rsidRPr="004F5C4B">
        <w:t xml:space="preserve"> Комплексной информационной системы Волгоградской области, обеспечение работоспособности системы в течение срока службы комплексов </w:t>
      </w:r>
      <w:proofErr w:type="spellStart"/>
      <w:r w:rsidR="00BB2118" w:rsidRPr="004F5C4B">
        <w:t>фото-видеофиксации</w:t>
      </w:r>
      <w:proofErr w:type="spellEnd"/>
      <w:r w:rsidR="00304E31" w:rsidRPr="004F5C4B">
        <w:t>;</w:t>
      </w:r>
    </w:p>
    <w:p w:rsidR="00304E31" w:rsidRPr="004F5C4B" w:rsidRDefault="00304E31" w:rsidP="0025054E">
      <w:pPr>
        <w:autoSpaceDE w:val="0"/>
        <w:autoSpaceDN w:val="0"/>
        <w:adjustRightInd w:val="0"/>
        <w:ind w:firstLine="709"/>
        <w:jc w:val="both"/>
      </w:pPr>
      <w:r w:rsidRPr="004F5C4B">
        <w:t xml:space="preserve">-1 412,7 тыс. руб. по государственному контракту </w:t>
      </w:r>
      <w:r w:rsidR="00BB2118" w:rsidRPr="004F5C4B">
        <w:t xml:space="preserve">на оказание услуг по аренде аппаратных комплексов </w:t>
      </w:r>
      <w:proofErr w:type="spellStart"/>
      <w:r w:rsidR="00BB2118" w:rsidRPr="004F5C4B">
        <w:t>фотовидеофиксации</w:t>
      </w:r>
      <w:proofErr w:type="spellEnd"/>
      <w:r w:rsidR="00BB2118" w:rsidRPr="004F5C4B">
        <w:t xml:space="preserve"> нарушений правил дорожного движения</w:t>
      </w:r>
      <w:r w:rsidR="00597366" w:rsidRPr="004F5C4B">
        <w:t>.</w:t>
      </w:r>
    </w:p>
    <w:p w:rsidR="00597366" w:rsidRDefault="00597366" w:rsidP="0025054E">
      <w:pPr>
        <w:autoSpaceDE w:val="0"/>
        <w:autoSpaceDN w:val="0"/>
        <w:adjustRightInd w:val="0"/>
        <w:ind w:firstLine="709"/>
        <w:jc w:val="both"/>
      </w:pPr>
      <w:r w:rsidRPr="004F5C4B">
        <w:t>Дебиторская задолженность</w:t>
      </w:r>
      <w:r w:rsidR="008F2446">
        <w:t xml:space="preserve"> по доходам</w:t>
      </w:r>
      <w:r w:rsidRPr="004F5C4B">
        <w:t xml:space="preserve"> в сумме 446,5 тыс. руб. образовалась в основном по расчетам с плательщиками доходов от оказания платных услуг</w:t>
      </w:r>
      <w:r w:rsidR="00DA6379">
        <w:t xml:space="preserve"> </w:t>
      </w:r>
      <w:r w:rsidR="00042C5D" w:rsidRPr="004F5C4B">
        <w:t>ГКУ «ЦИТ»</w:t>
      </w:r>
      <w:r w:rsidR="008F2446" w:rsidRPr="008F2446">
        <w:t xml:space="preserve"> </w:t>
      </w:r>
      <w:r w:rsidR="008F2446" w:rsidRPr="004F5C4B">
        <w:t>(377,5 тыс. руб.)</w:t>
      </w:r>
      <w:r w:rsidRPr="004F5C4B">
        <w:t>.</w:t>
      </w:r>
    </w:p>
    <w:p w:rsidR="00DA6379" w:rsidRPr="004F5C4B" w:rsidRDefault="00DA6379" w:rsidP="0025054E">
      <w:pPr>
        <w:autoSpaceDE w:val="0"/>
        <w:autoSpaceDN w:val="0"/>
        <w:adjustRightInd w:val="0"/>
        <w:ind w:firstLine="709"/>
        <w:jc w:val="both"/>
      </w:pPr>
      <w:r>
        <w:t>Просроченная дебиторская задолженность</w:t>
      </w:r>
      <w:r w:rsidR="008F2446">
        <w:t xml:space="preserve"> по доходам</w:t>
      </w:r>
      <w:r>
        <w:t xml:space="preserve"> на 01.01.2018 составила 318,2 тыс. рублей.</w:t>
      </w:r>
      <w:r w:rsidR="008F2446">
        <w:t xml:space="preserve"> На 11.04.2018 просроченная дебиторская задолженность по доходам уменьшилась на 62,1 тыс. рублей.</w:t>
      </w:r>
    </w:p>
    <w:p w:rsidR="0099640E" w:rsidRPr="00A53B46" w:rsidRDefault="0099640E" w:rsidP="0025054E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BB3981" w:rsidRDefault="00BB3981" w:rsidP="00BB3981">
      <w:pPr>
        <w:autoSpaceDE w:val="0"/>
        <w:autoSpaceDN w:val="0"/>
        <w:adjustRightInd w:val="0"/>
        <w:ind w:firstLine="709"/>
        <w:jc w:val="both"/>
      </w:pPr>
      <w:r>
        <w:t>В состав кредиторской задолженности включена задолженность, образовавшаяся по долгосрочному контракту с ПАО «</w:t>
      </w:r>
      <w:proofErr w:type="spellStart"/>
      <w:r>
        <w:t>Ростелеком</w:t>
      </w:r>
      <w:proofErr w:type="spellEnd"/>
      <w:r>
        <w:t>»</w:t>
      </w:r>
      <w:r w:rsidR="00DA5114">
        <w:t>,</w:t>
      </w:r>
      <w:r>
        <w:t xml:space="preserve"> </w:t>
      </w:r>
      <w:r w:rsidRPr="000E2D52">
        <w:t>за счет поставки оборудования и оказания услуг (работ) в 2017 году в счет обязательств 2018-2021 годов в сумме 257 483,4 тыс. рублей</w:t>
      </w:r>
      <w:r>
        <w:t>.</w:t>
      </w:r>
    </w:p>
    <w:p w:rsidR="00DA5114" w:rsidRDefault="00BB3981" w:rsidP="003825FE">
      <w:pPr>
        <w:autoSpaceDE w:val="0"/>
        <w:autoSpaceDN w:val="0"/>
        <w:adjustRightInd w:val="0"/>
        <w:ind w:firstLine="709"/>
        <w:jc w:val="both"/>
      </w:pPr>
      <w:proofErr w:type="gramStart"/>
      <w:r>
        <w:t>Без учета данной задолженности к</w:t>
      </w:r>
      <w:r w:rsidR="00AE6B51" w:rsidRPr="003825FE">
        <w:t>редиторск</w:t>
      </w:r>
      <w:r>
        <w:t>ая</w:t>
      </w:r>
      <w:r w:rsidR="00AE6B51" w:rsidRPr="003825FE">
        <w:t xml:space="preserve"> задолженност</w:t>
      </w:r>
      <w:r>
        <w:t>ь Комитета</w:t>
      </w:r>
      <w:r w:rsidR="00AE6B51" w:rsidRPr="003825FE">
        <w:t xml:space="preserve"> на 01.01.2018 по сравнению</w:t>
      </w:r>
      <w:r>
        <w:t xml:space="preserve"> с началом 2017 года увеличилась</w:t>
      </w:r>
      <w:r w:rsidR="00AE6B51" w:rsidRPr="003825FE">
        <w:t xml:space="preserve"> со 120 215,6 тыс. руб. до </w:t>
      </w:r>
      <w:r>
        <w:t>424 004,3</w:t>
      </w:r>
      <w:r w:rsidR="00AE6B51" w:rsidRPr="003825FE">
        <w:t xml:space="preserve"> тыс. руб., или в </w:t>
      </w:r>
      <w:r>
        <w:t>3,5</w:t>
      </w:r>
      <w:r w:rsidR="00DA5114">
        <w:t xml:space="preserve"> раза в основном по заключенным и исполненным контрактам в отсутствие</w:t>
      </w:r>
      <w:r w:rsidR="00DA5114" w:rsidRPr="00DA5114">
        <w:t xml:space="preserve"> </w:t>
      </w:r>
      <w:r w:rsidR="00DA5114">
        <w:t>бюджетных ассигнований в связи с их</w:t>
      </w:r>
      <w:r w:rsidR="00DA5114" w:rsidRPr="003825FE">
        <w:t xml:space="preserve"> перераспределение</w:t>
      </w:r>
      <w:r w:rsidR="00DA5114">
        <w:t>м</w:t>
      </w:r>
      <w:r w:rsidR="00DA5114" w:rsidRPr="003825FE">
        <w:t xml:space="preserve"> между текущим финансовым годом и плановым периодом по решению комитета финансов Волгоградской области.</w:t>
      </w:r>
      <w:proofErr w:type="gramEnd"/>
    </w:p>
    <w:p w:rsidR="00DA5114" w:rsidRPr="00DA5114" w:rsidRDefault="00DA5114" w:rsidP="003825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37A" w:rsidRPr="003825FE" w:rsidRDefault="003825FE" w:rsidP="003825FE">
      <w:pPr>
        <w:autoSpaceDE w:val="0"/>
        <w:autoSpaceDN w:val="0"/>
        <w:adjustRightInd w:val="0"/>
        <w:ind w:firstLine="709"/>
        <w:jc w:val="both"/>
      </w:pPr>
      <w:r>
        <w:t>П</w:t>
      </w:r>
      <w:r w:rsidR="0027237A" w:rsidRPr="003825FE">
        <w:t xml:space="preserve">росроченная кредиторская задолженность </w:t>
      </w:r>
      <w:r w:rsidRPr="003825FE">
        <w:t xml:space="preserve">на 01.01.2018 </w:t>
      </w:r>
      <w:r w:rsidR="0027237A" w:rsidRPr="003825FE">
        <w:t>составила 62 300,6 тыс. рублей.</w:t>
      </w:r>
    </w:p>
    <w:p w:rsidR="005A6A76" w:rsidRPr="00A53B46" w:rsidRDefault="005A6A76" w:rsidP="0027237A">
      <w:pPr>
        <w:ind w:firstLine="720"/>
        <w:jc w:val="both"/>
        <w:rPr>
          <w:color w:val="FF0000"/>
        </w:rPr>
      </w:pPr>
    </w:p>
    <w:p w:rsidR="005A6A76" w:rsidRPr="00E82E68" w:rsidRDefault="005A6A76" w:rsidP="005A6A76">
      <w:pPr>
        <w:autoSpaceDE w:val="0"/>
        <w:autoSpaceDN w:val="0"/>
        <w:adjustRightInd w:val="0"/>
        <w:jc w:val="center"/>
        <w:rPr>
          <w:b/>
          <w:i/>
        </w:rPr>
      </w:pPr>
      <w:r w:rsidRPr="00E82E68">
        <w:rPr>
          <w:b/>
          <w:i/>
        </w:rPr>
        <w:t>Расходы на реализацию государственных и ведомственных программ</w:t>
      </w:r>
    </w:p>
    <w:p w:rsidR="005A6A76" w:rsidRPr="000D342F" w:rsidRDefault="000D342F" w:rsidP="005A6A76">
      <w:pPr>
        <w:autoSpaceDE w:val="0"/>
        <w:autoSpaceDN w:val="0"/>
        <w:adjustRightInd w:val="0"/>
        <w:ind w:firstLine="709"/>
        <w:jc w:val="both"/>
      </w:pPr>
      <w:r w:rsidRPr="000D342F">
        <w:t>Информация об объемах плановых назначений и фактических расходов</w:t>
      </w:r>
      <w:r w:rsidR="005A6A76" w:rsidRPr="000D342F">
        <w:t xml:space="preserve"> государственных программ Волгоградской области и ведомственных целевых программ Комитета приведен</w:t>
      </w:r>
      <w:r w:rsidRPr="000D342F">
        <w:t>а</w:t>
      </w:r>
      <w:r w:rsidR="005A6A76" w:rsidRPr="000D342F">
        <w:t xml:space="preserve"> в следующей таблице:</w:t>
      </w:r>
    </w:p>
    <w:p w:rsidR="005A6A76" w:rsidRPr="000D342F" w:rsidRDefault="005A6A76" w:rsidP="005A6A76">
      <w:pPr>
        <w:autoSpaceDE w:val="0"/>
        <w:autoSpaceDN w:val="0"/>
        <w:adjustRightInd w:val="0"/>
        <w:ind w:firstLine="709"/>
        <w:jc w:val="right"/>
      </w:pPr>
      <w:r w:rsidRPr="000D342F">
        <w:rPr>
          <w:i/>
          <w:sz w:val="22"/>
          <w:szCs w:val="22"/>
        </w:rPr>
        <w:t>тыс. руб.</w:t>
      </w:r>
    </w:p>
    <w:tbl>
      <w:tblPr>
        <w:tblW w:w="963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402"/>
        <w:gridCol w:w="1559"/>
        <w:gridCol w:w="1559"/>
        <w:gridCol w:w="1559"/>
        <w:gridCol w:w="1559"/>
      </w:tblGrid>
      <w:tr w:rsidR="00DF60E4" w:rsidRPr="000D342F" w:rsidTr="00CB5599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0F7776">
            <w:pPr>
              <w:jc w:val="center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60E4" w:rsidRPr="000D342F" w:rsidRDefault="00DF60E4" w:rsidP="00BB268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BB268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Утверждено бюджетной росписью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BB268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BB268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Кредиторская задолженность на 01.01.2018</w:t>
            </w:r>
          </w:p>
        </w:tc>
      </w:tr>
      <w:tr w:rsidR="00DF60E4" w:rsidRPr="000D342F" w:rsidTr="00CB5599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BB268B">
            <w:pPr>
              <w:ind w:right="-108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ГП «Защита населения»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F60E4" w:rsidRPr="000D342F" w:rsidRDefault="00DF60E4" w:rsidP="000F7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698 943,2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335 938,9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335 474,0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0E4" w:rsidRPr="000D342F" w:rsidRDefault="00DF60E4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535 087,3</w:t>
            </w:r>
          </w:p>
        </w:tc>
      </w:tr>
      <w:tr w:rsidR="00D44235" w:rsidRPr="00D44235" w:rsidTr="002C281A">
        <w:trPr>
          <w:trHeight w:val="20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44235" w:rsidRPr="00D44235" w:rsidRDefault="00D442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подпрограмма «Система 112»</w:t>
            </w:r>
            <w:r w:rsidR="00CA047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C3C1A" w:rsidRPr="00EC3C1A">
              <w:rPr>
                <w:b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101 351,7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1 801,1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1 801,1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357 034,0</w:t>
            </w:r>
          </w:p>
        </w:tc>
      </w:tr>
      <w:tr w:rsidR="00D44235" w:rsidRPr="00D44235" w:rsidTr="002C281A">
        <w:trPr>
          <w:trHeight w:val="20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44235" w:rsidRPr="00D44235" w:rsidRDefault="00D442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подпрограмма «Безопасный город»</w:t>
            </w:r>
          </w:p>
        </w:tc>
        <w:tc>
          <w:tcPr>
            <w:tcW w:w="1559" w:type="dxa"/>
            <w:vAlign w:val="center"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597 591,5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334 137,8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333 672,9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D44235" w:rsidRDefault="00D442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44235">
              <w:rPr>
                <w:i/>
                <w:iCs/>
                <w:color w:val="000000"/>
                <w:sz w:val="18"/>
                <w:szCs w:val="18"/>
              </w:rPr>
              <w:t>178 053,3</w:t>
            </w:r>
          </w:p>
        </w:tc>
      </w:tr>
      <w:tr w:rsidR="00D44235" w:rsidRPr="000D342F" w:rsidTr="00CB5599">
        <w:trPr>
          <w:trHeight w:val="20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2C281A">
            <w:pPr>
              <w:ind w:right="-108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ГП «Информационное общество»</w:t>
            </w:r>
          </w:p>
        </w:tc>
        <w:tc>
          <w:tcPr>
            <w:tcW w:w="1559" w:type="dxa"/>
          </w:tcPr>
          <w:p w:rsidR="00D44235" w:rsidRPr="000D342F" w:rsidRDefault="00D44235" w:rsidP="002C28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139 737,8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0D342F" w:rsidRDefault="00D44235" w:rsidP="002C281A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69 333,6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0D342F" w:rsidRDefault="00D44235" w:rsidP="002C281A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68 834,6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2C281A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69 383,9</w:t>
            </w:r>
          </w:p>
        </w:tc>
      </w:tr>
      <w:tr w:rsidR="00D44235" w:rsidRPr="000D342F" w:rsidTr="00CB5599">
        <w:trPr>
          <w:trHeight w:val="20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BB268B">
            <w:pPr>
              <w:ind w:right="-108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ГП «РКД»</w:t>
            </w:r>
          </w:p>
        </w:tc>
        <w:tc>
          <w:tcPr>
            <w:tcW w:w="1559" w:type="dxa"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15 753,8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11 794,7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11 415,9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4 418,3</w:t>
            </w:r>
          </w:p>
        </w:tc>
      </w:tr>
      <w:tr w:rsidR="00D44235" w:rsidRPr="000D342F" w:rsidTr="00CB5599">
        <w:trPr>
          <w:trHeight w:val="20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BB268B">
            <w:pPr>
              <w:ind w:right="-108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ВЦП «Связь и информатизация»</w:t>
            </w:r>
          </w:p>
        </w:tc>
        <w:tc>
          <w:tcPr>
            <w:tcW w:w="1559" w:type="dxa"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38 752,6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38 719,3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20 990,3</w:t>
            </w:r>
          </w:p>
        </w:tc>
      </w:tr>
      <w:tr w:rsidR="00D44235" w:rsidRPr="000D342F" w:rsidTr="00CB5599">
        <w:trPr>
          <w:trHeight w:val="20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BB268B">
            <w:pPr>
              <w:ind w:right="-108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ВЦП «Сетевая безопасность»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52 690,3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8 834,2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8 662,1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sz w:val="20"/>
                <w:szCs w:val="20"/>
              </w:rPr>
            </w:pPr>
            <w:r w:rsidRPr="000D342F">
              <w:rPr>
                <w:sz w:val="20"/>
                <w:szCs w:val="20"/>
              </w:rPr>
              <w:t>44 033,7</w:t>
            </w:r>
          </w:p>
        </w:tc>
      </w:tr>
      <w:tr w:rsidR="00D44235" w:rsidRPr="000D342F" w:rsidTr="00CB5599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DF60E4">
            <w:pPr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Итого по программам: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D44235" w:rsidRPr="000D342F" w:rsidRDefault="00D44235" w:rsidP="000F77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966 972,4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464 654,0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463 105,9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4235" w:rsidRPr="000D342F" w:rsidRDefault="00D44235" w:rsidP="000F7776">
            <w:pPr>
              <w:jc w:val="right"/>
              <w:rPr>
                <w:b/>
                <w:bCs/>
                <w:sz w:val="20"/>
                <w:szCs w:val="20"/>
              </w:rPr>
            </w:pPr>
            <w:r w:rsidRPr="000D342F">
              <w:rPr>
                <w:b/>
                <w:bCs/>
                <w:sz w:val="20"/>
                <w:szCs w:val="20"/>
              </w:rPr>
              <w:t>673 913,5</w:t>
            </w:r>
          </w:p>
        </w:tc>
      </w:tr>
    </w:tbl>
    <w:p w:rsidR="005A6A76" w:rsidRPr="00EC3C1A" w:rsidRDefault="00EC3C1A" w:rsidP="005A6A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C3C1A">
        <w:rPr>
          <w:sz w:val="20"/>
          <w:szCs w:val="20"/>
        </w:rPr>
        <w:lastRenderedPageBreak/>
        <w:t>*-</w:t>
      </w:r>
      <w:r w:rsidR="002C281A">
        <w:rPr>
          <w:sz w:val="20"/>
          <w:szCs w:val="20"/>
        </w:rPr>
        <w:t xml:space="preserve"> превышение объема кредиторской задолженности над объемом принятых бюджетных обязательств по подпрограмме «Система 112» сложилось по долгосрочному контракту за счет поставки оборудования и оказания услуг (работ) в 2017 году в счет обязательств 2018-2021 годов</w:t>
      </w:r>
      <w:r w:rsidR="008B31B1">
        <w:rPr>
          <w:sz w:val="20"/>
          <w:szCs w:val="20"/>
        </w:rPr>
        <w:t xml:space="preserve"> в сумме 257 483,4 тыс. руб</w:t>
      </w:r>
      <w:r w:rsidR="000E2D52">
        <w:rPr>
          <w:sz w:val="20"/>
          <w:szCs w:val="20"/>
        </w:rPr>
        <w:t>лей.</w:t>
      </w:r>
    </w:p>
    <w:p w:rsidR="00CA047A" w:rsidRDefault="00CA047A" w:rsidP="005A6A76">
      <w:pPr>
        <w:autoSpaceDE w:val="0"/>
        <w:autoSpaceDN w:val="0"/>
        <w:adjustRightInd w:val="0"/>
        <w:ind w:firstLine="709"/>
        <w:jc w:val="both"/>
      </w:pPr>
    </w:p>
    <w:p w:rsidR="00CA047A" w:rsidRDefault="00DA5114" w:rsidP="005A6A76">
      <w:pPr>
        <w:autoSpaceDE w:val="0"/>
        <w:autoSpaceDN w:val="0"/>
        <w:adjustRightInd w:val="0"/>
        <w:ind w:firstLine="709"/>
        <w:jc w:val="both"/>
      </w:pPr>
      <w:r>
        <w:t xml:space="preserve">Комитетом финансов Волгоградской области в основном в конце года перераспределены </w:t>
      </w:r>
      <w:r w:rsidRPr="000D342F">
        <w:t>бюджетны</w:t>
      </w:r>
      <w:r w:rsidR="00FA21D5">
        <w:t>е</w:t>
      </w:r>
      <w:r w:rsidRPr="000D342F">
        <w:t xml:space="preserve"> ассигновани</w:t>
      </w:r>
      <w:r w:rsidR="00FA21D5">
        <w:t>я и лимиты</w:t>
      </w:r>
      <w:r w:rsidRPr="000D342F">
        <w:t xml:space="preserve"> между текущим финансовым годом и плановым периодом</w:t>
      </w:r>
      <w:r>
        <w:t xml:space="preserve"> в то время, когда были заключены контракты по доведенным бюджетным ассигнованиям и лимитам в соответствии с Законом об областном бюджете. В результате </w:t>
      </w:r>
      <w:r w:rsidR="00CA047A">
        <w:t>сложилось превышение объема принятых бюджетных обязательств над утвержденным бюджетной росписью объемом назначений на реализацию программ на 502 318,4 тыс. руб., или в 2,1 раза.</w:t>
      </w:r>
    </w:p>
    <w:p w:rsidR="000E2D52" w:rsidRDefault="005A6A76" w:rsidP="005A6A76">
      <w:pPr>
        <w:autoSpaceDE w:val="0"/>
        <w:autoSpaceDN w:val="0"/>
        <w:adjustRightInd w:val="0"/>
        <w:ind w:firstLine="709"/>
        <w:jc w:val="both"/>
      </w:pPr>
      <w:r w:rsidRPr="000D342F">
        <w:t>Утвержденные бюджетной росписью бюджетные назначения на реализацию государственных и ведомственных программ исполнены в сумме 463 105,9 т</w:t>
      </w:r>
      <w:r w:rsidR="000E2D52">
        <w:t>ыс. руб., или на 99,7 процента.</w:t>
      </w:r>
    </w:p>
    <w:p w:rsidR="00D3197F" w:rsidRPr="000D342F" w:rsidRDefault="00D3197F" w:rsidP="00D3197F">
      <w:pPr>
        <w:autoSpaceDE w:val="0"/>
        <w:autoSpaceDN w:val="0"/>
        <w:adjustRightInd w:val="0"/>
        <w:ind w:firstLine="709"/>
        <w:jc w:val="both"/>
      </w:pPr>
    </w:p>
    <w:p w:rsidR="009031B7" w:rsidRPr="000D342F" w:rsidRDefault="0025054E" w:rsidP="009031B7">
      <w:pPr>
        <w:autoSpaceDE w:val="0"/>
        <w:autoSpaceDN w:val="0"/>
        <w:adjustRightInd w:val="0"/>
        <w:jc w:val="center"/>
        <w:rPr>
          <w:b/>
          <w:i/>
        </w:rPr>
      </w:pPr>
      <w:r w:rsidRPr="000D342F">
        <w:rPr>
          <w:b/>
          <w:i/>
        </w:rPr>
        <w:t xml:space="preserve">Анализ достижения поставленных целей </w:t>
      </w:r>
    </w:p>
    <w:p w:rsidR="0025054E" w:rsidRPr="00092581" w:rsidRDefault="0025054E" w:rsidP="009031B7">
      <w:pPr>
        <w:autoSpaceDE w:val="0"/>
        <w:autoSpaceDN w:val="0"/>
        <w:adjustRightInd w:val="0"/>
        <w:jc w:val="center"/>
        <w:rPr>
          <w:b/>
          <w:i/>
        </w:rPr>
      </w:pPr>
      <w:r w:rsidRPr="00092581">
        <w:rPr>
          <w:b/>
          <w:i/>
        </w:rPr>
        <w:t>и ожидаемых результатов при реализации государственных программ</w:t>
      </w:r>
    </w:p>
    <w:p w:rsidR="002562F3" w:rsidRPr="00092581" w:rsidRDefault="0025054E" w:rsidP="00F50F0C">
      <w:pPr>
        <w:ind w:firstLine="709"/>
        <w:jc w:val="both"/>
      </w:pPr>
      <w:r w:rsidRPr="00092581">
        <w:t>Комитет определен ответственным исполнителем двух государственных</w:t>
      </w:r>
      <w:r w:rsidR="00DB434A" w:rsidRPr="00092581">
        <w:t xml:space="preserve"> программ Волгоградской области</w:t>
      </w:r>
      <w:r w:rsidRPr="00092581">
        <w:t xml:space="preserve"> </w:t>
      </w:r>
      <w:r w:rsidR="00DB434A" w:rsidRPr="00092581">
        <w:t xml:space="preserve">(ГП </w:t>
      </w:r>
      <w:r w:rsidRPr="00092581">
        <w:t xml:space="preserve">«Информационное общество» и </w:t>
      </w:r>
      <w:r w:rsidR="00DB434A" w:rsidRPr="00092581">
        <w:t>ГП РКД) и подпрограммы «Построение (развитие) аппаратно-программного комплекса «Безопасный город»</w:t>
      </w:r>
      <w:r w:rsidR="002562F3" w:rsidRPr="00092581">
        <w:t xml:space="preserve"> на территории Волгоградской области ГП «Защита населения».</w:t>
      </w:r>
    </w:p>
    <w:p w:rsidR="005A6A76" w:rsidRPr="00092581" w:rsidRDefault="005A6A76" w:rsidP="003B327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25054E" w:rsidRPr="00092581" w:rsidRDefault="0025054E" w:rsidP="0025054E">
      <w:pPr>
        <w:ind w:firstLine="709"/>
        <w:jc w:val="center"/>
        <w:rPr>
          <w:i/>
          <w:u w:val="single"/>
        </w:rPr>
      </w:pPr>
      <w:r w:rsidRPr="00092581">
        <w:rPr>
          <w:i/>
          <w:u w:val="single"/>
        </w:rPr>
        <w:t>Государственная программа «Информационное общество (2014-2020 годы)»</w:t>
      </w:r>
    </w:p>
    <w:p w:rsidR="003E230F" w:rsidRPr="00092581" w:rsidRDefault="0025054E" w:rsidP="003E230F">
      <w:pPr>
        <w:ind w:firstLine="709"/>
        <w:jc w:val="both"/>
      </w:pPr>
      <w:r w:rsidRPr="00092581">
        <w:t>Государственной программой на 201</w:t>
      </w:r>
      <w:r w:rsidR="009A6376" w:rsidRPr="00092581">
        <w:t>7</w:t>
      </w:r>
      <w:r w:rsidRPr="00092581">
        <w:t xml:space="preserve"> год установлено </w:t>
      </w:r>
      <w:r w:rsidR="009A6376" w:rsidRPr="00092581">
        <w:t>9</w:t>
      </w:r>
      <w:r w:rsidRPr="00092581">
        <w:t xml:space="preserve"> целевых показателей</w:t>
      </w:r>
      <w:r w:rsidR="00270E39" w:rsidRPr="00092581">
        <w:t>.</w:t>
      </w:r>
      <w:r w:rsidR="00874E33" w:rsidRPr="00092581">
        <w:t xml:space="preserve"> Информация о достижении значений целевых показателей представлена в таблице.</w:t>
      </w:r>
      <w:r w:rsidRPr="00092581">
        <w:t xml:space="preserve"> </w:t>
      </w:r>
    </w:p>
    <w:p w:rsidR="0025054E" w:rsidRPr="00E43482" w:rsidRDefault="0025054E" w:rsidP="002505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6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74"/>
        <w:gridCol w:w="4629"/>
        <w:gridCol w:w="1843"/>
        <w:gridCol w:w="1134"/>
        <w:gridCol w:w="726"/>
        <w:gridCol w:w="850"/>
      </w:tblGrid>
      <w:tr w:rsidR="00560322" w:rsidRPr="00092581" w:rsidTr="00884DF0">
        <w:trPr>
          <w:trHeight w:val="299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center"/>
              <w:rPr>
                <w:b/>
                <w:sz w:val="18"/>
                <w:szCs w:val="18"/>
              </w:rPr>
            </w:pPr>
            <w:r w:rsidRPr="0009258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9258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92581">
              <w:rPr>
                <w:b/>
                <w:sz w:val="18"/>
                <w:szCs w:val="18"/>
              </w:rPr>
              <w:t>/</w:t>
            </w:r>
            <w:proofErr w:type="spellStart"/>
            <w:r w:rsidRPr="0009258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47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6602A" w:rsidRPr="00092581" w:rsidRDefault="00560322" w:rsidP="00884D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>Ед</w:t>
            </w:r>
            <w:r w:rsidR="0066602A" w:rsidRPr="00092581">
              <w:rPr>
                <w:b/>
                <w:sz w:val="20"/>
                <w:szCs w:val="20"/>
              </w:rPr>
              <w:t>иница</w:t>
            </w:r>
          </w:p>
          <w:p w:rsidR="00560322" w:rsidRPr="00092581" w:rsidRDefault="00560322" w:rsidP="00884D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 xml:space="preserve"> изм</w:t>
            </w:r>
            <w:r w:rsidR="0066602A" w:rsidRPr="00092581">
              <w:rPr>
                <w:b/>
                <w:sz w:val="20"/>
                <w:szCs w:val="20"/>
              </w:rPr>
              <w:t>ерения</w:t>
            </w:r>
          </w:p>
        </w:tc>
        <w:tc>
          <w:tcPr>
            <w:tcW w:w="72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>Факт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1.</w:t>
            </w:r>
          </w:p>
        </w:tc>
        <w:tc>
          <w:tcPr>
            <w:tcW w:w="647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884DF0">
            <w:pPr>
              <w:pStyle w:val="ConsPlusCell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Доля государственных и муниципальных услуг, которые можно получить в электронном виде, в общем объеме государственных и муниципальных услуг, информация о которых опубликована в государственной информационной системе </w:t>
            </w:r>
            <w:r w:rsidR="00884DF0" w:rsidRPr="00092581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092581">
              <w:rPr>
                <w:rFonts w:ascii="Times New Roman" w:hAnsi="Times New Roman" w:cs="Times New Roman"/>
                <w:iCs/>
                <w:sz w:val="20"/>
                <w:szCs w:val="20"/>
              </w:rPr>
              <w:t>Региональный реестр государственных и муниципальных услуг (функций) Волгоградской области</w:t>
            </w:r>
            <w:r w:rsidR="00884DF0" w:rsidRPr="00092581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56032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85</w:t>
            </w:r>
            <w:r w:rsidR="00336E02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336E0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95</w:t>
            </w:r>
            <w:r w:rsidR="0066763B" w:rsidRPr="00092581">
              <w:rPr>
                <w:sz w:val="20"/>
                <w:szCs w:val="20"/>
              </w:rPr>
              <w:t>,0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2.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Доля государственных и муниципальных услуг, которые можно получить в электронном виде, из числа подлежащих первоочередной оптимизации, определенных распоряжением Правительства РФ от 25.12.2013 №</w:t>
            </w:r>
            <w:r w:rsidR="00FB2FA4" w:rsidRPr="00092581">
              <w:rPr>
                <w:sz w:val="20"/>
                <w:szCs w:val="20"/>
              </w:rPr>
              <w:t xml:space="preserve"> </w:t>
            </w:r>
            <w:r w:rsidRPr="00092581">
              <w:rPr>
                <w:sz w:val="20"/>
                <w:szCs w:val="20"/>
              </w:rPr>
              <w:t>2516-р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56032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9</w:t>
            </w:r>
            <w:r w:rsidR="00560322" w:rsidRPr="00092581">
              <w:rPr>
                <w:sz w:val="20"/>
                <w:szCs w:val="20"/>
              </w:rPr>
              <w:t>5</w:t>
            </w:r>
            <w:r w:rsidR="00336E02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336E0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95</w:t>
            </w:r>
            <w:r w:rsidR="0066763B" w:rsidRPr="00092581">
              <w:rPr>
                <w:sz w:val="20"/>
                <w:szCs w:val="20"/>
              </w:rPr>
              <w:t>,0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2C48B4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3.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56032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7</w:t>
            </w:r>
            <w:r w:rsidR="00560322" w:rsidRPr="00092581">
              <w:rPr>
                <w:sz w:val="20"/>
                <w:szCs w:val="20"/>
              </w:rPr>
              <w:t>0</w:t>
            </w:r>
            <w:r w:rsidR="00336E02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70,4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2C48B4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4</w:t>
            </w:r>
            <w:r w:rsidR="00560322" w:rsidRPr="00092581">
              <w:rPr>
                <w:sz w:val="20"/>
                <w:szCs w:val="20"/>
              </w:rPr>
              <w:t>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93778F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Доля обращений граждан в адрес Губернатора Волгоградской области, поданных через официальный портал Губернатора и Администрации Волгоградской области, к общему количеству обращений в адрес Губернатора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56032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25</w:t>
            </w:r>
            <w:r w:rsidR="00336E02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>23,39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2C48B4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5</w:t>
            </w:r>
            <w:r w:rsidR="00560322" w:rsidRPr="00092581">
              <w:rPr>
                <w:sz w:val="20"/>
                <w:szCs w:val="20"/>
              </w:rPr>
              <w:t>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Доля электронного документооборота органов исполнительной власти Волгоградской области в общем объеме документооборота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56032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75</w:t>
            </w:r>
            <w:r w:rsidR="0066763B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85,0</w:t>
            </w:r>
          </w:p>
        </w:tc>
      </w:tr>
      <w:tr w:rsidR="00560322" w:rsidRPr="00092581" w:rsidTr="00A04EE9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2C48B4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6</w:t>
            </w:r>
            <w:r w:rsidR="00560322" w:rsidRPr="00092581">
              <w:rPr>
                <w:sz w:val="20"/>
                <w:szCs w:val="20"/>
              </w:rPr>
              <w:t>.</w:t>
            </w:r>
          </w:p>
        </w:tc>
        <w:tc>
          <w:tcPr>
            <w:tcW w:w="4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870DC2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Уровень открытости органов исполнительной власти Волгоградской области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870DC2" w:rsidP="00F316FE">
            <w:pPr>
              <w:jc w:val="center"/>
              <w:rPr>
                <w:sz w:val="18"/>
                <w:szCs w:val="18"/>
              </w:rPr>
            </w:pPr>
            <w:r w:rsidRPr="00092581">
              <w:rPr>
                <w:sz w:val="18"/>
                <w:szCs w:val="18"/>
              </w:rPr>
              <w:t>среднегодовая позиция в рейтинге сайтов государственных органов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C061EF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14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2C48B4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7</w:t>
            </w:r>
            <w:r w:rsidR="00560322" w:rsidRPr="00092581">
              <w:rPr>
                <w:sz w:val="20"/>
                <w:szCs w:val="20"/>
              </w:rPr>
              <w:t>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 xml:space="preserve">Доля органов исполнительной власти Волгоградской области, информационные системы которых </w:t>
            </w:r>
            <w:proofErr w:type="gramStart"/>
            <w:r w:rsidRPr="00092581">
              <w:rPr>
                <w:sz w:val="20"/>
                <w:szCs w:val="20"/>
              </w:rPr>
              <w:t>задействованы   в процессе предоставления государственных услуг и интегрированы</w:t>
            </w:r>
            <w:proofErr w:type="gramEnd"/>
            <w:r w:rsidRPr="00092581">
              <w:rPr>
                <w:sz w:val="20"/>
                <w:szCs w:val="20"/>
              </w:rPr>
              <w:t xml:space="preserve"> с региональной системой межведомственного электронного взаимодействия Волгоградской области или государственной информационной системой «Региональный портал государственных и муниципальных услуг Волгоградской области»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870DC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C061EF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37,50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45,0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8</w:t>
            </w:r>
            <w:r w:rsidR="00560322" w:rsidRPr="00092581">
              <w:rPr>
                <w:sz w:val="20"/>
                <w:szCs w:val="20"/>
              </w:rPr>
              <w:t>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>
            <w:pPr>
              <w:jc w:val="both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 xml:space="preserve">Рост уровня </w:t>
            </w:r>
            <w:proofErr w:type="spellStart"/>
            <w:r w:rsidRPr="00092581">
              <w:rPr>
                <w:sz w:val="20"/>
                <w:szCs w:val="20"/>
              </w:rPr>
              <w:t>востребованности</w:t>
            </w:r>
            <w:proofErr w:type="spellEnd"/>
            <w:r w:rsidRPr="00092581">
              <w:rPr>
                <w:sz w:val="20"/>
                <w:szCs w:val="20"/>
              </w:rPr>
              <w:t xml:space="preserve"> населением Волгоградской области электронного сервиса «Запись на прием к врачу»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092581" w:rsidRDefault="00870DC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C061EF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130</w:t>
            </w:r>
            <w:r w:rsidR="0066763B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b/>
                <w:sz w:val="20"/>
                <w:szCs w:val="20"/>
              </w:rPr>
            </w:pPr>
            <w:r w:rsidRPr="00092581">
              <w:rPr>
                <w:b/>
                <w:sz w:val="20"/>
                <w:szCs w:val="20"/>
              </w:rPr>
              <w:t>106,3</w:t>
            </w:r>
          </w:p>
        </w:tc>
      </w:tr>
      <w:tr w:rsidR="00560322" w:rsidRPr="00092581" w:rsidTr="00884DF0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9A6376" w:rsidP="009A6376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9</w:t>
            </w:r>
            <w:r w:rsidR="00560322" w:rsidRPr="00092581">
              <w:rPr>
                <w:sz w:val="20"/>
                <w:szCs w:val="20"/>
              </w:rPr>
              <w:t>.</w:t>
            </w:r>
          </w:p>
        </w:tc>
        <w:tc>
          <w:tcPr>
            <w:tcW w:w="64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560322" w:rsidP="0066763B">
            <w:pPr>
              <w:jc w:val="both"/>
              <w:rPr>
                <w:sz w:val="20"/>
                <w:szCs w:val="20"/>
              </w:rPr>
            </w:pPr>
            <w:r w:rsidRPr="00092581">
              <w:rPr>
                <w:iCs/>
                <w:sz w:val="20"/>
                <w:szCs w:val="20"/>
              </w:rPr>
              <w:t xml:space="preserve">Доля открытых центров обслуживания граждан Волгоградской области </w:t>
            </w:r>
            <w:r w:rsidRPr="00092581">
              <w:rPr>
                <w:iCs/>
                <w:sz w:val="20"/>
                <w:szCs w:val="20"/>
              </w:rPr>
              <w:lastRenderedPageBreak/>
              <w:t xml:space="preserve">в федеральной государственной информационной системе </w:t>
            </w:r>
            <w:r w:rsidR="0066763B" w:rsidRPr="00092581">
              <w:rPr>
                <w:iCs/>
                <w:sz w:val="20"/>
                <w:szCs w:val="20"/>
              </w:rPr>
              <w:t>«</w:t>
            </w:r>
            <w:r w:rsidRPr="00092581">
              <w:rPr>
                <w:iCs/>
                <w:sz w:val="20"/>
                <w:szCs w:val="20"/>
              </w:rPr>
      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      </w:r>
            <w:r w:rsidR="0066763B" w:rsidRPr="00092581">
              <w:rPr>
                <w:iCs/>
                <w:sz w:val="20"/>
                <w:szCs w:val="20"/>
              </w:rPr>
              <w:t>льных услуг в электронной форме»</w:t>
            </w:r>
            <w:r w:rsidRPr="00092581">
              <w:rPr>
                <w:iCs/>
                <w:sz w:val="20"/>
                <w:szCs w:val="20"/>
              </w:rPr>
              <w:t xml:space="preserve"> на базе государственных казенных учреждений центров социальной защиты населения Волгоградской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0322" w:rsidRPr="00092581" w:rsidRDefault="00870DC2" w:rsidP="00560322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092581" w:rsidRDefault="00C061EF" w:rsidP="00494DC1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60</w:t>
            </w:r>
            <w:r w:rsidR="0066763B" w:rsidRPr="0009258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322" w:rsidRPr="00092581" w:rsidRDefault="0066763B">
            <w:pPr>
              <w:jc w:val="center"/>
              <w:rPr>
                <w:sz w:val="20"/>
                <w:szCs w:val="20"/>
              </w:rPr>
            </w:pPr>
            <w:r w:rsidRPr="00092581">
              <w:rPr>
                <w:sz w:val="20"/>
                <w:szCs w:val="20"/>
              </w:rPr>
              <w:t>100,0</w:t>
            </w:r>
          </w:p>
        </w:tc>
      </w:tr>
    </w:tbl>
    <w:p w:rsidR="00874E33" w:rsidRPr="00E43482" w:rsidRDefault="00874E33" w:rsidP="002505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36E02" w:rsidRPr="00D20B35" w:rsidRDefault="0066763B" w:rsidP="0025054E">
      <w:pPr>
        <w:autoSpaceDE w:val="0"/>
        <w:autoSpaceDN w:val="0"/>
        <w:adjustRightInd w:val="0"/>
        <w:ind w:firstLine="709"/>
        <w:jc w:val="both"/>
      </w:pPr>
      <w:r w:rsidRPr="00D20B35">
        <w:t xml:space="preserve">В целом по результатам реализации программы в 2017 году не достигнуты </w:t>
      </w:r>
      <w:r w:rsidR="00B96D35" w:rsidRPr="00D20B35">
        <w:t>плановые значения двух из девяти целевых показателей:</w:t>
      </w:r>
    </w:p>
    <w:p w:rsidR="00B96D35" w:rsidRPr="00D20B35" w:rsidRDefault="00B96D35" w:rsidP="0025054E">
      <w:pPr>
        <w:autoSpaceDE w:val="0"/>
        <w:autoSpaceDN w:val="0"/>
        <w:adjustRightInd w:val="0"/>
        <w:ind w:firstLine="709"/>
        <w:jc w:val="both"/>
      </w:pPr>
      <w:r w:rsidRPr="00D20B35">
        <w:t>-</w:t>
      </w:r>
      <w:r w:rsidRPr="00D20B35">
        <w:rPr>
          <w:bCs/>
        </w:rPr>
        <w:t>«</w:t>
      </w:r>
      <w:r w:rsidRPr="00D20B35">
        <w:rPr>
          <w:i/>
        </w:rPr>
        <w:t>доля обращений граждан в адрес Губернатора Волгоградской области, поданных через официальный портал Губернатора и Администрации Волгоградской области, к общему количеству обращений в адрес Губернатора Волгоградской области</w:t>
      </w:r>
      <w:r w:rsidR="00D20B35" w:rsidRPr="00D20B35">
        <w:t xml:space="preserve">» (план 25,0% / факт 23,39%). По данным доклада Комитета о ходе реализации программы </w:t>
      </w:r>
      <w:r w:rsidRPr="00D20B35">
        <w:t>с 2016 года по поручению Губернатора Волгоградской области был организован личный прием граждан представителями органов исполнительной власти на территории городских и сельских поселений муниципальных районов Волгоградской области, что привело к существенному увеличению доли обращений, поданных традиционным способом;</w:t>
      </w:r>
    </w:p>
    <w:p w:rsidR="001642C2" w:rsidRPr="00D20B35" w:rsidRDefault="00B96D35" w:rsidP="0025054E">
      <w:pPr>
        <w:autoSpaceDE w:val="0"/>
        <w:autoSpaceDN w:val="0"/>
        <w:adjustRightInd w:val="0"/>
        <w:ind w:firstLine="709"/>
        <w:jc w:val="both"/>
      </w:pPr>
      <w:r w:rsidRPr="00D20B35">
        <w:t>-</w:t>
      </w:r>
      <w:r w:rsidRPr="00D20B35">
        <w:rPr>
          <w:sz w:val="20"/>
          <w:szCs w:val="20"/>
        </w:rPr>
        <w:t>«</w:t>
      </w:r>
      <w:r w:rsidRPr="00D20B35">
        <w:rPr>
          <w:i/>
        </w:rPr>
        <w:t xml:space="preserve">рост уровня </w:t>
      </w:r>
      <w:proofErr w:type="spellStart"/>
      <w:r w:rsidRPr="00D20B35">
        <w:rPr>
          <w:i/>
        </w:rPr>
        <w:t>востребованности</w:t>
      </w:r>
      <w:proofErr w:type="spellEnd"/>
      <w:r w:rsidRPr="00D20B35">
        <w:rPr>
          <w:i/>
        </w:rPr>
        <w:t xml:space="preserve"> населением Волгоградской области электронного сервиса «Запись на прием к врачу»</w:t>
      </w:r>
      <w:r w:rsidRPr="00D20B35">
        <w:t xml:space="preserve"> (план </w:t>
      </w:r>
      <w:r w:rsidR="001642C2" w:rsidRPr="00D20B35">
        <w:t xml:space="preserve">130,0% / факт 106,3%) </w:t>
      </w:r>
      <w:r w:rsidR="00B678B6" w:rsidRPr="00D20B35">
        <w:t>–</w:t>
      </w:r>
      <w:r w:rsidR="001642C2" w:rsidRPr="00D20B35">
        <w:t xml:space="preserve"> </w:t>
      </w:r>
      <w:r w:rsidR="00CA047A">
        <w:t>согласно информации Комитета</w:t>
      </w:r>
      <w:r w:rsidR="00B678B6" w:rsidRPr="00D20B35">
        <w:t xml:space="preserve"> </w:t>
      </w:r>
      <w:r w:rsidR="00D333B6" w:rsidRPr="00D20B35">
        <w:t xml:space="preserve">снижение фактического значения показателя произошло </w:t>
      </w:r>
      <w:r w:rsidR="00B678B6" w:rsidRPr="00D20B35">
        <w:t>в</w:t>
      </w:r>
      <w:r w:rsidR="00D333B6" w:rsidRPr="00D20B35">
        <w:t xml:space="preserve"> результат</w:t>
      </w:r>
      <w:r w:rsidR="00B678B6" w:rsidRPr="00D20B35">
        <w:t>е</w:t>
      </w:r>
      <w:r w:rsidR="00D333B6" w:rsidRPr="00D20B35">
        <w:t xml:space="preserve"> оптимизации процедуры записи на прием к узким медицинским специалистам. В</w:t>
      </w:r>
      <w:r w:rsidR="001642C2" w:rsidRPr="00D20B35">
        <w:t xml:space="preserve"> целях повышения доступности медицинской помощи в 2017 году введен в действие механизм «сквозной» записи врачом общей практики (первичный прием) к узким специалистам.</w:t>
      </w:r>
    </w:p>
    <w:p w:rsidR="00A06854" w:rsidRPr="00D20B35" w:rsidRDefault="00A06854" w:rsidP="00142110">
      <w:pPr>
        <w:autoSpaceDE w:val="0"/>
        <w:autoSpaceDN w:val="0"/>
        <w:adjustRightInd w:val="0"/>
        <w:ind w:firstLine="709"/>
        <w:jc w:val="both"/>
      </w:pPr>
    </w:p>
    <w:p w:rsidR="0025054E" w:rsidRPr="00D20B35" w:rsidRDefault="0025054E" w:rsidP="0025054E">
      <w:pPr>
        <w:jc w:val="center"/>
        <w:rPr>
          <w:i/>
          <w:u w:val="single"/>
        </w:rPr>
      </w:pPr>
      <w:r w:rsidRPr="00D20B35">
        <w:rPr>
          <w:i/>
          <w:u w:val="single"/>
        </w:rPr>
        <w:t>ГП «Использование результатов космической деятельности в интересах социально-экономического и инновационного развития Волгоградской области на 2014 - 2018 годы»</w:t>
      </w:r>
    </w:p>
    <w:p w:rsidR="0025054E" w:rsidRPr="00D20B35" w:rsidRDefault="0025054E" w:rsidP="0025054E">
      <w:pPr>
        <w:tabs>
          <w:tab w:val="left" w:pos="5655"/>
        </w:tabs>
        <w:spacing w:line="240" w:lineRule="atLeast"/>
        <w:ind w:firstLine="709"/>
        <w:jc w:val="both"/>
      </w:pPr>
      <w:r w:rsidRPr="00D20B35">
        <w:t xml:space="preserve">Целью </w:t>
      </w:r>
      <w:r w:rsidR="00085584" w:rsidRPr="00D20B35">
        <w:t>ГП</w:t>
      </w:r>
      <w:r w:rsidRPr="00D20B35">
        <w:t xml:space="preserve"> </w:t>
      </w:r>
      <w:r w:rsidR="00085584" w:rsidRPr="00D20B35">
        <w:t>РКД</w:t>
      </w:r>
      <w:r w:rsidRPr="00D20B35">
        <w:t xml:space="preserve"> является </w:t>
      </w:r>
      <w:r w:rsidRPr="00D20B35">
        <w:rPr>
          <w:rFonts w:ascii="Times New Roman CYR" w:hAnsi="Times New Roman CYR" w:cs="Times New Roman CYR"/>
        </w:rPr>
        <w:t>обеспечение использования результатов космической деятельности в интересах социально-экономического и инновационного развития Волгоградской области и совершенствование управления транспортным комплексом Волгоградской области посредством внедрения навигационных технологий.</w:t>
      </w:r>
    </w:p>
    <w:p w:rsidR="0025054E" w:rsidRPr="00D20B35" w:rsidRDefault="0025054E" w:rsidP="002505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0B35">
        <w:rPr>
          <w:bCs/>
        </w:rPr>
        <w:t>Информация о достижени</w:t>
      </w:r>
      <w:r w:rsidR="00CA047A">
        <w:rPr>
          <w:bCs/>
        </w:rPr>
        <w:t>и</w:t>
      </w:r>
      <w:r w:rsidRPr="00D20B35">
        <w:rPr>
          <w:bCs/>
        </w:rPr>
        <w:t xml:space="preserve"> значений целевых показателе</w:t>
      </w:r>
      <w:r w:rsidR="00ED53A7" w:rsidRPr="00D20B35">
        <w:rPr>
          <w:bCs/>
        </w:rPr>
        <w:t>й приведена в таблице:</w:t>
      </w:r>
    </w:p>
    <w:p w:rsidR="0025054E" w:rsidRPr="00E43482" w:rsidRDefault="0025054E" w:rsidP="002505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39"/>
        <w:gridCol w:w="6832"/>
        <w:gridCol w:w="835"/>
        <w:gridCol w:w="724"/>
        <w:gridCol w:w="709"/>
      </w:tblGrid>
      <w:tr w:rsidR="00560322" w:rsidRPr="00D20B35" w:rsidTr="00D90F98">
        <w:trPr>
          <w:trHeight w:val="29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0B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0B35">
              <w:rPr>
                <w:sz w:val="20"/>
                <w:szCs w:val="20"/>
              </w:rPr>
              <w:t>/</w:t>
            </w:r>
            <w:proofErr w:type="spellStart"/>
            <w:r w:rsidRPr="00D20B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3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b/>
                <w:sz w:val="20"/>
                <w:szCs w:val="20"/>
              </w:rPr>
            </w:pPr>
            <w:r w:rsidRPr="00D20B35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3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0322" w:rsidRPr="00D20B35" w:rsidRDefault="00560322" w:rsidP="00D90F98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D20B35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D20B35">
              <w:rPr>
                <w:b/>
                <w:sz w:val="20"/>
                <w:szCs w:val="20"/>
              </w:rPr>
              <w:t>изм</w:t>
            </w:r>
            <w:proofErr w:type="spellEnd"/>
            <w:r w:rsidRPr="00D20B3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center"/>
              <w:rPr>
                <w:b/>
                <w:sz w:val="20"/>
                <w:szCs w:val="20"/>
              </w:rPr>
            </w:pPr>
            <w:r w:rsidRPr="00D20B3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center"/>
              <w:rPr>
                <w:b/>
                <w:sz w:val="20"/>
                <w:szCs w:val="20"/>
              </w:rPr>
            </w:pPr>
            <w:r w:rsidRPr="00D20B35">
              <w:rPr>
                <w:b/>
                <w:sz w:val="20"/>
                <w:szCs w:val="20"/>
              </w:rPr>
              <w:t>Факт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1.</w:t>
            </w:r>
          </w:p>
        </w:tc>
        <w:tc>
          <w:tcPr>
            <w:tcW w:w="683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Территория региона, покрытая актуальными цифровыми картами (масштаб 1:25000–1:50000)</w:t>
            </w:r>
          </w:p>
        </w:tc>
        <w:tc>
          <w:tcPr>
            <w:tcW w:w="83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20"/>
                <w:szCs w:val="20"/>
              </w:rPr>
              <w:t>кв. км</w:t>
            </w:r>
          </w:p>
        </w:tc>
        <w:tc>
          <w:tcPr>
            <w:tcW w:w="72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7C4F64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6</w:t>
            </w:r>
            <w:r w:rsidR="007C4F64" w:rsidRPr="00D20B35">
              <w:rPr>
                <w:sz w:val="20"/>
                <w:szCs w:val="20"/>
              </w:rPr>
              <w:t>3</w:t>
            </w:r>
            <w:r w:rsidR="009C4352" w:rsidRPr="00D20B35">
              <w:rPr>
                <w:sz w:val="20"/>
                <w:szCs w:val="20"/>
              </w:rPr>
              <w:t xml:space="preserve"> </w:t>
            </w:r>
            <w:r w:rsidRPr="00D20B35">
              <w:rPr>
                <w:sz w:val="20"/>
                <w:szCs w:val="20"/>
              </w:rPr>
              <w:t>5</w:t>
            </w:r>
            <w:r w:rsidR="007C4F64" w:rsidRPr="00D20B35">
              <w:rPr>
                <w:sz w:val="20"/>
                <w:szCs w:val="20"/>
              </w:rPr>
              <w:t>2</w:t>
            </w:r>
            <w:r w:rsidRPr="00D20B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63 520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2.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Территория населенных пунктов региона, покрытых актуальными цифровыми картами (масштаб 1:2000)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20"/>
                <w:szCs w:val="20"/>
              </w:rPr>
              <w:t>кв. км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7C4F64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1750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1750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 xml:space="preserve">Количество общедоступных </w:t>
            </w:r>
            <w:r w:rsidR="00870DC2" w:rsidRPr="00D20B35">
              <w:rPr>
                <w:sz w:val="20"/>
                <w:szCs w:val="20"/>
              </w:rPr>
              <w:t>наборов пространственных данных</w:t>
            </w:r>
            <w:r w:rsidRPr="00D20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20"/>
                <w:szCs w:val="20"/>
              </w:rPr>
              <w:t>единиц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150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4.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5508F9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Кол</w:t>
            </w:r>
            <w:r w:rsidR="005508F9" w:rsidRPr="00D20B35">
              <w:rPr>
                <w:sz w:val="20"/>
                <w:szCs w:val="20"/>
              </w:rPr>
              <w:t>-</w:t>
            </w:r>
            <w:r w:rsidRPr="00D20B35">
              <w:rPr>
                <w:sz w:val="20"/>
                <w:szCs w:val="20"/>
              </w:rPr>
              <w:t>во информационных систем обеспечения специальной деятельности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20"/>
                <w:szCs w:val="20"/>
              </w:rPr>
              <w:t>единиц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</w:t>
            </w:r>
          </w:p>
        </w:tc>
      </w:tr>
      <w:tr w:rsidR="00560322" w:rsidRPr="00D20B35" w:rsidTr="00D90F98">
        <w:trPr>
          <w:trHeight w:val="533"/>
        </w:trPr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5.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D71EC6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 xml:space="preserve">Доля транспортных средств от общего количества транспортных средств, зарегистрированных на территории Волгоградской области, подключенных к РНИС, оснащенных бортовым навигационно-связным оборудованием на базе системы </w:t>
            </w:r>
            <w:r w:rsidR="00870DC2" w:rsidRPr="00D20B35">
              <w:rPr>
                <w:sz w:val="20"/>
                <w:szCs w:val="20"/>
              </w:rPr>
              <w:t>ГЛОНАСС, используемых в сферах</w:t>
            </w:r>
            <w:r w:rsidRPr="00D20B35">
              <w:rPr>
                <w:sz w:val="20"/>
                <w:szCs w:val="20"/>
              </w:rPr>
              <w:t>: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56032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</w:p>
        </w:tc>
      </w:tr>
      <w:tr w:rsidR="00560322" w:rsidRPr="00D20B35" w:rsidTr="005508F9">
        <w:trPr>
          <w:trHeight w:val="64"/>
        </w:trPr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5.1.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both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пассажирских перевозок, включая перевозку детей, оказание жилищно-коммунальных услуг, оказание скорой и неотложной медицинской помощи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i/>
                <w:sz w:val="18"/>
                <w:szCs w:val="18"/>
              </w:rPr>
            </w:pPr>
            <w:r w:rsidRPr="00D20B35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100</w:t>
            </w:r>
          </w:p>
        </w:tc>
      </w:tr>
      <w:tr w:rsidR="00560322" w:rsidRPr="00D20B35" w:rsidTr="005508F9">
        <w:trPr>
          <w:trHeight w:val="259"/>
        </w:trPr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5.2.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both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дорожного хозяйства, лесного хозяйства, охотничьего и рыболовного хозяйства, специального транспорта, находящегося в ведении комитета по обеспечению безопасности жизнедеятельности населения Волгоградской области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i/>
                <w:sz w:val="18"/>
                <w:szCs w:val="18"/>
              </w:rPr>
            </w:pPr>
            <w:r w:rsidRPr="00D20B35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80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5.3.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both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ведомственного транспорта органов исполнительной власти Волгоградской области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i/>
                <w:sz w:val="18"/>
                <w:szCs w:val="18"/>
              </w:rPr>
            </w:pPr>
            <w:r w:rsidRPr="00D20B35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i/>
                <w:sz w:val="20"/>
                <w:szCs w:val="20"/>
              </w:rPr>
            </w:pPr>
            <w:r w:rsidRPr="00D20B35">
              <w:rPr>
                <w:i/>
                <w:sz w:val="20"/>
                <w:szCs w:val="20"/>
              </w:rPr>
              <w:t>90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6.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Количество видов транспортных средств, информация о маршрутах движения которых, находится в широком доступе для населения Волгоградской области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20"/>
                <w:szCs w:val="20"/>
              </w:rPr>
              <w:t>единиц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7.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 xml:space="preserve">Доля рейсов, соответствующих утвержденному расписанию прохождения </w:t>
            </w:r>
            <w:r w:rsidRPr="00D20B35">
              <w:rPr>
                <w:sz w:val="20"/>
                <w:szCs w:val="20"/>
              </w:rPr>
              <w:lastRenderedPageBreak/>
              <w:t>контрольных пунктов маршрутов, от всех рейсов субсидируемых маршрутов движения транспортных средств, осуществляющих пассажирские перевозки с использованием автоматизированных систем управления движением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99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Уменьшение нарушений скоростного режима при перевозке детей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18"/>
                <w:szCs w:val="18"/>
              </w:rPr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7C4F64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7,3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9.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Увеличение поступлений земельного налога в консолидированный бюджет Волгоградской области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18"/>
                <w:szCs w:val="18"/>
              </w:rPr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5</w:t>
            </w:r>
          </w:p>
        </w:tc>
      </w:tr>
      <w:tr w:rsidR="00560322" w:rsidRPr="00D20B35" w:rsidTr="00D90F98">
        <w:tc>
          <w:tcPr>
            <w:tcW w:w="53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>
            <w:pPr>
              <w:jc w:val="center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10.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870DC2">
            <w:pPr>
              <w:jc w:val="both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Экономия бюджетных сре</w:t>
            </w:r>
            <w:proofErr w:type="gramStart"/>
            <w:r w:rsidRPr="00D20B35">
              <w:rPr>
                <w:sz w:val="20"/>
                <w:szCs w:val="20"/>
              </w:rPr>
              <w:t>дств пр</w:t>
            </w:r>
            <w:proofErr w:type="gramEnd"/>
            <w:r w:rsidRPr="00D20B35">
              <w:rPr>
                <w:sz w:val="20"/>
                <w:szCs w:val="20"/>
              </w:rPr>
              <w:t>и эксплуатации и содержании транспортных средств государственной и муниципальной собственности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60322" w:rsidRPr="00D20B35" w:rsidRDefault="00870DC2" w:rsidP="009C4352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D20B35">
              <w:rPr>
                <w:sz w:val="18"/>
                <w:szCs w:val="18"/>
              </w:rPr>
              <w:t>%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60322" w:rsidRPr="00D20B35" w:rsidRDefault="00560322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60322" w:rsidRPr="00D20B35" w:rsidRDefault="00753F18" w:rsidP="009C4352">
            <w:pPr>
              <w:ind w:left="-93"/>
              <w:jc w:val="right"/>
              <w:rPr>
                <w:sz w:val="20"/>
                <w:szCs w:val="20"/>
              </w:rPr>
            </w:pPr>
            <w:r w:rsidRPr="00D20B35">
              <w:rPr>
                <w:sz w:val="20"/>
                <w:szCs w:val="20"/>
              </w:rPr>
              <w:t>3</w:t>
            </w:r>
          </w:p>
        </w:tc>
      </w:tr>
    </w:tbl>
    <w:p w:rsidR="0025054E" w:rsidRPr="00E43482" w:rsidRDefault="0025054E" w:rsidP="0025054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054E" w:rsidRPr="00D20B35" w:rsidRDefault="0025054E" w:rsidP="0025054E">
      <w:pPr>
        <w:autoSpaceDE w:val="0"/>
        <w:autoSpaceDN w:val="0"/>
        <w:adjustRightInd w:val="0"/>
        <w:ind w:firstLine="709"/>
        <w:jc w:val="both"/>
      </w:pPr>
      <w:r w:rsidRPr="00D20B35">
        <w:rPr>
          <w:lang w:eastAsia="en-US"/>
        </w:rPr>
        <w:t>Согласно годовому докладу о ходе реализации программы</w:t>
      </w:r>
      <w:r w:rsidRPr="00D20B35">
        <w:rPr>
          <w:bCs/>
        </w:rPr>
        <w:t xml:space="preserve">, ожидаемый </w:t>
      </w:r>
      <w:proofErr w:type="gramStart"/>
      <w:r w:rsidRPr="00D20B35">
        <w:rPr>
          <w:bCs/>
        </w:rPr>
        <w:t>результат</w:t>
      </w:r>
      <w:proofErr w:type="gramEnd"/>
      <w:r w:rsidRPr="00D20B35">
        <w:rPr>
          <w:bCs/>
        </w:rPr>
        <w:t xml:space="preserve"> достигнут по всем</w:t>
      </w:r>
      <w:r w:rsidR="00D20B35">
        <w:rPr>
          <w:bCs/>
        </w:rPr>
        <w:t xml:space="preserve"> двенадцати</w:t>
      </w:r>
      <w:r w:rsidR="003476ED">
        <w:rPr>
          <w:bCs/>
        </w:rPr>
        <w:t xml:space="preserve"> целевым показателям</w:t>
      </w:r>
      <w:r w:rsidR="005245E6" w:rsidRPr="00D20B35">
        <w:t>.</w:t>
      </w:r>
    </w:p>
    <w:p w:rsidR="00FF121E" w:rsidRPr="003476ED" w:rsidRDefault="00FF121E" w:rsidP="0025054E">
      <w:pPr>
        <w:ind w:firstLine="709"/>
        <w:jc w:val="both"/>
      </w:pPr>
    </w:p>
    <w:p w:rsidR="004554CE" w:rsidRPr="003476ED" w:rsidRDefault="0025054E" w:rsidP="0025054E">
      <w:pPr>
        <w:ind w:firstLine="709"/>
        <w:jc w:val="center"/>
        <w:rPr>
          <w:i/>
          <w:u w:val="single"/>
        </w:rPr>
      </w:pPr>
      <w:r w:rsidRPr="003476ED">
        <w:rPr>
          <w:i/>
          <w:u w:val="single"/>
        </w:rPr>
        <w:t xml:space="preserve">ГП «Защита населения и территории от чрезвычайных ситуаций, </w:t>
      </w:r>
    </w:p>
    <w:p w:rsidR="0025054E" w:rsidRPr="003476ED" w:rsidRDefault="0025054E" w:rsidP="0025054E">
      <w:pPr>
        <w:ind w:firstLine="709"/>
        <w:jc w:val="center"/>
        <w:rPr>
          <w:i/>
          <w:u w:val="single"/>
        </w:rPr>
      </w:pPr>
      <w:r w:rsidRPr="003476ED">
        <w:rPr>
          <w:i/>
          <w:u w:val="single"/>
        </w:rPr>
        <w:t>обеспечение пожарной безопасности на 2014-2017 годы»</w:t>
      </w:r>
    </w:p>
    <w:p w:rsidR="00254E21" w:rsidRPr="00BB58C5" w:rsidRDefault="00254E21" w:rsidP="00E700D4">
      <w:pPr>
        <w:ind w:firstLine="709"/>
        <w:jc w:val="both"/>
        <w:rPr>
          <w:bCs/>
        </w:rPr>
      </w:pPr>
      <w:r w:rsidRPr="00195C96">
        <w:t>Ответственным исполнителем ГП «Защита населения» является комитет</w:t>
      </w:r>
      <w:r w:rsidR="003476ED" w:rsidRPr="00195C96">
        <w:t xml:space="preserve"> по</w:t>
      </w:r>
      <w:r w:rsidRPr="00195C96">
        <w:t xml:space="preserve"> обеспечени</w:t>
      </w:r>
      <w:r w:rsidR="003476ED" w:rsidRPr="00195C96">
        <w:t xml:space="preserve">ю безопасности </w:t>
      </w:r>
      <w:r w:rsidRPr="00195C96">
        <w:t xml:space="preserve">жизнедеятельности населения Волгоградской области. Комитет определен </w:t>
      </w:r>
      <w:r w:rsidR="00796028" w:rsidRPr="00195C96">
        <w:t>исполнителем</w:t>
      </w:r>
      <w:r w:rsidR="00E700D4" w:rsidRPr="00195C96">
        <w:t xml:space="preserve"> </w:t>
      </w:r>
      <w:r w:rsidR="00796028" w:rsidRPr="00195C96">
        <w:t>десяти</w:t>
      </w:r>
      <w:r w:rsidRPr="00195C96">
        <w:t xml:space="preserve"> мероприяти</w:t>
      </w:r>
      <w:r w:rsidR="00E700D4" w:rsidRPr="00195C96">
        <w:t>й</w:t>
      </w:r>
      <w:r w:rsidRPr="00195C96">
        <w:t xml:space="preserve"> подпрограммы </w:t>
      </w:r>
      <w:r w:rsidR="0025054E" w:rsidRPr="00195C96">
        <w:t>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 годы»</w:t>
      </w:r>
      <w:r w:rsidR="004554CE" w:rsidRPr="00195C96">
        <w:t xml:space="preserve"> и ответственным исполнителем подпрограммы «Построение (развитие) аппаратно-программного комплекса «Безопасный город» на территории Волгоградской области»</w:t>
      </w:r>
      <w:r w:rsidR="0025054E" w:rsidRPr="00195C96">
        <w:t>.</w:t>
      </w:r>
      <w:r w:rsidR="00E700D4" w:rsidRPr="00195C96">
        <w:t xml:space="preserve"> </w:t>
      </w:r>
      <w:r w:rsidRPr="00195C96">
        <w:rPr>
          <w:bCs/>
        </w:rPr>
        <w:t>Информация о достижени</w:t>
      </w:r>
      <w:r w:rsidR="00195C96" w:rsidRPr="00195C96">
        <w:rPr>
          <w:bCs/>
        </w:rPr>
        <w:t>и</w:t>
      </w:r>
      <w:r w:rsidRPr="00195C96">
        <w:rPr>
          <w:bCs/>
        </w:rPr>
        <w:t xml:space="preserve"> значений целевых показателей</w:t>
      </w:r>
      <w:r w:rsidR="00195C96" w:rsidRPr="00195C96">
        <w:rPr>
          <w:bCs/>
        </w:rPr>
        <w:t xml:space="preserve"> подпрограмм</w:t>
      </w:r>
      <w:r w:rsidRPr="00195C96">
        <w:rPr>
          <w:bCs/>
        </w:rPr>
        <w:t xml:space="preserve"> приведена в следующей </w:t>
      </w:r>
      <w:r w:rsidRPr="00BB58C5">
        <w:rPr>
          <w:bCs/>
        </w:rPr>
        <w:t>таблице:</w:t>
      </w:r>
    </w:p>
    <w:p w:rsidR="00195C96" w:rsidRPr="00E43482" w:rsidRDefault="00195C96" w:rsidP="00E700D4">
      <w:pPr>
        <w:ind w:firstLine="709"/>
        <w:jc w:val="both"/>
        <w:rPr>
          <w:bCs/>
          <w:sz w:val="16"/>
          <w:szCs w:val="16"/>
        </w:rPr>
      </w:pPr>
    </w:p>
    <w:tbl>
      <w:tblPr>
        <w:tblW w:w="975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33"/>
        <w:gridCol w:w="7122"/>
        <w:gridCol w:w="663"/>
        <w:gridCol w:w="709"/>
        <w:gridCol w:w="724"/>
      </w:tblGrid>
      <w:tr w:rsidR="00870DC2" w:rsidRPr="00BB58C5" w:rsidTr="009D41C3">
        <w:trPr>
          <w:trHeight w:val="299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2C48B4">
            <w:pPr>
              <w:jc w:val="center"/>
              <w:rPr>
                <w:b/>
                <w:sz w:val="20"/>
                <w:szCs w:val="20"/>
              </w:rPr>
            </w:pPr>
            <w:r w:rsidRPr="00BB58C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58C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58C5">
              <w:rPr>
                <w:b/>
                <w:sz w:val="20"/>
                <w:szCs w:val="20"/>
              </w:rPr>
              <w:t>/</w:t>
            </w:r>
            <w:proofErr w:type="spellStart"/>
            <w:r w:rsidRPr="00BB58C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2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2C48B4">
            <w:pPr>
              <w:jc w:val="center"/>
              <w:rPr>
                <w:b/>
                <w:sz w:val="20"/>
                <w:szCs w:val="20"/>
              </w:rPr>
            </w:pPr>
            <w:r w:rsidRPr="00BB58C5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6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70DC2" w:rsidRPr="00BB58C5" w:rsidRDefault="00870DC2" w:rsidP="002C48B4">
            <w:pPr>
              <w:jc w:val="center"/>
              <w:rPr>
                <w:b/>
                <w:sz w:val="20"/>
                <w:szCs w:val="20"/>
              </w:rPr>
            </w:pPr>
            <w:r w:rsidRPr="00BB58C5">
              <w:rPr>
                <w:b/>
                <w:sz w:val="20"/>
                <w:szCs w:val="20"/>
              </w:rPr>
              <w:t xml:space="preserve">Ед. </w:t>
            </w:r>
          </w:p>
          <w:p w:rsidR="00870DC2" w:rsidRPr="00BB58C5" w:rsidRDefault="00870DC2" w:rsidP="002C48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8C5">
              <w:rPr>
                <w:b/>
                <w:sz w:val="20"/>
                <w:szCs w:val="20"/>
              </w:rPr>
              <w:t>изм</w:t>
            </w:r>
            <w:proofErr w:type="spellEnd"/>
            <w:r w:rsidRPr="00BB58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2C48B4">
            <w:pPr>
              <w:jc w:val="center"/>
              <w:rPr>
                <w:b/>
                <w:sz w:val="20"/>
                <w:szCs w:val="20"/>
              </w:rPr>
            </w:pPr>
            <w:r w:rsidRPr="00BB58C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0DC2" w:rsidRPr="00BB58C5" w:rsidRDefault="00870DC2" w:rsidP="002C48B4">
            <w:pPr>
              <w:jc w:val="center"/>
              <w:rPr>
                <w:b/>
                <w:sz w:val="20"/>
                <w:szCs w:val="20"/>
              </w:rPr>
            </w:pPr>
            <w:r w:rsidRPr="00BB58C5">
              <w:rPr>
                <w:b/>
                <w:sz w:val="20"/>
                <w:szCs w:val="20"/>
              </w:rPr>
              <w:t>Факт</w:t>
            </w:r>
          </w:p>
        </w:tc>
      </w:tr>
      <w:tr w:rsidR="004554CE" w:rsidRPr="00BB58C5" w:rsidTr="00796028">
        <w:trPr>
          <w:trHeight w:val="299"/>
        </w:trPr>
        <w:tc>
          <w:tcPr>
            <w:tcW w:w="9751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554CE" w:rsidRPr="00BB58C5" w:rsidRDefault="004554CE" w:rsidP="002C48B4">
            <w:pPr>
              <w:jc w:val="center"/>
              <w:rPr>
                <w:b/>
                <w:i/>
                <w:sz w:val="20"/>
                <w:szCs w:val="20"/>
              </w:rPr>
            </w:pPr>
            <w:r w:rsidRPr="00BB58C5">
              <w:rPr>
                <w:b/>
                <w:i/>
                <w:sz w:val="20"/>
                <w:szCs w:val="20"/>
              </w:rPr>
              <w:t>Создание системы обеспечения вызова экстренных оперативных служб по единому номеру «112»</w:t>
            </w:r>
          </w:p>
        </w:tc>
      </w:tr>
      <w:tr w:rsidR="00870DC2" w:rsidRPr="00BB58C5" w:rsidTr="00796028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2C48B4">
            <w:pPr>
              <w:jc w:val="both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Доля населения Волгоградской области, проживающего на территории муниципальных образований, в которых развернута система-112, от общего количества населения Волгоградской области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DC2" w:rsidRPr="00BB58C5" w:rsidRDefault="00870DC2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374C94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70DC2" w:rsidRPr="00BB58C5" w:rsidRDefault="00FA3EA1" w:rsidP="00254E21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100,0</w:t>
            </w:r>
          </w:p>
        </w:tc>
      </w:tr>
      <w:tr w:rsidR="00870DC2" w:rsidRPr="00BB58C5" w:rsidTr="009D41C3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2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2C48B4">
            <w:pPr>
              <w:jc w:val="both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Сокращение среднего времени совместного реагирования нескольких экстренных оперативных служб на обращения н</w:t>
            </w:r>
            <w:r w:rsidR="009D41C3" w:rsidRPr="00BB58C5">
              <w:rPr>
                <w:sz w:val="20"/>
                <w:szCs w:val="20"/>
              </w:rPr>
              <w:t>аселения по единому номеру «112»</w:t>
            </w:r>
            <w:r w:rsidRPr="00BB58C5">
              <w:rPr>
                <w:sz w:val="20"/>
                <w:szCs w:val="20"/>
              </w:rPr>
              <w:t xml:space="preserve"> на территории Волгоградской о</w:t>
            </w:r>
            <w:r w:rsidR="009D41C3" w:rsidRPr="00BB58C5">
              <w:rPr>
                <w:sz w:val="20"/>
                <w:szCs w:val="20"/>
              </w:rPr>
              <w:t>бласти по сравнению с 2012 г.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DC2" w:rsidRPr="00BB58C5" w:rsidRDefault="00870DC2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374C94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20,0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70DC2" w:rsidRPr="00BB58C5" w:rsidRDefault="00FA3EA1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20,0</w:t>
            </w:r>
          </w:p>
        </w:tc>
      </w:tr>
      <w:tr w:rsidR="00870DC2" w:rsidRPr="00BB58C5" w:rsidTr="009D41C3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3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870DC2">
            <w:pPr>
              <w:jc w:val="both"/>
              <w:rPr>
                <w:sz w:val="20"/>
                <w:szCs w:val="20"/>
              </w:rPr>
            </w:pPr>
            <w:proofErr w:type="gramStart"/>
            <w:r w:rsidRPr="00BB58C5">
              <w:rPr>
                <w:sz w:val="20"/>
                <w:szCs w:val="20"/>
              </w:rPr>
              <w:t>Снижение числа пострадавших от внешних причин на территории Волгоградской области при развернутой систе</w:t>
            </w:r>
            <w:r w:rsidR="009D41C3" w:rsidRPr="00BB58C5">
              <w:rPr>
                <w:sz w:val="20"/>
                <w:szCs w:val="20"/>
              </w:rPr>
              <w:t>ме-112 по сравнению с 2012 г.</w:t>
            </w:r>
            <w:proofErr w:type="gramEnd"/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DC2" w:rsidRPr="00BB58C5" w:rsidRDefault="009D41C3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374C94" w:rsidP="00254E21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285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70DC2" w:rsidRPr="00BB58C5" w:rsidRDefault="00FA3EA1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523</w:t>
            </w:r>
          </w:p>
        </w:tc>
      </w:tr>
      <w:tr w:rsidR="00870DC2" w:rsidRPr="00BB58C5" w:rsidTr="009D41C3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4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9D41C3">
            <w:pPr>
              <w:jc w:val="both"/>
              <w:rPr>
                <w:sz w:val="20"/>
                <w:szCs w:val="20"/>
              </w:rPr>
            </w:pPr>
            <w:proofErr w:type="gramStart"/>
            <w:r w:rsidRPr="00BB58C5">
              <w:rPr>
                <w:sz w:val="20"/>
                <w:szCs w:val="20"/>
              </w:rPr>
              <w:t>Снижение числа умерших от внешних причин смерти на территории Волгоградской области при развернутой систе</w:t>
            </w:r>
            <w:r w:rsidR="009D41C3" w:rsidRPr="00BB58C5">
              <w:rPr>
                <w:sz w:val="20"/>
                <w:szCs w:val="20"/>
              </w:rPr>
              <w:t>ме-112 по сравнению с 2012 г.</w:t>
            </w:r>
            <w:proofErr w:type="gramEnd"/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DC2" w:rsidRPr="00BB58C5" w:rsidRDefault="009D41C3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374C94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218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70DC2" w:rsidRPr="00BB58C5" w:rsidRDefault="00FA3EA1" w:rsidP="003A026B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---</w:t>
            </w:r>
          </w:p>
        </w:tc>
      </w:tr>
      <w:tr w:rsidR="00870DC2" w:rsidRPr="00BB58C5" w:rsidTr="00796028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5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870DC2" w:rsidP="00870DC2">
            <w:pPr>
              <w:jc w:val="both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Сокращение экономического ущерба от чрезвычайных ситуаций и происшествий на территории Волгоградской области по сравнению с 2012 г</w:t>
            </w:r>
            <w:r w:rsidR="009D41C3" w:rsidRPr="00BB58C5">
              <w:rPr>
                <w:sz w:val="20"/>
                <w:szCs w:val="20"/>
              </w:rPr>
              <w:t>.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70DC2" w:rsidRPr="00BB58C5" w:rsidRDefault="00870DC2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млн.</w:t>
            </w:r>
            <w:r w:rsidR="009D41C3" w:rsidRPr="00BB58C5">
              <w:rPr>
                <w:sz w:val="20"/>
                <w:szCs w:val="20"/>
              </w:rPr>
              <w:t xml:space="preserve"> </w:t>
            </w:r>
            <w:r w:rsidRPr="00BB58C5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70DC2" w:rsidRPr="00BB58C5" w:rsidRDefault="00374C94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131,0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0DC2" w:rsidRPr="00BB58C5" w:rsidRDefault="00FA3EA1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586</w:t>
            </w:r>
          </w:p>
        </w:tc>
      </w:tr>
      <w:tr w:rsidR="00796028" w:rsidRPr="00BB58C5" w:rsidTr="00796028">
        <w:tc>
          <w:tcPr>
            <w:tcW w:w="9751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796028" w:rsidRPr="00BB58C5" w:rsidRDefault="00796028" w:rsidP="00796028">
            <w:pPr>
              <w:jc w:val="center"/>
              <w:rPr>
                <w:b/>
                <w:i/>
                <w:sz w:val="20"/>
                <w:szCs w:val="20"/>
              </w:rPr>
            </w:pPr>
            <w:r w:rsidRPr="00BB58C5">
              <w:rPr>
                <w:b/>
                <w:i/>
                <w:sz w:val="20"/>
                <w:szCs w:val="20"/>
              </w:rPr>
              <w:t>Построение (развитие) аппаратно-программного комплекса «Безопасный город»</w:t>
            </w:r>
          </w:p>
        </w:tc>
      </w:tr>
      <w:tr w:rsidR="008B532F" w:rsidRPr="00BB58C5" w:rsidTr="008B532F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532F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532F" w:rsidRPr="00BB58C5" w:rsidRDefault="00796028" w:rsidP="007960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B58C5">
              <w:rPr>
                <w:rFonts w:eastAsiaTheme="minorHAnsi"/>
                <w:sz w:val="20"/>
                <w:szCs w:val="20"/>
                <w:lang w:eastAsia="en-US"/>
              </w:rPr>
              <w:t>Доля населения Волгоградской области, проживающего на территориях муниципальных образований, в которых развернут аппаратно-програм</w:t>
            </w:r>
            <w:r w:rsidR="00734ABF" w:rsidRPr="00BB58C5">
              <w:rPr>
                <w:rFonts w:eastAsiaTheme="minorHAnsi"/>
                <w:sz w:val="20"/>
                <w:szCs w:val="20"/>
                <w:lang w:eastAsia="en-US"/>
              </w:rPr>
              <w:t>мный комплекс «Безопасный город»</w:t>
            </w:r>
            <w:r w:rsidRPr="00BB58C5">
              <w:rPr>
                <w:rFonts w:eastAsiaTheme="minorHAnsi"/>
                <w:sz w:val="20"/>
                <w:szCs w:val="20"/>
                <w:lang w:eastAsia="en-US"/>
              </w:rPr>
              <w:t>, относительно общего количества населения Волгоградской области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32F" w:rsidRPr="00BB58C5" w:rsidRDefault="00734ABF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532F" w:rsidRPr="00BB58C5" w:rsidRDefault="00734ABF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40,0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B532F" w:rsidRPr="00BB58C5" w:rsidRDefault="00FA3EA1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40,0</w:t>
            </w:r>
          </w:p>
        </w:tc>
      </w:tr>
      <w:tr w:rsidR="008B532F" w:rsidRPr="00BB58C5" w:rsidTr="00734ABF">
        <w:tc>
          <w:tcPr>
            <w:tcW w:w="5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B532F" w:rsidRPr="00BB58C5" w:rsidRDefault="00734ABF" w:rsidP="002C48B4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2</w:t>
            </w:r>
            <w:r w:rsidR="005A6A76" w:rsidRPr="00BB58C5">
              <w:rPr>
                <w:sz w:val="20"/>
                <w:szCs w:val="20"/>
              </w:rPr>
              <w:t>.</w:t>
            </w:r>
          </w:p>
        </w:tc>
        <w:tc>
          <w:tcPr>
            <w:tcW w:w="712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B532F" w:rsidRPr="00BB58C5" w:rsidRDefault="00734ABF" w:rsidP="00734AB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B58C5">
              <w:rPr>
                <w:rFonts w:eastAsiaTheme="minorHAnsi"/>
                <w:sz w:val="20"/>
                <w:szCs w:val="20"/>
                <w:lang w:eastAsia="en-US"/>
              </w:rPr>
              <w:t>Количество муниципальных районов и городских округов Волгоградской области, в которых развернут аппаратно-программный комплекс «Безопасный город»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532F" w:rsidRPr="00BB58C5" w:rsidRDefault="00734ABF" w:rsidP="00870DC2">
            <w:pPr>
              <w:jc w:val="center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8B532F" w:rsidRPr="00BB58C5" w:rsidRDefault="00734ABF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532F" w:rsidRPr="00BB58C5" w:rsidRDefault="00FA3EA1" w:rsidP="002C48B4">
            <w:pPr>
              <w:jc w:val="right"/>
              <w:rPr>
                <w:sz w:val="20"/>
                <w:szCs w:val="20"/>
              </w:rPr>
            </w:pPr>
            <w:r w:rsidRPr="00BB58C5">
              <w:rPr>
                <w:sz w:val="20"/>
                <w:szCs w:val="20"/>
              </w:rPr>
              <w:t>1</w:t>
            </w:r>
          </w:p>
        </w:tc>
      </w:tr>
    </w:tbl>
    <w:p w:rsidR="00E43482" w:rsidRPr="00E43482" w:rsidRDefault="00E43482" w:rsidP="0009694C">
      <w:pPr>
        <w:ind w:firstLine="709"/>
        <w:jc w:val="both"/>
        <w:rPr>
          <w:sz w:val="16"/>
          <w:szCs w:val="16"/>
          <w:lang w:eastAsia="en-US"/>
        </w:rPr>
      </w:pPr>
    </w:p>
    <w:p w:rsidR="0009694C" w:rsidRPr="00BB58C5" w:rsidRDefault="00254E21" w:rsidP="0009694C">
      <w:pPr>
        <w:ind w:firstLine="709"/>
        <w:jc w:val="both"/>
      </w:pPr>
      <w:r w:rsidRPr="00BB58C5">
        <w:rPr>
          <w:lang w:eastAsia="en-US"/>
        </w:rPr>
        <w:t xml:space="preserve">Согласно годовому докладу </w:t>
      </w:r>
      <w:r w:rsidR="00E700D4" w:rsidRPr="00BB58C5">
        <w:t>комитета</w:t>
      </w:r>
      <w:r w:rsidR="00FA3EA1" w:rsidRPr="00BB58C5">
        <w:t xml:space="preserve"> по обеспечению</w:t>
      </w:r>
      <w:r w:rsidR="00E700D4" w:rsidRPr="00BB58C5">
        <w:t xml:space="preserve"> безопасности</w:t>
      </w:r>
      <w:r w:rsidR="00FA3EA1" w:rsidRPr="00BB58C5">
        <w:t xml:space="preserve"> </w:t>
      </w:r>
      <w:r w:rsidR="00E700D4" w:rsidRPr="00BB58C5">
        <w:t>жизнедеятельности населения Волгоградской области</w:t>
      </w:r>
      <w:r w:rsidR="00E700D4" w:rsidRPr="00BB58C5">
        <w:rPr>
          <w:lang w:eastAsia="en-US"/>
        </w:rPr>
        <w:t xml:space="preserve"> </w:t>
      </w:r>
      <w:r w:rsidRPr="00BB58C5">
        <w:rPr>
          <w:lang w:eastAsia="en-US"/>
        </w:rPr>
        <w:t>о ходе реализации программы</w:t>
      </w:r>
      <w:r w:rsidR="00BB58C5">
        <w:rPr>
          <w:lang w:eastAsia="en-US"/>
        </w:rPr>
        <w:t>,</w:t>
      </w:r>
      <w:r w:rsidR="0009694C" w:rsidRPr="00BB58C5">
        <w:rPr>
          <w:lang w:eastAsia="en-US"/>
        </w:rPr>
        <w:t xml:space="preserve"> </w:t>
      </w:r>
      <w:r w:rsidR="0009694C" w:rsidRPr="00BB58C5">
        <w:t>мероприятия подпрограммы «Создание системы обеспечения вызова экстренных оперативных служб по единому номеру «112» выполнены в полном объеме.</w:t>
      </w:r>
    </w:p>
    <w:p w:rsidR="0009694C" w:rsidRPr="00BB58C5" w:rsidRDefault="000152BD" w:rsidP="0009694C">
      <w:pPr>
        <w:ind w:firstLine="709"/>
        <w:jc w:val="both"/>
      </w:pPr>
      <w:proofErr w:type="gramStart"/>
      <w:r w:rsidRPr="00BB58C5">
        <w:t>Фактическ</w:t>
      </w:r>
      <w:r w:rsidR="00FA3EA1" w:rsidRPr="00BB58C5">
        <w:t>о</w:t>
      </w:r>
      <w:r w:rsidRPr="00BB58C5">
        <w:t>е значени</w:t>
      </w:r>
      <w:r w:rsidR="00FA3EA1" w:rsidRPr="00BB58C5">
        <w:t>е</w:t>
      </w:r>
      <w:r w:rsidRPr="00BB58C5">
        <w:t xml:space="preserve"> целев</w:t>
      </w:r>
      <w:r w:rsidR="00FA3EA1" w:rsidRPr="00BB58C5">
        <w:t>ого</w:t>
      </w:r>
      <w:r w:rsidRPr="00BB58C5">
        <w:t xml:space="preserve"> показател</w:t>
      </w:r>
      <w:r w:rsidR="00FA3EA1" w:rsidRPr="00BB58C5">
        <w:t>я</w:t>
      </w:r>
      <w:r w:rsidR="0009694C" w:rsidRPr="00BB58C5">
        <w:t xml:space="preserve"> </w:t>
      </w:r>
      <w:r w:rsidR="0009694C" w:rsidRPr="00BB58C5">
        <w:rPr>
          <w:i/>
        </w:rPr>
        <w:t>«снижение числа умерших от внешних причин смерти на территории Волгоградской области при развернутой системе-112 по сравнению с 2012 годом»</w:t>
      </w:r>
      <w:r w:rsidR="0009694C" w:rsidRPr="00BB58C5">
        <w:t xml:space="preserve"> </w:t>
      </w:r>
      <w:r w:rsidRPr="00BB58C5">
        <w:t>не приведен</w:t>
      </w:r>
      <w:r w:rsidR="00FA3EA1" w:rsidRPr="00BB58C5">
        <w:t>о</w:t>
      </w:r>
      <w:r w:rsidR="0009694C" w:rsidRPr="00BB58C5">
        <w:t xml:space="preserve"> </w:t>
      </w:r>
      <w:r w:rsidR="00923BBF" w:rsidRPr="00BB58C5">
        <w:t xml:space="preserve">в связи с отсутствием </w:t>
      </w:r>
      <w:r w:rsidR="00FA3EA1" w:rsidRPr="00BB58C5">
        <w:t xml:space="preserve">статистических данных </w:t>
      </w:r>
      <w:r w:rsidR="00923BBF" w:rsidRPr="00BB58C5">
        <w:t>на дату подготовки доклада о ходе реализации программы</w:t>
      </w:r>
      <w:r w:rsidR="0009694C" w:rsidRPr="00BB58C5">
        <w:t>.</w:t>
      </w:r>
      <w:proofErr w:type="gramEnd"/>
    </w:p>
    <w:p w:rsidR="00B92DF9" w:rsidRPr="00BB58C5" w:rsidRDefault="00B92DF9" w:rsidP="003A026B">
      <w:pPr>
        <w:ind w:firstLine="709"/>
        <w:jc w:val="both"/>
      </w:pPr>
    </w:p>
    <w:p w:rsidR="00967A8C" w:rsidRPr="00755283" w:rsidRDefault="00967A8C" w:rsidP="00967A8C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u w:val="single"/>
          <w:lang w:eastAsia="en-US"/>
        </w:rPr>
      </w:pPr>
      <w:r w:rsidRPr="00755283">
        <w:rPr>
          <w:i/>
          <w:u w:val="single"/>
        </w:rPr>
        <w:lastRenderedPageBreak/>
        <w:t xml:space="preserve">ВЦП </w:t>
      </w:r>
      <w:r w:rsidRPr="00755283">
        <w:rPr>
          <w:rFonts w:eastAsiaTheme="minorHAnsi"/>
          <w:bCs/>
          <w:i/>
          <w:iCs/>
          <w:u w:val="single"/>
          <w:lang w:eastAsia="en-US"/>
        </w:rPr>
        <w:t xml:space="preserve"> </w:t>
      </w:r>
      <w:r w:rsidR="00C01EA2" w:rsidRPr="00755283">
        <w:rPr>
          <w:rFonts w:eastAsiaTheme="minorHAnsi"/>
          <w:bCs/>
          <w:i/>
          <w:iCs/>
          <w:u w:val="single"/>
          <w:lang w:eastAsia="en-US"/>
        </w:rPr>
        <w:t>«</w:t>
      </w:r>
      <w:r w:rsidRPr="00755283">
        <w:rPr>
          <w:rFonts w:eastAsiaTheme="minorHAnsi"/>
          <w:bCs/>
          <w:i/>
          <w:iCs/>
          <w:u w:val="single"/>
          <w:lang w:eastAsia="en-US"/>
        </w:rPr>
        <w:t>Отдельные мероприятия в сфере связи и информатизации</w:t>
      </w:r>
      <w:r w:rsidR="00C01EA2" w:rsidRPr="00755283">
        <w:rPr>
          <w:rFonts w:eastAsiaTheme="minorHAnsi"/>
          <w:bCs/>
          <w:i/>
          <w:iCs/>
          <w:u w:val="single"/>
          <w:lang w:eastAsia="en-US"/>
        </w:rPr>
        <w:t>»</w:t>
      </w:r>
    </w:p>
    <w:p w:rsidR="00BE35FD" w:rsidRPr="00755283" w:rsidRDefault="00BE35FD" w:rsidP="00BE35FD">
      <w:pPr>
        <w:autoSpaceDE w:val="0"/>
        <w:autoSpaceDN w:val="0"/>
        <w:adjustRightInd w:val="0"/>
        <w:ind w:firstLine="709"/>
        <w:jc w:val="both"/>
      </w:pPr>
      <w:r w:rsidRPr="00755283">
        <w:t xml:space="preserve">Целью ВЦП «Отдельные мероприятия» установлено повышение эффективности работы органов исполнительной власти Волгоградской области (далее — ОИВ </w:t>
      </w:r>
      <w:proofErr w:type="gramStart"/>
      <w:r w:rsidRPr="00755283">
        <w:t>ВО</w:t>
      </w:r>
      <w:proofErr w:type="gramEnd"/>
      <w:r w:rsidRPr="00755283">
        <w:t xml:space="preserve">) </w:t>
      </w:r>
      <w:proofErr w:type="gramStart"/>
      <w:r w:rsidRPr="00755283">
        <w:t>за</w:t>
      </w:r>
      <w:proofErr w:type="gramEnd"/>
      <w:r w:rsidRPr="00755283">
        <w:t xml:space="preserve"> счет использования современных т</w:t>
      </w:r>
      <w:r w:rsidR="000F2BC8" w:rsidRPr="00755283">
        <w:t>елекоммуникационных технологий.</w:t>
      </w:r>
    </w:p>
    <w:p w:rsidR="00BE35FD" w:rsidRPr="00DA1497" w:rsidRDefault="0063689B" w:rsidP="00BE35FD">
      <w:pPr>
        <w:ind w:firstLine="708"/>
        <w:jc w:val="both"/>
      </w:pPr>
      <w:r w:rsidRPr="00755283">
        <w:t>Все установленные программой</w:t>
      </w:r>
      <w:r w:rsidR="00DA1497">
        <w:t xml:space="preserve"> значения двенадцати целевых показателей</w:t>
      </w:r>
      <w:r w:rsidRPr="00755283">
        <w:t xml:space="preserve"> </w:t>
      </w:r>
      <w:r w:rsidR="00DA1497">
        <w:t>достигнуты</w:t>
      </w:r>
      <w:r w:rsidRPr="00755283">
        <w:t xml:space="preserve">. </w:t>
      </w:r>
      <w:r w:rsidR="00BE35FD" w:rsidRPr="00755283">
        <w:t xml:space="preserve">Информация о достижении целевых показателей по результатам реализации ВЦП «Отдельные </w:t>
      </w:r>
      <w:r w:rsidR="00BE35FD" w:rsidRPr="00DA1497">
        <w:t>мероприятия» в 201</w:t>
      </w:r>
      <w:r w:rsidR="00302C4F" w:rsidRPr="00DA1497">
        <w:t>7</w:t>
      </w:r>
      <w:r w:rsidR="00BE35FD" w:rsidRPr="00DA1497">
        <w:t xml:space="preserve"> году представлена в </w:t>
      </w:r>
      <w:r w:rsidR="00967A8C" w:rsidRPr="00DA1497">
        <w:t>таблице:</w:t>
      </w:r>
    </w:p>
    <w:p w:rsidR="00BE35FD" w:rsidRPr="00E43482" w:rsidRDefault="00BE35FD" w:rsidP="00BE35FD">
      <w:pPr>
        <w:ind w:firstLine="708"/>
        <w:jc w:val="both"/>
        <w:rPr>
          <w:sz w:val="16"/>
          <w:szCs w:val="16"/>
        </w:rPr>
      </w:pP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88"/>
        <w:gridCol w:w="850"/>
        <w:gridCol w:w="851"/>
        <w:gridCol w:w="851"/>
      </w:tblGrid>
      <w:tr w:rsidR="008C319C" w:rsidRPr="00DA1497" w:rsidTr="00FE22A4">
        <w:trPr>
          <w:cantSplit/>
          <w:trHeight w:val="44"/>
          <w:tblHeader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319C" w:rsidRPr="00DA1497" w:rsidRDefault="008C319C" w:rsidP="00CA34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A1497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319C" w:rsidRPr="00DA1497" w:rsidRDefault="002F5BBA" w:rsidP="00C01EA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A1497">
              <w:rPr>
                <w:b/>
                <w:sz w:val="20"/>
                <w:szCs w:val="20"/>
              </w:rPr>
              <w:t>Ед.</w:t>
            </w:r>
            <w:r w:rsidR="00C01EA2" w:rsidRPr="00DA14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A1497">
              <w:rPr>
                <w:b/>
                <w:sz w:val="20"/>
                <w:szCs w:val="20"/>
              </w:rPr>
              <w:t>изм</w:t>
            </w:r>
            <w:proofErr w:type="spellEnd"/>
            <w:r w:rsidRPr="00DA149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319C" w:rsidRPr="00DA1497" w:rsidRDefault="00EA69CC" w:rsidP="00967A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A149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319C" w:rsidRPr="00DA1497" w:rsidRDefault="00EA69CC" w:rsidP="00967A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A1497">
              <w:rPr>
                <w:b/>
                <w:sz w:val="20"/>
                <w:szCs w:val="20"/>
              </w:rPr>
              <w:t>Факт</w:t>
            </w:r>
            <w:r w:rsidR="008C319C" w:rsidRPr="00DA149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Обеспечение совокупной пропускной способности канала доступа ОИВ ВО  в информационно-телекоммуникационную сеть Интернет, не менее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  <w:lang w:val="en-US"/>
              </w:rPr>
            </w:pPr>
            <w:r w:rsidRPr="00DA1497">
              <w:rPr>
                <w:sz w:val="20"/>
                <w:szCs w:val="20"/>
              </w:rPr>
              <w:t>Мбит</w:t>
            </w:r>
            <w:r w:rsidRPr="00DA1497">
              <w:rPr>
                <w:sz w:val="20"/>
                <w:szCs w:val="20"/>
                <w:lang w:val="en-US"/>
              </w:rPr>
              <w:t>/c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C319C" w:rsidRPr="00DA1497" w:rsidRDefault="00A850F4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C319C" w:rsidRPr="00DA1497" w:rsidRDefault="008C319C" w:rsidP="00EA69CC">
            <w:pPr>
              <w:jc w:val="center"/>
              <w:rPr>
                <w:sz w:val="20"/>
                <w:szCs w:val="20"/>
                <w:lang w:val="en-US"/>
              </w:rPr>
            </w:pPr>
            <w:r w:rsidRPr="00DA1497">
              <w:rPr>
                <w:sz w:val="20"/>
                <w:szCs w:val="20"/>
                <w:lang w:val="en-US"/>
              </w:rPr>
              <w:t>3</w:t>
            </w:r>
            <w:r w:rsidR="00EA69CC" w:rsidRPr="00DA1497">
              <w:rPr>
                <w:sz w:val="20"/>
                <w:szCs w:val="20"/>
              </w:rPr>
              <w:t>85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 xml:space="preserve">Доля ОИВ </w:t>
            </w:r>
            <w:proofErr w:type="gramStart"/>
            <w:r w:rsidRPr="00DA1497">
              <w:rPr>
                <w:sz w:val="20"/>
                <w:szCs w:val="20"/>
              </w:rPr>
              <w:t>ВО</w:t>
            </w:r>
            <w:proofErr w:type="gramEnd"/>
            <w:r w:rsidRPr="00DA1497">
              <w:rPr>
                <w:sz w:val="20"/>
                <w:szCs w:val="20"/>
              </w:rPr>
              <w:t>, обеспеченных услугой доступа в информационно-телекоммуникационную сеть Интернет</w:t>
            </w:r>
          </w:p>
        </w:tc>
        <w:tc>
          <w:tcPr>
            <w:tcW w:w="850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100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Количество поддерживаемых доменных имен для нужд органов исполнительной власти Волгоградской области</w:t>
            </w:r>
          </w:p>
        </w:tc>
        <w:tc>
          <w:tcPr>
            <w:tcW w:w="850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vAlign w:val="center"/>
          </w:tcPr>
          <w:p w:rsidR="008C319C" w:rsidRPr="00DA1497" w:rsidRDefault="00A850F4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A850F4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8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Уровень доступа ОИВ ВО в информационно-телекоммуникационную сеть Интернет, не менее</w:t>
            </w:r>
          </w:p>
        </w:tc>
        <w:tc>
          <w:tcPr>
            <w:tcW w:w="850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99,5</w:t>
            </w:r>
          </w:p>
        </w:tc>
      </w:tr>
      <w:tr w:rsidR="0033771F" w:rsidRPr="00DA1497" w:rsidTr="000F7776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33771F" w:rsidRPr="00DA1497" w:rsidRDefault="0033771F" w:rsidP="000F7776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Эффективность расходования бюджетных средств по централизованной закупке услуг по аренде каналов доступа в информационно-телекоммуникационную сеть Интернет, не менее</w:t>
            </w:r>
          </w:p>
        </w:tc>
        <w:tc>
          <w:tcPr>
            <w:tcW w:w="850" w:type="dxa"/>
            <w:vAlign w:val="center"/>
          </w:tcPr>
          <w:p w:rsidR="0033771F" w:rsidRPr="00DA1497" w:rsidRDefault="0033771F" w:rsidP="000F7776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3771F" w:rsidRPr="00DA1497" w:rsidRDefault="0033771F" w:rsidP="000F7776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3771F" w:rsidRPr="00DA1497" w:rsidRDefault="0033771F" w:rsidP="000F7776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27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Совокупная полоса пропускания арендуемых каналов передачи данных, не менее</w:t>
            </w:r>
          </w:p>
        </w:tc>
        <w:tc>
          <w:tcPr>
            <w:tcW w:w="850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Мбит</w:t>
            </w:r>
            <w:r w:rsidRPr="00DA1497">
              <w:rPr>
                <w:sz w:val="20"/>
                <w:szCs w:val="20"/>
                <w:lang w:val="en-US"/>
              </w:rPr>
              <w:t>/c</w:t>
            </w:r>
          </w:p>
        </w:tc>
        <w:tc>
          <w:tcPr>
            <w:tcW w:w="851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928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928</w:t>
            </w:r>
          </w:p>
        </w:tc>
      </w:tr>
      <w:tr w:rsidR="0033771F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33771F" w:rsidRPr="00DA1497" w:rsidRDefault="0033771F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Эффективность расходования бюджетных средств по централизованной закупке услуг по аренде каналов передачи данных, не менее</w:t>
            </w:r>
          </w:p>
        </w:tc>
        <w:tc>
          <w:tcPr>
            <w:tcW w:w="850" w:type="dxa"/>
            <w:vAlign w:val="center"/>
          </w:tcPr>
          <w:p w:rsidR="0033771F" w:rsidRPr="00DA1497" w:rsidRDefault="0033771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3771F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3771F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32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Протяженность арендуемой телефонной канализации для размещения волоконно-оптического кабеля АВО, не менее</w:t>
            </w:r>
          </w:p>
        </w:tc>
        <w:tc>
          <w:tcPr>
            <w:tcW w:w="850" w:type="dxa"/>
            <w:vAlign w:val="center"/>
          </w:tcPr>
          <w:p w:rsidR="008C319C" w:rsidRPr="00DA1497" w:rsidRDefault="00A850F4" w:rsidP="00CA34D9">
            <w:pPr>
              <w:jc w:val="center"/>
              <w:rPr>
                <w:sz w:val="20"/>
                <w:szCs w:val="20"/>
                <w:lang w:val="en-US"/>
              </w:rPr>
            </w:pPr>
            <w:r w:rsidRPr="00DA1497">
              <w:rPr>
                <w:sz w:val="20"/>
                <w:szCs w:val="20"/>
              </w:rPr>
              <w:t>к</w:t>
            </w:r>
            <w:r w:rsidR="008C319C" w:rsidRPr="00DA1497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30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 xml:space="preserve">Количество видов услуг связи, оказываемых ОИВ </w:t>
            </w:r>
            <w:proofErr w:type="gramStart"/>
            <w:r w:rsidRPr="00DA1497"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850" w:type="dxa"/>
            <w:vAlign w:val="center"/>
          </w:tcPr>
          <w:p w:rsidR="008C319C" w:rsidRPr="00DA1497" w:rsidRDefault="008C319C" w:rsidP="00CA34D9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A1497">
              <w:rPr>
                <w:bCs/>
                <w:sz w:val="20"/>
                <w:szCs w:val="20"/>
              </w:rPr>
              <w:t>шт</w:t>
            </w:r>
            <w:proofErr w:type="spellEnd"/>
            <w:r w:rsidRPr="00DA1497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8C319C" w:rsidRPr="00DA1497" w:rsidRDefault="008C319C" w:rsidP="008C319C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 xml:space="preserve">6 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8C319C" w:rsidRPr="00DA1497" w:rsidRDefault="008C319C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 xml:space="preserve">Уровень доступа услуг связи для ОИВ </w:t>
            </w:r>
            <w:proofErr w:type="gramStart"/>
            <w:r w:rsidRPr="00DA1497">
              <w:rPr>
                <w:sz w:val="20"/>
                <w:szCs w:val="20"/>
              </w:rPr>
              <w:t>ВО</w:t>
            </w:r>
            <w:proofErr w:type="gramEnd"/>
            <w:r w:rsidRPr="00DA1497">
              <w:rPr>
                <w:sz w:val="20"/>
                <w:szCs w:val="20"/>
              </w:rPr>
              <w:t>, не менее</w:t>
            </w:r>
          </w:p>
        </w:tc>
        <w:tc>
          <w:tcPr>
            <w:tcW w:w="850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C319C" w:rsidRPr="00DA1497" w:rsidRDefault="008C319C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99,5</w:t>
            </w:r>
          </w:p>
        </w:tc>
      </w:tr>
      <w:tr w:rsidR="00302C4F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</w:tcBorders>
          </w:tcPr>
          <w:p w:rsidR="00302C4F" w:rsidRPr="00DA1497" w:rsidRDefault="00302C4F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Эффективность расходования бюджетных средств по централизованной закупке услуг сотовой связи, не менее</w:t>
            </w:r>
          </w:p>
        </w:tc>
        <w:tc>
          <w:tcPr>
            <w:tcW w:w="850" w:type="dxa"/>
            <w:vAlign w:val="center"/>
          </w:tcPr>
          <w:p w:rsidR="00302C4F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02C4F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02C4F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21</w:t>
            </w:r>
          </w:p>
        </w:tc>
      </w:tr>
      <w:tr w:rsidR="008C319C" w:rsidRPr="00DA1497" w:rsidTr="00FE22A4">
        <w:trPr>
          <w:cantSplit/>
          <w:trHeight w:val="20"/>
        </w:trPr>
        <w:tc>
          <w:tcPr>
            <w:tcW w:w="7088" w:type="dxa"/>
            <w:tcBorders>
              <w:left w:val="double" w:sz="4" w:space="0" w:color="auto"/>
              <w:bottom w:val="double" w:sz="4" w:space="0" w:color="auto"/>
            </w:tcBorders>
          </w:tcPr>
          <w:p w:rsidR="008C319C" w:rsidRPr="00DA1497" w:rsidRDefault="00302C4F" w:rsidP="00FE22A4">
            <w:pPr>
              <w:ind w:left="-57" w:right="-108"/>
              <w:rPr>
                <w:sz w:val="20"/>
                <w:szCs w:val="20"/>
              </w:rPr>
            </w:pPr>
            <w:r w:rsidRPr="00DA1497">
              <w:rPr>
                <w:rFonts w:eastAsia="Times New Roman CYR"/>
                <w:sz w:val="20"/>
                <w:szCs w:val="20"/>
              </w:rPr>
              <w:t>Количество органов исполнительной власти Волгоградской области, обеспеченных структурированными кабельными системами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C319C" w:rsidRPr="00DA1497" w:rsidRDefault="00302C4F" w:rsidP="00CA34D9">
            <w:pPr>
              <w:jc w:val="center"/>
              <w:rPr>
                <w:bCs/>
                <w:sz w:val="20"/>
                <w:szCs w:val="20"/>
              </w:rPr>
            </w:pPr>
            <w:r w:rsidRPr="00DA14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C319C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C319C" w:rsidRPr="00DA1497" w:rsidRDefault="00302C4F" w:rsidP="00CA34D9">
            <w:pPr>
              <w:jc w:val="center"/>
              <w:rPr>
                <w:sz w:val="20"/>
                <w:szCs w:val="20"/>
              </w:rPr>
            </w:pPr>
            <w:r w:rsidRPr="00DA1497">
              <w:rPr>
                <w:sz w:val="20"/>
                <w:szCs w:val="20"/>
              </w:rPr>
              <w:t>1</w:t>
            </w:r>
          </w:p>
        </w:tc>
      </w:tr>
    </w:tbl>
    <w:p w:rsidR="00932CB7" w:rsidRPr="00DA1497" w:rsidRDefault="00932CB7" w:rsidP="00265695">
      <w:pPr>
        <w:ind w:firstLine="709"/>
        <w:jc w:val="both"/>
      </w:pPr>
    </w:p>
    <w:p w:rsidR="00932CB7" w:rsidRPr="007E5BBD" w:rsidRDefault="00967A8C" w:rsidP="00967A8C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u w:val="single"/>
          <w:lang w:eastAsia="en-US"/>
        </w:rPr>
      </w:pPr>
      <w:r w:rsidRPr="007E5BBD">
        <w:rPr>
          <w:i/>
          <w:u w:val="single"/>
        </w:rPr>
        <w:t>ВЦП</w:t>
      </w:r>
      <w:r w:rsidR="0063689B" w:rsidRPr="007E5BBD">
        <w:rPr>
          <w:rFonts w:eastAsiaTheme="minorHAnsi"/>
          <w:bCs/>
          <w:i/>
          <w:iCs/>
          <w:u w:val="single"/>
          <w:lang w:eastAsia="en-US"/>
        </w:rPr>
        <w:t xml:space="preserve"> «</w:t>
      </w:r>
      <w:r w:rsidRPr="007E5BBD">
        <w:rPr>
          <w:rFonts w:eastAsiaTheme="minorHAnsi"/>
          <w:bCs/>
          <w:i/>
          <w:iCs/>
          <w:u w:val="single"/>
          <w:lang w:eastAsia="en-US"/>
        </w:rPr>
        <w:t xml:space="preserve">Обеспечение сетевой безопасности </w:t>
      </w:r>
    </w:p>
    <w:p w:rsidR="00967A8C" w:rsidRPr="007E5BBD" w:rsidRDefault="00967A8C" w:rsidP="00967A8C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u w:val="single"/>
          <w:lang w:eastAsia="en-US"/>
        </w:rPr>
      </w:pPr>
      <w:r w:rsidRPr="007E5BBD">
        <w:rPr>
          <w:rFonts w:eastAsiaTheme="minorHAnsi"/>
          <w:bCs/>
          <w:i/>
          <w:iCs/>
          <w:u w:val="single"/>
          <w:lang w:eastAsia="en-US"/>
        </w:rPr>
        <w:t>государс</w:t>
      </w:r>
      <w:r w:rsidR="0063689B" w:rsidRPr="007E5BBD">
        <w:rPr>
          <w:rFonts w:eastAsiaTheme="minorHAnsi"/>
          <w:bCs/>
          <w:i/>
          <w:iCs/>
          <w:u w:val="single"/>
          <w:lang w:eastAsia="en-US"/>
        </w:rPr>
        <w:t>твенных информационных ресурсов»</w:t>
      </w:r>
    </w:p>
    <w:p w:rsidR="008814E7" w:rsidRPr="007E5BBD" w:rsidRDefault="00E43BB1" w:rsidP="00933180">
      <w:pPr>
        <w:ind w:firstLine="708"/>
        <w:jc w:val="both"/>
      </w:pPr>
      <w:r w:rsidRPr="007E5BBD">
        <w:t xml:space="preserve">ВЦП «Обеспечение сетевой безопасности государственных информационных ресурсов» </w:t>
      </w:r>
      <w:proofErr w:type="gramStart"/>
      <w:r w:rsidRPr="007E5BBD">
        <w:t>утверждена</w:t>
      </w:r>
      <w:proofErr w:type="gramEnd"/>
      <w:r w:rsidRPr="007E5BBD">
        <w:t xml:space="preserve"> приказом Комитета от </w:t>
      </w:r>
      <w:r w:rsidR="005650FA" w:rsidRPr="007E5BBD">
        <w:t>30</w:t>
      </w:r>
      <w:r w:rsidRPr="007E5BBD">
        <w:t>.1</w:t>
      </w:r>
      <w:r w:rsidR="005650FA" w:rsidRPr="007E5BBD">
        <w:t>2</w:t>
      </w:r>
      <w:r w:rsidRPr="007E5BBD">
        <w:t>.201</w:t>
      </w:r>
      <w:r w:rsidR="005650FA" w:rsidRPr="007E5BBD">
        <w:t>6</w:t>
      </w:r>
      <w:r w:rsidRPr="007E5BBD">
        <w:t xml:space="preserve"> № 17</w:t>
      </w:r>
      <w:r w:rsidR="005650FA" w:rsidRPr="007E5BBD">
        <w:t>0</w:t>
      </w:r>
      <w:r w:rsidRPr="007E5BBD">
        <w:t>-о/</w:t>
      </w:r>
      <w:proofErr w:type="spellStart"/>
      <w:r w:rsidRPr="007E5BBD">
        <w:t>д</w:t>
      </w:r>
      <w:proofErr w:type="spellEnd"/>
      <w:r w:rsidR="005650FA" w:rsidRPr="007E5BBD">
        <w:t xml:space="preserve"> ДСП</w:t>
      </w:r>
      <w:r w:rsidR="00834E26" w:rsidRPr="007E5BBD">
        <w:t xml:space="preserve"> (для служебного пользования)</w:t>
      </w:r>
      <w:r w:rsidR="000F7776" w:rsidRPr="007E5BBD">
        <w:t>.</w:t>
      </w:r>
      <w:r w:rsidR="007E5BBD" w:rsidRPr="007E5BBD">
        <w:t xml:space="preserve"> </w:t>
      </w:r>
      <w:r w:rsidR="00933180" w:rsidRPr="007E5BBD">
        <w:t xml:space="preserve">Программой предусмотрено </w:t>
      </w:r>
      <w:r w:rsidR="008814E7" w:rsidRPr="007E5BBD">
        <w:t>пятнадцать целевых показателей, по трем из которых плановые значения не достигнуты:</w:t>
      </w:r>
    </w:p>
    <w:p w:rsidR="008814E7" w:rsidRPr="007E5BBD" w:rsidRDefault="008814E7" w:rsidP="00933180">
      <w:pPr>
        <w:ind w:firstLine="708"/>
        <w:jc w:val="both"/>
      </w:pPr>
      <w:r w:rsidRPr="007E5BBD">
        <w:t>-</w:t>
      </w:r>
      <w:r w:rsidR="004E1707" w:rsidRPr="007E5BBD">
        <w:t xml:space="preserve">количество созданных в результате модернизации рабочих точек локальной вычислительной сети (план 120 / факт 0) в связи с </w:t>
      </w:r>
      <w:r w:rsidR="00272E32" w:rsidRPr="007E5BBD">
        <w:t>недостаточностью лимитов бюджетных обязательств</w:t>
      </w:r>
      <w:r w:rsidR="004E1707" w:rsidRPr="007E5BBD">
        <w:t>;</w:t>
      </w:r>
    </w:p>
    <w:p w:rsidR="00272E32" w:rsidRPr="007E5BBD" w:rsidRDefault="004E1707" w:rsidP="00272E32">
      <w:pPr>
        <w:ind w:firstLine="708"/>
        <w:jc w:val="both"/>
      </w:pPr>
      <w:r w:rsidRPr="007E5BBD">
        <w:t xml:space="preserve">-количество ежегодных специализированных курсов подготовки, переподготовки и повышения квалификации…(план 3 / факт 0) в связи </w:t>
      </w:r>
      <w:r w:rsidR="00272E32" w:rsidRPr="007E5BBD">
        <w:t>с недостаточностью лимитов бюджетных обязательств;</w:t>
      </w:r>
    </w:p>
    <w:p w:rsidR="00272E32" w:rsidRDefault="00272E32" w:rsidP="00272E32">
      <w:pPr>
        <w:ind w:firstLine="708"/>
        <w:jc w:val="both"/>
      </w:pPr>
      <w:r w:rsidRPr="007E5BBD">
        <w:t>-количество созданных и выданных ключей электронных подписей… (план 6000 ед. / факт 5414 ед.)</w:t>
      </w:r>
      <w:r w:rsidR="004E271D" w:rsidRPr="007E5BBD">
        <w:t xml:space="preserve"> в связи с отсутствием заявок на выдачу (заявочный принцип).</w:t>
      </w:r>
    </w:p>
    <w:p w:rsidR="00E43482" w:rsidRPr="007E5BBD" w:rsidRDefault="00E43482" w:rsidP="00272E32">
      <w:pPr>
        <w:ind w:firstLine="708"/>
        <w:jc w:val="both"/>
      </w:pPr>
    </w:p>
    <w:p w:rsidR="0025054E" w:rsidRPr="007E5BBD" w:rsidRDefault="0025054E" w:rsidP="0025054E">
      <w:pPr>
        <w:ind w:firstLine="709"/>
        <w:jc w:val="center"/>
        <w:rPr>
          <w:b/>
          <w:i/>
        </w:rPr>
      </w:pPr>
      <w:r w:rsidRPr="007E5BBD">
        <w:rPr>
          <w:b/>
          <w:i/>
        </w:rPr>
        <w:t>Состояние внутреннего финансового контроля и</w:t>
      </w:r>
    </w:p>
    <w:p w:rsidR="0025054E" w:rsidRPr="007E5BBD" w:rsidRDefault="0025054E" w:rsidP="0025054E">
      <w:pPr>
        <w:ind w:firstLine="709"/>
        <w:jc w:val="center"/>
        <w:rPr>
          <w:b/>
          <w:i/>
        </w:rPr>
      </w:pPr>
      <w:r w:rsidRPr="007E5BBD">
        <w:rPr>
          <w:b/>
          <w:i/>
        </w:rPr>
        <w:t xml:space="preserve"> внутреннего финансового аудита</w:t>
      </w:r>
    </w:p>
    <w:p w:rsidR="00DF61D4" w:rsidRPr="00DF61D4" w:rsidRDefault="00DF61D4" w:rsidP="00DF61D4">
      <w:pPr>
        <w:pStyle w:val="afb"/>
        <w:ind w:firstLine="709"/>
        <w:jc w:val="both"/>
        <w:rPr>
          <w:rFonts w:ascii="Times New Roman" w:hAnsi="Times New Roman" w:cs="Times New Roman"/>
        </w:rPr>
      </w:pPr>
      <w:r w:rsidRPr="00DF61D4">
        <w:rPr>
          <w:rFonts w:ascii="Times New Roman" w:hAnsi="Times New Roman" w:cs="Times New Roman"/>
        </w:rPr>
        <w:t>Внутренний финансовый контроль и внутренний финансовый аудит в Комитете осуществляется на основании приказа Комитета от 10.05.2017 г. № 56-о/</w:t>
      </w:r>
      <w:proofErr w:type="spellStart"/>
      <w:r w:rsidRPr="00DF61D4">
        <w:rPr>
          <w:rFonts w:ascii="Times New Roman" w:hAnsi="Times New Roman" w:cs="Times New Roman"/>
        </w:rPr>
        <w:t>д</w:t>
      </w:r>
      <w:proofErr w:type="spellEnd"/>
      <w:r w:rsidRPr="00DF61D4">
        <w:rPr>
          <w:rFonts w:ascii="Times New Roman" w:hAnsi="Times New Roman" w:cs="Times New Roman"/>
        </w:rPr>
        <w:t xml:space="preserve"> «Об организации внутреннего финансового контроля и внутреннего финансового аудита в комитете информационных технологий Волгоградской области».</w:t>
      </w:r>
    </w:p>
    <w:p w:rsidR="0025054E" w:rsidRPr="00DF61D4" w:rsidRDefault="0025054E" w:rsidP="0025054E">
      <w:pPr>
        <w:ind w:firstLine="709"/>
        <w:jc w:val="both"/>
        <w:rPr>
          <w:i/>
          <w:u w:val="single"/>
        </w:rPr>
      </w:pPr>
      <w:r w:rsidRPr="00DF61D4">
        <w:rPr>
          <w:i/>
          <w:u w:val="single"/>
        </w:rPr>
        <w:t>Внутренний финансовый контроль</w:t>
      </w:r>
    </w:p>
    <w:p w:rsidR="00EF0DE8" w:rsidRPr="00DF61D4" w:rsidRDefault="0025054E" w:rsidP="0025054E">
      <w:pPr>
        <w:ind w:firstLine="709"/>
        <w:jc w:val="both"/>
      </w:pPr>
      <w:r w:rsidRPr="00DF61D4">
        <w:lastRenderedPageBreak/>
        <w:t>Согласно представленной к проверке информации</w:t>
      </w:r>
      <w:r w:rsidR="00DF61D4" w:rsidRPr="00DF61D4">
        <w:t>,</w:t>
      </w:r>
      <w:r w:rsidRPr="00DF61D4">
        <w:t xml:space="preserve"> контрольными мероприятиями охвач</w:t>
      </w:r>
      <w:r w:rsidR="00EF0DE8" w:rsidRPr="00DF61D4">
        <w:t xml:space="preserve">ены все подразделения Комитета, исполняющие бюджетные полномочия. </w:t>
      </w:r>
      <w:r w:rsidR="005D361F" w:rsidRPr="00DF61D4">
        <w:t>Мероприятия осуществлялись методами самоконтроля, контроля по уровню подчиненности, контроля по уровню подведомственности и смежного контроля. По данным отчетов о результатах внутреннего финансового контроля за 2017 год нарушений не выявлено.</w:t>
      </w:r>
    </w:p>
    <w:p w:rsidR="0025054E" w:rsidRPr="007F5668" w:rsidRDefault="0025054E" w:rsidP="0025054E">
      <w:pPr>
        <w:ind w:firstLine="709"/>
        <w:jc w:val="both"/>
        <w:rPr>
          <w:i/>
          <w:u w:val="single"/>
        </w:rPr>
      </w:pPr>
      <w:r w:rsidRPr="007F5668">
        <w:rPr>
          <w:i/>
          <w:u w:val="single"/>
        </w:rPr>
        <w:t>Внутренний финансовый аудит</w:t>
      </w:r>
    </w:p>
    <w:p w:rsidR="00552733" w:rsidRPr="007F5668" w:rsidRDefault="00E60CE2" w:rsidP="00112637">
      <w:pPr>
        <w:autoSpaceDE w:val="0"/>
        <w:autoSpaceDN w:val="0"/>
        <w:adjustRightInd w:val="0"/>
        <w:ind w:firstLine="720"/>
        <w:jc w:val="both"/>
      </w:pPr>
      <w:bookmarkStart w:id="1" w:name="sub_33"/>
      <w:r w:rsidRPr="007F5668">
        <w:t>Аудиторские проверки проведены в четырех структурных подразделениях Комитета и в ГКУ «ЦИТ».</w:t>
      </w:r>
      <w:r w:rsidR="00CD01F7" w:rsidRPr="007F5668">
        <w:t xml:space="preserve"> По результатам аудиторск</w:t>
      </w:r>
      <w:r w:rsidR="00552733" w:rsidRPr="007F5668">
        <w:t>их проверок установлено следующее:</w:t>
      </w:r>
    </w:p>
    <w:p w:rsidR="00552733" w:rsidRPr="007F5668" w:rsidRDefault="00552733" w:rsidP="00112637">
      <w:pPr>
        <w:autoSpaceDE w:val="0"/>
        <w:autoSpaceDN w:val="0"/>
        <w:adjustRightInd w:val="0"/>
        <w:ind w:firstLine="720"/>
        <w:jc w:val="both"/>
      </w:pPr>
      <w:r w:rsidRPr="007F5668">
        <w:t>-отсутствие утвержденного Комитетом как главным распорядителем бюджетных средств порядка утверждения и составления бюджетной сметы для ГКУ «ЦИТ». На 05.04.2018 разработанный Комитетом проект проходи</w:t>
      </w:r>
      <w:r w:rsidR="00926674" w:rsidRPr="007F5668">
        <w:t>л</w:t>
      </w:r>
      <w:r w:rsidRPr="007F5668">
        <w:t xml:space="preserve"> процедуру согласования;</w:t>
      </w:r>
    </w:p>
    <w:p w:rsidR="00552733" w:rsidRPr="007F5668" w:rsidRDefault="00552733" w:rsidP="00552733">
      <w:pPr>
        <w:autoSpaceDE w:val="0"/>
        <w:autoSpaceDN w:val="0"/>
        <w:adjustRightInd w:val="0"/>
        <w:ind w:firstLine="540"/>
        <w:jc w:val="both"/>
      </w:pPr>
      <w:r w:rsidRPr="007F5668">
        <w:t>-</w:t>
      </w:r>
      <w:bookmarkEnd w:id="1"/>
      <w:r w:rsidRPr="007F5668">
        <w:t xml:space="preserve">нарушения требований </w:t>
      </w:r>
      <w:r w:rsidRPr="007F5668">
        <w:rPr>
          <w:rFonts w:eastAsiaTheme="minorHAnsi"/>
          <w:lang w:eastAsia="en-US"/>
        </w:rPr>
        <w:t xml:space="preserve">формирования финансовых и первичных учетных документов </w:t>
      </w:r>
      <w:r w:rsidRPr="007F5668">
        <w:t>(устранены в ходе проверки)</w:t>
      </w:r>
      <w:r w:rsidR="004F188F" w:rsidRPr="007F5668">
        <w:t>.</w:t>
      </w:r>
    </w:p>
    <w:p w:rsidR="00DF61D4" w:rsidRDefault="00DF61D4" w:rsidP="00552733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DF61D4" w:rsidRPr="009A074D" w:rsidRDefault="00DF61D4" w:rsidP="00DF61D4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A074D">
        <w:rPr>
          <w:rFonts w:eastAsia="Calibri"/>
          <w:b/>
          <w:i/>
        </w:rPr>
        <w:t>Выводы:</w:t>
      </w:r>
    </w:p>
    <w:p w:rsidR="00511C59" w:rsidRPr="00A6556B" w:rsidRDefault="00511C59" w:rsidP="00DF61D4">
      <w:pPr>
        <w:pStyle w:val="af8"/>
        <w:numPr>
          <w:ilvl w:val="0"/>
          <w:numId w:val="5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556B">
        <w:rPr>
          <w:rFonts w:ascii="Times New Roman" w:hAnsi="Times New Roman" w:cs="Times New Roman"/>
          <w:sz w:val="24"/>
          <w:szCs w:val="24"/>
        </w:rPr>
        <w:t>Проверкой бюджетной отчетности установлены следующие нарушения:</w:t>
      </w:r>
    </w:p>
    <w:p w:rsidR="00511C59" w:rsidRPr="00A6556B" w:rsidRDefault="00511C59" w:rsidP="00B65937">
      <w:pPr>
        <w:pStyle w:val="af8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56B">
        <w:rPr>
          <w:rFonts w:ascii="Times New Roman" w:hAnsi="Times New Roman" w:cs="Times New Roman"/>
          <w:sz w:val="24"/>
          <w:szCs w:val="24"/>
        </w:rPr>
        <w:t>-</w:t>
      </w:r>
      <w:r w:rsidR="00F21131" w:rsidRPr="00A6556B">
        <w:rPr>
          <w:rFonts w:ascii="Times New Roman" w:hAnsi="Times New Roman" w:cs="Times New Roman"/>
          <w:sz w:val="24"/>
          <w:szCs w:val="24"/>
        </w:rPr>
        <w:t>в 29 случаях не отражена информация о просроченной дебиторской задолженности по состоянию на 01.01.2018 на общую сумму 289,1 тыс. рублей;</w:t>
      </w:r>
    </w:p>
    <w:p w:rsidR="00F21131" w:rsidRDefault="00F21131" w:rsidP="00B65937">
      <w:pPr>
        <w:pStyle w:val="af8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56B">
        <w:rPr>
          <w:rFonts w:ascii="Times New Roman" w:hAnsi="Times New Roman" w:cs="Times New Roman"/>
          <w:sz w:val="24"/>
          <w:szCs w:val="24"/>
        </w:rPr>
        <w:t>-</w:t>
      </w:r>
      <w:r w:rsidR="00A6556B" w:rsidRPr="00A6556B">
        <w:rPr>
          <w:rFonts w:ascii="Times New Roman" w:hAnsi="Times New Roman" w:cs="Times New Roman"/>
          <w:sz w:val="24"/>
          <w:szCs w:val="24"/>
        </w:rPr>
        <w:t>в 3 случаях формы бюджетной отчётности не содержат надлежащей информации.</w:t>
      </w:r>
    </w:p>
    <w:p w:rsidR="00541EE3" w:rsidRPr="00A6556B" w:rsidRDefault="00541EE3" w:rsidP="00B65937">
      <w:pPr>
        <w:pStyle w:val="af8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нарушения устранены,</w:t>
      </w:r>
      <w:r w:rsidR="00B65937">
        <w:rPr>
          <w:rFonts w:ascii="Times New Roman" w:hAnsi="Times New Roman" w:cs="Times New Roman"/>
          <w:sz w:val="24"/>
          <w:szCs w:val="24"/>
        </w:rPr>
        <w:t xml:space="preserve"> в комитет финансов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пересмотренные формы бюджетной отчетности.</w:t>
      </w:r>
    </w:p>
    <w:p w:rsidR="000E2D52" w:rsidRPr="000A5CAB" w:rsidRDefault="00115717" w:rsidP="000E2D52">
      <w:pPr>
        <w:pStyle w:val="af8"/>
        <w:numPr>
          <w:ilvl w:val="0"/>
          <w:numId w:val="5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ст.10 Закона № 402-ФЗ и п.324 Инструкции № </w:t>
      </w:r>
      <w:r w:rsidRPr="00115717">
        <w:rPr>
          <w:rFonts w:ascii="Times New Roman" w:hAnsi="Times New Roman" w:cs="Times New Roman"/>
          <w:sz w:val="24"/>
          <w:szCs w:val="24"/>
        </w:rPr>
        <w:t>157н в бюджетном учете Комитета н</w:t>
      </w:r>
      <w:r w:rsidRPr="00216F68">
        <w:rPr>
          <w:rFonts w:ascii="Times New Roman" w:hAnsi="Times New Roman" w:cs="Times New Roman"/>
          <w:sz w:val="24"/>
          <w:szCs w:val="24"/>
        </w:rPr>
        <w:t xml:space="preserve">е нашли отражения установленные прогнозные показатели по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 Комитетом доходам областного бюджета в сумме </w:t>
      </w:r>
      <w:r>
        <w:rPr>
          <w:rFonts w:ascii="Times New Roman" w:hAnsi="Times New Roman" w:cs="Times New Roman"/>
          <w:sz w:val="24"/>
          <w:szCs w:val="24"/>
        </w:rPr>
        <w:t>14 688,2</w:t>
      </w:r>
      <w:r w:rsidRPr="00216F6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541EE3">
        <w:rPr>
          <w:rFonts w:ascii="Times New Roman" w:hAnsi="Times New Roman" w:cs="Times New Roman"/>
          <w:sz w:val="24"/>
          <w:szCs w:val="24"/>
        </w:rPr>
        <w:t xml:space="preserve"> В ходе проверки нарушение </w:t>
      </w:r>
      <w:r w:rsidR="00541EE3" w:rsidRPr="000A5CAB">
        <w:rPr>
          <w:rFonts w:ascii="Times New Roman" w:hAnsi="Times New Roman" w:cs="Times New Roman"/>
          <w:sz w:val="24"/>
          <w:szCs w:val="24"/>
        </w:rPr>
        <w:t>устранено.</w:t>
      </w:r>
    </w:p>
    <w:p w:rsidR="000E2D52" w:rsidRDefault="00BA0C4D" w:rsidP="00DF61D4">
      <w:pPr>
        <w:pStyle w:val="af8"/>
        <w:numPr>
          <w:ilvl w:val="0"/>
          <w:numId w:val="5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CAB">
        <w:rPr>
          <w:rFonts w:ascii="Times New Roman" w:hAnsi="Times New Roman" w:cs="Times New Roman"/>
          <w:sz w:val="24"/>
          <w:szCs w:val="24"/>
        </w:rPr>
        <w:t xml:space="preserve">В </w:t>
      </w:r>
      <w:r w:rsidR="000E2D52" w:rsidRPr="000A5CAB">
        <w:rPr>
          <w:rFonts w:ascii="Times New Roman" w:hAnsi="Times New Roman" w:cs="Times New Roman"/>
          <w:sz w:val="24"/>
          <w:szCs w:val="24"/>
        </w:rPr>
        <w:t>связи с</w:t>
      </w:r>
      <w:r w:rsidRPr="000A5CAB">
        <w:rPr>
          <w:rFonts w:ascii="Times New Roman" w:hAnsi="Times New Roman" w:cs="Times New Roman"/>
          <w:sz w:val="24"/>
          <w:szCs w:val="24"/>
        </w:rPr>
        <w:t xml:space="preserve"> перераспределени</w:t>
      </w:r>
      <w:r w:rsidR="000E2D52" w:rsidRPr="000A5CAB">
        <w:rPr>
          <w:rFonts w:ascii="Times New Roman" w:hAnsi="Times New Roman" w:cs="Times New Roman"/>
          <w:sz w:val="24"/>
          <w:szCs w:val="24"/>
        </w:rPr>
        <w:t>ем</w:t>
      </w:r>
      <w:r w:rsidRPr="000A5CAB">
        <w:rPr>
          <w:rFonts w:ascii="Times New Roman" w:hAnsi="Times New Roman" w:cs="Times New Roman"/>
          <w:sz w:val="24"/>
          <w:szCs w:val="24"/>
        </w:rPr>
        <w:t xml:space="preserve"> бюджетных ассигнований между текущим финансовым годом и плановым периодом на основании решений комитета финансов Волгоградской области</w:t>
      </w:r>
      <w:r w:rsidR="000A5CAB">
        <w:rPr>
          <w:rFonts w:ascii="Times New Roman" w:hAnsi="Times New Roman" w:cs="Times New Roman"/>
          <w:sz w:val="24"/>
          <w:szCs w:val="24"/>
        </w:rPr>
        <w:t>,</w:t>
      </w:r>
      <w:r w:rsidR="000E2D52" w:rsidRPr="000A5CAB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0E2D52" w:rsidRPr="000A5CAB">
        <w:rPr>
          <w:rFonts w:ascii="Times New Roman" w:hAnsi="Times New Roman" w:cs="Times New Roman"/>
          <w:sz w:val="24"/>
          <w:szCs w:val="24"/>
        </w:rPr>
        <w:t>бъем принятых Комитетом бюджетных обязательств в 2017 году превысил утвержденный сводной бюджетной росписью объ</w:t>
      </w:r>
      <w:r w:rsidR="00B65937">
        <w:rPr>
          <w:rFonts w:ascii="Times New Roman" w:hAnsi="Times New Roman" w:cs="Times New Roman"/>
          <w:sz w:val="24"/>
          <w:szCs w:val="24"/>
        </w:rPr>
        <w:t>ем бюджетных назначений в 2 раза, что повлекло увеличение</w:t>
      </w:r>
      <w:r w:rsidR="00BB3981" w:rsidRPr="000A5CAB">
        <w:rPr>
          <w:rFonts w:ascii="Times New Roman" w:hAnsi="Times New Roman" w:cs="Times New Roman"/>
          <w:sz w:val="24"/>
          <w:szCs w:val="24"/>
        </w:rPr>
        <w:t xml:space="preserve"> кредиторской задолженности Комитета </w:t>
      </w:r>
      <w:r w:rsidR="000A5CAB" w:rsidRPr="000A5CAB">
        <w:rPr>
          <w:rFonts w:ascii="Times New Roman" w:hAnsi="Times New Roman" w:cs="Times New Roman"/>
          <w:sz w:val="24"/>
          <w:szCs w:val="24"/>
        </w:rPr>
        <w:t>со 120 215,6 тыс. руб. до 424 004,3 тыс. руб., или в 3,5 раза.</w:t>
      </w:r>
      <w:proofErr w:type="gramEnd"/>
    </w:p>
    <w:p w:rsidR="00B65937" w:rsidRPr="000A5CAB" w:rsidRDefault="00B65937" w:rsidP="00DF61D4">
      <w:pPr>
        <w:pStyle w:val="af8"/>
        <w:numPr>
          <w:ilvl w:val="0"/>
          <w:numId w:val="5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DC56DA">
        <w:rPr>
          <w:rFonts w:ascii="Times New Roman" w:hAnsi="Times New Roman" w:cs="Times New Roman"/>
          <w:sz w:val="24"/>
          <w:szCs w:val="24"/>
        </w:rPr>
        <w:t xml:space="preserve">Комитета по доходам </w:t>
      </w:r>
      <w:r w:rsidR="00DC56DA" w:rsidRPr="00DC56DA">
        <w:rPr>
          <w:rFonts w:ascii="Times New Roman" w:hAnsi="Times New Roman" w:cs="Times New Roman"/>
          <w:sz w:val="24"/>
          <w:szCs w:val="24"/>
        </w:rPr>
        <w:t>на 01.01.</w:t>
      </w:r>
      <w:r w:rsidR="00DC56DA">
        <w:rPr>
          <w:rFonts w:ascii="Times New Roman" w:hAnsi="Times New Roman" w:cs="Times New Roman"/>
          <w:sz w:val="24"/>
          <w:szCs w:val="24"/>
        </w:rPr>
        <w:t>2018 составила 318,2 тыс. руб</w:t>
      </w:r>
      <w:r w:rsidR="00DC56DA" w:rsidRPr="00DC56DA">
        <w:rPr>
          <w:rFonts w:ascii="Times New Roman" w:hAnsi="Times New Roman" w:cs="Times New Roman"/>
          <w:sz w:val="24"/>
          <w:szCs w:val="24"/>
        </w:rPr>
        <w:t>.</w:t>
      </w:r>
      <w:r w:rsidR="00DC56DA">
        <w:rPr>
          <w:rFonts w:ascii="Times New Roman" w:hAnsi="Times New Roman" w:cs="Times New Roman"/>
          <w:sz w:val="24"/>
          <w:szCs w:val="24"/>
        </w:rPr>
        <w:t>, или 71,3% от общего объема дебиторской задолженности по доходам и свидетельствует о недостаточности принимаемых мер ГКУ «ЦИТ» по взысканию задолженности.</w:t>
      </w:r>
    </w:p>
    <w:p w:rsidR="00DF61D4" w:rsidRPr="000A5CAB" w:rsidRDefault="00DF61D4" w:rsidP="00DF61D4">
      <w:pPr>
        <w:autoSpaceDE w:val="0"/>
        <w:autoSpaceDN w:val="0"/>
        <w:adjustRightInd w:val="0"/>
        <w:ind w:firstLine="698"/>
        <w:jc w:val="both"/>
        <w:rPr>
          <w:b/>
        </w:rPr>
      </w:pPr>
    </w:p>
    <w:p w:rsidR="00DC56DA" w:rsidRDefault="00DC56DA" w:rsidP="00DC56D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Предложения</w:t>
      </w:r>
      <w:r w:rsidRPr="009A074D">
        <w:rPr>
          <w:rFonts w:eastAsia="Calibri"/>
          <w:b/>
          <w:i/>
        </w:rPr>
        <w:t>:</w:t>
      </w:r>
    </w:p>
    <w:p w:rsidR="00211F01" w:rsidRDefault="00DC56DA" w:rsidP="00DC56DA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DC56DA">
        <w:rPr>
          <w:rFonts w:eastAsia="Calibri"/>
          <w:b/>
        </w:rPr>
        <w:t>1.</w:t>
      </w:r>
      <w:r>
        <w:rPr>
          <w:rFonts w:eastAsia="Calibri"/>
          <w:b/>
        </w:rPr>
        <w:t xml:space="preserve"> </w:t>
      </w:r>
      <w:r w:rsidR="00211F01" w:rsidRPr="00211F01">
        <w:rPr>
          <w:rFonts w:eastAsia="Calibri"/>
        </w:rPr>
        <w:t xml:space="preserve">В связи </w:t>
      </w:r>
      <w:r w:rsidR="00211F01">
        <w:rPr>
          <w:rFonts w:eastAsia="Calibri"/>
        </w:rPr>
        <w:t>с многочисленными грубыми нарушениями требований к бухгалтерскому учету и отчетности</w:t>
      </w:r>
      <w:r w:rsidR="0046353D">
        <w:rPr>
          <w:rFonts w:eastAsia="Calibri"/>
        </w:rPr>
        <w:t xml:space="preserve">, организовать работу, направленную на повышение качества </w:t>
      </w:r>
      <w:r w:rsidR="0046353D" w:rsidRPr="00DF57F8">
        <w:t>проверк</w:t>
      </w:r>
      <w:r w:rsidR="0046353D">
        <w:t>и</w:t>
      </w:r>
      <w:r w:rsidR="0046353D" w:rsidRPr="00DF57F8">
        <w:t xml:space="preserve"> </w:t>
      </w:r>
      <w:r w:rsidR="0046353D">
        <w:t>в рамках финансового аудита</w:t>
      </w:r>
      <w:r w:rsidR="0046353D" w:rsidRPr="00DF57F8">
        <w:t xml:space="preserve"> достоверности бюджетной отчетности и соответствия порядка ведения бюджетного учета методологии</w:t>
      </w:r>
      <w:r w:rsidR="0046353D">
        <w:t xml:space="preserve"> и стандартам бюджетного учета.</w:t>
      </w:r>
    </w:p>
    <w:p w:rsidR="00DC56DA" w:rsidRPr="00A17694" w:rsidRDefault="00DC56DA" w:rsidP="00DC56DA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>
        <w:rPr>
          <w:rFonts w:eastAsia="Calibri"/>
          <w:b/>
        </w:rPr>
        <w:t xml:space="preserve">2. </w:t>
      </w:r>
      <w:r w:rsidR="00A17694" w:rsidRPr="00A17694">
        <w:rPr>
          <w:rFonts w:eastAsia="Calibri"/>
        </w:rPr>
        <w:t xml:space="preserve">Обеспечить </w:t>
      </w:r>
      <w:r w:rsidR="00A17694">
        <w:rPr>
          <w:rFonts w:eastAsia="Calibri"/>
        </w:rPr>
        <w:t>надлежащим образом работу по взысканию ГКУ «ЦИТ» дебиторской задолженности по доходам.</w:t>
      </w:r>
    </w:p>
    <w:p w:rsidR="00211F01" w:rsidRDefault="00211F01" w:rsidP="00DF61D4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</w:p>
    <w:p w:rsidR="0046353D" w:rsidRDefault="0046353D" w:rsidP="00DF61D4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</w:p>
    <w:p w:rsidR="0046353D" w:rsidRPr="00DF61D4" w:rsidRDefault="0046353D" w:rsidP="00DF61D4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</w:p>
    <w:p w:rsidR="00DF61D4" w:rsidRPr="00ED0E0F" w:rsidRDefault="00DF61D4" w:rsidP="00DF61D4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ED0E0F">
        <w:rPr>
          <w:rFonts w:eastAsia="Calibri"/>
          <w:b/>
          <w:i/>
        </w:rPr>
        <w:t xml:space="preserve">Аудитор                                                                                                Н.Л. </w:t>
      </w:r>
      <w:proofErr w:type="spellStart"/>
      <w:r w:rsidRPr="00ED0E0F">
        <w:rPr>
          <w:rFonts w:eastAsia="Calibri"/>
          <w:b/>
          <w:i/>
        </w:rPr>
        <w:t>Ноздрюхина</w:t>
      </w:r>
      <w:proofErr w:type="spellEnd"/>
    </w:p>
    <w:sectPr w:rsidR="00DF61D4" w:rsidRPr="00ED0E0F" w:rsidSect="007E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9F" w:rsidRDefault="00C3049F" w:rsidP="007E4D30">
      <w:r>
        <w:separator/>
      </w:r>
    </w:p>
  </w:endnote>
  <w:endnote w:type="continuationSeparator" w:id="0">
    <w:p w:rsidR="00C3049F" w:rsidRDefault="00C3049F" w:rsidP="007E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9C" w:rsidRDefault="004C539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9C" w:rsidRDefault="004C539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9C" w:rsidRDefault="004C53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9F" w:rsidRDefault="00C3049F" w:rsidP="007E4D30">
      <w:r>
        <w:separator/>
      </w:r>
    </w:p>
  </w:footnote>
  <w:footnote w:type="continuationSeparator" w:id="0">
    <w:p w:rsidR="00C3049F" w:rsidRDefault="00C3049F" w:rsidP="007E4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9C" w:rsidRDefault="004C539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9C" w:rsidRDefault="004C539C">
    <w:pPr>
      <w:pStyle w:val="aa"/>
      <w:jc w:val="center"/>
    </w:pPr>
    <w:sdt>
      <w:sdtPr>
        <w:id w:val="8743594"/>
        <w:docPartObj>
          <w:docPartGallery w:val="Page Numbers (Top of Page)"/>
          <w:docPartUnique/>
        </w:docPartObj>
      </w:sdtPr>
      <w:sdtContent>
        <w:fldSimple w:instr=" PAGE   \* MERGEFORMAT ">
          <w:r w:rsidR="004F36E9">
            <w:rPr>
              <w:noProof/>
            </w:rPr>
            <w:t>12</w:t>
          </w:r>
        </w:fldSimple>
      </w:sdtContent>
    </w:sdt>
  </w:p>
  <w:p w:rsidR="004C539C" w:rsidRDefault="004C539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9C" w:rsidRDefault="004C53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9C9"/>
    <w:multiLevelType w:val="hybridMultilevel"/>
    <w:tmpl w:val="2134428C"/>
    <w:lvl w:ilvl="0" w:tplc="5068050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27414D"/>
    <w:multiLevelType w:val="hybridMultilevel"/>
    <w:tmpl w:val="01D0D8D4"/>
    <w:lvl w:ilvl="0" w:tplc="C1D23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5054E"/>
    <w:rsid w:val="00000DC6"/>
    <w:rsid w:val="00001A40"/>
    <w:rsid w:val="0000211E"/>
    <w:rsid w:val="00003B19"/>
    <w:rsid w:val="000078D0"/>
    <w:rsid w:val="000152BD"/>
    <w:rsid w:val="0001589A"/>
    <w:rsid w:val="00021365"/>
    <w:rsid w:val="0002635F"/>
    <w:rsid w:val="000273B2"/>
    <w:rsid w:val="00031391"/>
    <w:rsid w:val="0003489E"/>
    <w:rsid w:val="00036D87"/>
    <w:rsid w:val="00037DEB"/>
    <w:rsid w:val="000417A0"/>
    <w:rsid w:val="00042BFD"/>
    <w:rsid w:val="00042C5D"/>
    <w:rsid w:val="0004381E"/>
    <w:rsid w:val="00043D17"/>
    <w:rsid w:val="00047951"/>
    <w:rsid w:val="00055F48"/>
    <w:rsid w:val="00056615"/>
    <w:rsid w:val="00064E3D"/>
    <w:rsid w:val="00067541"/>
    <w:rsid w:val="00067A8E"/>
    <w:rsid w:val="00070BDD"/>
    <w:rsid w:val="00070D4B"/>
    <w:rsid w:val="00070F46"/>
    <w:rsid w:val="000719EB"/>
    <w:rsid w:val="00071BCE"/>
    <w:rsid w:val="00074574"/>
    <w:rsid w:val="00075AE4"/>
    <w:rsid w:val="00076DA1"/>
    <w:rsid w:val="0007713E"/>
    <w:rsid w:val="00077BCC"/>
    <w:rsid w:val="000821B6"/>
    <w:rsid w:val="000834EB"/>
    <w:rsid w:val="00085584"/>
    <w:rsid w:val="00085945"/>
    <w:rsid w:val="000861E1"/>
    <w:rsid w:val="00090909"/>
    <w:rsid w:val="00092581"/>
    <w:rsid w:val="00092A5C"/>
    <w:rsid w:val="000941DC"/>
    <w:rsid w:val="0009694C"/>
    <w:rsid w:val="000A53B7"/>
    <w:rsid w:val="000A5BA8"/>
    <w:rsid w:val="000A5CAB"/>
    <w:rsid w:val="000B0F68"/>
    <w:rsid w:val="000B3DF6"/>
    <w:rsid w:val="000B5501"/>
    <w:rsid w:val="000C077E"/>
    <w:rsid w:val="000C0A05"/>
    <w:rsid w:val="000C5B90"/>
    <w:rsid w:val="000C74D4"/>
    <w:rsid w:val="000D1A46"/>
    <w:rsid w:val="000D342F"/>
    <w:rsid w:val="000D55D5"/>
    <w:rsid w:val="000D6DBF"/>
    <w:rsid w:val="000E2D52"/>
    <w:rsid w:val="000E4FE2"/>
    <w:rsid w:val="000E6514"/>
    <w:rsid w:val="000E69CF"/>
    <w:rsid w:val="000E78FD"/>
    <w:rsid w:val="000F2BC8"/>
    <w:rsid w:val="000F4180"/>
    <w:rsid w:val="000F7776"/>
    <w:rsid w:val="0010005B"/>
    <w:rsid w:val="001033D2"/>
    <w:rsid w:val="00104822"/>
    <w:rsid w:val="00112637"/>
    <w:rsid w:val="00112FAA"/>
    <w:rsid w:val="00115717"/>
    <w:rsid w:val="00115C7D"/>
    <w:rsid w:val="001164DE"/>
    <w:rsid w:val="00117450"/>
    <w:rsid w:val="0012210E"/>
    <w:rsid w:val="0012283D"/>
    <w:rsid w:val="00126F3C"/>
    <w:rsid w:val="00127FC0"/>
    <w:rsid w:val="0013243A"/>
    <w:rsid w:val="00134108"/>
    <w:rsid w:val="00135817"/>
    <w:rsid w:val="00135FB5"/>
    <w:rsid w:val="001378B2"/>
    <w:rsid w:val="00137999"/>
    <w:rsid w:val="00140EF8"/>
    <w:rsid w:val="00142110"/>
    <w:rsid w:val="0014310F"/>
    <w:rsid w:val="001445CD"/>
    <w:rsid w:val="00151DF3"/>
    <w:rsid w:val="0015716F"/>
    <w:rsid w:val="001608B3"/>
    <w:rsid w:val="00163BDC"/>
    <w:rsid w:val="001642C2"/>
    <w:rsid w:val="00164DA0"/>
    <w:rsid w:val="00170E11"/>
    <w:rsid w:val="00174E03"/>
    <w:rsid w:val="00176765"/>
    <w:rsid w:val="00176C62"/>
    <w:rsid w:val="00177A47"/>
    <w:rsid w:val="0018177F"/>
    <w:rsid w:val="00184D0F"/>
    <w:rsid w:val="00187F92"/>
    <w:rsid w:val="00190F10"/>
    <w:rsid w:val="0019389F"/>
    <w:rsid w:val="00195584"/>
    <w:rsid w:val="00195C96"/>
    <w:rsid w:val="00196161"/>
    <w:rsid w:val="00196DBD"/>
    <w:rsid w:val="001979CF"/>
    <w:rsid w:val="00197BD3"/>
    <w:rsid w:val="001B06BE"/>
    <w:rsid w:val="001B5A55"/>
    <w:rsid w:val="001B5DDC"/>
    <w:rsid w:val="001C4A02"/>
    <w:rsid w:val="001C7EE9"/>
    <w:rsid w:val="001D0895"/>
    <w:rsid w:val="001E1B20"/>
    <w:rsid w:val="001E3516"/>
    <w:rsid w:val="001F45E0"/>
    <w:rsid w:val="001F5327"/>
    <w:rsid w:val="001F5ABD"/>
    <w:rsid w:val="001F6081"/>
    <w:rsid w:val="001F6849"/>
    <w:rsid w:val="00201CE8"/>
    <w:rsid w:val="002073F2"/>
    <w:rsid w:val="00211F01"/>
    <w:rsid w:val="00212E85"/>
    <w:rsid w:val="00213B9C"/>
    <w:rsid w:val="00213D88"/>
    <w:rsid w:val="00217675"/>
    <w:rsid w:val="00217B0B"/>
    <w:rsid w:val="00217C91"/>
    <w:rsid w:val="00223544"/>
    <w:rsid w:val="00223DBE"/>
    <w:rsid w:val="00224204"/>
    <w:rsid w:val="00224CD6"/>
    <w:rsid w:val="00232BE9"/>
    <w:rsid w:val="00233262"/>
    <w:rsid w:val="00240926"/>
    <w:rsid w:val="00243EA2"/>
    <w:rsid w:val="00244A12"/>
    <w:rsid w:val="00246DF7"/>
    <w:rsid w:val="0025054E"/>
    <w:rsid w:val="00254E21"/>
    <w:rsid w:val="0025539F"/>
    <w:rsid w:val="002562F3"/>
    <w:rsid w:val="00260734"/>
    <w:rsid w:val="00263300"/>
    <w:rsid w:val="00265695"/>
    <w:rsid w:val="00270E39"/>
    <w:rsid w:val="0027237A"/>
    <w:rsid w:val="00272E32"/>
    <w:rsid w:val="002732B0"/>
    <w:rsid w:val="0027464C"/>
    <w:rsid w:val="00274BBC"/>
    <w:rsid w:val="0027599A"/>
    <w:rsid w:val="00275D32"/>
    <w:rsid w:val="0027711D"/>
    <w:rsid w:val="0028227A"/>
    <w:rsid w:val="00286668"/>
    <w:rsid w:val="0029046C"/>
    <w:rsid w:val="00290B24"/>
    <w:rsid w:val="00290B5F"/>
    <w:rsid w:val="00292BEC"/>
    <w:rsid w:val="00295E94"/>
    <w:rsid w:val="002A1456"/>
    <w:rsid w:val="002B22A6"/>
    <w:rsid w:val="002B49AE"/>
    <w:rsid w:val="002B7596"/>
    <w:rsid w:val="002C001F"/>
    <w:rsid w:val="002C281A"/>
    <w:rsid w:val="002C29D9"/>
    <w:rsid w:val="002C4525"/>
    <w:rsid w:val="002C48B4"/>
    <w:rsid w:val="002D3962"/>
    <w:rsid w:val="002D65D9"/>
    <w:rsid w:val="002D7F02"/>
    <w:rsid w:val="002E34E9"/>
    <w:rsid w:val="002F291A"/>
    <w:rsid w:val="002F2E78"/>
    <w:rsid w:val="002F44E5"/>
    <w:rsid w:val="002F4D5C"/>
    <w:rsid w:val="002F5BBA"/>
    <w:rsid w:val="00300562"/>
    <w:rsid w:val="003008D4"/>
    <w:rsid w:val="00300F93"/>
    <w:rsid w:val="00301CA2"/>
    <w:rsid w:val="00302C4F"/>
    <w:rsid w:val="00304548"/>
    <w:rsid w:val="00304E31"/>
    <w:rsid w:val="00307798"/>
    <w:rsid w:val="00311335"/>
    <w:rsid w:val="003126C5"/>
    <w:rsid w:val="003127F2"/>
    <w:rsid w:val="00313AE4"/>
    <w:rsid w:val="00317952"/>
    <w:rsid w:val="0032498C"/>
    <w:rsid w:val="00325A90"/>
    <w:rsid w:val="00325E6D"/>
    <w:rsid w:val="00326519"/>
    <w:rsid w:val="00331581"/>
    <w:rsid w:val="0033196F"/>
    <w:rsid w:val="0033429A"/>
    <w:rsid w:val="00334F51"/>
    <w:rsid w:val="003352EE"/>
    <w:rsid w:val="0033658F"/>
    <w:rsid w:val="00336E02"/>
    <w:rsid w:val="0033771F"/>
    <w:rsid w:val="0034020F"/>
    <w:rsid w:val="00340AAD"/>
    <w:rsid w:val="00340F8C"/>
    <w:rsid w:val="003429EB"/>
    <w:rsid w:val="003467E0"/>
    <w:rsid w:val="003476ED"/>
    <w:rsid w:val="003505C9"/>
    <w:rsid w:val="00350E4E"/>
    <w:rsid w:val="00354EEE"/>
    <w:rsid w:val="00362305"/>
    <w:rsid w:val="0036346A"/>
    <w:rsid w:val="00364887"/>
    <w:rsid w:val="00366054"/>
    <w:rsid w:val="003668C4"/>
    <w:rsid w:val="00367FCF"/>
    <w:rsid w:val="00370FB8"/>
    <w:rsid w:val="00374C94"/>
    <w:rsid w:val="00374F01"/>
    <w:rsid w:val="0037725A"/>
    <w:rsid w:val="00380F0A"/>
    <w:rsid w:val="003825FE"/>
    <w:rsid w:val="003828CF"/>
    <w:rsid w:val="00387867"/>
    <w:rsid w:val="00393E2D"/>
    <w:rsid w:val="003946C7"/>
    <w:rsid w:val="00395FC2"/>
    <w:rsid w:val="003A026B"/>
    <w:rsid w:val="003B07B9"/>
    <w:rsid w:val="003B3273"/>
    <w:rsid w:val="003B6CC1"/>
    <w:rsid w:val="003C119D"/>
    <w:rsid w:val="003C150A"/>
    <w:rsid w:val="003C4FBD"/>
    <w:rsid w:val="003D0144"/>
    <w:rsid w:val="003D2944"/>
    <w:rsid w:val="003D2E7E"/>
    <w:rsid w:val="003E2255"/>
    <w:rsid w:val="003E230F"/>
    <w:rsid w:val="003E7B9B"/>
    <w:rsid w:val="003F70BE"/>
    <w:rsid w:val="00402052"/>
    <w:rsid w:val="00403724"/>
    <w:rsid w:val="00412842"/>
    <w:rsid w:val="00414504"/>
    <w:rsid w:val="00414761"/>
    <w:rsid w:val="00417C12"/>
    <w:rsid w:val="004203C0"/>
    <w:rsid w:val="00423F22"/>
    <w:rsid w:val="004254FD"/>
    <w:rsid w:val="0042761D"/>
    <w:rsid w:val="00430E12"/>
    <w:rsid w:val="00433C9F"/>
    <w:rsid w:val="00434382"/>
    <w:rsid w:val="0043778A"/>
    <w:rsid w:val="00443395"/>
    <w:rsid w:val="00444B81"/>
    <w:rsid w:val="004528AD"/>
    <w:rsid w:val="00453101"/>
    <w:rsid w:val="00454035"/>
    <w:rsid w:val="004554CE"/>
    <w:rsid w:val="00455770"/>
    <w:rsid w:val="00462D42"/>
    <w:rsid w:val="0046353D"/>
    <w:rsid w:val="0046530B"/>
    <w:rsid w:val="00472E15"/>
    <w:rsid w:val="00473D2E"/>
    <w:rsid w:val="0047548E"/>
    <w:rsid w:val="00475E63"/>
    <w:rsid w:val="00477420"/>
    <w:rsid w:val="00481175"/>
    <w:rsid w:val="00482FC3"/>
    <w:rsid w:val="00483501"/>
    <w:rsid w:val="00486873"/>
    <w:rsid w:val="00494DC1"/>
    <w:rsid w:val="004A160B"/>
    <w:rsid w:val="004A27E3"/>
    <w:rsid w:val="004A3DCA"/>
    <w:rsid w:val="004A5B28"/>
    <w:rsid w:val="004B6C0E"/>
    <w:rsid w:val="004C2705"/>
    <w:rsid w:val="004C4944"/>
    <w:rsid w:val="004C539C"/>
    <w:rsid w:val="004C5739"/>
    <w:rsid w:val="004C5CB3"/>
    <w:rsid w:val="004C629B"/>
    <w:rsid w:val="004D2858"/>
    <w:rsid w:val="004D43E5"/>
    <w:rsid w:val="004E1707"/>
    <w:rsid w:val="004E271D"/>
    <w:rsid w:val="004E395C"/>
    <w:rsid w:val="004E4751"/>
    <w:rsid w:val="004F188F"/>
    <w:rsid w:val="004F2CCB"/>
    <w:rsid w:val="004F36E9"/>
    <w:rsid w:val="004F5C4B"/>
    <w:rsid w:val="00501078"/>
    <w:rsid w:val="00506491"/>
    <w:rsid w:val="00511C59"/>
    <w:rsid w:val="00512A35"/>
    <w:rsid w:val="00513B62"/>
    <w:rsid w:val="005245E6"/>
    <w:rsid w:val="00525431"/>
    <w:rsid w:val="00527813"/>
    <w:rsid w:val="005316DD"/>
    <w:rsid w:val="005326BA"/>
    <w:rsid w:val="005333A7"/>
    <w:rsid w:val="00533660"/>
    <w:rsid w:val="005361EB"/>
    <w:rsid w:val="0054184F"/>
    <w:rsid w:val="00541EE3"/>
    <w:rsid w:val="005439C0"/>
    <w:rsid w:val="0054497B"/>
    <w:rsid w:val="00544D78"/>
    <w:rsid w:val="00545088"/>
    <w:rsid w:val="00546133"/>
    <w:rsid w:val="00550161"/>
    <w:rsid w:val="005508F9"/>
    <w:rsid w:val="00551F21"/>
    <w:rsid w:val="00552733"/>
    <w:rsid w:val="00555EF3"/>
    <w:rsid w:val="005566B5"/>
    <w:rsid w:val="00560322"/>
    <w:rsid w:val="0056121D"/>
    <w:rsid w:val="005626B9"/>
    <w:rsid w:val="00563B7E"/>
    <w:rsid w:val="005650FA"/>
    <w:rsid w:val="0057370F"/>
    <w:rsid w:val="00575D93"/>
    <w:rsid w:val="005850DD"/>
    <w:rsid w:val="00593E03"/>
    <w:rsid w:val="00597366"/>
    <w:rsid w:val="005A17D7"/>
    <w:rsid w:val="005A1C61"/>
    <w:rsid w:val="005A6A76"/>
    <w:rsid w:val="005B1351"/>
    <w:rsid w:val="005B2893"/>
    <w:rsid w:val="005B3488"/>
    <w:rsid w:val="005B6CB5"/>
    <w:rsid w:val="005B7F13"/>
    <w:rsid w:val="005C31E4"/>
    <w:rsid w:val="005C5D2A"/>
    <w:rsid w:val="005D0A29"/>
    <w:rsid w:val="005D207F"/>
    <w:rsid w:val="005D361F"/>
    <w:rsid w:val="005D53A0"/>
    <w:rsid w:val="005D7722"/>
    <w:rsid w:val="005E3D43"/>
    <w:rsid w:val="005E524E"/>
    <w:rsid w:val="005F1C06"/>
    <w:rsid w:val="005F4EF6"/>
    <w:rsid w:val="005F72A5"/>
    <w:rsid w:val="005F757D"/>
    <w:rsid w:val="00604430"/>
    <w:rsid w:val="00611188"/>
    <w:rsid w:val="00616BA4"/>
    <w:rsid w:val="00620B73"/>
    <w:rsid w:val="00625A98"/>
    <w:rsid w:val="00633E4C"/>
    <w:rsid w:val="006359A1"/>
    <w:rsid w:val="0063689B"/>
    <w:rsid w:val="006401DA"/>
    <w:rsid w:val="00640382"/>
    <w:rsid w:val="00641CED"/>
    <w:rsid w:val="006425E2"/>
    <w:rsid w:val="00645654"/>
    <w:rsid w:val="00650040"/>
    <w:rsid w:val="006501A3"/>
    <w:rsid w:val="00657E72"/>
    <w:rsid w:val="00662C47"/>
    <w:rsid w:val="0066602A"/>
    <w:rsid w:val="00666900"/>
    <w:rsid w:val="006674DA"/>
    <w:rsid w:val="0066763B"/>
    <w:rsid w:val="00671277"/>
    <w:rsid w:val="00671996"/>
    <w:rsid w:val="00673E4A"/>
    <w:rsid w:val="00677FB0"/>
    <w:rsid w:val="0068026D"/>
    <w:rsid w:val="00680E3B"/>
    <w:rsid w:val="006836B3"/>
    <w:rsid w:val="00687366"/>
    <w:rsid w:val="0069724B"/>
    <w:rsid w:val="006A36BD"/>
    <w:rsid w:val="006A6394"/>
    <w:rsid w:val="006B3C22"/>
    <w:rsid w:val="006B64A1"/>
    <w:rsid w:val="006C17D8"/>
    <w:rsid w:val="006C298F"/>
    <w:rsid w:val="006C79D2"/>
    <w:rsid w:val="006D1D03"/>
    <w:rsid w:val="006D52AB"/>
    <w:rsid w:val="006E0E98"/>
    <w:rsid w:val="006E1077"/>
    <w:rsid w:val="006E2177"/>
    <w:rsid w:val="006E2679"/>
    <w:rsid w:val="006E2951"/>
    <w:rsid w:val="006E3F29"/>
    <w:rsid w:val="006F076E"/>
    <w:rsid w:val="006F539D"/>
    <w:rsid w:val="006F5633"/>
    <w:rsid w:val="006F59BF"/>
    <w:rsid w:val="00701DC8"/>
    <w:rsid w:val="00705250"/>
    <w:rsid w:val="0071187F"/>
    <w:rsid w:val="00715965"/>
    <w:rsid w:val="00720986"/>
    <w:rsid w:val="00722BFA"/>
    <w:rsid w:val="007316F8"/>
    <w:rsid w:val="007322C5"/>
    <w:rsid w:val="00732F6E"/>
    <w:rsid w:val="00734ABF"/>
    <w:rsid w:val="00736C49"/>
    <w:rsid w:val="0074011C"/>
    <w:rsid w:val="00747C17"/>
    <w:rsid w:val="00750A83"/>
    <w:rsid w:val="00751E6F"/>
    <w:rsid w:val="00753F18"/>
    <w:rsid w:val="00755283"/>
    <w:rsid w:val="007613BC"/>
    <w:rsid w:val="0076173E"/>
    <w:rsid w:val="00763A05"/>
    <w:rsid w:val="007642E6"/>
    <w:rsid w:val="00764767"/>
    <w:rsid w:val="007753BD"/>
    <w:rsid w:val="00776B75"/>
    <w:rsid w:val="00780E33"/>
    <w:rsid w:val="0078273D"/>
    <w:rsid w:val="00783FDB"/>
    <w:rsid w:val="00784DFB"/>
    <w:rsid w:val="007850EB"/>
    <w:rsid w:val="00786AC6"/>
    <w:rsid w:val="00793094"/>
    <w:rsid w:val="00794686"/>
    <w:rsid w:val="007946FC"/>
    <w:rsid w:val="007959CE"/>
    <w:rsid w:val="00796028"/>
    <w:rsid w:val="007A2CE2"/>
    <w:rsid w:val="007A71FD"/>
    <w:rsid w:val="007A79E7"/>
    <w:rsid w:val="007B7701"/>
    <w:rsid w:val="007C2AD2"/>
    <w:rsid w:val="007C3B03"/>
    <w:rsid w:val="007C4F64"/>
    <w:rsid w:val="007C7AE3"/>
    <w:rsid w:val="007C7CD0"/>
    <w:rsid w:val="007D2F84"/>
    <w:rsid w:val="007D405A"/>
    <w:rsid w:val="007E0743"/>
    <w:rsid w:val="007E2413"/>
    <w:rsid w:val="007E4D30"/>
    <w:rsid w:val="007E5BBD"/>
    <w:rsid w:val="007E7B96"/>
    <w:rsid w:val="007E7D8D"/>
    <w:rsid w:val="007F4CF9"/>
    <w:rsid w:val="007F5668"/>
    <w:rsid w:val="007F6C71"/>
    <w:rsid w:val="00800451"/>
    <w:rsid w:val="0080537E"/>
    <w:rsid w:val="00807617"/>
    <w:rsid w:val="00813CB0"/>
    <w:rsid w:val="00814C46"/>
    <w:rsid w:val="00816C3F"/>
    <w:rsid w:val="00820AC3"/>
    <w:rsid w:val="00820E88"/>
    <w:rsid w:val="008219CE"/>
    <w:rsid w:val="00822A37"/>
    <w:rsid w:val="008319B8"/>
    <w:rsid w:val="00834E26"/>
    <w:rsid w:val="008371AC"/>
    <w:rsid w:val="008422B2"/>
    <w:rsid w:val="008462E8"/>
    <w:rsid w:val="00850102"/>
    <w:rsid w:val="00854566"/>
    <w:rsid w:val="0085500C"/>
    <w:rsid w:val="00856668"/>
    <w:rsid w:val="00866EB5"/>
    <w:rsid w:val="0087097E"/>
    <w:rsid w:val="00870DC2"/>
    <w:rsid w:val="00871D8A"/>
    <w:rsid w:val="00872D1E"/>
    <w:rsid w:val="00872FD4"/>
    <w:rsid w:val="00874E33"/>
    <w:rsid w:val="00874FA0"/>
    <w:rsid w:val="008814E7"/>
    <w:rsid w:val="00884DF0"/>
    <w:rsid w:val="00886B58"/>
    <w:rsid w:val="00890945"/>
    <w:rsid w:val="00894740"/>
    <w:rsid w:val="008970F4"/>
    <w:rsid w:val="008A1250"/>
    <w:rsid w:val="008A20C6"/>
    <w:rsid w:val="008A571B"/>
    <w:rsid w:val="008B0245"/>
    <w:rsid w:val="008B195A"/>
    <w:rsid w:val="008B2D60"/>
    <w:rsid w:val="008B31B1"/>
    <w:rsid w:val="008B3A19"/>
    <w:rsid w:val="008B403C"/>
    <w:rsid w:val="008B532F"/>
    <w:rsid w:val="008B5741"/>
    <w:rsid w:val="008C319C"/>
    <w:rsid w:val="008C3494"/>
    <w:rsid w:val="008D2372"/>
    <w:rsid w:val="008D6266"/>
    <w:rsid w:val="008D6F8F"/>
    <w:rsid w:val="008E5B49"/>
    <w:rsid w:val="008E660D"/>
    <w:rsid w:val="008E68DF"/>
    <w:rsid w:val="008E75F7"/>
    <w:rsid w:val="008F2446"/>
    <w:rsid w:val="009031B7"/>
    <w:rsid w:val="00903B44"/>
    <w:rsid w:val="00905942"/>
    <w:rsid w:val="00910238"/>
    <w:rsid w:val="0091087D"/>
    <w:rsid w:val="0091202F"/>
    <w:rsid w:val="00914C33"/>
    <w:rsid w:val="009160E5"/>
    <w:rsid w:val="00916288"/>
    <w:rsid w:val="00916762"/>
    <w:rsid w:val="0091732B"/>
    <w:rsid w:val="00917650"/>
    <w:rsid w:val="00920A2D"/>
    <w:rsid w:val="00921DAF"/>
    <w:rsid w:val="00923BBF"/>
    <w:rsid w:val="00926674"/>
    <w:rsid w:val="00927FC4"/>
    <w:rsid w:val="00931775"/>
    <w:rsid w:val="00932CB7"/>
    <w:rsid w:val="00933180"/>
    <w:rsid w:val="0093778F"/>
    <w:rsid w:val="00942861"/>
    <w:rsid w:val="00942FFD"/>
    <w:rsid w:val="0094423F"/>
    <w:rsid w:val="0094607B"/>
    <w:rsid w:val="009510C0"/>
    <w:rsid w:val="00954780"/>
    <w:rsid w:val="009621EA"/>
    <w:rsid w:val="00966B34"/>
    <w:rsid w:val="00967A8C"/>
    <w:rsid w:val="00970F88"/>
    <w:rsid w:val="00971719"/>
    <w:rsid w:val="00984C95"/>
    <w:rsid w:val="0098522E"/>
    <w:rsid w:val="009870DB"/>
    <w:rsid w:val="00987141"/>
    <w:rsid w:val="009875A9"/>
    <w:rsid w:val="00994FA9"/>
    <w:rsid w:val="0099640E"/>
    <w:rsid w:val="0099652A"/>
    <w:rsid w:val="009A074D"/>
    <w:rsid w:val="009A0EED"/>
    <w:rsid w:val="009A2427"/>
    <w:rsid w:val="009A483B"/>
    <w:rsid w:val="009A6376"/>
    <w:rsid w:val="009A7420"/>
    <w:rsid w:val="009B2171"/>
    <w:rsid w:val="009C337C"/>
    <w:rsid w:val="009C3650"/>
    <w:rsid w:val="009C4352"/>
    <w:rsid w:val="009C53A3"/>
    <w:rsid w:val="009D29F6"/>
    <w:rsid w:val="009D2F9B"/>
    <w:rsid w:val="009D41C3"/>
    <w:rsid w:val="009D44D5"/>
    <w:rsid w:val="009E0AEE"/>
    <w:rsid w:val="009E1862"/>
    <w:rsid w:val="009E2E95"/>
    <w:rsid w:val="009E3FE2"/>
    <w:rsid w:val="009E44C7"/>
    <w:rsid w:val="009E63EB"/>
    <w:rsid w:val="009E768F"/>
    <w:rsid w:val="009E7D6E"/>
    <w:rsid w:val="009F4096"/>
    <w:rsid w:val="009F4A7D"/>
    <w:rsid w:val="009F5C2D"/>
    <w:rsid w:val="009F6980"/>
    <w:rsid w:val="00A00AD8"/>
    <w:rsid w:val="00A04E98"/>
    <w:rsid w:val="00A04EE9"/>
    <w:rsid w:val="00A05634"/>
    <w:rsid w:val="00A05D2D"/>
    <w:rsid w:val="00A06854"/>
    <w:rsid w:val="00A10975"/>
    <w:rsid w:val="00A139CB"/>
    <w:rsid w:val="00A13F53"/>
    <w:rsid w:val="00A17694"/>
    <w:rsid w:val="00A17D80"/>
    <w:rsid w:val="00A20ECF"/>
    <w:rsid w:val="00A23444"/>
    <w:rsid w:val="00A31889"/>
    <w:rsid w:val="00A333A1"/>
    <w:rsid w:val="00A35CC6"/>
    <w:rsid w:val="00A369F6"/>
    <w:rsid w:val="00A42B96"/>
    <w:rsid w:val="00A439B7"/>
    <w:rsid w:val="00A51D87"/>
    <w:rsid w:val="00A53B46"/>
    <w:rsid w:val="00A5621F"/>
    <w:rsid w:val="00A6005F"/>
    <w:rsid w:val="00A6556B"/>
    <w:rsid w:val="00A67209"/>
    <w:rsid w:val="00A773C3"/>
    <w:rsid w:val="00A77DEB"/>
    <w:rsid w:val="00A850F4"/>
    <w:rsid w:val="00A905B6"/>
    <w:rsid w:val="00A93FF9"/>
    <w:rsid w:val="00A9679F"/>
    <w:rsid w:val="00AA1F67"/>
    <w:rsid w:val="00AA3D83"/>
    <w:rsid w:val="00AA5EB6"/>
    <w:rsid w:val="00AB0BD5"/>
    <w:rsid w:val="00AB2D0E"/>
    <w:rsid w:val="00AC25B1"/>
    <w:rsid w:val="00AC28FB"/>
    <w:rsid w:val="00AC4609"/>
    <w:rsid w:val="00AD07B7"/>
    <w:rsid w:val="00AD1696"/>
    <w:rsid w:val="00AD2243"/>
    <w:rsid w:val="00AD47FA"/>
    <w:rsid w:val="00AD702B"/>
    <w:rsid w:val="00AE0E44"/>
    <w:rsid w:val="00AE6B51"/>
    <w:rsid w:val="00AE775A"/>
    <w:rsid w:val="00AF01A8"/>
    <w:rsid w:val="00B02EE4"/>
    <w:rsid w:val="00B02EF0"/>
    <w:rsid w:val="00B033EF"/>
    <w:rsid w:val="00B03F5E"/>
    <w:rsid w:val="00B245C8"/>
    <w:rsid w:val="00B2601C"/>
    <w:rsid w:val="00B44855"/>
    <w:rsid w:val="00B45543"/>
    <w:rsid w:val="00B473ED"/>
    <w:rsid w:val="00B5224C"/>
    <w:rsid w:val="00B6396B"/>
    <w:rsid w:val="00B64B06"/>
    <w:rsid w:val="00B65937"/>
    <w:rsid w:val="00B678B6"/>
    <w:rsid w:val="00B80C8B"/>
    <w:rsid w:val="00B81D0E"/>
    <w:rsid w:val="00B82136"/>
    <w:rsid w:val="00B82AF9"/>
    <w:rsid w:val="00B91F0E"/>
    <w:rsid w:val="00B92DF9"/>
    <w:rsid w:val="00B96D35"/>
    <w:rsid w:val="00BA0C4D"/>
    <w:rsid w:val="00BB2118"/>
    <w:rsid w:val="00BB222D"/>
    <w:rsid w:val="00BB268B"/>
    <w:rsid w:val="00BB3981"/>
    <w:rsid w:val="00BB4E2B"/>
    <w:rsid w:val="00BB58C5"/>
    <w:rsid w:val="00BB6EAE"/>
    <w:rsid w:val="00BC047E"/>
    <w:rsid w:val="00BC1538"/>
    <w:rsid w:val="00BC2744"/>
    <w:rsid w:val="00BC684A"/>
    <w:rsid w:val="00BE35FD"/>
    <w:rsid w:val="00BE52C7"/>
    <w:rsid w:val="00BE546B"/>
    <w:rsid w:val="00BF06E6"/>
    <w:rsid w:val="00BF2361"/>
    <w:rsid w:val="00BF499F"/>
    <w:rsid w:val="00C00310"/>
    <w:rsid w:val="00C01EA2"/>
    <w:rsid w:val="00C02D59"/>
    <w:rsid w:val="00C03818"/>
    <w:rsid w:val="00C04B46"/>
    <w:rsid w:val="00C061EF"/>
    <w:rsid w:val="00C07149"/>
    <w:rsid w:val="00C231B9"/>
    <w:rsid w:val="00C3049F"/>
    <w:rsid w:val="00C30622"/>
    <w:rsid w:val="00C34BB3"/>
    <w:rsid w:val="00C37262"/>
    <w:rsid w:val="00C37788"/>
    <w:rsid w:val="00C44604"/>
    <w:rsid w:val="00C52F19"/>
    <w:rsid w:val="00C63359"/>
    <w:rsid w:val="00C6556A"/>
    <w:rsid w:val="00C83CB4"/>
    <w:rsid w:val="00C87947"/>
    <w:rsid w:val="00C90CAD"/>
    <w:rsid w:val="00CA047A"/>
    <w:rsid w:val="00CA2927"/>
    <w:rsid w:val="00CA34D9"/>
    <w:rsid w:val="00CA41B6"/>
    <w:rsid w:val="00CA786A"/>
    <w:rsid w:val="00CB0722"/>
    <w:rsid w:val="00CB0A18"/>
    <w:rsid w:val="00CB3E0E"/>
    <w:rsid w:val="00CB5599"/>
    <w:rsid w:val="00CC0DC9"/>
    <w:rsid w:val="00CC35D0"/>
    <w:rsid w:val="00CC3789"/>
    <w:rsid w:val="00CC5351"/>
    <w:rsid w:val="00CC59DE"/>
    <w:rsid w:val="00CC624E"/>
    <w:rsid w:val="00CD01F7"/>
    <w:rsid w:val="00CD0415"/>
    <w:rsid w:val="00CD21B4"/>
    <w:rsid w:val="00CD342E"/>
    <w:rsid w:val="00CD510B"/>
    <w:rsid w:val="00CE1CA3"/>
    <w:rsid w:val="00CE342D"/>
    <w:rsid w:val="00CE4CFC"/>
    <w:rsid w:val="00CE69EE"/>
    <w:rsid w:val="00CE7AD3"/>
    <w:rsid w:val="00CF173C"/>
    <w:rsid w:val="00CF1C14"/>
    <w:rsid w:val="00CF23EF"/>
    <w:rsid w:val="00CF3052"/>
    <w:rsid w:val="00CF612E"/>
    <w:rsid w:val="00D068D6"/>
    <w:rsid w:val="00D12E23"/>
    <w:rsid w:val="00D14B22"/>
    <w:rsid w:val="00D2043F"/>
    <w:rsid w:val="00D20B35"/>
    <w:rsid w:val="00D230B0"/>
    <w:rsid w:val="00D24C72"/>
    <w:rsid w:val="00D30021"/>
    <w:rsid w:val="00D31121"/>
    <w:rsid w:val="00D3197F"/>
    <w:rsid w:val="00D333B6"/>
    <w:rsid w:val="00D3384B"/>
    <w:rsid w:val="00D33C11"/>
    <w:rsid w:val="00D35C04"/>
    <w:rsid w:val="00D35F63"/>
    <w:rsid w:val="00D4347C"/>
    <w:rsid w:val="00D44235"/>
    <w:rsid w:val="00D454D9"/>
    <w:rsid w:val="00D4561D"/>
    <w:rsid w:val="00D462B0"/>
    <w:rsid w:val="00D535E6"/>
    <w:rsid w:val="00D67DE4"/>
    <w:rsid w:val="00D71EC6"/>
    <w:rsid w:val="00D76501"/>
    <w:rsid w:val="00D83C7B"/>
    <w:rsid w:val="00D84C21"/>
    <w:rsid w:val="00D85B92"/>
    <w:rsid w:val="00D9046B"/>
    <w:rsid w:val="00D90C82"/>
    <w:rsid w:val="00D90F98"/>
    <w:rsid w:val="00D92A42"/>
    <w:rsid w:val="00D94DB7"/>
    <w:rsid w:val="00DA1497"/>
    <w:rsid w:val="00DA2FC4"/>
    <w:rsid w:val="00DA3C93"/>
    <w:rsid w:val="00DA5114"/>
    <w:rsid w:val="00DA563B"/>
    <w:rsid w:val="00DA6379"/>
    <w:rsid w:val="00DB09C6"/>
    <w:rsid w:val="00DB0B7E"/>
    <w:rsid w:val="00DB1132"/>
    <w:rsid w:val="00DB434A"/>
    <w:rsid w:val="00DB5EFE"/>
    <w:rsid w:val="00DC0F25"/>
    <w:rsid w:val="00DC1149"/>
    <w:rsid w:val="00DC14D8"/>
    <w:rsid w:val="00DC4320"/>
    <w:rsid w:val="00DC56DA"/>
    <w:rsid w:val="00DD0BED"/>
    <w:rsid w:val="00DD23DB"/>
    <w:rsid w:val="00DD780D"/>
    <w:rsid w:val="00DE57F1"/>
    <w:rsid w:val="00DF3815"/>
    <w:rsid w:val="00DF60E4"/>
    <w:rsid w:val="00DF61D4"/>
    <w:rsid w:val="00E04FAD"/>
    <w:rsid w:val="00E05CA7"/>
    <w:rsid w:val="00E07A03"/>
    <w:rsid w:val="00E127B4"/>
    <w:rsid w:val="00E14F70"/>
    <w:rsid w:val="00E16FEB"/>
    <w:rsid w:val="00E177C7"/>
    <w:rsid w:val="00E20805"/>
    <w:rsid w:val="00E214D5"/>
    <w:rsid w:val="00E24EF9"/>
    <w:rsid w:val="00E274D9"/>
    <w:rsid w:val="00E307B3"/>
    <w:rsid w:val="00E36137"/>
    <w:rsid w:val="00E36B3F"/>
    <w:rsid w:val="00E37A29"/>
    <w:rsid w:val="00E41B59"/>
    <w:rsid w:val="00E425F2"/>
    <w:rsid w:val="00E43482"/>
    <w:rsid w:val="00E43BB1"/>
    <w:rsid w:val="00E45F65"/>
    <w:rsid w:val="00E519C7"/>
    <w:rsid w:val="00E54701"/>
    <w:rsid w:val="00E56435"/>
    <w:rsid w:val="00E56B96"/>
    <w:rsid w:val="00E60CE2"/>
    <w:rsid w:val="00E64F94"/>
    <w:rsid w:val="00E66324"/>
    <w:rsid w:val="00E700D4"/>
    <w:rsid w:val="00E75164"/>
    <w:rsid w:val="00E753D9"/>
    <w:rsid w:val="00E82E68"/>
    <w:rsid w:val="00E8356C"/>
    <w:rsid w:val="00E856A5"/>
    <w:rsid w:val="00E86920"/>
    <w:rsid w:val="00E874F6"/>
    <w:rsid w:val="00E8775F"/>
    <w:rsid w:val="00E91889"/>
    <w:rsid w:val="00E971C9"/>
    <w:rsid w:val="00EA0190"/>
    <w:rsid w:val="00EA3B33"/>
    <w:rsid w:val="00EA59C6"/>
    <w:rsid w:val="00EA69CC"/>
    <w:rsid w:val="00EA754B"/>
    <w:rsid w:val="00EA7C48"/>
    <w:rsid w:val="00EB23A4"/>
    <w:rsid w:val="00EB23AA"/>
    <w:rsid w:val="00EB27D5"/>
    <w:rsid w:val="00EB3A3D"/>
    <w:rsid w:val="00EB459A"/>
    <w:rsid w:val="00EB7630"/>
    <w:rsid w:val="00EC3C1A"/>
    <w:rsid w:val="00EC4197"/>
    <w:rsid w:val="00EC65ED"/>
    <w:rsid w:val="00EC68B4"/>
    <w:rsid w:val="00ED0E0F"/>
    <w:rsid w:val="00ED1ED9"/>
    <w:rsid w:val="00ED3F0D"/>
    <w:rsid w:val="00ED53A7"/>
    <w:rsid w:val="00ED6977"/>
    <w:rsid w:val="00EE041D"/>
    <w:rsid w:val="00EE1306"/>
    <w:rsid w:val="00EE1BFB"/>
    <w:rsid w:val="00EE5EB6"/>
    <w:rsid w:val="00EF0DE8"/>
    <w:rsid w:val="00EF10D7"/>
    <w:rsid w:val="00F025D6"/>
    <w:rsid w:val="00F0575A"/>
    <w:rsid w:val="00F063B4"/>
    <w:rsid w:val="00F0766A"/>
    <w:rsid w:val="00F10261"/>
    <w:rsid w:val="00F1632A"/>
    <w:rsid w:val="00F21131"/>
    <w:rsid w:val="00F21970"/>
    <w:rsid w:val="00F30239"/>
    <w:rsid w:val="00F3082A"/>
    <w:rsid w:val="00F316FE"/>
    <w:rsid w:val="00F3193A"/>
    <w:rsid w:val="00F47FA0"/>
    <w:rsid w:val="00F50F0C"/>
    <w:rsid w:val="00F50FE5"/>
    <w:rsid w:val="00F55C3C"/>
    <w:rsid w:val="00F60CAB"/>
    <w:rsid w:val="00F63F5F"/>
    <w:rsid w:val="00F67330"/>
    <w:rsid w:val="00F70A77"/>
    <w:rsid w:val="00F833CD"/>
    <w:rsid w:val="00F87E95"/>
    <w:rsid w:val="00F9277F"/>
    <w:rsid w:val="00F94A3D"/>
    <w:rsid w:val="00FA21D5"/>
    <w:rsid w:val="00FA3EA1"/>
    <w:rsid w:val="00FA48DA"/>
    <w:rsid w:val="00FA6846"/>
    <w:rsid w:val="00FA762B"/>
    <w:rsid w:val="00FA7C01"/>
    <w:rsid w:val="00FB1CB3"/>
    <w:rsid w:val="00FB2970"/>
    <w:rsid w:val="00FB2FA4"/>
    <w:rsid w:val="00FB3A62"/>
    <w:rsid w:val="00FC47D8"/>
    <w:rsid w:val="00FC7446"/>
    <w:rsid w:val="00FC7EED"/>
    <w:rsid w:val="00FD091D"/>
    <w:rsid w:val="00FD2202"/>
    <w:rsid w:val="00FD39C2"/>
    <w:rsid w:val="00FD4A1D"/>
    <w:rsid w:val="00FD4B5D"/>
    <w:rsid w:val="00FD64CB"/>
    <w:rsid w:val="00FE1BD4"/>
    <w:rsid w:val="00FE22A4"/>
    <w:rsid w:val="00FE56D5"/>
    <w:rsid w:val="00FE76FC"/>
    <w:rsid w:val="00FF121E"/>
    <w:rsid w:val="00FF1BB7"/>
    <w:rsid w:val="00FF1C4E"/>
    <w:rsid w:val="00FF226D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505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5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5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5054E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2505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505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25054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54E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25054E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25054E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25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25054E"/>
    <w:pPr>
      <w:jc w:val="center"/>
    </w:pPr>
    <w:rPr>
      <w:b/>
      <w:bCs/>
    </w:rPr>
  </w:style>
  <w:style w:type="character" w:customStyle="1" w:styleId="af">
    <w:name w:val="Название Знак"/>
    <w:basedOn w:val="a1"/>
    <w:link w:val="ae"/>
    <w:uiPriority w:val="99"/>
    <w:rsid w:val="00250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25054E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250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25054E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505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505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505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50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25054E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25054E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2505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054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Пробный"/>
    <w:basedOn w:val="a0"/>
    <w:uiPriority w:val="99"/>
    <w:rsid w:val="0025054E"/>
    <w:pPr>
      <w:numPr>
        <w:numId w:val="1"/>
      </w:numPr>
      <w:jc w:val="both"/>
    </w:pPr>
    <w:rPr>
      <w:sz w:val="28"/>
      <w:szCs w:val="28"/>
    </w:rPr>
  </w:style>
  <w:style w:type="paragraph" w:customStyle="1" w:styleId="af9">
    <w:name w:val="Заголовок статьи"/>
    <w:basedOn w:val="a0"/>
    <w:next w:val="a0"/>
    <w:uiPriority w:val="99"/>
    <w:rsid w:val="0025054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a">
    <w:name w:val="Комментарий"/>
    <w:basedOn w:val="a0"/>
    <w:next w:val="a0"/>
    <w:uiPriority w:val="99"/>
    <w:rsid w:val="0025054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b">
    <w:name w:val="Прижатый влево"/>
    <w:basedOn w:val="a0"/>
    <w:next w:val="a0"/>
    <w:uiPriority w:val="99"/>
    <w:rsid w:val="002505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505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50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25054E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250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ормальный (таблица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25054E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25054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-b2b-toption-rowtype-data">
    <w:name w:val="b-b2b-toption-row__type-data"/>
    <w:basedOn w:val="a0"/>
    <w:rsid w:val="0025054E"/>
    <w:pPr>
      <w:spacing w:before="100" w:beforeAutospacing="1" w:after="100" w:afterAutospacing="1"/>
    </w:pPr>
  </w:style>
  <w:style w:type="paragraph" w:customStyle="1" w:styleId="25">
    <w:name w:val="Знак Знак2 Знак Знак Знак"/>
    <w:basedOn w:val="a0"/>
    <w:rsid w:val="002505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annotation reference"/>
    <w:basedOn w:val="a1"/>
    <w:uiPriority w:val="99"/>
    <w:semiHidden/>
    <w:unhideWhenUsed/>
    <w:rsid w:val="0025054E"/>
    <w:rPr>
      <w:sz w:val="16"/>
      <w:szCs w:val="16"/>
    </w:rPr>
  </w:style>
  <w:style w:type="character" w:styleId="aff0">
    <w:name w:val="page number"/>
    <w:basedOn w:val="a1"/>
    <w:uiPriority w:val="99"/>
    <w:semiHidden/>
    <w:unhideWhenUsed/>
    <w:rsid w:val="0025054E"/>
    <w:rPr>
      <w:rFonts w:ascii="Times New Roman" w:hAnsi="Times New Roman" w:cs="Times New Roman" w:hint="default"/>
    </w:rPr>
  </w:style>
  <w:style w:type="character" w:customStyle="1" w:styleId="aff1">
    <w:name w:val="Цветовое выделение"/>
    <w:uiPriority w:val="99"/>
    <w:rsid w:val="0025054E"/>
    <w:rPr>
      <w:b/>
      <w:bCs w:val="0"/>
      <w:color w:val="000080"/>
      <w:sz w:val="18"/>
    </w:rPr>
  </w:style>
  <w:style w:type="character" w:customStyle="1" w:styleId="aff2">
    <w:name w:val="Гипертекстовая ссылка"/>
    <w:basedOn w:val="aff1"/>
    <w:uiPriority w:val="99"/>
    <w:rsid w:val="0025054E"/>
    <w:rPr>
      <w:rFonts w:ascii="Times New Roman" w:hAnsi="Times New Roman" w:cs="Times New Roman" w:hint="default"/>
      <w:bCs/>
      <w:color w:val="008000"/>
      <w:szCs w:val="18"/>
      <w:u w:val="single"/>
    </w:rPr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25054E"/>
    <w:rPr>
      <w:b/>
      <w:bCs/>
    </w:rPr>
  </w:style>
  <w:style w:type="character" w:customStyle="1" w:styleId="CommentSubjectChar1">
    <w:name w:val="Comment Subject Char1"/>
    <w:basedOn w:val="a9"/>
    <w:uiPriority w:val="99"/>
    <w:semiHidden/>
    <w:locked/>
    <w:rsid w:val="0025054E"/>
    <w:rPr>
      <w:b/>
      <w:bCs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25054E"/>
    <w:rPr>
      <w:rFonts w:ascii="Calibri" w:eastAsia="Times New Roman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aff3">
    <w:name w:val="Сравнение редакций. Удаленный фрагмент"/>
    <w:uiPriority w:val="99"/>
    <w:rsid w:val="0025054E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25054E"/>
  </w:style>
  <w:style w:type="character" w:customStyle="1" w:styleId="apple-converted-space">
    <w:name w:val="apple-converted-space"/>
    <w:basedOn w:val="a1"/>
    <w:rsid w:val="0025054E"/>
  </w:style>
  <w:style w:type="character" w:customStyle="1" w:styleId="b-b2b-toption-rowtype-content">
    <w:name w:val="b-b2b-toption-row__type-content"/>
    <w:basedOn w:val="a1"/>
    <w:rsid w:val="0025054E"/>
  </w:style>
  <w:style w:type="table" w:styleId="aff4">
    <w:name w:val="Table Grid"/>
    <w:basedOn w:val="a2"/>
    <w:uiPriority w:val="59"/>
    <w:rsid w:val="0025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basedOn w:val="a1"/>
    <w:uiPriority w:val="22"/>
    <w:qFormat/>
    <w:rsid w:val="00250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764F-DD0C-4B2A-B7A5-6EFA3F98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40955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Буряков</cp:lastModifiedBy>
  <cp:revision>4</cp:revision>
  <cp:lastPrinted>2018-04-11T06:00:00Z</cp:lastPrinted>
  <dcterms:created xsi:type="dcterms:W3CDTF">2018-04-11T10:41:00Z</dcterms:created>
  <dcterms:modified xsi:type="dcterms:W3CDTF">2018-04-16T06:17:00Z</dcterms:modified>
</cp:coreProperties>
</file>