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0F" w:rsidRPr="00EF04AD" w:rsidRDefault="0051050F" w:rsidP="0051050F">
      <w:pPr>
        <w:ind w:left="4956" w:firstLine="708"/>
        <w:rPr>
          <w:b/>
          <w:bCs/>
          <w:caps/>
        </w:rPr>
      </w:pPr>
      <w:r w:rsidRPr="00EF04AD">
        <w:rPr>
          <w:b/>
          <w:bCs/>
          <w:caps/>
        </w:rPr>
        <w:t>УТВЕРЖДАЮ</w:t>
      </w:r>
    </w:p>
    <w:p w:rsidR="0051050F" w:rsidRPr="00B532FA" w:rsidRDefault="0051050F" w:rsidP="00B532FA">
      <w:pPr>
        <w:ind w:left="5664"/>
        <w:rPr>
          <w:b/>
        </w:rPr>
      </w:pPr>
      <w:r w:rsidRPr="00B532FA">
        <w:rPr>
          <w:b/>
        </w:rPr>
        <w:t>Председатель контрольно-счетной палаты Волгоградской области</w:t>
      </w:r>
    </w:p>
    <w:p w:rsidR="0051050F" w:rsidRPr="00B532FA" w:rsidRDefault="0051050F" w:rsidP="00B532FA">
      <w:pPr>
        <w:ind w:left="4956" w:firstLine="708"/>
        <w:rPr>
          <w:b/>
          <w:bCs/>
        </w:rPr>
      </w:pPr>
      <w:r w:rsidRPr="00B532FA">
        <w:rPr>
          <w:b/>
          <w:bCs/>
        </w:rPr>
        <w:t>____________ И.А. Дьяченко</w:t>
      </w:r>
    </w:p>
    <w:p w:rsidR="0051050F" w:rsidRPr="00B532FA" w:rsidRDefault="0051050F" w:rsidP="00B532FA">
      <w:pPr>
        <w:ind w:left="4956" w:firstLine="708"/>
        <w:rPr>
          <w:b/>
          <w:bCs/>
        </w:rPr>
      </w:pPr>
      <w:r w:rsidRPr="00B532FA">
        <w:rPr>
          <w:b/>
          <w:bCs/>
        </w:rPr>
        <w:t xml:space="preserve">____ </w:t>
      </w:r>
      <w:r w:rsidR="005002C8" w:rsidRPr="00B532FA">
        <w:rPr>
          <w:b/>
          <w:bCs/>
        </w:rPr>
        <w:t>мая</w:t>
      </w:r>
      <w:r w:rsidRPr="00B532FA">
        <w:rPr>
          <w:b/>
          <w:bCs/>
        </w:rPr>
        <w:t xml:space="preserve"> 2018 года</w:t>
      </w:r>
    </w:p>
    <w:p w:rsidR="0051050F" w:rsidRPr="00B532FA" w:rsidRDefault="0051050F" w:rsidP="00B532FA">
      <w:pPr>
        <w:pStyle w:val="a6"/>
        <w:rPr>
          <w:szCs w:val="24"/>
        </w:rPr>
      </w:pPr>
    </w:p>
    <w:p w:rsidR="00886D43" w:rsidRDefault="00886D43" w:rsidP="00B532FA">
      <w:pPr>
        <w:pStyle w:val="a6"/>
        <w:rPr>
          <w:szCs w:val="24"/>
        </w:rPr>
      </w:pPr>
    </w:p>
    <w:p w:rsidR="0051050F" w:rsidRPr="00B532FA" w:rsidRDefault="0051050F" w:rsidP="00B532FA">
      <w:pPr>
        <w:pStyle w:val="a6"/>
        <w:rPr>
          <w:szCs w:val="24"/>
        </w:rPr>
      </w:pPr>
      <w:r w:rsidRPr="00B532FA">
        <w:rPr>
          <w:szCs w:val="24"/>
        </w:rPr>
        <w:t>Заключение</w:t>
      </w:r>
    </w:p>
    <w:p w:rsidR="0051050F" w:rsidRPr="00B532FA" w:rsidRDefault="0051050F" w:rsidP="00B532FA">
      <w:pPr>
        <w:pStyle w:val="af4"/>
        <w:jc w:val="center"/>
        <w:rPr>
          <w:rFonts w:ascii="Times New Roman" w:hAnsi="Times New Roman"/>
        </w:rPr>
      </w:pPr>
      <w:r w:rsidRPr="00B532FA">
        <w:rPr>
          <w:rFonts w:ascii="Times New Roman" w:hAnsi="Times New Roman"/>
          <w:b/>
        </w:rPr>
        <w:t>по результатам внешней проверки бюджетной отчетности и отдельных вопросов исполнения бюджета территориального фонда обязательного медицинского страхования Волгоградской области (далее ТФОМС) за 2017 год - государственным учреждением «Территориальный фонд обязательного медицинского страхования Волгоградской области» (далее ГУ ТФОМС)</w:t>
      </w:r>
    </w:p>
    <w:p w:rsidR="0051050F" w:rsidRPr="00B532FA" w:rsidRDefault="0051050F" w:rsidP="00B532FA"/>
    <w:p w:rsidR="00064B9D" w:rsidRPr="00B532FA" w:rsidRDefault="00064B9D" w:rsidP="00B532FA">
      <w:pPr>
        <w:ind w:firstLine="709"/>
        <w:jc w:val="center"/>
        <w:rPr>
          <w:b/>
          <w:i/>
        </w:rPr>
      </w:pPr>
      <w:r w:rsidRPr="00B532FA">
        <w:rPr>
          <w:b/>
          <w:i/>
        </w:rPr>
        <w:t>Общие сведения</w:t>
      </w:r>
    </w:p>
    <w:p w:rsidR="00064B9D" w:rsidRPr="00B532FA" w:rsidRDefault="00064B9D" w:rsidP="00B532FA">
      <w:pPr>
        <w:ind w:firstLine="709"/>
        <w:jc w:val="center"/>
        <w:rPr>
          <w:b/>
          <w:i/>
          <w:sz w:val="16"/>
          <w:szCs w:val="16"/>
        </w:rPr>
      </w:pPr>
    </w:p>
    <w:p w:rsidR="00064B9D" w:rsidRPr="00B532FA" w:rsidRDefault="00064B9D" w:rsidP="00B532FA">
      <w:pPr>
        <w:ind w:firstLine="709"/>
        <w:jc w:val="both"/>
      </w:pPr>
      <w:r w:rsidRPr="00B532FA">
        <w:t xml:space="preserve">Проверка проведена в соответствии </w:t>
      </w:r>
      <w:r w:rsidRPr="00B532FA">
        <w:rPr>
          <w:snapToGrid w:val="0"/>
        </w:rPr>
        <w:t xml:space="preserve">со Стандартом финансового контроля «Организация и проведение внешней </w:t>
      </w:r>
      <w:r w:rsidR="005002C8" w:rsidRPr="00B532FA">
        <w:rPr>
          <w:snapToGrid w:val="0"/>
        </w:rPr>
        <w:t xml:space="preserve">камеральной </w:t>
      </w:r>
      <w:r w:rsidRPr="00B532FA">
        <w:rPr>
          <w:snapToGrid w:val="0"/>
        </w:rPr>
        <w:t xml:space="preserve">проверки годового отчета об исполнении бюджета </w:t>
      </w:r>
      <w:r w:rsidR="00FE48AD" w:rsidRPr="00B532FA">
        <w:rPr>
          <w:snapToGrid w:val="0"/>
        </w:rPr>
        <w:t xml:space="preserve">ТФОМС </w:t>
      </w:r>
      <w:r w:rsidRPr="00B532FA">
        <w:t xml:space="preserve">Волгоградской области», утвержденным постановлением </w:t>
      </w:r>
      <w:r w:rsidR="00FE48AD" w:rsidRPr="00B532FA">
        <w:t>К</w:t>
      </w:r>
      <w:r w:rsidRPr="00B532FA">
        <w:t xml:space="preserve">оллегии </w:t>
      </w:r>
      <w:r w:rsidR="00FE48AD" w:rsidRPr="00B532FA">
        <w:t xml:space="preserve">контрольно-счетной палаты Волгоградской области (далее КСП) </w:t>
      </w:r>
      <w:r w:rsidRPr="00B532FA">
        <w:t>от 07.12.2016 № 28/2, на основе бюджетной отчетности ГУ ТФОМС за 2017 год в составе, определенном Инструкцией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от 28.12.2010 № 191н (далее Инструкция №191н).</w:t>
      </w:r>
    </w:p>
    <w:p w:rsidR="00FE48AD" w:rsidRPr="00B532FA" w:rsidRDefault="00FE48AD" w:rsidP="00B532FA">
      <w:pPr>
        <w:ind w:firstLine="709"/>
        <w:jc w:val="both"/>
      </w:pPr>
      <w:r w:rsidRPr="00B532FA">
        <w:t>Заключение сформировано с использованием информации комитета здравоохранения Волгоградской области (далее Облздрав) (письмо от 09.04.2018 № 14-07/532) о выполнении критериев доступности и качества</w:t>
      </w:r>
      <w:r w:rsidRPr="00B532FA">
        <w:rPr>
          <w:i/>
        </w:rPr>
        <w:t xml:space="preserve"> </w:t>
      </w:r>
      <w:r w:rsidRPr="00B532FA">
        <w:t>территориальной программы государственных гарантий бесплатного оказания гражданам медицинской помощи в Волгоградской области на 2017 год, утвержденной Законом Волгоградской области от 06.12.2016 № 130-ОД</w:t>
      </w:r>
      <w:r w:rsidRPr="00B532FA">
        <w:rPr>
          <w:color w:val="0000FF"/>
        </w:rPr>
        <w:t xml:space="preserve"> </w:t>
      </w:r>
      <w:r w:rsidRPr="00B532FA">
        <w:t>(далее Терпрограмма).</w:t>
      </w:r>
    </w:p>
    <w:p w:rsidR="00064B9D" w:rsidRPr="00B532FA" w:rsidRDefault="00064B9D" w:rsidP="00B532FA">
      <w:pPr>
        <w:tabs>
          <w:tab w:val="left" w:pos="2505"/>
        </w:tabs>
        <w:ind w:firstLine="709"/>
        <w:jc w:val="both"/>
      </w:pPr>
      <w:r w:rsidRPr="00B532FA">
        <w:t xml:space="preserve">Структуру ГУ ТФОМС составляют 6 филиалов, не являющихся отдельными юридическими лицами. Штатная численность ГУ ТФОМС составляет на 01.01.2017 - 294,15 ед., на 01.01.2018 - 290,5 ед., т.е. уменьшилась на 3,65 единиц. Фактическая численность на </w:t>
      </w:r>
      <w:r w:rsidR="00E61DD9" w:rsidRPr="00B532FA">
        <w:t>вышеуказанные даты составила 277 чел. и 272 чел. соответственно.</w:t>
      </w:r>
    </w:p>
    <w:p w:rsidR="0051050F" w:rsidRPr="00B532FA" w:rsidRDefault="0051050F" w:rsidP="00B532FA">
      <w:pPr>
        <w:jc w:val="center"/>
        <w:rPr>
          <w:b/>
        </w:rPr>
      </w:pPr>
    </w:p>
    <w:p w:rsidR="00E61DD9" w:rsidRPr="00B532FA" w:rsidRDefault="00E61DD9" w:rsidP="00B532FA">
      <w:pPr>
        <w:tabs>
          <w:tab w:val="left" w:pos="2505"/>
        </w:tabs>
        <w:jc w:val="center"/>
        <w:rPr>
          <w:b/>
          <w:i/>
        </w:rPr>
      </w:pPr>
      <w:r w:rsidRPr="00B532FA">
        <w:rPr>
          <w:b/>
          <w:i/>
        </w:rPr>
        <w:t>Полнота и достоверность бюджетной отчетности, ее соответствие требованиям нормативных правовых актов</w:t>
      </w:r>
    </w:p>
    <w:p w:rsidR="00E61DD9" w:rsidRPr="00B532FA" w:rsidRDefault="00E61DD9" w:rsidP="00B532FA">
      <w:pPr>
        <w:ind w:firstLine="709"/>
        <w:jc w:val="both"/>
        <w:rPr>
          <w:sz w:val="16"/>
          <w:szCs w:val="16"/>
        </w:rPr>
      </w:pPr>
    </w:p>
    <w:p w:rsidR="00E61DD9" w:rsidRPr="00B532FA" w:rsidRDefault="00E61DD9" w:rsidP="00B532FA">
      <w:pPr>
        <w:ind w:firstLine="709"/>
        <w:jc w:val="both"/>
      </w:pPr>
      <w:r w:rsidRPr="00B532FA">
        <w:t xml:space="preserve">Бюджетная отчетность представлена в комитет финансов Волгоградской области (далее Облфин) 12.02.2017 в соответствии с графиком сдачи годового отчета за 2017 год, установленным </w:t>
      </w:r>
      <w:r w:rsidR="00FE48AD" w:rsidRPr="00B532FA">
        <w:t xml:space="preserve">письмом </w:t>
      </w:r>
      <w:r w:rsidRPr="00B532FA">
        <w:t>Облфин</w:t>
      </w:r>
      <w:r w:rsidR="00FE48AD" w:rsidRPr="00B532FA">
        <w:t xml:space="preserve">а </w:t>
      </w:r>
      <w:r w:rsidRPr="00B532FA">
        <w:t>от 13.12.2017 №06-05-01-61/12176.</w:t>
      </w:r>
    </w:p>
    <w:p w:rsidR="008A08FF" w:rsidRPr="00B532FA" w:rsidRDefault="009F0054" w:rsidP="00B532FA">
      <w:pPr>
        <w:tabs>
          <w:tab w:val="left" w:pos="2505"/>
        </w:tabs>
        <w:ind w:firstLine="709"/>
        <w:jc w:val="both"/>
      </w:pPr>
      <w:r w:rsidRPr="00B532FA">
        <w:t xml:space="preserve">Проверкой </w:t>
      </w:r>
      <w:r w:rsidR="00FE48AD" w:rsidRPr="00B532FA">
        <w:t xml:space="preserve">установлено </w:t>
      </w:r>
      <w:r w:rsidR="008A08FF" w:rsidRPr="00B532FA">
        <w:t>6</w:t>
      </w:r>
      <w:r w:rsidRPr="00B532FA">
        <w:t xml:space="preserve"> случаев нарушения Инструкции №191н</w:t>
      </w:r>
      <w:r w:rsidR="00FE48AD" w:rsidRPr="00B532FA">
        <w:t>, которые устранены в</w:t>
      </w:r>
      <w:r w:rsidR="008A08FF" w:rsidRPr="00B532FA">
        <w:t xml:space="preserve"> ходе проверки</w:t>
      </w:r>
      <w:r w:rsidR="00FE48AD" w:rsidRPr="00B532FA">
        <w:t>.</w:t>
      </w:r>
    </w:p>
    <w:p w:rsidR="008A08FF" w:rsidRPr="00B532FA" w:rsidRDefault="008A08FF" w:rsidP="00B532FA">
      <w:pPr>
        <w:tabs>
          <w:tab w:val="left" w:pos="2505"/>
        </w:tabs>
        <w:ind w:firstLine="709"/>
        <w:jc w:val="both"/>
        <w:rPr>
          <w:color w:val="0000CC"/>
        </w:rPr>
      </w:pPr>
      <w:r w:rsidRPr="00B532FA">
        <w:t xml:space="preserve">Информация о комплектности и соответствии установленным формам бюджетной отчетности представлена в </w:t>
      </w:r>
      <w:r w:rsidRPr="00B532FA">
        <w:rPr>
          <w:color w:val="0000CC"/>
        </w:rPr>
        <w:t xml:space="preserve">приложении № 1. </w:t>
      </w:r>
    </w:p>
    <w:p w:rsidR="00E61DD9" w:rsidRPr="00B532FA" w:rsidRDefault="00E61DD9" w:rsidP="00B532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41437" w:rsidRPr="00B532FA" w:rsidRDefault="00641437" w:rsidP="00B532FA">
      <w:pPr>
        <w:ind w:firstLine="709"/>
        <w:jc w:val="center"/>
        <w:rPr>
          <w:b/>
          <w:i/>
        </w:rPr>
      </w:pPr>
      <w:r w:rsidRPr="00B532FA">
        <w:rPr>
          <w:b/>
          <w:i/>
        </w:rPr>
        <w:t>Формирование, изменение и исполнение бюджетных назначений и иных показателей, установленных законом о бюджете ТФОМС</w:t>
      </w:r>
    </w:p>
    <w:p w:rsidR="00FA00E9" w:rsidRPr="00B532FA" w:rsidRDefault="00FA00E9" w:rsidP="00B532FA">
      <w:pPr>
        <w:ind w:firstLine="709"/>
        <w:jc w:val="both"/>
        <w:rPr>
          <w:i/>
          <w:u w:val="single"/>
        </w:rPr>
      </w:pPr>
    </w:p>
    <w:p w:rsidR="00FA00E9" w:rsidRPr="00B532FA" w:rsidRDefault="00641437" w:rsidP="00B532FA">
      <w:pPr>
        <w:ind w:firstLine="709"/>
        <w:jc w:val="both"/>
      </w:pPr>
      <w:r w:rsidRPr="00B532FA">
        <w:rPr>
          <w:i/>
          <w:u w:val="single"/>
        </w:rPr>
        <w:t>Исполнение доходов</w:t>
      </w:r>
    </w:p>
    <w:p w:rsidR="00FE48AD" w:rsidRPr="00B532FA" w:rsidRDefault="00FE48AD" w:rsidP="00B532FA">
      <w:pPr>
        <w:ind w:firstLine="709"/>
        <w:jc w:val="both"/>
      </w:pPr>
      <w:r w:rsidRPr="00B532FA">
        <w:t xml:space="preserve">Доходы бюджета ТФОМС, утвержденные </w:t>
      </w:r>
      <w:r w:rsidR="00641437" w:rsidRPr="00B532FA">
        <w:t>Законом Волгоградской области от 07.12.2016 №133-ОД «О бюджете территориального фонда обязательного медицинского страхования Волгоградской области на 2017 год и на плановый период 2018 и 2019 годов» (далее Закон о бюджете ТФОМС) в сумме 23118974,1 тыс. руб</w:t>
      </w:r>
      <w:r w:rsidRPr="00B532FA">
        <w:t xml:space="preserve">., </w:t>
      </w:r>
      <w:r w:rsidR="00661E12" w:rsidRPr="00B532FA">
        <w:t xml:space="preserve">исполнены на </w:t>
      </w:r>
      <w:r w:rsidR="00661E12" w:rsidRPr="00B532FA">
        <w:rPr>
          <w:bCs/>
          <w:color w:val="000000"/>
        </w:rPr>
        <w:t>23072687,3</w:t>
      </w:r>
      <w:r w:rsidR="00661E12" w:rsidRPr="00B532FA">
        <w:t xml:space="preserve"> тыс. руб</w:t>
      </w:r>
      <w:r w:rsidRPr="00B532FA">
        <w:t>лей.</w:t>
      </w:r>
    </w:p>
    <w:p w:rsidR="00661E12" w:rsidRPr="00B532FA" w:rsidRDefault="00FE48AD" w:rsidP="00B532FA">
      <w:pPr>
        <w:ind w:firstLine="709"/>
        <w:jc w:val="both"/>
      </w:pPr>
      <w:r w:rsidRPr="00B532FA">
        <w:lastRenderedPageBreak/>
        <w:t>Н</w:t>
      </w:r>
      <w:r w:rsidR="00661E12" w:rsidRPr="00B532FA">
        <w:t xml:space="preserve">е исполнены </w:t>
      </w:r>
      <w:r w:rsidRPr="00B532FA">
        <w:t xml:space="preserve">доходы </w:t>
      </w:r>
      <w:r w:rsidR="00661E12" w:rsidRPr="00B532FA">
        <w:t xml:space="preserve">на </w:t>
      </w:r>
      <w:r w:rsidR="00661E12" w:rsidRPr="00B532FA">
        <w:rPr>
          <w:bCs/>
          <w:color w:val="000000"/>
        </w:rPr>
        <w:t xml:space="preserve">46286,8 </w:t>
      </w:r>
      <w:r w:rsidR="00661E12" w:rsidRPr="00B532FA">
        <w:t>тыс. руб., или на 0,2%, главным образом:</w:t>
      </w:r>
    </w:p>
    <w:p w:rsidR="00661E12" w:rsidRPr="00B532FA" w:rsidRDefault="00661E12" w:rsidP="00B532FA">
      <w:pPr>
        <w:ind w:firstLine="709"/>
        <w:jc w:val="both"/>
        <w:rPr>
          <w:color w:val="000000"/>
        </w:rPr>
      </w:pPr>
      <w:r w:rsidRPr="00B532FA">
        <w:rPr>
          <w:color w:val="000000"/>
        </w:rPr>
        <w:t xml:space="preserve">- </w:t>
      </w:r>
      <w:r w:rsidR="008C38AB" w:rsidRPr="00B532FA">
        <w:rPr>
          <w:color w:val="000000"/>
        </w:rPr>
        <w:t xml:space="preserve">по коду </w:t>
      </w:r>
      <w:r w:rsidR="00B53FA6" w:rsidRPr="00B532FA">
        <w:rPr>
          <w:color w:val="000000"/>
        </w:rPr>
        <w:t xml:space="preserve">395 11302999090000130 «Прочие доходы от компенсации затрат бюджетов территориальных фондов обязательного медицинского страхования» </w:t>
      </w:r>
      <w:r w:rsidR="00FE48AD" w:rsidRPr="00B532FA">
        <w:rPr>
          <w:color w:val="000000"/>
        </w:rPr>
        <w:t>на 2058,2 тыс. руб.</w:t>
      </w:r>
      <w:r w:rsidR="00064DDC" w:rsidRPr="00B532FA">
        <w:rPr>
          <w:color w:val="000000"/>
        </w:rPr>
        <w:t xml:space="preserve">, или на 2,6%, </w:t>
      </w:r>
      <w:r w:rsidRPr="00B532FA">
        <w:rPr>
          <w:color w:val="000000"/>
        </w:rPr>
        <w:t>в связи со снижением количества дефектов при оказании медицинской помощи по результатам экспертной деятельности в медицинских организациях;</w:t>
      </w:r>
    </w:p>
    <w:p w:rsidR="00661E12" w:rsidRPr="00B532FA" w:rsidRDefault="00661E12" w:rsidP="00B532FA">
      <w:pPr>
        <w:ind w:firstLine="709"/>
        <w:jc w:val="both"/>
        <w:rPr>
          <w:color w:val="000000"/>
        </w:rPr>
      </w:pPr>
      <w:r w:rsidRPr="00B532FA">
        <w:t>-</w:t>
      </w:r>
      <w:r w:rsidR="001A187A" w:rsidRPr="00B532FA">
        <w:t> </w:t>
      </w:r>
      <w:r w:rsidR="00B53FA6" w:rsidRPr="00B532FA">
        <w:rPr>
          <w:color w:val="000000"/>
        </w:rPr>
        <w:t>по</w:t>
      </w:r>
      <w:r w:rsidR="008A11E3" w:rsidRPr="00B532FA">
        <w:rPr>
          <w:color w:val="000000"/>
        </w:rPr>
        <w:t> </w:t>
      </w:r>
      <w:r w:rsidR="00B53FA6" w:rsidRPr="00B532FA">
        <w:rPr>
          <w:color w:val="000000"/>
        </w:rPr>
        <w:t>коду</w:t>
      </w:r>
      <w:r w:rsidR="008A11E3" w:rsidRPr="00B532FA">
        <w:rPr>
          <w:color w:val="000000"/>
        </w:rPr>
        <w:t> </w:t>
      </w:r>
      <w:r w:rsidR="00B53FA6" w:rsidRPr="00B532FA">
        <w:rPr>
          <w:color w:val="000000"/>
        </w:rPr>
        <w:t xml:space="preserve">39520259999090000151 «Прочие межбюджетные трансферты, передаваемые бюджетам территориальных фондов обязательного медицинского страхования» </w:t>
      </w:r>
      <w:r w:rsidR="001A187A" w:rsidRPr="00B532FA">
        <w:rPr>
          <w:color w:val="000000"/>
        </w:rPr>
        <w:t>на 43868,7 тыс. руб.</w:t>
      </w:r>
      <w:r w:rsidR="00064DDC" w:rsidRPr="00B532FA">
        <w:rPr>
          <w:color w:val="000000"/>
        </w:rPr>
        <w:t>,</w:t>
      </w:r>
      <w:r w:rsidR="001A187A" w:rsidRPr="00B532FA">
        <w:rPr>
          <w:color w:val="000000"/>
        </w:rPr>
        <w:t xml:space="preserve"> </w:t>
      </w:r>
      <w:r w:rsidR="00064DDC" w:rsidRPr="00B532FA">
        <w:rPr>
          <w:color w:val="000000"/>
        </w:rPr>
        <w:t xml:space="preserve">или на 6%, </w:t>
      </w:r>
      <w:r w:rsidR="008A11E3" w:rsidRPr="00B532FA">
        <w:rPr>
          <w:color w:val="000000"/>
        </w:rPr>
        <w:t>по причине непоступления средс</w:t>
      </w:r>
      <w:r w:rsidR="00064DDC" w:rsidRPr="00B532FA">
        <w:rPr>
          <w:color w:val="000000"/>
        </w:rPr>
        <w:t xml:space="preserve">тв из бюджетов других фондов </w:t>
      </w:r>
      <w:r w:rsidR="00C44278" w:rsidRPr="00B532FA">
        <w:rPr>
          <w:color w:val="000000"/>
        </w:rPr>
        <w:t xml:space="preserve">ОМС </w:t>
      </w:r>
      <w:r w:rsidR="00064DDC" w:rsidRPr="00B532FA">
        <w:rPr>
          <w:color w:val="000000"/>
        </w:rPr>
        <w:t>на оплату счетов за медпомощь, оказанную лицам, застрахованным в других субъектах РФ</w:t>
      </w:r>
      <w:r w:rsidR="008A11E3" w:rsidRPr="00B532FA">
        <w:rPr>
          <w:color w:val="000000"/>
        </w:rPr>
        <w:t>.</w:t>
      </w:r>
    </w:p>
    <w:p w:rsidR="00661E12" w:rsidRPr="00B532FA" w:rsidRDefault="00B62884" w:rsidP="00B532FA">
      <w:pPr>
        <w:autoSpaceDE w:val="0"/>
        <w:autoSpaceDN w:val="0"/>
        <w:adjustRightInd w:val="0"/>
        <w:ind w:firstLine="709"/>
        <w:jc w:val="both"/>
      </w:pPr>
      <w:r w:rsidRPr="00B532FA">
        <w:rPr>
          <w:color w:val="0000CC"/>
        </w:rPr>
        <w:t>Приложение № 2</w:t>
      </w:r>
      <w:r w:rsidR="00635975" w:rsidRPr="00B532FA">
        <w:t xml:space="preserve"> - Сравнительный анализ плановых и фактических показателей исполнения доходов бюджета ТФОМС</w:t>
      </w:r>
      <w:r w:rsidR="00635975" w:rsidRPr="00B532FA">
        <w:rPr>
          <w:i/>
        </w:rPr>
        <w:t xml:space="preserve"> </w:t>
      </w:r>
      <w:r w:rsidR="00635975" w:rsidRPr="00B532FA">
        <w:t>за 2017 год.</w:t>
      </w:r>
    </w:p>
    <w:p w:rsidR="00825D50" w:rsidRPr="00B532FA" w:rsidRDefault="00825D50" w:rsidP="00B532FA">
      <w:pPr>
        <w:autoSpaceDE w:val="0"/>
        <w:autoSpaceDN w:val="0"/>
        <w:adjustRightInd w:val="0"/>
        <w:ind w:firstLine="720"/>
        <w:jc w:val="both"/>
        <w:outlineLvl w:val="2"/>
      </w:pPr>
      <w:r w:rsidRPr="00B532FA">
        <w:t xml:space="preserve">Сравнительным анализом исполнения доходов бюджета ТФОМС за </w:t>
      </w:r>
      <w:r w:rsidR="001A187A" w:rsidRPr="00B532FA">
        <w:t xml:space="preserve">2017 </w:t>
      </w:r>
      <w:r w:rsidRPr="00B532FA">
        <w:t xml:space="preserve">и </w:t>
      </w:r>
      <w:r w:rsidR="001A187A" w:rsidRPr="00B532FA">
        <w:t>2016</w:t>
      </w:r>
      <w:r w:rsidRPr="00B532FA">
        <w:t xml:space="preserve"> годы (</w:t>
      </w:r>
      <w:r w:rsidRPr="00B532FA">
        <w:rPr>
          <w:color w:val="0000FF"/>
        </w:rPr>
        <w:t xml:space="preserve">приложение № </w:t>
      </w:r>
      <w:r w:rsidR="00B62884" w:rsidRPr="00B532FA">
        <w:rPr>
          <w:color w:val="0000FF"/>
        </w:rPr>
        <w:t>3</w:t>
      </w:r>
      <w:r w:rsidRPr="00B532FA">
        <w:rPr>
          <w:color w:val="0000FF"/>
        </w:rPr>
        <w:t xml:space="preserve">) </w:t>
      </w:r>
      <w:r w:rsidRPr="00B532FA">
        <w:t xml:space="preserve">установлено, что доходы бюджета ТФОМС в 2017 году на </w:t>
      </w:r>
      <w:r w:rsidRPr="00B532FA">
        <w:rPr>
          <w:bCs/>
          <w:color w:val="000000"/>
        </w:rPr>
        <w:t>1048144,1</w:t>
      </w:r>
      <w:r w:rsidRPr="00B532FA">
        <w:t xml:space="preserve"> тыс. руб. (или 4,8%) превышают доходы 2016 года главным образом за счет увеличения субвенции, передаваемой из бюджета ФФОМС в бюджет ТФОМС на финансовое обеспечение организации ОМС на территориях субъектов РФ (+1088762,8 тыс. руб.) в связи с увеличением подушевого норматива финансирования </w:t>
      </w:r>
      <w:r w:rsidR="001A187A" w:rsidRPr="00B532FA">
        <w:t>т</w:t>
      </w:r>
      <w:r w:rsidRPr="00B532FA">
        <w:t xml:space="preserve">ерриториальной программы государственных гарантий бесплатного оказания гражданам медицинской помощи в Волгоградской области </w:t>
      </w:r>
      <w:r w:rsidR="001A187A" w:rsidRPr="00B532FA">
        <w:t>в</w:t>
      </w:r>
      <w:r w:rsidRPr="00B532FA">
        <w:t xml:space="preserve"> 2017 год</w:t>
      </w:r>
      <w:r w:rsidR="001A187A" w:rsidRPr="00B532FA">
        <w:t>у</w:t>
      </w:r>
      <w:r w:rsidRPr="00B532FA">
        <w:t xml:space="preserve"> на одного застрахованного на 457,1 руб. (с 8438,9 руб. до 8896 руб.</w:t>
      </w:r>
      <w:r w:rsidR="00715E18" w:rsidRPr="00B532FA">
        <w:t xml:space="preserve"> (+5,4%</w:t>
      </w:r>
      <w:r w:rsidRPr="00B532FA">
        <w:t>) при уменьшении численности застрахованного населения Волгоградской области на 6507 чел. (с 2508530 чел. до 2502023 чел.</w:t>
      </w:r>
      <w:r w:rsidR="00715E18" w:rsidRPr="00B532FA">
        <w:t xml:space="preserve"> (-0,3%</w:t>
      </w:r>
      <w:r w:rsidRPr="00B532FA">
        <w:t>).</w:t>
      </w:r>
    </w:p>
    <w:p w:rsidR="005F0994" w:rsidRPr="00B532FA" w:rsidRDefault="00957271" w:rsidP="00B532FA">
      <w:pPr>
        <w:autoSpaceDE w:val="0"/>
        <w:autoSpaceDN w:val="0"/>
        <w:adjustRightInd w:val="0"/>
        <w:ind w:firstLine="708"/>
        <w:jc w:val="both"/>
        <w:outlineLvl w:val="2"/>
      </w:pPr>
      <w:r w:rsidRPr="00B532FA">
        <w:t>В</w:t>
      </w:r>
      <w:r w:rsidR="00E140D2" w:rsidRPr="00B532FA">
        <w:t xml:space="preserve"> 2017 году </w:t>
      </w:r>
      <w:r w:rsidR="002C3F36" w:rsidRPr="00B532FA">
        <w:t xml:space="preserve">в отличие от 2016 года по отдельному коду доходов не доводились </w:t>
      </w:r>
      <w:r w:rsidR="00BA6E1C" w:rsidRPr="00B532FA">
        <w:t>межбюджетны</w:t>
      </w:r>
      <w:r w:rsidR="00E140D2" w:rsidRPr="00B532FA">
        <w:t>е</w:t>
      </w:r>
      <w:r w:rsidR="00BA6E1C" w:rsidRPr="00B532FA">
        <w:t xml:space="preserve"> трансферт</w:t>
      </w:r>
      <w:r w:rsidR="00E140D2" w:rsidRPr="00B532FA">
        <w:t>ы</w:t>
      </w:r>
      <w:r w:rsidR="00BA6E1C" w:rsidRPr="00B532FA">
        <w:t>, передаваемы</w:t>
      </w:r>
      <w:r w:rsidR="00E140D2" w:rsidRPr="00B532FA">
        <w:t>е</w:t>
      </w:r>
      <w:r w:rsidR="00BA6E1C" w:rsidRPr="00B532FA">
        <w:t xml:space="preserve"> бюджетам ТФОМС на 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ОМС</w:t>
      </w:r>
      <w:r w:rsidR="002C3F36" w:rsidRPr="00B532FA">
        <w:t xml:space="preserve"> (-</w:t>
      </w:r>
      <w:r w:rsidR="002C3F36" w:rsidRPr="00B532FA">
        <w:rPr>
          <w:color w:val="000000"/>
        </w:rPr>
        <w:t xml:space="preserve">161380,9 </w:t>
      </w:r>
      <w:r w:rsidR="002C3F36" w:rsidRPr="00B532FA">
        <w:t>тыс. руб.)</w:t>
      </w:r>
      <w:r w:rsidR="00825D50" w:rsidRPr="00B532FA">
        <w:t xml:space="preserve">, так как </w:t>
      </w:r>
      <w:r w:rsidR="005F0994" w:rsidRPr="00B532FA">
        <w:t xml:space="preserve">на 2017 год нормативными актами не были предусмотрены. </w:t>
      </w:r>
    </w:p>
    <w:p w:rsidR="00825D50" w:rsidRPr="00B532FA" w:rsidRDefault="00A16EEA" w:rsidP="00B532FA">
      <w:pPr>
        <w:autoSpaceDE w:val="0"/>
        <w:autoSpaceDN w:val="0"/>
        <w:adjustRightInd w:val="0"/>
        <w:ind w:firstLine="709"/>
        <w:jc w:val="both"/>
        <w:outlineLvl w:val="2"/>
        <w:rPr>
          <w:iCs/>
          <w:color w:val="000000"/>
        </w:rPr>
      </w:pPr>
      <w:r w:rsidRPr="00B532FA">
        <w:t xml:space="preserve">Необходимо отметить, что в 2017 году по сравнению с 2016 годом уменьшилась  сумма </w:t>
      </w:r>
      <w:r w:rsidRPr="00B532FA">
        <w:rPr>
          <w:color w:val="000000"/>
        </w:rPr>
        <w:t xml:space="preserve">возврата остатков субсидий, субвенций и иных межбюджетных трансфертов, имеющих целевое назначение, прошлых лет в бюджет ФФОМС из бюджетов ТФОМС на 26391,4 </w:t>
      </w:r>
      <w:r w:rsidR="004C5740" w:rsidRPr="00B532FA">
        <w:rPr>
          <w:bCs/>
          <w:iCs/>
          <w:color w:val="000000"/>
        </w:rPr>
        <w:t>тыс. руб. (</w:t>
      </w:r>
      <w:r w:rsidR="004C5740" w:rsidRPr="00B532FA">
        <w:rPr>
          <w:iCs/>
          <w:color w:val="000000"/>
        </w:rPr>
        <w:t>53206,7</w:t>
      </w:r>
      <w:r w:rsidR="004C5740" w:rsidRPr="00B532FA">
        <w:rPr>
          <w:bCs/>
          <w:iCs/>
          <w:color w:val="000000"/>
        </w:rPr>
        <w:t xml:space="preserve"> тыс. руб. </w:t>
      </w:r>
      <w:r w:rsidR="004C5740" w:rsidRPr="00B532FA">
        <w:rPr>
          <w:iCs/>
          <w:color w:val="000000"/>
        </w:rPr>
        <w:t>- 26815,3</w:t>
      </w:r>
      <w:r w:rsidR="004C5740" w:rsidRPr="00B532FA">
        <w:rPr>
          <w:bCs/>
          <w:iCs/>
          <w:color w:val="000000"/>
        </w:rPr>
        <w:t xml:space="preserve"> тыс. руб.</w:t>
      </w:r>
      <w:r w:rsidR="004C5740" w:rsidRPr="00B532FA">
        <w:rPr>
          <w:iCs/>
          <w:color w:val="000000"/>
        </w:rPr>
        <w:t xml:space="preserve">). </w:t>
      </w:r>
    </w:p>
    <w:p w:rsidR="0030469E" w:rsidRPr="00B532FA" w:rsidRDefault="0030469E" w:rsidP="00B532FA">
      <w:pPr>
        <w:autoSpaceDE w:val="0"/>
        <w:autoSpaceDN w:val="0"/>
        <w:adjustRightInd w:val="0"/>
        <w:ind w:firstLine="709"/>
        <w:jc w:val="both"/>
        <w:outlineLvl w:val="2"/>
        <w:rPr>
          <w:i/>
          <w:u w:val="single"/>
        </w:rPr>
      </w:pPr>
    </w:p>
    <w:p w:rsidR="00E80A6E" w:rsidRPr="00B532FA" w:rsidRDefault="00E80A6E" w:rsidP="00B532FA">
      <w:pPr>
        <w:autoSpaceDE w:val="0"/>
        <w:autoSpaceDN w:val="0"/>
        <w:adjustRightInd w:val="0"/>
        <w:ind w:firstLine="709"/>
        <w:jc w:val="both"/>
        <w:outlineLvl w:val="2"/>
        <w:rPr>
          <w:i/>
          <w:u w:val="single"/>
        </w:rPr>
      </w:pPr>
      <w:r w:rsidRPr="00B532FA">
        <w:rPr>
          <w:i/>
          <w:u w:val="single"/>
        </w:rPr>
        <w:t>Исполнение расходов</w:t>
      </w:r>
    </w:p>
    <w:p w:rsidR="00C26CF8" w:rsidRPr="00B532FA" w:rsidRDefault="0030469E" w:rsidP="00B532FA">
      <w:pPr>
        <w:ind w:firstLine="709"/>
        <w:jc w:val="both"/>
      </w:pPr>
      <w:r w:rsidRPr="00B532FA">
        <w:t xml:space="preserve">Утвержденные в </w:t>
      </w:r>
      <w:r w:rsidR="00C26CF8" w:rsidRPr="00B532FA">
        <w:rPr>
          <w:bCs/>
        </w:rPr>
        <w:t>бюджете</w:t>
      </w:r>
      <w:r w:rsidR="00C26CF8" w:rsidRPr="00B532FA">
        <w:t xml:space="preserve"> ТФОМС на 2017 год расход</w:t>
      </w:r>
      <w:r w:rsidRPr="00B532FA">
        <w:t>ы</w:t>
      </w:r>
      <w:r w:rsidR="00C26CF8" w:rsidRPr="00B532FA">
        <w:t xml:space="preserve"> на 23198943,7  тыс. руб</w:t>
      </w:r>
      <w:r w:rsidRPr="00B532FA">
        <w:t>., и</w:t>
      </w:r>
      <w:r w:rsidR="00C26CF8" w:rsidRPr="00B532FA">
        <w:t>сполнен</w:t>
      </w:r>
      <w:r w:rsidRPr="00B532FA">
        <w:t>ы</w:t>
      </w:r>
      <w:r w:rsidR="00C26CF8" w:rsidRPr="00B532FA">
        <w:t xml:space="preserve"> на </w:t>
      </w:r>
      <w:r w:rsidR="00760F84" w:rsidRPr="00B532FA">
        <w:t xml:space="preserve">23074873,2 </w:t>
      </w:r>
      <w:r w:rsidR="00C26CF8" w:rsidRPr="00B532FA">
        <w:t xml:space="preserve">тыс. руб., </w:t>
      </w:r>
      <w:r w:rsidRPr="00B532FA">
        <w:t xml:space="preserve">или </w:t>
      </w:r>
      <w:r w:rsidR="00C26CF8" w:rsidRPr="00B532FA">
        <w:t xml:space="preserve">на </w:t>
      </w:r>
      <w:r w:rsidRPr="00B532FA">
        <w:t>95</w:t>
      </w:r>
      <w:r w:rsidR="00C26CF8" w:rsidRPr="00B532FA">
        <w:t>,</w:t>
      </w:r>
      <w:r w:rsidR="00760F84" w:rsidRPr="00B532FA">
        <w:t>5</w:t>
      </w:r>
      <w:r w:rsidRPr="00B532FA">
        <w:t xml:space="preserve"> процента.</w:t>
      </w:r>
    </w:p>
    <w:p w:rsidR="00320ED3" w:rsidRPr="00B532FA" w:rsidRDefault="0030469E" w:rsidP="00B532FA">
      <w:pPr>
        <w:autoSpaceDE w:val="0"/>
        <w:autoSpaceDN w:val="0"/>
        <w:adjustRightInd w:val="0"/>
        <w:ind w:firstLine="709"/>
        <w:jc w:val="both"/>
        <w:outlineLvl w:val="2"/>
      </w:pPr>
      <w:r w:rsidRPr="00B532FA">
        <w:t>Р</w:t>
      </w:r>
      <w:r w:rsidR="00760F84" w:rsidRPr="00B532FA">
        <w:t xml:space="preserve">асходы не исполнены </w:t>
      </w:r>
      <w:r w:rsidR="00320ED3" w:rsidRPr="00B532FA">
        <w:t xml:space="preserve">на 124070,5  тыс. руб., </w:t>
      </w:r>
      <w:r w:rsidRPr="00B532FA">
        <w:t>из них:</w:t>
      </w:r>
    </w:p>
    <w:p w:rsidR="002F6108" w:rsidRPr="00B532FA" w:rsidRDefault="002F6108" w:rsidP="00B532FA">
      <w:pPr>
        <w:ind w:firstLine="709"/>
        <w:jc w:val="both"/>
      </w:pPr>
      <w:r w:rsidRPr="00B532FA">
        <w:t>-</w:t>
      </w:r>
      <w:r w:rsidR="00E777F2" w:rsidRPr="00B532FA">
        <w:t xml:space="preserve"> </w:t>
      </w:r>
      <w:r w:rsidR="00760F84" w:rsidRPr="00B532FA">
        <w:t>по</w:t>
      </w:r>
      <w:r w:rsidR="00320ED3" w:rsidRPr="00B532FA">
        <w:t xml:space="preserve"> </w:t>
      </w:r>
      <w:r w:rsidR="00015321" w:rsidRPr="00B532FA">
        <w:t>подразделу</w:t>
      </w:r>
      <w:r w:rsidR="00320ED3" w:rsidRPr="00B532FA">
        <w:t xml:space="preserve"> </w:t>
      </w:r>
      <w:r w:rsidR="00015321" w:rsidRPr="00B532FA">
        <w:t>0100 «Общегосударственные вопросы»</w:t>
      </w:r>
      <w:r w:rsidRPr="00B532FA">
        <w:t xml:space="preserve"> - 11545,7 тыс. руб.</w:t>
      </w:r>
      <w:r w:rsidR="00AC2D00" w:rsidRPr="00B532FA">
        <w:t>, в том числе по</w:t>
      </w:r>
      <w:r w:rsidRPr="00B532FA">
        <w:t>:</w:t>
      </w:r>
    </w:p>
    <w:p w:rsidR="00AC2D00" w:rsidRPr="00B532FA" w:rsidRDefault="00AC2D00" w:rsidP="00B532FA">
      <w:pPr>
        <w:ind w:firstLine="709"/>
        <w:jc w:val="both"/>
      </w:pPr>
      <w:r w:rsidRPr="00B532FA">
        <w:rPr>
          <w:b/>
        </w:rPr>
        <w:t xml:space="preserve">∙ </w:t>
      </w:r>
      <w:r w:rsidR="0030469E" w:rsidRPr="00B532FA">
        <w:t xml:space="preserve">на </w:t>
      </w:r>
      <w:r w:rsidR="00320ED3" w:rsidRPr="00B532FA">
        <w:t>закупк</w:t>
      </w:r>
      <w:r w:rsidR="0030469E" w:rsidRPr="00B532FA">
        <w:t>у</w:t>
      </w:r>
      <w:r w:rsidR="00320ED3" w:rsidRPr="00B532FA">
        <w:t xml:space="preserve"> товаров, работ и услуг для обеспечения государственных нужд </w:t>
      </w:r>
      <w:r w:rsidR="002F6108" w:rsidRPr="00B532FA">
        <w:t xml:space="preserve">на 9755,1 тыс. руб. </w:t>
      </w:r>
      <w:r w:rsidR="0030469E" w:rsidRPr="00B532FA">
        <w:t xml:space="preserve">главным образом </w:t>
      </w:r>
      <w:r w:rsidR="00320ED3" w:rsidRPr="00B532FA">
        <w:t>за счет</w:t>
      </w:r>
      <w:r w:rsidR="0082454E" w:rsidRPr="00B532FA">
        <w:t xml:space="preserve"> </w:t>
      </w:r>
      <w:r w:rsidR="00320ED3" w:rsidRPr="00B532FA">
        <w:t xml:space="preserve">экономии, возникшей при проведении конкурсных процедур </w:t>
      </w:r>
      <w:r w:rsidR="0082454E" w:rsidRPr="00B532FA">
        <w:t>(</w:t>
      </w:r>
      <w:r w:rsidR="00320ED3" w:rsidRPr="00B532FA">
        <w:t>4748,5 тыс. руб.</w:t>
      </w:r>
      <w:r w:rsidR="0082454E" w:rsidRPr="00B532FA">
        <w:t>)</w:t>
      </w:r>
      <w:r w:rsidR="00320ED3" w:rsidRPr="00B532FA">
        <w:t>; переноса приобретения</w:t>
      </w:r>
      <w:r w:rsidR="0030469E" w:rsidRPr="00B532FA">
        <w:t>:</w:t>
      </w:r>
      <w:r w:rsidR="0082454E" w:rsidRPr="00B532FA">
        <w:t xml:space="preserve"> </w:t>
      </w:r>
      <w:r w:rsidR="00320ED3" w:rsidRPr="00B532FA">
        <w:t>служебного автомобиля на 2018 год</w:t>
      </w:r>
      <w:r w:rsidR="0082454E" w:rsidRPr="00B532FA">
        <w:t>, системы предотвращения утечки конфиденциальной информации, оргтехники (3675 тыс. руб.); сокращения закупок отдельных товаров (бумаги, запасных частей, картриджей, хозяйственных товаров, остатки которых сохранились с 2016 года) (1050,0 тыс. руб.)</w:t>
      </w:r>
      <w:r w:rsidR="002F6108" w:rsidRPr="00B532FA">
        <w:t xml:space="preserve">;  </w:t>
      </w:r>
    </w:p>
    <w:p w:rsidR="002F6108" w:rsidRPr="00B532FA" w:rsidRDefault="00AC2D00" w:rsidP="00B532FA">
      <w:pPr>
        <w:ind w:firstLine="709"/>
        <w:jc w:val="both"/>
      </w:pPr>
      <w:r w:rsidRPr="00B532FA">
        <w:rPr>
          <w:b/>
        </w:rPr>
        <w:t xml:space="preserve">∙ </w:t>
      </w:r>
      <w:r w:rsidR="002F6108" w:rsidRPr="00B532FA">
        <w:t>на иные выплаты персоналу на 701,7 тыс. руб. в связи с переносом на 2018 год ряда запланированных командировок и обучения сотрудников на курсах повышения квалификации;</w:t>
      </w:r>
    </w:p>
    <w:p w:rsidR="00AC2D00" w:rsidRPr="00B532FA" w:rsidRDefault="00AC2D00" w:rsidP="00B532FA">
      <w:pPr>
        <w:ind w:firstLine="709"/>
        <w:jc w:val="both"/>
      </w:pPr>
      <w:r w:rsidRPr="00B532FA">
        <w:rPr>
          <w:b/>
        </w:rPr>
        <w:t xml:space="preserve">∙ </w:t>
      </w:r>
      <w:r w:rsidR="0030469E" w:rsidRPr="00B532FA">
        <w:t>на</w:t>
      </w:r>
      <w:r w:rsidR="0030469E" w:rsidRPr="00B532FA">
        <w:rPr>
          <w:b/>
        </w:rPr>
        <w:t xml:space="preserve"> </w:t>
      </w:r>
      <w:r w:rsidRPr="00B532FA">
        <w:t>закупк</w:t>
      </w:r>
      <w:r w:rsidR="0030469E" w:rsidRPr="00B532FA">
        <w:t>у</w:t>
      </w:r>
      <w:r w:rsidRPr="00B532FA">
        <w:t xml:space="preserve"> товаров, работ и услуг для обеспечения капитального ремонта на 933,1 тыс. руб. в связи с экономией при проведении конкурсных процедур;</w:t>
      </w:r>
    </w:p>
    <w:p w:rsidR="00AC2D00" w:rsidRPr="00B532FA" w:rsidRDefault="00AC2D00" w:rsidP="00B532FA">
      <w:pPr>
        <w:widowControl w:val="0"/>
        <w:ind w:firstLine="709"/>
        <w:jc w:val="both"/>
      </w:pPr>
      <w:r w:rsidRPr="00B532FA">
        <w:t>-</w:t>
      </w:r>
      <w:r w:rsidR="00E777F2" w:rsidRPr="00B532FA">
        <w:t xml:space="preserve"> </w:t>
      </w:r>
      <w:r w:rsidRPr="00B532FA">
        <w:t>п</w:t>
      </w:r>
      <w:r w:rsidR="00015321" w:rsidRPr="00B532FA">
        <w:t xml:space="preserve">о подразделу 0909 «Другие вопросы в области здравоохранения» </w:t>
      </w:r>
      <w:r w:rsidRPr="00B532FA">
        <w:t xml:space="preserve">- </w:t>
      </w:r>
      <w:r w:rsidR="00015321" w:rsidRPr="00B532FA">
        <w:t>112524,8</w:t>
      </w:r>
      <w:r w:rsidRPr="00B532FA">
        <w:t xml:space="preserve"> тыс. руб.</w:t>
      </w:r>
      <w:r w:rsidR="003E610F" w:rsidRPr="00B532FA">
        <w:t>, из них</w:t>
      </w:r>
      <w:r w:rsidRPr="00B532FA">
        <w:t>:</w:t>
      </w:r>
    </w:p>
    <w:p w:rsidR="002252E5" w:rsidRPr="00B532FA" w:rsidRDefault="002252E5" w:rsidP="00B532FA">
      <w:pPr>
        <w:ind w:firstLine="708"/>
        <w:jc w:val="both"/>
      </w:pPr>
      <w:r w:rsidRPr="00B532FA">
        <w:rPr>
          <w:b/>
        </w:rPr>
        <w:t>∙</w:t>
      </w:r>
      <w:r w:rsidRPr="00B532FA">
        <w:t xml:space="preserve"> по обязательствам на финансирование медицинских организаций за медицинскую помощь, оказанную медицинскими учреждениями Волгоградской области лицам, застрахованным на территории других субъектов РФ, на 70042,8 тыс. руб., или на 9,1%, по причине недополучения средств от других территориальных фондов субъектов РФ</w:t>
      </w:r>
      <w:r w:rsidR="00100A08" w:rsidRPr="00B532FA">
        <w:t xml:space="preserve"> и </w:t>
      </w:r>
      <w:r w:rsidR="00100A08" w:rsidRPr="00B532FA">
        <w:lastRenderedPageBreak/>
        <w:t xml:space="preserve">длительности </w:t>
      </w:r>
      <w:r w:rsidR="00D23E08" w:rsidRPr="00B532FA">
        <w:t xml:space="preserve">процедуры </w:t>
      </w:r>
      <w:r w:rsidR="00932BCB" w:rsidRPr="00B532FA">
        <w:t>взаиморасчетов с территориальными фондами других субъектов по оплате медицинской помощи</w:t>
      </w:r>
      <w:r w:rsidRPr="00B532FA">
        <w:t xml:space="preserve">; </w:t>
      </w:r>
    </w:p>
    <w:p w:rsidR="002252E5" w:rsidRPr="00B532FA" w:rsidRDefault="002252E5" w:rsidP="00B532FA">
      <w:pPr>
        <w:autoSpaceDE w:val="0"/>
        <w:autoSpaceDN w:val="0"/>
        <w:adjustRightInd w:val="0"/>
        <w:ind w:firstLine="709"/>
        <w:jc w:val="both"/>
      </w:pPr>
      <w:r w:rsidRPr="00B532FA">
        <w:rPr>
          <w:b/>
        </w:rPr>
        <w:t>∙</w:t>
      </w:r>
      <w:r w:rsidRPr="00B532FA">
        <w:t xml:space="preserve"> на мероприятия, осуществляемые за счет средств НСЗ ТФОМС, по организации дополнительного профессионального образования медицинских работников по программам повышения квалификации, а также приобретение и проведение ремонта медицинского оборудования на 42482 тыс. руб., или на 36,7 процента.</w:t>
      </w:r>
    </w:p>
    <w:p w:rsidR="0030469E" w:rsidRPr="00B532FA" w:rsidRDefault="0030469E" w:rsidP="00B532FA">
      <w:pPr>
        <w:ind w:firstLine="709"/>
        <w:jc w:val="both"/>
      </w:pPr>
      <w:r w:rsidRPr="00B532FA">
        <w:t xml:space="preserve">Анализ исполнения расходов бюджета ТФОМС за 2017 год представлен в </w:t>
      </w:r>
      <w:r w:rsidRPr="00B532FA">
        <w:rPr>
          <w:color w:val="0000FF"/>
        </w:rPr>
        <w:t>приложении № 4.</w:t>
      </w:r>
    </w:p>
    <w:p w:rsidR="00E80A6E" w:rsidRPr="00B532FA" w:rsidRDefault="00E80A6E" w:rsidP="00B532FA">
      <w:pPr>
        <w:ind w:firstLine="709"/>
        <w:jc w:val="both"/>
      </w:pPr>
      <w:r w:rsidRPr="00B532FA">
        <w:t>Сравнительный анализ показателей исполнения расходов бюджета ТФОМС за отчетный и предыдущий годы приведен в таблице № </w:t>
      </w:r>
      <w:r w:rsidR="00E777F2" w:rsidRPr="00B532FA">
        <w:t>1</w:t>
      </w:r>
      <w:r w:rsidRPr="00B532FA">
        <w:t xml:space="preserve">. </w:t>
      </w:r>
    </w:p>
    <w:p w:rsidR="00E80A6E" w:rsidRPr="00B532FA" w:rsidRDefault="00E80A6E" w:rsidP="00B532FA">
      <w:pPr>
        <w:pStyle w:val="af6"/>
        <w:ind w:firstLine="708"/>
        <w:jc w:val="right"/>
        <w:rPr>
          <w:b/>
          <w:sz w:val="24"/>
          <w:szCs w:val="24"/>
        </w:rPr>
      </w:pPr>
      <w:r w:rsidRPr="00B532FA">
        <w:rPr>
          <w:sz w:val="24"/>
          <w:szCs w:val="24"/>
        </w:rPr>
        <w:t xml:space="preserve">Таблица № </w:t>
      </w:r>
      <w:r w:rsidR="00E777F2" w:rsidRPr="00B532FA">
        <w:rPr>
          <w:sz w:val="24"/>
          <w:szCs w:val="24"/>
        </w:rPr>
        <w:t>1</w:t>
      </w:r>
      <w:r w:rsidRPr="00B532FA">
        <w:rPr>
          <w:sz w:val="24"/>
          <w:szCs w:val="24"/>
        </w:rPr>
        <w:t>, тыс. руб.</w:t>
      </w:r>
    </w:p>
    <w:tbl>
      <w:tblPr>
        <w:tblW w:w="9654" w:type="dxa"/>
        <w:tblInd w:w="93" w:type="dxa"/>
        <w:tblLook w:val="04A0"/>
      </w:tblPr>
      <w:tblGrid>
        <w:gridCol w:w="4977"/>
        <w:gridCol w:w="1266"/>
        <w:gridCol w:w="1266"/>
        <w:gridCol w:w="1295"/>
        <w:gridCol w:w="850"/>
      </w:tblGrid>
      <w:tr w:rsidR="00E80A6E" w:rsidRPr="00B532FA" w:rsidTr="001502FC"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E" w:rsidRPr="00B532FA" w:rsidRDefault="00E80A6E" w:rsidP="00B532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32FA">
              <w:rPr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E" w:rsidRPr="00B532FA" w:rsidRDefault="00E80A6E" w:rsidP="00B532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32FA">
              <w:rPr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E" w:rsidRPr="00B532FA" w:rsidRDefault="00E80A6E" w:rsidP="00B532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32FA">
              <w:rPr>
                <w:b/>
                <w:bCs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E" w:rsidRPr="00B532FA" w:rsidRDefault="00E80A6E" w:rsidP="00B532FA">
            <w:pPr>
              <w:jc w:val="center"/>
              <w:rPr>
                <w:b/>
                <w:bCs/>
                <w:sz w:val="20"/>
                <w:szCs w:val="20"/>
              </w:rPr>
            </w:pPr>
            <w:r w:rsidRPr="00B532FA">
              <w:rPr>
                <w:b/>
                <w:bCs/>
                <w:sz w:val="20"/>
                <w:szCs w:val="20"/>
              </w:rPr>
              <w:t>Отклонение</w:t>
            </w:r>
          </w:p>
        </w:tc>
      </w:tr>
      <w:tr w:rsidR="00E80A6E" w:rsidRPr="00B532FA" w:rsidTr="001502FC"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A6E" w:rsidRPr="00B532FA" w:rsidRDefault="00E80A6E" w:rsidP="00B532F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A6E" w:rsidRPr="00B532FA" w:rsidRDefault="00E80A6E" w:rsidP="00B532F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A6E" w:rsidRPr="00B532FA" w:rsidRDefault="00E80A6E" w:rsidP="00B532F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E" w:rsidRPr="00B532FA" w:rsidRDefault="00E80A6E" w:rsidP="00B532FA">
            <w:pPr>
              <w:jc w:val="center"/>
              <w:rPr>
                <w:b/>
                <w:bCs/>
                <w:sz w:val="20"/>
                <w:szCs w:val="20"/>
              </w:rPr>
            </w:pPr>
            <w:r w:rsidRPr="00B532FA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E" w:rsidRPr="00B532FA" w:rsidRDefault="00E80A6E" w:rsidP="00B532FA">
            <w:pPr>
              <w:jc w:val="center"/>
              <w:rPr>
                <w:b/>
                <w:bCs/>
                <w:sz w:val="20"/>
                <w:szCs w:val="20"/>
              </w:rPr>
            </w:pPr>
            <w:r w:rsidRPr="00B532FA">
              <w:rPr>
                <w:b/>
                <w:bCs/>
                <w:sz w:val="20"/>
                <w:szCs w:val="20"/>
              </w:rPr>
              <w:t xml:space="preserve">% </w:t>
            </w:r>
          </w:p>
        </w:tc>
      </w:tr>
      <w:tr w:rsidR="00E80A6E" w:rsidRPr="00B532FA" w:rsidTr="001502FC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E" w:rsidRPr="00B532FA" w:rsidRDefault="00E80A6E" w:rsidP="00B532FA">
            <w:pPr>
              <w:rPr>
                <w:color w:val="000000"/>
                <w:sz w:val="20"/>
                <w:szCs w:val="20"/>
              </w:rPr>
            </w:pPr>
            <w:r w:rsidRPr="00B532FA">
              <w:rPr>
                <w:color w:val="000000"/>
                <w:sz w:val="20"/>
                <w:szCs w:val="20"/>
              </w:rPr>
              <w:t>0113 «Другие общегосударственные вопросы»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color w:val="000000"/>
                <w:sz w:val="20"/>
                <w:szCs w:val="20"/>
              </w:rPr>
            </w:pPr>
            <w:r w:rsidRPr="00B532FA">
              <w:rPr>
                <w:color w:val="000000"/>
                <w:sz w:val="20"/>
                <w:szCs w:val="20"/>
              </w:rPr>
              <w:t>222780,8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color w:val="000000"/>
                <w:sz w:val="20"/>
                <w:szCs w:val="20"/>
              </w:rPr>
            </w:pPr>
            <w:r w:rsidRPr="00B532FA">
              <w:rPr>
                <w:color w:val="000000"/>
                <w:sz w:val="20"/>
                <w:szCs w:val="20"/>
              </w:rPr>
              <w:t>218454,3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color w:val="000000"/>
                <w:sz w:val="20"/>
                <w:szCs w:val="20"/>
              </w:rPr>
            </w:pPr>
            <w:r w:rsidRPr="00B532FA">
              <w:rPr>
                <w:color w:val="000000"/>
                <w:sz w:val="20"/>
                <w:szCs w:val="20"/>
              </w:rPr>
              <w:t>-4326,5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color w:val="000000"/>
                <w:sz w:val="20"/>
                <w:szCs w:val="20"/>
              </w:rPr>
            </w:pPr>
            <w:r w:rsidRPr="00B532FA">
              <w:rPr>
                <w:color w:val="000000"/>
                <w:sz w:val="20"/>
                <w:szCs w:val="20"/>
              </w:rPr>
              <w:t>98,1</w:t>
            </w:r>
          </w:p>
        </w:tc>
      </w:tr>
      <w:tr w:rsidR="00E80A6E" w:rsidRPr="00B532FA" w:rsidTr="001502FC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E" w:rsidRPr="00B532FA" w:rsidRDefault="00E80A6E" w:rsidP="00B532FA">
            <w:pPr>
              <w:rPr>
                <w:color w:val="000000"/>
                <w:sz w:val="20"/>
                <w:szCs w:val="20"/>
              </w:rPr>
            </w:pPr>
            <w:r w:rsidRPr="00B532FA">
              <w:rPr>
                <w:color w:val="000000"/>
                <w:sz w:val="20"/>
                <w:szCs w:val="20"/>
              </w:rPr>
              <w:t>0909 «Другие вопросы в области здравоохранения»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color w:val="000000"/>
                <w:sz w:val="20"/>
                <w:szCs w:val="20"/>
              </w:rPr>
            </w:pPr>
            <w:r w:rsidRPr="00B532FA">
              <w:rPr>
                <w:color w:val="000000"/>
                <w:sz w:val="20"/>
                <w:szCs w:val="20"/>
              </w:rPr>
              <w:t>21776396,6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color w:val="000000"/>
                <w:sz w:val="20"/>
                <w:szCs w:val="20"/>
              </w:rPr>
            </w:pPr>
            <w:r w:rsidRPr="00B532FA">
              <w:rPr>
                <w:color w:val="000000"/>
                <w:sz w:val="20"/>
                <w:szCs w:val="20"/>
              </w:rPr>
              <w:t>22856418,9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color w:val="000000"/>
                <w:sz w:val="20"/>
                <w:szCs w:val="20"/>
              </w:rPr>
            </w:pPr>
            <w:r w:rsidRPr="00B532FA">
              <w:rPr>
                <w:color w:val="000000"/>
                <w:sz w:val="20"/>
                <w:szCs w:val="20"/>
              </w:rPr>
              <w:t>1080022,3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color w:val="000000"/>
                <w:sz w:val="20"/>
                <w:szCs w:val="20"/>
              </w:rPr>
            </w:pPr>
            <w:r w:rsidRPr="00B532FA">
              <w:rPr>
                <w:color w:val="000000"/>
                <w:sz w:val="20"/>
                <w:szCs w:val="20"/>
              </w:rPr>
              <w:t>105,0</w:t>
            </w:r>
          </w:p>
        </w:tc>
      </w:tr>
      <w:tr w:rsidR="00E80A6E" w:rsidRPr="00B532FA" w:rsidTr="001502FC"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80A6E" w:rsidRPr="00B532FA" w:rsidRDefault="00E80A6E" w:rsidP="00B532F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532FA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FA">
              <w:rPr>
                <w:b/>
                <w:bCs/>
                <w:color w:val="000000"/>
                <w:sz w:val="20"/>
                <w:szCs w:val="20"/>
              </w:rPr>
              <w:t>21999177,4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FA">
              <w:rPr>
                <w:b/>
                <w:bCs/>
                <w:color w:val="000000"/>
                <w:sz w:val="20"/>
                <w:szCs w:val="20"/>
              </w:rPr>
              <w:t>23074873,2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FA">
              <w:rPr>
                <w:b/>
                <w:bCs/>
                <w:color w:val="000000"/>
                <w:sz w:val="20"/>
                <w:szCs w:val="20"/>
              </w:rPr>
              <w:t>1075695,8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6E" w:rsidRPr="00B532FA" w:rsidRDefault="00E80A6E" w:rsidP="00B532F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532FA">
              <w:rPr>
                <w:b/>
                <w:bCs/>
                <w:color w:val="000000"/>
                <w:sz w:val="20"/>
                <w:szCs w:val="20"/>
              </w:rPr>
              <w:t>104,9</w:t>
            </w:r>
          </w:p>
        </w:tc>
      </w:tr>
    </w:tbl>
    <w:p w:rsidR="001502FC" w:rsidRPr="00B532FA" w:rsidRDefault="001502FC" w:rsidP="00B532FA">
      <w:pPr>
        <w:ind w:firstLine="709"/>
        <w:jc w:val="both"/>
      </w:pPr>
    </w:p>
    <w:p w:rsidR="0091501E" w:rsidRPr="00B532FA" w:rsidRDefault="00E80A6E" w:rsidP="00B532FA">
      <w:pPr>
        <w:ind w:firstLine="709"/>
        <w:jc w:val="both"/>
      </w:pPr>
      <w:r w:rsidRPr="00B532FA">
        <w:t>Как видно из таблицы №</w:t>
      </w:r>
      <w:r w:rsidR="00E777F2" w:rsidRPr="00B532FA">
        <w:t>1</w:t>
      </w:r>
      <w:r w:rsidRPr="00B532FA">
        <w:t xml:space="preserve">, в 2017 году расходы по подразделу 0909 «Другие вопросы в области здравоохранения» </w:t>
      </w:r>
      <w:r w:rsidR="00100A08" w:rsidRPr="00B532FA">
        <w:t xml:space="preserve">увеличены </w:t>
      </w:r>
      <w:r w:rsidRPr="00B532FA">
        <w:t xml:space="preserve">на </w:t>
      </w:r>
      <w:r w:rsidRPr="00B532FA">
        <w:rPr>
          <w:bCs/>
        </w:rPr>
        <w:t xml:space="preserve">1080022,3 тыс. руб., </w:t>
      </w:r>
      <w:r w:rsidR="002252E5" w:rsidRPr="00B532FA">
        <w:rPr>
          <w:bCs/>
        </w:rPr>
        <w:t xml:space="preserve">что </w:t>
      </w:r>
      <w:r w:rsidRPr="00B532FA">
        <w:rPr>
          <w:bCs/>
        </w:rPr>
        <w:t xml:space="preserve"> обусловлен</w:t>
      </w:r>
      <w:r w:rsidR="002252E5" w:rsidRPr="00B532FA">
        <w:rPr>
          <w:bCs/>
        </w:rPr>
        <w:t xml:space="preserve">о </w:t>
      </w:r>
      <w:r w:rsidRPr="00B532FA">
        <w:rPr>
          <w:bCs/>
        </w:rPr>
        <w:t xml:space="preserve">ростом расходов </w:t>
      </w:r>
      <w:r w:rsidRPr="00B532FA">
        <w:t xml:space="preserve">на финансовое обеспечение </w:t>
      </w:r>
      <w:r w:rsidR="0022046D" w:rsidRPr="00B532FA">
        <w:t>Т</w:t>
      </w:r>
      <w:r w:rsidRPr="00B532FA">
        <w:t>ерпрограммы ОМС, источником финансирования которой является субвенция ФФОМС.</w:t>
      </w:r>
    </w:p>
    <w:p w:rsidR="00825D50" w:rsidRPr="00B532FA" w:rsidRDefault="00825D50" w:rsidP="00B532FA">
      <w:pPr>
        <w:jc w:val="center"/>
        <w:rPr>
          <w:b/>
          <w:i/>
        </w:rPr>
      </w:pPr>
    </w:p>
    <w:p w:rsidR="003A2488" w:rsidRPr="00B532FA" w:rsidRDefault="003A2488" w:rsidP="00B532FA">
      <w:pPr>
        <w:jc w:val="center"/>
        <w:rPr>
          <w:b/>
          <w:i/>
        </w:rPr>
      </w:pPr>
      <w:r w:rsidRPr="00B532FA">
        <w:rPr>
          <w:b/>
          <w:i/>
        </w:rPr>
        <w:t>Дефицит бюджета ТФОМС, анализ изменения остатков средств бюджета</w:t>
      </w:r>
    </w:p>
    <w:p w:rsidR="003A2488" w:rsidRPr="00B532FA" w:rsidRDefault="003A2488" w:rsidP="00B532FA">
      <w:pPr>
        <w:jc w:val="center"/>
        <w:rPr>
          <w:b/>
          <w:i/>
        </w:rPr>
      </w:pPr>
      <w:r w:rsidRPr="00B532FA">
        <w:rPr>
          <w:b/>
          <w:i/>
        </w:rPr>
        <w:t>ТФОМС на начало и конец финансового года и причины их образования</w:t>
      </w:r>
    </w:p>
    <w:p w:rsidR="003A2488" w:rsidRPr="00B532FA" w:rsidRDefault="003A2488" w:rsidP="00B532FA">
      <w:pPr>
        <w:ind w:firstLine="709"/>
        <w:jc w:val="both"/>
      </w:pPr>
    </w:p>
    <w:p w:rsidR="003A2488" w:rsidRPr="00B532FA" w:rsidRDefault="003A2488" w:rsidP="00B532FA">
      <w:pPr>
        <w:ind w:firstLine="709"/>
        <w:jc w:val="both"/>
      </w:pPr>
      <w:r w:rsidRPr="00B532FA">
        <w:t xml:space="preserve">Бюджет ТФОМС </w:t>
      </w:r>
      <w:r w:rsidR="002252E5" w:rsidRPr="00B532FA">
        <w:t xml:space="preserve">первоначально </w:t>
      </w:r>
      <w:r w:rsidRPr="00B532FA">
        <w:t>утвержден без</w:t>
      </w:r>
      <w:r w:rsidR="00FE4DEB" w:rsidRPr="00B532FA">
        <w:t xml:space="preserve"> </w:t>
      </w:r>
      <w:r w:rsidRPr="00B532FA">
        <w:t>дефицит</w:t>
      </w:r>
      <w:r w:rsidR="00FE4DEB" w:rsidRPr="00B532FA">
        <w:t>а</w:t>
      </w:r>
      <w:r w:rsidRPr="00B532FA">
        <w:t>, в окончательной редакции с дефицитом в сумме 79969,6 тыс. руб. с источником погашения за счет остатков средств ОМС</w:t>
      </w:r>
      <w:r w:rsidR="00FE4DEB" w:rsidRPr="00B532FA">
        <w:t xml:space="preserve"> на начало 2017 года</w:t>
      </w:r>
      <w:r w:rsidRPr="00B532FA">
        <w:t xml:space="preserve">. </w:t>
      </w:r>
      <w:r w:rsidR="00FE4DEB" w:rsidRPr="00B532FA">
        <w:t>И</w:t>
      </w:r>
      <w:r w:rsidRPr="00B532FA">
        <w:t>сполнен бю</w:t>
      </w:r>
      <w:r w:rsidR="001A49F1" w:rsidRPr="00B532FA">
        <w:t xml:space="preserve">джет ТФОМС с дефицитом </w:t>
      </w:r>
      <w:r w:rsidR="00FE4DEB" w:rsidRPr="00B532FA">
        <w:t xml:space="preserve">в сумме </w:t>
      </w:r>
      <w:r w:rsidRPr="00B532FA">
        <w:t xml:space="preserve">2185,9 тыс. руб. </w:t>
      </w:r>
      <w:r w:rsidR="00FE4DEB" w:rsidRPr="00B532FA">
        <w:t xml:space="preserve">с источником погашения за счет </w:t>
      </w:r>
      <w:r w:rsidRPr="00B532FA">
        <w:t>уменьшения остатков средств ОМС на счетах ТФОМС на 31.12.2017 до 77783,7 тыс. рублей.</w:t>
      </w:r>
    </w:p>
    <w:p w:rsidR="003A2488" w:rsidRPr="00B532FA" w:rsidRDefault="003A2488" w:rsidP="00B532FA">
      <w:pPr>
        <w:ind w:firstLine="709"/>
        <w:jc w:val="both"/>
      </w:pPr>
      <w:r w:rsidRPr="00B532FA">
        <w:t xml:space="preserve">Структура остатков средств ОМС представлена в таблице № </w:t>
      </w:r>
      <w:r w:rsidR="00E777F2" w:rsidRPr="00B532FA">
        <w:t>2</w:t>
      </w:r>
      <w:r w:rsidRPr="00B532FA">
        <w:t>.</w:t>
      </w:r>
    </w:p>
    <w:p w:rsidR="003A2488" w:rsidRPr="00B532FA" w:rsidRDefault="003A2488" w:rsidP="00B532FA">
      <w:pPr>
        <w:ind w:firstLine="709"/>
        <w:jc w:val="right"/>
      </w:pPr>
      <w:r w:rsidRPr="00B532FA">
        <w:t xml:space="preserve">Таблица № </w:t>
      </w:r>
      <w:r w:rsidR="00E777F2" w:rsidRPr="00B532FA">
        <w:t>2</w:t>
      </w:r>
      <w:r w:rsidRPr="00B532FA">
        <w:t>, тыс. руб.</w:t>
      </w:r>
    </w:p>
    <w:tbl>
      <w:tblPr>
        <w:tblW w:w="9650" w:type="dxa"/>
        <w:tblInd w:w="97" w:type="dxa"/>
        <w:tblLook w:val="04A0"/>
      </w:tblPr>
      <w:tblGrid>
        <w:gridCol w:w="6173"/>
        <w:gridCol w:w="1209"/>
        <w:gridCol w:w="1134"/>
        <w:gridCol w:w="1134"/>
      </w:tblGrid>
      <w:tr w:rsidR="00670A9A" w:rsidRPr="00B532FA" w:rsidTr="00670A9A">
        <w:trPr>
          <w:cantSplit/>
          <w:trHeight w:val="456"/>
        </w:trPr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32FA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32FA">
              <w:rPr>
                <w:b/>
                <w:bCs/>
                <w:color w:val="000000"/>
                <w:sz w:val="18"/>
                <w:szCs w:val="18"/>
              </w:rPr>
              <w:t>на 01.01.2017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32FA">
              <w:rPr>
                <w:b/>
                <w:bCs/>
                <w:color w:val="000000"/>
                <w:sz w:val="18"/>
                <w:szCs w:val="18"/>
              </w:rPr>
              <w:t>на 01.01.2018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32FA">
              <w:rPr>
                <w:b/>
                <w:bCs/>
                <w:color w:val="000000"/>
                <w:sz w:val="18"/>
                <w:szCs w:val="18"/>
              </w:rPr>
              <w:t>изменение</w:t>
            </w:r>
          </w:p>
        </w:tc>
      </w:tr>
      <w:tr w:rsidR="00670A9A" w:rsidRPr="00B532FA" w:rsidTr="00670A9A">
        <w:trPr>
          <w:cantSplit/>
          <w:trHeight w:val="288"/>
        </w:trPr>
        <w:tc>
          <w:tcPr>
            <w:tcW w:w="6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532FA">
              <w:rPr>
                <w:b/>
                <w:bCs/>
                <w:i/>
                <w:iCs/>
                <w:color w:val="000000"/>
                <w:sz w:val="18"/>
                <w:szCs w:val="18"/>
              </w:rPr>
              <w:t>Остаток средств ОМС всего, в том числе: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532FA">
              <w:rPr>
                <w:b/>
                <w:bCs/>
                <w:i/>
                <w:iCs/>
                <w:color w:val="000000"/>
                <w:sz w:val="18"/>
                <w:szCs w:val="18"/>
              </w:rPr>
              <w:t>79 969,5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532FA">
              <w:rPr>
                <w:b/>
                <w:bCs/>
                <w:i/>
                <w:iCs/>
                <w:color w:val="000000"/>
                <w:sz w:val="18"/>
                <w:szCs w:val="18"/>
              </w:rPr>
              <w:t>77783,7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B532FA">
              <w:rPr>
                <w:b/>
                <w:bCs/>
                <w:i/>
                <w:iCs/>
                <w:color w:val="000000"/>
                <w:sz w:val="18"/>
                <w:szCs w:val="18"/>
              </w:rPr>
              <w:t>-2 185,80</w:t>
            </w:r>
          </w:p>
        </w:tc>
      </w:tr>
      <w:tr w:rsidR="00670A9A" w:rsidRPr="00B532FA" w:rsidTr="00670A9A">
        <w:trPr>
          <w:cantSplit/>
          <w:trHeight w:val="288"/>
        </w:trPr>
        <w:tc>
          <w:tcPr>
            <w:tcW w:w="6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Субвенция ФФОМС (остаток от средств АУП ТФОМС)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3 429,5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11545,7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8 116,20</w:t>
            </w:r>
          </w:p>
        </w:tc>
      </w:tr>
      <w:tr w:rsidR="00670A9A" w:rsidRPr="00B532FA" w:rsidTr="00670A9A">
        <w:trPr>
          <w:cantSplit/>
          <w:trHeight w:val="288"/>
        </w:trPr>
        <w:tc>
          <w:tcPr>
            <w:tcW w:w="6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Прочие межбюджетные трансферты ТФОМС других регионов (МТР)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3 868,2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  <w:lang w:val="en-US"/>
              </w:rPr>
              <w:t>3379,4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  <w:lang w:val="en-US"/>
              </w:rPr>
              <w:t>-488,8</w:t>
            </w:r>
          </w:p>
        </w:tc>
      </w:tr>
      <w:tr w:rsidR="00670A9A" w:rsidRPr="00B532FA" w:rsidTr="00670A9A">
        <w:trPr>
          <w:cantSplit/>
          <w:trHeight w:val="480"/>
        </w:trPr>
        <w:tc>
          <w:tcPr>
            <w:tcW w:w="6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Средства НСЗ ТФОМС на мероприятия по обучению работников и приобретению и ремонту оборудования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27 134,9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  <w:lang w:val="en-US"/>
              </w:rPr>
              <w:t>39 368,90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  <w:lang w:val="en-US"/>
              </w:rPr>
              <w:t>12 234,00</w:t>
            </w:r>
          </w:p>
        </w:tc>
      </w:tr>
      <w:tr w:rsidR="00670A9A" w:rsidRPr="00B532FA" w:rsidTr="00670A9A">
        <w:trPr>
          <w:cantSplit/>
          <w:trHeight w:val="696"/>
        </w:trPr>
        <w:tc>
          <w:tcPr>
            <w:tcW w:w="6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Средства НСЗ ФФОМС на дополнительную специализированную медицинскую помощь, оказываемую ФГУ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22 047,2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5002C8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-22 047,20</w:t>
            </w:r>
          </w:p>
          <w:p w:rsidR="005002C8" w:rsidRPr="00B532FA" w:rsidRDefault="005002C8" w:rsidP="00B532FA">
            <w:pPr>
              <w:jc w:val="center"/>
              <w:rPr>
                <w:color w:val="000000"/>
                <w:sz w:val="12"/>
                <w:szCs w:val="12"/>
              </w:rPr>
            </w:pPr>
            <w:r w:rsidRPr="00B532FA">
              <w:rPr>
                <w:color w:val="000000"/>
                <w:sz w:val="12"/>
                <w:szCs w:val="12"/>
              </w:rPr>
              <w:t>(в 2017 году средства не выделялись)</w:t>
            </w:r>
          </w:p>
        </w:tc>
      </w:tr>
      <w:tr w:rsidR="00670A9A" w:rsidRPr="00B532FA" w:rsidTr="00670A9A">
        <w:trPr>
          <w:cantSplit/>
          <w:trHeight w:val="480"/>
        </w:trPr>
        <w:tc>
          <w:tcPr>
            <w:tcW w:w="6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Прочие доходы Фонда (пени, штрафы, восстановление средств ОМС, использованных не по целевому назначению)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23 489,7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  <w:lang w:val="en-US"/>
              </w:rPr>
              <w:t>23489,7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A9A" w:rsidRPr="00B532FA" w:rsidRDefault="00670A9A" w:rsidP="00B532FA">
            <w:pPr>
              <w:jc w:val="center"/>
              <w:rPr>
                <w:color w:val="000000"/>
                <w:sz w:val="18"/>
                <w:szCs w:val="18"/>
              </w:rPr>
            </w:pPr>
            <w:r w:rsidRPr="00B532FA"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670A9A" w:rsidRPr="00B532FA" w:rsidRDefault="00670A9A" w:rsidP="00B532FA">
      <w:pPr>
        <w:ind w:firstLine="709"/>
        <w:jc w:val="both"/>
      </w:pPr>
    </w:p>
    <w:p w:rsidR="00FE4DEB" w:rsidRPr="00B532FA" w:rsidRDefault="00FE4DEB" w:rsidP="00B532FA">
      <w:pPr>
        <w:ind w:firstLine="709"/>
        <w:jc w:val="both"/>
      </w:pPr>
      <w:r w:rsidRPr="00B532FA">
        <w:t>При уменьшении остатков в целом, по отдельным направлениям расходования средств ОМС остатки выросли.</w:t>
      </w:r>
    </w:p>
    <w:p w:rsidR="003A2488" w:rsidRPr="00B532FA" w:rsidRDefault="003A2488" w:rsidP="00B532FA">
      <w:pPr>
        <w:ind w:firstLine="709"/>
        <w:jc w:val="both"/>
      </w:pPr>
      <w:r w:rsidRPr="00B532FA">
        <w:t>Согласно пояснениям ТФОМС остаток средств субвенции ФФОМС увеличился на 8116,2 тыс. руб.</w:t>
      </w:r>
      <w:r w:rsidR="00100A08" w:rsidRPr="00B532FA">
        <w:t xml:space="preserve"> </w:t>
      </w:r>
      <w:r w:rsidRPr="00B532FA">
        <w:t xml:space="preserve">из-за экономии по расходам на обеспечение выполнения функций аппарата органа управления ТФОМС. Эти средства </w:t>
      </w:r>
      <w:r w:rsidR="00932BCB" w:rsidRPr="00B532FA">
        <w:t>согласно</w:t>
      </w:r>
      <w:r w:rsidRPr="00B532FA">
        <w:t xml:space="preserve"> ст. 242 БК РФ были возвращены в бюджет ФФОМС и после подтверждения потребности в них поступили в 2018 году в бюджет ТФОМС и направлены на </w:t>
      </w:r>
      <w:r w:rsidR="00925F5A" w:rsidRPr="00B532FA">
        <w:t>оплату лечени</w:t>
      </w:r>
      <w:r w:rsidR="00932BCB" w:rsidRPr="00B532FA">
        <w:t>я</w:t>
      </w:r>
      <w:r w:rsidR="00925F5A" w:rsidRPr="00B532FA">
        <w:t xml:space="preserve"> граждан в рамках </w:t>
      </w:r>
      <w:r w:rsidRPr="00B532FA">
        <w:t>Терпрограммы ОМС на 2018 год.</w:t>
      </w:r>
    </w:p>
    <w:p w:rsidR="00932BCB" w:rsidRPr="00B532FA" w:rsidRDefault="00FE4DEB" w:rsidP="00B532FA">
      <w:pPr>
        <w:ind w:firstLine="709"/>
        <w:jc w:val="both"/>
      </w:pPr>
      <w:r w:rsidRPr="00B532FA">
        <w:t>У</w:t>
      </w:r>
      <w:r w:rsidR="003A2488" w:rsidRPr="00B532FA">
        <w:t xml:space="preserve">величение остатков средств </w:t>
      </w:r>
      <w:r w:rsidRPr="00B532FA">
        <w:t xml:space="preserve">НСЗ </w:t>
      </w:r>
      <w:r w:rsidR="00932BCB" w:rsidRPr="00B532FA">
        <w:t xml:space="preserve">в сумме 12234 тыс. руб. </w:t>
      </w:r>
      <w:r w:rsidR="003A2488" w:rsidRPr="00B532FA">
        <w:t xml:space="preserve">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</w:t>
      </w:r>
      <w:r w:rsidR="003A2488" w:rsidRPr="00B532FA">
        <w:lastRenderedPageBreak/>
        <w:t xml:space="preserve">приобретению и проведению ремонта медицинского оборудования (далее </w:t>
      </w:r>
      <w:r w:rsidR="00A07A3E" w:rsidRPr="00B532FA">
        <w:t>м</w:t>
      </w:r>
      <w:r w:rsidR="003A2488" w:rsidRPr="00B532FA">
        <w:t>ероприятия)</w:t>
      </w:r>
      <w:r w:rsidR="00932BCB" w:rsidRPr="00B532FA">
        <w:t xml:space="preserve"> обусловлено ростом поступлений этих средств в течение 4 квартала 2017 года, по отношению к 4 кварталу 2016 года.</w:t>
      </w:r>
    </w:p>
    <w:p w:rsidR="003A2488" w:rsidRPr="00B532FA" w:rsidRDefault="00932BCB" w:rsidP="00B532FA">
      <w:pPr>
        <w:ind w:firstLine="709"/>
        <w:jc w:val="both"/>
      </w:pPr>
      <w:r w:rsidRPr="00B532FA">
        <w:t>Р</w:t>
      </w:r>
      <w:r w:rsidR="003A2488" w:rsidRPr="00B532FA">
        <w:t xml:space="preserve">асходование </w:t>
      </w:r>
      <w:r w:rsidRPr="00B532FA">
        <w:t xml:space="preserve">остатка средств НСЗ </w:t>
      </w:r>
      <w:r w:rsidR="003A2488" w:rsidRPr="00B532FA">
        <w:t xml:space="preserve">планируется осуществить в </w:t>
      </w:r>
      <w:r w:rsidRPr="00B532FA">
        <w:t xml:space="preserve">рамках плана </w:t>
      </w:r>
      <w:r w:rsidR="00A07A3E" w:rsidRPr="00B532FA">
        <w:t>м</w:t>
      </w:r>
      <w:r w:rsidRPr="00B532FA">
        <w:t>ероприятий на 1 квартал 2018 года</w:t>
      </w:r>
      <w:r w:rsidR="003A2488" w:rsidRPr="00B532FA">
        <w:t>.</w:t>
      </w:r>
    </w:p>
    <w:p w:rsidR="00932BCB" w:rsidRPr="00B532FA" w:rsidRDefault="00932BCB" w:rsidP="00B532FA">
      <w:pPr>
        <w:ind w:firstLine="709"/>
        <w:jc w:val="both"/>
      </w:pPr>
    </w:p>
    <w:p w:rsidR="003A2488" w:rsidRPr="00B532FA" w:rsidRDefault="003A2488" w:rsidP="00B532FA">
      <w:pPr>
        <w:ind w:firstLine="709"/>
        <w:jc w:val="center"/>
        <w:rPr>
          <w:b/>
          <w:i/>
        </w:rPr>
      </w:pPr>
      <w:r w:rsidRPr="00B532FA">
        <w:rPr>
          <w:b/>
          <w:i/>
        </w:rPr>
        <w:t xml:space="preserve">Анализ дебиторской и кредиторской задолженностей </w:t>
      </w:r>
    </w:p>
    <w:p w:rsidR="003A2488" w:rsidRPr="00B532FA" w:rsidRDefault="003A2488" w:rsidP="00B532FA">
      <w:pPr>
        <w:ind w:firstLine="709"/>
        <w:jc w:val="center"/>
        <w:rPr>
          <w:sz w:val="16"/>
          <w:szCs w:val="16"/>
        </w:rPr>
      </w:pPr>
    </w:p>
    <w:p w:rsidR="003A2488" w:rsidRPr="00B532FA" w:rsidRDefault="003A2488" w:rsidP="00B532FA">
      <w:pPr>
        <w:tabs>
          <w:tab w:val="left" w:pos="0"/>
        </w:tabs>
        <w:ind w:firstLine="720"/>
        <w:jc w:val="both"/>
      </w:pPr>
      <w:r w:rsidRPr="00B532FA">
        <w:t>Анализ изменения задолженностей ТФОМС за 2017 год приведен в таблице №</w:t>
      </w:r>
      <w:r w:rsidR="00670A9A" w:rsidRPr="00B532FA">
        <w:t>3</w:t>
      </w:r>
      <w:r w:rsidRPr="00B532FA">
        <w:t>.</w:t>
      </w:r>
    </w:p>
    <w:p w:rsidR="003A2488" w:rsidRPr="00B532FA" w:rsidRDefault="003A2488" w:rsidP="00B532FA">
      <w:pPr>
        <w:jc w:val="right"/>
      </w:pPr>
      <w:r w:rsidRPr="00B532FA">
        <w:t xml:space="preserve">Таблица № </w:t>
      </w:r>
      <w:r w:rsidR="00670A9A" w:rsidRPr="00B532FA">
        <w:t>3</w:t>
      </w:r>
      <w:r w:rsidRPr="00B532FA">
        <w:t>, тыс. руб.</w:t>
      </w:r>
    </w:p>
    <w:tbl>
      <w:tblPr>
        <w:tblW w:w="9648" w:type="dxa"/>
        <w:tblInd w:w="96" w:type="dxa"/>
        <w:tblLayout w:type="fixed"/>
        <w:tblLook w:val="00A0"/>
      </w:tblPr>
      <w:tblGrid>
        <w:gridCol w:w="4971"/>
        <w:gridCol w:w="1377"/>
        <w:gridCol w:w="1458"/>
        <w:gridCol w:w="1134"/>
        <w:gridCol w:w="708"/>
      </w:tblGrid>
      <w:tr w:rsidR="003A2488" w:rsidRPr="00B532FA" w:rsidTr="00825D50">
        <w:trPr>
          <w:trHeight w:val="179"/>
        </w:trPr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color w:val="000000"/>
                <w:sz w:val="16"/>
                <w:szCs w:val="16"/>
              </w:rPr>
            </w:pPr>
            <w:r w:rsidRPr="00B532FA">
              <w:rPr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color w:val="000000"/>
                <w:sz w:val="16"/>
                <w:szCs w:val="16"/>
              </w:rPr>
            </w:pPr>
            <w:r w:rsidRPr="00B532FA">
              <w:rPr>
                <w:bCs/>
                <w:color w:val="000000"/>
                <w:sz w:val="16"/>
                <w:szCs w:val="16"/>
              </w:rPr>
              <w:t>на 01.01.2017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color w:val="000000"/>
                <w:sz w:val="16"/>
                <w:szCs w:val="16"/>
              </w:rPr>
            </w:pPr>
            <w:r w:rsidRPr="00B532FA">
              <w:rPr>
                <w:bCs/>
                <w:color w:val="000000"/>
                <w:sz w:val="16"/>
                <w:szCs w:val="16"/>
              </w:rPr>
              <w:t xml:space="preserve">на </w:t>
            </w:r>
            <w:r w:rsidR="00F34026" w:rsidRPr="00B532FA">
              <w:rPr>
                <w:bCs/>
                <w:color w:val="000000"/>
                <w:sz w:val="16"/>
                <w:szCs w:val="16"/>
              </w:rPr>
              <w:t>3</w:t>
            </w:r>
            <w:r w:rsidRPr="00B532FA">
              <w:rPr>
                <w:bCs/>
                <w:color w:val="000000"/>
                <w:sz w:val="16"/>
                <w:szCs w:val="16"/>
              </w:rPr>
              <w:t>1.</w:t>
            </w:r>
            <w:r w:rsidR="00F34026" w:rsidRPr="00B532FA">
              <w:rPr>
                <w:bCs/>
                <w:color w:val="000000"/>
                <w:sz w:val="16"/>
                <w:szCs w:val="16"/>
              </w:rPr>
              <w:t>12</w:t>
            </w:r>
            <w:r w:rsidRPr="00B532FA">
              <w:rPr>
                <w:bCs/>
                <w:color w:val="000000"/>
                <w:sz w:val="16"/>
                <w:szCs w:val="16"/>
              </w:rPr>
              <w:t>.201</w:t>
            </w:r>
            <w:r w:rsidR="00F34026" w:rsidRPr="00B532FA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color w:val="000000"/>
                <w:sz w:val="16"/>
                <w:szCs w:val="16"/>
              </w:rPr>
            </w:pPr>
            <w:r w:rsidRPr="00B532FA">
              <w:rPr>
                <w:bCs/>
                <w:color w:val="000000"/>
                <w:sz w:val="16"/>
                <w:szCs w:val="16"/>
              </w:rPr>
              <w:t>Изменение</w:t>
            </w:r>
          </w:p>
        </w:tc>
      </w:tr>
      <w:tr w:rsidR="003A2488" w:rsidRPr="00B532FA" w:rsidTr="00825D50">
        <w:trPr>
          <w:trHeight w:val="55"/>
        </w:trPr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абс.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%</w:t>
            </w:r>
          </w:p>
        </w:tc>
      </w:tr>
      <w:tr w:rsidR="003A2488" w:rsidRPr="00B532FA" w:rsidTr="00825D50">
        <w:trPr>
          <w:trHeight w:val="144"/>
        </w:trPr>
        <w:tc>
          <w:tcPr>
            <w:tcW w:w="4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532FA">
              <w:rPr>
                <w:b/>
                <w:bCs/>
                <w:color w:val="000000"/>
                <w:sz w:val="16"/>
                <w:szCs w:val="16"/>
              </w:rPr>
              <w:t>Дебиторская задолженность, в том числе: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32FA">
              <w:rPr>
                <w:b/>
                <w:bCs/>
                <w:color w:val="000000"/>
                <w:sz w:val="16"/>
                <w:szCs w:val="16"/>
              </w:rPr>
              <w:t>7 045,3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32FA">
              <w:rPr>
                <w:b/>
                <w:bCs/>
                <w:color w:val="000000"/>
                <w:sz w:val="16"/>
                <w:szCs w:val="16"/>
              </w:rPr>
              <w:t>7785,0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739,7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10,5</w:t>
            </w:r>
          </w:p>
        </w:tc>
      </w:tr>
      <w:tr w:rsidR="003A2488" w:rsidRPr="00B532FA" w:rsidTr="00825D50">
        <w:trPr>
          <w:trHeight w:val="105"/>
        </w:trPr>
        <w:tc>
          <w:tcPr>
            <w:tcW w:w="4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206 «Расчеты по выданным авансам»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4 415,0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4776,5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361,5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8,2</w:t>
            </w:r>
          </w:p>
        </w:tc>
      </w:tr>
      <w:tr w:rsidR="003A2488" w:rsidRPr="00B532FA" w:rsidTr="00825D50">
        <w:trPr>
          <w:trHeight w:val="151"/>
        </w:trPr>
        <w:tc>
          <w:tcPr>
            <w:tcW w:w="4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209 «Расчеты по ущербу и иным доходам»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2 614,6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2953,1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338,5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12,9</w:t>
            </w:r>
          </w:p>
        </w:tc>
      </w:tr>
      <w:tr w:rsidR="003A2488" w:rsidRPr="00B532FA" w:rsidTr="00825D50">
        <w:trPr>
          <w:trHeight w:val="113"/>
        </w:trPr>
        <w:tc>
          <w:tcPr>
            <w:tcW w:w="4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303 «Расчеты по платежам в бюджеты»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252,9</w:t>
            </w:r>
          </w:p>
        </w:tc>
      </w:tr>
      <w:tr w:rsidR="003A2488" w:rsidRPr="00B532FA" w:rsidTr="00825D50">
        <w:trPr>
          <w:trHeight w:val="231"/>
        </w:trPr>
        <w:tc>
          <w:tcPr>
            <w:tcW w:w="4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532FA">
              <w:rPr>
                <w:b/>
                <w:bCs/>
                <w:color w:val="000000"/>
                <w:sz w:val="16"/>
                <w:szCs w:val="16"/>
              </w:rPr>
              <w:t>Кредиторская задолженность, в том числе: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32FA">
              <w:rPr>
                <w:b/>
                <w:bCs/>
                <w:color w:val="000000"/>
                <w:sz w:val="16"/>
                <w:szCs w:val="16"/>
              </w:rPr>
              <w:t>26 303,0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532FA">
              <w:rPr>
                <w:b/>
                <w:bCs/>
                <w:color w:val="000000"/>
                <w:sz w:val="16"/>
                <w:szCs w:val="16"/>
              </w:rPr>
              <w:t>12305,1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-13 997,9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-53,2</w:t>
            </w:r>
          </w:p>
        </w:tc>
      </w:tr>
      <w:tr w:rsidR="003A2488" w:rsidRPr="00B532FA" w:rsidTr="00825D50">
        <w:trPr>
          <w:trHeight w:val="135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205 «Расчеты по доходам»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25 476,7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11545,7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-13 931,0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-54,7</w:t>
            </w:r>
          </w:p>
        </w:tc>
      </w:tr>
      <w:tr w:rsidR="003A2488" w:rsidRPr="00B532FA" w:rsidTr="00825D50">
        <w:trPr>
          <w:trHeight w:val="181"/>
        </w:trPr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302 «Расчеты по принятым обязательствам»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814,2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731,9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-82,3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-10,1</w:t>
            </w:r>
          </w:p>
        </w:tc>
      </w:tr>
      <w:tr w:rsidR="003A2488" w:rsidRPr="00B532FA" w:rsidTr="00825D50">
        <w:trPr>
          <w:trHeight w:val="228"/>
        </w:trPr>
        <w:tc>
          <w:tcPr>
            <w:tcW w:w="4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303 «Расчеты по платежам в бюджеты»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88" w:rsidRPr="00B532FA" w:rsidRDefault="003A2488" w:rsidP="00B532FA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B532FA">
              <w:rPr>
                <w:i/>
                <w:iCs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15,40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2488" w:rsidRPr="00B532FA" w:rsidRDefault="003A2488" w:rsidP="00B532FA">
            <w:pPr>
              <w:jc w:val="right"/>
              <w:rPr>
                <w:color w:val="000000"/>
                <w:sz w:val="16"/>
                <w:szCs w:val="16"/>
              </w:rPr>
            </w:pPr>
            <w:r w:rsidRPr="00B532FA">
              <w:rPr>
                <w:color w:val="000000"/>
                <w:sz w:val="16"/>
                <w:szCs w:val="16"/>
              </w:rPr>
              <w:t>127,3</w:t>
            </w:r>
          </w:p>
        </w:tc>
      </w:tr>
    </w:tbl>
    <w:p w:rsidR="003A2488" w:rsidRPr="00B532FA" w:rsidRDefault="003A2488" w:rsidP="00B532FA">
      <w:pPr>
        <w:ind w:firstLine="709"/>
        <w:jc w:val="both"/>
      </w:pPr>
    </w:p>
    <w:p w:rsidR="003A2488" w:rsidRPr="00B532FA" w:rsidRDefault="003A2488" w:rsidP="00B532FA">
      <w:pPr>
        <w:ind w:firstLine="709"/>
        <w:jc w:val="both"/>
      </w:pPr>
      <w:r w:rsidRPr="00B532FA">
        <w:t xml:space="preserve">В структуре дебиторской задолженности ТФОМС на конец 2017 года наибольшую долю занимает задолженность по выданным авансам в размере </w:t>
      </w:r>
      <w:r w:rsidRPr="00B532FA">
        <w:rPr>
          <w:iCs/>
          <w:color w:val="000000"/>
        </w:rPr>
        <w:t>4776,5</w:t>
      </w:r>
      <w:r w:rsidRPr="00B532FA">
        <w:rPr>
          <w:i/>
          <w:iCs/>
          <w:color w:val="000000"/>
          <w:sz w:val="16"/>
          <w:szCs w:val="16"/>
        </w:rPr>
        <w:t xml:space="preserve"> </w:t>
      </w:r>
      <w:r w:rsidRPr="00B532FA">
        <w:t>тыс. руб.</w:t>
      </w:r>
      <w:r w:rsidR="00F34026" w:rsidRPr="00B532FA">
        <w:t xml:space="preserve"> (61,4%)</w:t>
      </w:r>
      <w:r w:rsidRPr="00B532FA">
        <w:t xml:space="preserve">, образованная в результате предоплаты по договорам, заключенным по административно-управленческой деятельности, и расчетам по взысканию ущерба и иных доходов в размере  </w:t>
      </w:r>
      <w:r w:rsidRPr="00B532FA">
        <w:rPr>
          <w:iCs/>
          <w:color w:val="000000"/>
        </w:rPr>
        <w:t xml:space="preserve">2953,1 </w:t>
      </w:r>
      <w:r w:rsidRPr="00B532FA">
        <w:t xml:space="preserve">тыс. руб. </w:t>
      </w:r>
      <w:r w:rsidR="00F34026" w:rsidRPr="00B532FA">
        <w:t xml:space="preserve">(37,9%) </w:t>
      </w:r>
      <w:r w:rsidRPr="00B532FA">
        <w:t>по регрессным искам, штрафам и восстановлению нецелевого использования средств, реэкспертизе счетов за оказанную медицинскую помощь и т.д.</w:t>
      </w:r>
    </w:p>
    <w:p w:rsidR="003A2488" w:rsidRPr="00B532FA" w:rsidRDefault="003A2488" w:rsidP="00B532FA">
      <w:pPr>
        <w:ind w:firstLine="709"/>
        <w:jc w:val="both"/>
      </w:pPr>
      <w:r w:rsidRPr="00B532FA">
        <w:t xml:space="preserve">В структуре кредиторской задолженности наибольшую долю занимает остаток межбюджетных трансфертов (подлежащий возврату в бюджет ФФОМС) в сумме </w:t>
      </w:r>
      <w:r w:rsidRPr="00B532FA">
        <w:rPr>
          <w:iCs/>
          <w:color w:val="000000"/>
        </w:rPr>
        <w:t>11545,7</w:t>
      </w:r>
      <w:r w:rsidRPr="00B532FA">
        <w:t xml:space="preserve"> тыс. руб. </w:t>
      </w:r>
      <w:r w:rsidR="00F34026" w:rsidRPr="00B532FA">
        <w:t xml:space="preserve">(93,8%) </w:t>
      </w:r>
      <w:r w:rsidRPr="00B532FA">
        <w:t xml:space="preserve">по передаваемых бюджетам ТФОМС </w:t>
      </w:r>
      <w:r w:rsidR="000009CE" w:rsidRPr="00B532FA">
        <w:t xml:space="preserve">субвенциям </w:t>
      </w:r>
      <w:r w:rsidRPr="00B532FA">
        <w:t xml:space="preserve">на финансовое обеспечение организации ОМС на территориях субъектов РФ, а также задолженность в сумме </w:t>
      </w:r>
      <w:r w:rsidRPr="00B532FA">
        <w:rPr>
          <w:iCs/>
          <w:color w:val="000000"/>
        </w:rPr>
        <w:t>731,9</w:t>
      </w:r>
      <w:r w:rsidRPr="00B532FA">
        <w:rPr>
          <w:i/>
          <w:iCs/>
          <w:color w:val="000000"/>
          <w:sz w:val="16"/>
          <w:szCs w:val="16"/>
        </w:rPr>
        <w:t xml:space="preserve"> </w:t>
      </w:r>
      <w:r w:rsidRPr="00B532FA">
        <w:t xml:space="preserve">тыс. руб. </w:t>
      </w:r>
      <w:r w:rsidR="00F34026" w:rsidRPr="00B532FA">
        <w:t xml:space="preserve">(5,9%) </w:t>
      </w:r>
      <w:r w:rsidRPr="00B532FA">
        <w:t>за предоставленные услуги по содержанию имущества (связь, коммунальные услуги, аренда, материальные запасы).</w:t>
      </w:r>
    </w:p>
    <w:p w:rsidR="003A2488" w:rsidRPr="00B532FA" w:rsidRDefault="003A2488" w:rsidP="00B532FA">
      <w:pPr>
        <w:ind w:firstLine="709"/>
        <w:jc w:val="both"/>
      </w:pPr>
      <w:r w:rsidRPr="00B532FA">
        <w:t xml:space="preserve">Просроченная дебиторская и кредиторская задолженность у ГУ ТФОМС на 01.01.2017 и 01.01.2018 отсутствовали. </w:t>
      </w:r>
    </w:p>
    <w:p w:rsidR="003A2488" w:rsidRPr="00B532FA" w:rsidRDefault="003A2488" w:rsidP="00B532FA">
      <w:pPr>
        <w:pStyle w:val="aff"/>
        <w:ind w:left="0" w:firstLine="708"/>
        <w:jc w:val="center"/>
        <w:rPr>
          <w:b/>
          <w:i/>
        </w:rPr>
      </w:pPr>
    </w:p>
    <w:p w:rsidR="003A2488" w:rsidRPr="00B532FA" w:rsidRDefault="003A2488" w:rsidP="00B532FA">
      <w:pPr>
        <w:ind w:firstLine="709"/>
        <w:jc w:val="center"/>
        <w:rPr>
          <w:b/>
          <w:i/>
        </w:rPr>
      </w:pPr>
      <w:r w:rsidRPr="00B532FA">
        <w:rPr>
          <w:b/>
          <w:i/>
        </w:rPr>
        <w:t>Анализ исполнения текстовых статей Закона о бюджете ТФОМС, включая анализ использования НСЗ</w:t>
      </w:r>
    </w:p>
    <w:p w:rsidR="003A2488" w:rsidRPr="00B532FA" w:rsidRDefault="003A2488" w:rsidP="00B532FA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i/>
          <w:iCs/>
          <w:sz w:val="16"/>
          <w:szCs w:val="16"/>
        </w:rPr>
      </w:pPr>
    </w:p>
    <w:p w:rsidR="003A2488" w:rsidRPr="00B532FA" w:rsidRDefault="003A2488" w:rsidP="00B532FA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532FA">
        <w:rPr>
          <w:rFonts w:ascii="Times New Roman" w:hAnsi="Times New Roman" w:cs="Times New Roman"/>
          <w:i/>
          <w:sz w:val="24"/>
          <w:szCs w:val="24"/>
          <w:u w:val="single"/>
        </w:rPr>
        <w:t>Статья 7 «Расходы на ведение дела страховых медицинских организаций» Закона о бюджете ТФОМС</w:t>
      </w:r>
    </w:p>
    <w:p w:rsidR="003A2488" w:rsidRPr="00B532FA" w:rsidRDefault="00F34026" w:rsidP="00B532FA">
      <w:pPr>
        <w:autoSpaceDE w:val="0"/>
        <w:autoSpaceDN w:val="0"/>
        <w:adjustRightInd w:val="0"/>
        <w:ind w:firstLine="709"/>
        <w:jc w:val="both"/>
        <w:outlineLvl w:val="0"/>
        <w:rPr>
          <w:bCs/>
          <w:iCs/>
        </w:rPr>
      </w:pPr>
      <w:r w:rsidRPr="00B532FA">
        <w:rPr>
          <w:bCs/>
          <w:iCs/>
        </w:rPr>
        <w:t xml:space="preserve">По данным </w:t>
      </w:r>
      <w:r w:rsidRPr="00B532FA">
        <w:t>таблицы № 3 к ф. 0503160 «Пояснительная записка» в</w:t>
      </w:r>
      <w:r w:rsidR="003A2488" w:rsidRPr="00B532FA">
        <w:rPr>
          <w:bCs/>
          <w:iCs/>
        </w:rPr>
        <w:t xml:space="preserve"> 2017 году на ведение дела </w:t>
      </w:r>
      <w:r w:rsidRPr="00B532FA">
        <w:rPr>
          <w:bCs/>
          <w:iCs/>
        </w:rPr>
        <w:t xml:space="preserve">страховых медицинских организаций (далее </w:t>
      </w:r>
      <w:r w:rsidR="003A2488" w:rsidRPr="00B532FA">
        <w:rPr>
          <w:bCs/>
          <w:iCs/>
        </w:rPr>
        <w:t>СМО</w:t>
      </w:r>
      <w:r w:rsidRPr="00B532FA">
        <w:rPr>
          <w:bCs/>
          <w:iCs/>
        </w:rPr>
        <w:t>)</w:t>
      </w:r>
      <w:r w:rsidR="003A2488" w:rsidRPr="00B532FA">
        <w:rPr>
          <w:bCs/>
          <w:iCs/>
        </w:rPr>
        <w:t xml:space="preserve"> направлено 209759,3 тыс. руб., или 1,03% от средств, направленных СМО по дифференцированным подушевым нормативам, что соответствует статье 7 Закона о бюджете ТФОМС</w:t>
      </w:r>
      <w:r w:rsidR="000009CE" w:rsidRPr="00B532FA">
        <w:t xml:space="preserve"> и на 879 </w:t>
      </w:r>
      <w:r w:rsidR="00A07A3E" w:rsidRPr="00B532FA">
        <w:t xml:space="preserve">тыс. руб. </w:t>
      </w:r>
      <w:r w:rsidR="000009CE" w:rsidRPr="00B532FA">
        <w:t>больше соответствующего показателя 2016 года (208880,3 тыс. руб.).</w:t>
      </w:r>
      <w:r w:rsidR="003A2488" w:rsidRPr="00B532FA">
        <w:t xml:space="preserve"> </w:t>
      </w:r>
    </w:p>
    <w:p w:rsidR="003A2488" w:rsidRPr="00B532FA" w:rsidRDefault="003A2488" w:rsidP="00B532FA">
      <w:pPr>
        <w:pStyle w:val="ConsPlusNormal"/>
        <w:ind w:firstLine="709"/>
        <w:jc w:val="both"/>
        <w:outlineLvl w:val="0"/>
        <w:rPr>
          <w:i/>
          <w:u w:val="single"/>
        </w:rPr>
      </w:pPr>
      <w:r w:rsidRPr="00B532FA">
        <w:rPr>
          <w:rFonts w:ascii="Times New Roman" w:hAnsi="Times New Roman" w:cs="Times New Roman"/>
          <w:i/>
          <w:sz w:val="24"/>
          <w:szCs w:val="24"/>
          <w:u w:val="single"/>
        </w:rPr>
        <w:t xml:space="preserve">Статья 8 «Размер и цели использования средств нормированного страхового запаса Фонда» Закона о бюджете ТФОМС </w:t>
      </w:r>
    </w:p>
    <w:p w:rsidR="003A2488" w:rsidRPr="00B532FA" w:rsidRDefault="003A2488" w:rsidP="00B532FA">
      <w:pPr>
        <w:autoSpaceDE w:val="0"/>
        <w:autoSpaceDN w:val="0"/>
        <w:adjustRightInd w:val="0"/>
        <w:ind w:firstLine="709"/>
        <w:jc w:val="both"/>
        <w:outlineLvl w:val="0"/>
      </w:pPr>
      <w:r w:rsidRPr="00B532FA">
        <w:t>Статьей 8 Закона о бюджете ТФОМС размер НСЗ фонда на 2017 год установлен в сумме 2683246,8 тыс. руб., а также установлены цели его использования:</w:t>
      </w:r>
    </w:p>
    <w:p w:rsidR="003A2488" w:rsidRPr="00B532FA" w:rsidRDefault="003A2488" w:rsidP="00B532FA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532FA">
        <w:t>а) дополнительное финансовое обеспечение реализации территориальных программ ОМС путем предоставления СМО недостающих для оплаты медицинской помощи средств;</w:t>
      </w:r>
    </w:p>
    <w:p w:rsidR="003A2488" w:rsidRPr="00B532FA" w:rsidRDefault="003A2488" w:rsidP="00B532FA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532FA">
        <w:t>б) расчеты за медицинскую помощь, оказанную застрахованным лицам за пределами территории субъекта РФ, в котором выдан полис ОМС, в части:</w:t>
      </w:r>
    </w:p>
    <w:p w:rsidR="003A2488" w:rsidRPr="00B532FA" w:rsidRDefault="003A2488" w:rsidP="00B532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2FA">
        <w:rPr>
          <w:rFonts w:ascii="Times New Roman" w:hAnsi="Times New Roman" w:cs="Times New Roman"/>
          <w:sz w:val="24"/>
          <w:szCs w:val="24"/>
        </w:rPr>
        <w:t>-возмещения территориальным фондам ОМС других субъектов РФ затрат по оплате стоимости медицинской помощи, оказанной лицам, застрахованным на территории Волгоградской области, в объеме, предусмотренном базовой программой ОМС;</w:t>
      </w:r>
    </w:p>
    <w:p w:rsidR="003A2488" w:rsidRPr="00B532FA" w:rsidRDefault="003A2488" w:rsidP="00B532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2FA">
        <w:rPr>
          <w:rFonts w:ascii="Times New Roman" w:hAnsi="Times New Roman" w:cs="Times New Roman"/>
          <w:sz w:val="24"/>
          <w:szCs w:val="24"/>
        </w:rPr>
        <w:t xml:space="preserve">-оплаты стоимости медицинской помощи, оказанной медицинскими организациями </w:t>
      </w:r>
      <w:r w:rsidRPr="00B532FA">
        <w:rPr>
          <w:rFonts w:ascii="Times New Roman" w:hAnsi="Times New Roman" w:cs="Times New Roman"/>
          <w:sz w:val="24"/>
          <w:szCs w:val="24"/>
        </w:rPr>
        <w:lastRenderedPageBreak/>
        <w:t>Волгоградской области лицам, застрахованным на территории других субъектов РФ, с последующим восстановлением средств в состав НСЗ по мере возмещения затрат другими территориальными фондами;</w:t>
      </w:r>
    </w:p>
    <w:p w:rsidR="003A2488" w:rsidRPr="00B532FA" w:rsidRDefault="003A2488" w:rsidP="00B532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2FA">
        <w:rPr>
          <w:rFonts w:ascii="Times New Roman" w:hAnsi="Times New Roman" w:cs="Times New Roman"/>
          <w:sz w:val="24"/>
          <w:szCs w:val="24"/>
        </w:rPr>
        <w:t xml:space="preserve">в)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(далее </w:t>
      </w:r>
      <w:r w:rsidR="00A07A3E" w:rsidRPr="00B532FA">
        <w:rPr>
          <w:rFonts w:ascii="Times New Roman" w:hAnsi="Times New Roman" w:cs="Times New Roman"/>
          <w:sz w:val="24"/>
          <w:szCs w:val="24"/>
        </w:rPr>
        <w:t>М</w:t>
      </w:r>
      <w:r w:rsidRPr="00B532FA">
        <w:rPr>
          <w:rFonts w:ascii="Times New Roman" w:hAnsi="Times New Roman" w:cs="Times New Roman"/>
          <w:sz w:val="24"/>
          <w:szCs w:val="24"/>
        </w:rPr>
        <w:t>ероприятия).</w:t>
      </w:r>
    </w:p>
    <w:p w:rsidR="00F34026" w:rsidRPr="00B532FA" w:rsidRDefault="00470813" w:rsidP="00B532FA">
      <w:pPr>
        <w:autoSpaceDE w:val="0"/>
        <w:autoSpaceDN w:val="0"/>
        <w:adjustRightInd w:val="0"/>
        <w:ind w:firstLine="709"/>
        <w:jc w:val="both"/>
      </w:pPr>
      <w:r w:rsidRPr="00B532FA">
        <w:t xml:space="preserve">Информация о </w:t>
      </w:r>
      <w:r w:rsidR="00F34026" w:rsidRPr="00B532FA">
        <w:t>формировани</w:t>
      </w:r>
      <w:r w:rsidRPr="00B532FA">
        <w:t>и</w:t>
      </w:r>
      <w:r w:rsidR="00F34026" w:rsidRPr="00B532FA">
        <w:t xml:space="preserve"> и расходовани</w:t>
      </w:r>
      <w:r w:rsidRPr="00B532FA">
        <w:t>и</w:t>
      </w:r>
      <w:r w:rsidR="00F34026" w:rsidRPr="00B532FA">
        <w:t xml:space="preserve"> НСЗ представлен</w:t>
      </w:r>
      <w:r w:rsidRPr="00B532FA">
        <w:t>а</w:t>
      </w:r>
      <w:r w:rsidR="00F34026" w:rsidRPr="00B532FA">
        <w:t xml:space="preserve"> в </w:t>
      </w:r>
      <w:r w:rsidR="00F34026" w:rsidRPr="00B532FA">
        <w:rPr>
          <w:color w:val="0000FF"/>
        </w:rPr>
        <w:t>приложении № 5.</w:t>
      </w:r>
    </w:p>
    <w:p w:rsidR="00AD6045" w:rsidRPr="00B532FA" w:rsidRDefault="00AD6045" w:rsidP="00B532FA">
      <w:pPr>
        <w:autoSpaceDE w:val="0"/>
        <w:autoSpaceDN w:val="0"/>
        <w:adjustRightInd w:val="0"/>
        <w:ind w:firstLine="709"/>
        <w:jc w:val="both"/>
      </w:pPr>
      <w:r w:rsidRPr="00B532FA">
        <w:t xml:space="preserve">План мероприятий </w:t>
      </w:r>
      <w:r w:rsidR="00676B98" w:rsidRPr="00B532FA">
        <w:t xml:space="preserve">в последней редакции </w:t>
      </w:r>
      <w:r w:rsidRPr="00B532FA">
        <w:t>утвержден приказом Облздрава от 29.09.2017 №2661 «Об утверждении плана мероприятий…» по согласованию с территориальным фондом, страховыми медицинскими организациями, медицинскими профессиональными некоммерческими организациями и профессиональным союзом медицинских работников на 91646,3 тыс. руб., исполнен на 73360,3 тыс. руб., или на 80 процентов.</w:t>
      </w:r>
    </w:p>
    <w:p w:rsidR="00AD6045" w:rsidRPr="00B532FA" w:rsidRDefault="00AD6045" w:rsidP="00B532FA">
      <w:pPr>
        <w:autoSpaceDE w:val="0"/>
        <w:autoSpaceDN w:val="0"/>
        <w:adjustRightInd w:val="0"/>
        <w:ind w:firstLine="709"/>
        <w:jc w:val="both"/>
      </w:pPr>
      <w:r w:rsidRPr="00B532FA">
        <w:t>Не исполнены 2 мероприятия на 18286,0 тыс. руб., из них:</w:t>
      </w:r>
    </w:p>
    <w:p w:rsidR="00AD6045" w:rsidRPr="00B532FA" w:rsidRDefault="00AD6045" w:rsidP="00B532FA">
      <w:pPr>
        <w:autoSpaceDE w:val="0"/>
        <w:autoSpaceDN w:val="0"/>
        <w:adjustRightInd w:val="0"/>
        <w:ind w:firstLine="709"/>
        <w:jc w:val="both"/>
      </w:pPr>
      <w:r w:rsidRPr="00B532FA">
        <w:t xml:space="preserve">- </w:t>
      </w:r>
      <w:r w:rsidR="00737E12" w:rsidRPr="00B532FA">
        <w:t xml:space="preserve">приобретение </w:t>
      </w:r>
      <w:r w:rsidRPr="00B532FA">
        <w:t xml:space="preserve">медицинского оборудования на 16495 тыс. руб. в связи с не завершением в 2017 году по 2 учреждениям здравоохранения проведения конкурсных процедур на закупку медицинского оборудования (ГБУЗ «ВОККЦ» и ГБУЗ «ЦГБ г. Камышина»); </w:t>
      </w:r>
    </w:p>
    <w:p w:rsidR="00AD6045" w:rsidRPr="00B532FA" w:rsidRDefault="00AD6045" w:rsidP="00B532FA">
      <w:pPr>
        <w:autoSpaceDE w:val="0"/>
        <w:autoSpaceDN w:val="0"/>
        <w:adjustRightInd w:val="0"/>
        <w:ind w:firstLine="709"/>
        <w:jc w:val="both"/>
      </w:pPr>
      <w:r w:rsidRPr="00B532FA">
        <w:t>- ремонт медицинского оборудования на 1791,0 тыс. руб. по причине экономии по результатам конкурсных процедур на проведение ремонта медицинского оборудования (ГБУЗ «КБСМП №25»).</w:t>
      </w:r>
    </w:p>
    <w:p w:rsidR="00AD6045" w:rsidRPr="00B532FA" w:rsidRDefault="00284169" w:rsidP="00B532FA">
      <w:pPr>
        <w:autoSpaceDE w:val="0"/>
        <w:autoSpaceDN w:val="0"/>
        <w:adjustRightInd w:val="0"/>
        <w:ind w:firstLine="709"/>
        <w:jc w:val="both"/>
      </w:pPr>
      <w:r w:rsidRPr="00B532FA">
        <w:t xml:space="preserve">С учетом остатка средств НСЗ на начало года в сумме </w:t>
      </w:r>
      <w:r w:rsidRPr="00B532FA">
        <w:rPr>
          <w:color w:val="000000"/>
        </w:rPr>
        <w:t xml:space="preserve">27134,9 тыс. руб. и объема сформированного НСЗ в 2017 году </w:t>
      </w:r>
      <w:r w:rsidR="00A5315F" w:rsidRPr="00B532FA">
        <w:rPr>
          <w:color w:val="000000"/>
        </w:rPr>
        <w:t xml:space="preserve">на </w:t>
      </w:r>
      <w:r w:rsidR="001D6DE8" w:rsidRPr="00B532FA">
        <w:rPr>
          <w:color w:val="000000"/>
        </w:rPr>
        <w:t>85594,3</w:t>
      </w:r>
      <w:r w:rsidRPr="00B532FA">
        <w:rPr>
          <w:color w:val="000000"/>
        </w:rPr>
        <w:t xml:space="preserve"> тыс. руб.</w:t>
      </w:r>
      <w:r w:rsidR="00A5315F" w:rsidRPr="00B532FA">
        <w:rPr>
          <w:color w:val="000000"/>
        </w:rPr>
        <w:t>, а также исполненных расходов по Плану мероприятий (</w:t>
      </w:r>
      <w:r w:rsidR="00A5315F" w:rsidRPr="00B532FA">
        <w:t>73360,3 тыс. руб.)</w:t>
      </w:r>
      <w:r w:rsidRPr="00B532FA">
        <w:rPr>
          <w:color w:val="000000"/>
        </w:rPr>
        <w:t xml:space="preserve"> </w:t>
      </w:r>
      <w:r w:rsidR="00AD6045" w:rsidRPr="00B532FA">
        <w:t xml:space="preserve">остаток НСЗ </w:t>
      </w:r>
      <w:r w:rsidRPr="00B532FA">
        <w:t xml:space="preserve">на конец 2017 года составил </w:t>
      </w:r>
      <w:r w:rsidRPr="00B532FA">
        <w:rPr>
          <w:color w:val="000000"/>
        </w:rPr>
        <w:t>39368,90 тыс. руб.</w:t>
      </w:r>
      <w:r w:rsidR="001D6DE8" w:rsidRPr="00B532FA">
        <w:rPr>
          <w:color w:val="000000"/>
        </w:rPr>
        <w:t xml:space="preserve"> </w:t>
      </w:r>
      <w:r w:rsidRPr="00B532FA">
        <w:t xml:space="preserve">и </w:t>
      </w:r>
      <w:r w:rsidR="00AD6045" w:rsidRPr="00B532FA">
        <w:t>запланирован к расходованию в 2018 году на те же цели.</w:t>
      </w:r>
    </w:p>
    <w:p w:rsidR="00AD6045" w:rsidRPr="00B532FA" w:rsidRDefault="00AD6045" w:rsidP="00B532FA">
      <w:pPr>
        <w:autoSpaceDE w:val="0"/>
        <w:autoSpaceDN w:val="0"/>
        <w:adjustRightInd w:val="0"/>
        <w:ind w:firstLine="709"/>
        <w:jc w:val="both"/>
      </w:pPr>
      <w:r w:rsidRPr="00B532FA">
        <w:t xml:space="preserve"> </w:t>
      </w:r>
    </w:p>
    <w:p w:rsidR="003A2488" w:rsidRPr="00B532FA" w:rsidRDefault="003A2488" w:rsidP="00B532FA">
      <w:pPr>
        <w:autoSpaceDE w:val="0"/>
        <w:autoSpaceDN w:val="0"/>
        <w:adjustRightInd w:val="0"/>
        <w:ind w:firstLine="709"/>
        <w:jc w:val="center"/>
        <w:rPr>
          <w:b/>
          <w:i/>
        </w:rPr>
      </w:pPr>
      <w:r w:rsidRPr="00B532FA">
        <w:rPr>
          <w:b/>
          <w:i/>
        </w:rPr>
        <w:t>Анализ расходов на финансирование административно-управленческой деятельности ГУ ТФОМС</w:t>
      </w:r>
    </w:p>
    <w:p w:rsidR="00F45CDA" w:rsidRPr="00B532FA" w:rsidRDefault="00F45CDA" w:rsidP="00B532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916D4" w:rsidRPr="00B532FA" w:rsidRDefault="000916D4" w:rsidP="00B532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532FA">
        <w:rPr>
          <w:rFonts w:ascii="Times New Roman" w:hAnsi="Times New Roman" w:cs="Times New Roman"/>
          <w:sz w:val="24"/>
          <w:szCs w:val="24"/>
        </w:rPr>
        <w:t xml:space="preserve">Законом о бюджете ТФОМС предусмотрено </w:t>
      </w:r>
      <w:r w:rsidR="003A2488" w:rsidRPr="00B532FA">
        <w:rPr>
          <w:rFonts w:ascii="Times New Roman" w:hAnsi="Times New Roman" w:cs="Times New Roman"/>
          <w:sz w:val="24"/>
          <w:szCs w:val="24"/>
        </w:rPr>
        <w:t>расход</w:t>
      </w:r>
      <w:r w:rsidRPr="00B532FA">
        <w:rPr>
          <w:rFonts w:ascii="Times New Roman" w:hAnsi="Times New Roman" w:cs="Times New Roman"/>
          <w:sz w:val="24"/>
          <w:szCs w:val="24"/>
        </w:rPr>
        <w:t>ов</w:t>
      </w:r>
      <w:r w:rsidR="003A2488" w:rsidRPr="00B532FA">
        <w:rPr>
          <w:rFonts w:ascii="Times New Roman" w:hAnsi="Times New Roman" w:cs="Times New Roman"/>
          <w:sz w:val="24"/>
          <w:szCs w:val="24"/>
        </w:rPr>
        <w:t xml:space="preserve"> на </w:t>
      </w:r>
      <w:r w:rsidR="00991F1E" w:rsidRPr="00B532FA">
        <w:rPr>
          <w:rFonts w:ascii="Times New Roman" w:hAnsi="Times New Roman" w:cs="Times New Roman"/>
          <w:sz w:val="24"/>
          <w:szCs w:val="24"/>
        </w:rPr>
        <w:t>административно-управленческую деятельность</w:t>
      </w:r>
      <w:r w:rsidR="00991F1E" w:rsidRPr="00B532FA">
        <w:rPr>
          <w:b/>
          <w:i/>
        </w:rPr>
        <w:t xml:space="preserve"> </w:t>
      </w:r>
      <w:r w:rsidR="003A2488" w:rsidRPr="00B532FA">
        <w:rPr>
          <w:rFonts w:ascii="Times New Roman" w:hAnsi="Times New Roman" w:cs="Times New Roman"/>
          <w:sz w:val="24"/>
          <w:szCs w:val="24"/>
        </w:rPr>
        <w:t xml:space="preserve">на 2017 год </w:t>
      </w:r>
      <w:r w:rsidRPr="00B532FA">
        <w:rPr>
          <w:rFonts w:ascii="Times New Roman" w:hAnsi="Times New Roman" w:cs="Times New Roman"/>
          <w:sz w:val="24"/>
          <w:szCs w:val="24"/>
        </w:rPr>
        <w:t>в сумме</w:t>
      </w:r>
      <w:r w:rsidR="003A2488" w:rsidRPr="00B532FA">
        <w:rPr>
          <w:rFonts w:ascii="Times New Roman" w:hAnsi="Times New Roman" w:cs="Times New Roman"/>
          <w:sz w:val="24"/>
          <w:szCs w:val="24"/>
        </w:rPr>
        <w:t xml:space="preserve"> 230000 тыс. руб</w:t>
      </w:r>
      <w:r w:rsidRPr="00B532FA">
        <w:rPr>
          <w:rFonts w:ascii="Times New Roman" w:hAnsi="Times New Roman" w:cs="Times New Roman"/>
          <w:sz w:val="24"/>
          <w:szCs w:val="24"/>
        </w:rPr>
        <w:t xml:space="preserve">., которые </w:t>
      </w:r>
      <w:r w:rsidR="00991F1E" w:rsidRPr="00B532FA">
        <w:rPr>
          <w:rFonts w:ascii="Times New Roman" w:hAnsi="Times New Roman" w:cs="Times New Roman"/>
          <w:sz w:val="24"/>
          <w:szCs w:val="24"/>
        </w:rPr>
        <w:t xml:space="preserve">исполнены на </w:t>
      </w:r>
      <w:r w:rsidR="00991F1E" w:rsidRPr="00B532F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218454,3 </w:t>
      </w:r>
      <w:r w:rsidR="00991F1E" w:rsidRPr="00B532FA">
        <w:rPr>
          <w:rFonts w:ascii="Times New Roman" w:hAnsi="Times New Roman" w:cs="Times New Roman"/>
          <w:sz w:val="24"/>
          <w:szCs w:val="24"/>
        </w:rPr>
        <w:t xml:space="preserve">тыс. руб., или </w:t>
      </w:r>
      <w:r w:rsidRPr="00B532FA">
        <w:rPr>
          <w:rFonts w:ascii="Times New Roman" w:hAnsi="Times New Roman" w:cs="Times New Roman"/>
          <w:sz w:val="24"/>
          <w:szCs w:val="24"/>
        </w:rPr>
        <w:t xml:space="preserve">на </w:t>
      </w:r>
      <w:r w:rsidR="002860EC" w:rsidRPr="00B532FA">
        <w:rPr>
          <w:rFonts w:ascii="Times New Roman" w:hAnsi="Times New Roman" w:cs="Times New Roman"/>
          <w:sz w:val="24"/>
          <w:szCs w:val="24"/>
        </w:rPr>
        <w:t xml:space="preserve">95 </w:t>
      </w:r>
      <w:r w:rsidR="00991F1E" w:rsidRPr="00B532FA">
        <w:rPr>
          <w:rFonts w:ascii="Times New Roman" w:hAnsi="Times New Roman" w:cs="Times New Roman"/>
          <w:sz w:val="24"/>
          <w:szCs w:val="24"/>
        </w:rPr>
        <w:t>процентов.</w:t>
      </w:r>
      <w:r w:rsidR="00F45CDA" w:rsidRPr="00B53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6EB6" w:rsidRPr="00B532FA" w:rsidRDefault="000916D4" w:rsidP="00B532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532FA">
        <w:rPr>
          <w:rFonts w:ascii="Times New Roman" w:hAnsi="Times New Roman" w:cs="Times New Roman"/>
          <w:sz w:val="24"/>
          <w:szCs w:val="24"/>
        </w:rPr>
        <w:t>Основную долю расходов составили расходы на оплату труда и в</w:t>
      </w:r>
      <w:r w:rsidRPr="00B532FA">
        <w:rPr>
          <w:rFonts w:ascii="Times New Roman" w:hAnsi="Times New Roman" w:cs="Times New Roman"/>
          <w:color w:val="000000"/>
          <w:sz w:val="24"/>
          <w:szCs w:val="24"/>
        </w:rPr>
        <w:t xml:space="preserve">зносы в государственные внебюджетные фонды (76,6%), а также закупку товаров, работ и услуг для обеспечения государственных нужд, </w:t>
      </w:r>
      <w:r w:rsidRPr="00B532FA">
        <w:rPr>
          <w:rFonts w:ascii="Times New Roman" w:hAnsi="Times New Roman" w:cs="Times New Roman"/>
          <w:sz w:val="24"/>
          <w:szCs w:val="24"/>
        </w:rPr>
        <w:t xml:space="preserve">в т.ч. арендную плату за пользование имуществом </w:t>
      </w:r>
      <w:r w:rsidR="00336EB6" w:rsidRPr="00B532FA">
        <w:rPr>
          <w:rFonts w:ascii="Times New Roman" w:hAnsi="Times New Roman" w:cs="Times New Roman"/>
          <w:sz w:val="24"/>
          <w:szCs w:val="24"/>
        </w:rPr>
        <w:t xml:space="preserve">ТФОМС и его филиалов </w:t>
      </w:r>
      <w:r w:rsidRPr="00B532FA">
        <w:rPr>
          <w:rFonts w:ascii="Times New Roman" w:hAnsi="Times New Roman" w:cs="Times New Roman"/>
          <w:sz w:val="24"/>
          <w:szCs w:val="24"/>
        </w:rPr>
        <w:t>(20,4%).</w:t>
      </w:r>
      <w:r w:rsidR="00336EB6" w:rsidRPr="00B53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E4E" w:rsidRPr="00B532FA" w:rsidRDefault="00193E4E" w:rsidP="00B532FA">
      <w:pPr>
        <w:pStyle w:val="ConsPlusNormal"/>
        <w:jc w:val="both"/>
        <w:rPr>
          <w:sz w:val="16"/>
          <w:szCs w:val="16"/>
        </w:rPr>
      </w:pPr>
      <w:r w:rsidRPr="00B532FA">
        <w:rPr>
          <w:rFonts w:ascii="Times New Roman" w:hAnsi="Times New Roman" w:cs="Times New Roman"/>
          <w:sz w:val="24"/>
          <w:szCs w:val="24"/>
        </w:rPr>
        <w:t>Анализ и</w:t>
      </w:r>
      <w:r w:rsidR="00991F1E" w:rsidRPr="00B532FA">
        <w:rPr>
          <w:rFonts w:ascii="Times New Roman" w:hAnsi="Times New Roman" w:cs="Times New Roman"/>
          <w:sz w:val="24"/>
          <w:szCs w:val="24"/>
        </w:rPr>
        <w:t>сполнени</w:t>
      </w:r>
      <w:r w:rsidRPr="00B532FA">
        <w:rPr>
          <w:rFonts w:ascii="Times New Roman" w:hAnsi="Times New Roman" w:cs="Times New Roman"/>
          <w:sz w:val="24"/>
          <w:szCs w:val="24"/>
        </w:rPr>
        <w:t xml:space="preserve">я расходов на обеспечение выполнения ГУ ТФОМС своих функций в 2017 году по сравнению с 2016 годом приведен в </w:t>
      </w:r>
      <w:r w:rsidRPr="00B532FA">
        <w:rPr>
          <w:rFonts w:ascii="Times New Roman" w:hAnsi="Times New Roman" w:cs="Times New Roman"/>
          <w:color w:val="0000FF"/>
          <w:sz w:val="24"/>
          <w:szCs w:val="24"/>
        </w:rPr>
        <w:t>приложении №</w:t>
      </w:r>
      <w:r w:rsidR="00B62884" w:rsidRPr="00B532FA">
        <w:rPr>
          <w:rFonts w:ascii="Times New Roman" w:hAnsi="Times New Roman" w:cs="Times New Roman"/>
          <w:color w:val="0000FF"/>
          <w:sz w:val="24"/>
          <w:szCs w:val="24"/>
        </w:rPr>
        <w:t xml:space="preserve"> 6</w:t>
      </w:r>
      <w:r w:rsidRPr="00B532FA">
        <w:rPr>
          <w:rFonts w:ascii="Times New Roman" w:hAnsi="Times New Roman" w:cs="Times New Roman"/>
          <w:sz w:val="24"/>
          <w:szCs w:val="24"/>
        </w:rPr>
        <w:t>.</w:t>
      </w:r>
    </w:p>
    <w:p w:rsidR="003A2488" w:rsidRPr="00B532FA" w:rsidRDefault="003A2488" w:rsidP="00B532FA">
      <w:pPr>
        <w:ind w:firstLine="720"/>
        <w:jc w:val="both"/>
        <w:rPr>
          <w:color w:val="0000FF"/>
        </w:rPr>
      </w:pPr>
      <w:r w:rsidRPr="00B532FA">
        <w:t xml:space="preserve">Расходы на административно-управленческую деятельность в 2017 году по отношению к 2016 году уменьшились на </w:t>
      </w:r>
      <w:r w:rsidRPr="00B532FA">
        <w:rPr>
          <w:bCs/>
          <w:iCs/>
          <w:color w:val="000000"/>
        </w:rPr>
        <w:t xml:space="preserve">4326,5 </w:t>
      </w:r>
      <w:r w:rsidRPr="00B532FA">
        <w:t xml:space="preserve">(-1,9%) главным образом </w:t>
      </w:r>
      <w:r w:rsidR="000916D4" w:rsidRPr="00B532FA">
        <w:t>на</w:t>
      </w:r>
      <w:r w:rsidRPr="00B532FA">
        <w:br/>
      </w:r>
      <w:r w:rsidRPr="00B532FA">
        <w:rPr>
          <w:color w:val="000000"/>
        </w:rPr>
        <w:t>закупк</w:t>
      </w:r>
      <w:r w:rsidR="000916D4" w:rsidRPr="00B532FA">
        <w:rPr>
          <w:color w:val="000000"/>
        </w:rPr>
        <w:t>у</w:t>
      </w:r>
      <w:r w:rsidRPr="00B532FA">
        <w:rPr>
          <w:color w:val="000000"/>
        </w:rPr>
        <w:t xml:space="preserve"> товаров, работ </w:t>
      </w:r>
      <w:r w:rsidRPr="00B532FA">
        <w:t>и услуг для обеспечения государственных нужд  (</w:t>
      </w:r>
      <w:r w:rsidRPr="00B532FA">
        <w:rPr>
          <w:color w:val="000000"/>
        </w:rPr>
        <w:t>-6244,4 тыс. руб.)</w:t>
      </w:r>
      <w:r w:rsidRPr="00B532FA">
        <w:rPr>
          <w:color w:val="000000"/>
          <w:sz w:val="16"/>
          <w:szCs w:val="16"/>
        </w:rPr>
        <w:t xml:space="preserve"> </w:t>
      </w:r>
      <w:r w:rsidRPr="00B532FA">
        <w:t>в связи с экономией при проведении конкурсных процедур</w:t>
      </w:r>
      <w:r w:rsidR="000916D4" w:rsidRPr="00B532FA">
        <w:t xml:space="preserve"> и </w:t>
      </w:r>
      <w:r w:rsidRPr="00B532FA">
        <w:t>отказа от приобретения в 2017 году системы предотвращения утечки конфиденциальной информации, сокращения закупок автотранспорта (вместо запланированных двух автомобилей приобретен только один).</w:t>
      </w:r>
      <w:r w:rsidRPr="00B532FA">
        <w:rPr>
          <w:color w:val="0000FF"/>
        </w:rPr>
        <w:t xml:space="preserve"> </w:t>
      </w:r>
    </w:p>
    <w:p w:rsidR="003A2488" w:rsidRPr="00B532FA" w:rsidRDefault="003A2488" w:rsidP="00B532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532FA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0916D4" w:rsidRPr="00B532FA">
        <w:rPr>
          <w:rFonts w:ascii="Times New Roman" w:hAnsi="Times New Roman" w:cs="Times New Roman"/>
          <w:sz w:val="24"/>
          <w:szCs w:val="24"/>
        </w:rPr>
        <w:t>на</w:t>
      </w:r>
      <w:r w:rsidRPr="00B532FA">
        <w:rPr>
          <w:rFonts w:ascii="Times New Roman" w:hAnsi="Times New Roman" w:cs="Times New Roman"/>
          <w:sz w:val="24"/>
          <w:szCs w:val="24"/>
        </w:rPr>
        <w:t xml:space="preserve"> оплат</w:t>
      </w:r>
      <w:r w:rsidR="000916D4" w:rsidRPr="00B532FA">
        <w:rPr>
          <w:rFonts w:ascii="Times New Roman" w:hAnsi="Times New Roman" w:cs="Times New Roman"/>
          <w:sz w:val="24"/>
          <w:szCs w:val="24"/>
        </w:rPr>
        <w:t>у</w:t>
      </w:r>
      <w:r w:rsidRPr="00B532FA">
        <w:rPr>
          <w:rFonts w:ascii="Times New Roman" w:hAnsi="Times New Roman" w:cs="Times New Roman"/>
          <w:sz w:val="24"/>
          <w:szCs w:val="24"/>
        </w:rPr>
        <w:t xml:space="preserve"> труда и начисления на выплаты по оплате труда </w:t>
      </w:r>
      <w:r w:rsidR="00664471" w:rsidRPr="00B532FA">
        <w:rPr>
          <w:rFonts w:ascii="Times New Roman" w:hAnsi="Times New Roman" w:cs="Times New Roman"/>
          <w:sz w:val="24"/>
          <w:szCs w:val="24"/>
        </w:rPr>
        <w:t xml:space="preserve">по пояснениям   ГУ ТФОМС </w:t>
      </w:r>
      <w:r w:rsidRPr="00B532FA">
        <w:rPr>
          <w:rFonts w:ascii="Times New Roman" w:hAnsi="Times New Roman" w:cs="Times New Roman"/>
          <w:sz w:val="24"/>
          <w:szCs w:val="24"/>
        </w:rPr>
        <w:t>увеличились на 928,3 тыс. руб. в связи с увеличением надбавок за стаж работы и выслугу лет, а также надбавок за квалификацию в течение года</w:t>
      </w:r>
      <w:r w:rsidR="00664471" w:rsidRPr="00B532FA">
        <w:rPr>
          <w:rFonts w:ascii="Times New Roman" w:hAnsi="Times New Roman" w:cs="Times New Roman"/>
          <w:sz w:val="24"/>
          <w:szCs w:val="24"/>
        </w:rPr>
        <w:t>.</w:t>
      </w:r>
      <w:r w:rsidR="001A49F1" w:rsidRPr="00B532FA">
        <w:t xml:space="preserve">  </w:t>
      </w:r>
    </w:p>
    <w:p w:rsidR="003A2488" w:rsidRPr="00B532FA" w:rsidRDefault="003A2488" w:rsidP="00B532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532FA">
        <w:rPr>
          <w:rFonts w:ascii="Times New Roman" w:hAnsi="Times New Roman" w:cs="Times New Roman"/>
          <w:sz w:val="24"/>
          <w:szCs w:val="24"/>
        </w:rPr>
        <w:t xml:space="preserve">Увеличение расходов </w:t>
      </w:r>
      <w:r w:rsidR="00664471" w:rsidRPr="00B532FA">
        <w:rPr>
          <w:rFonts w:ascii="Times New Roman" w:hAnsi="Times New Roman" w:cs="Times New Roman"/>
          <w:sz w:val="24"/>
          <w:szCs w:val="24"/>
        </w:rPr>
        <w:t>на</w:t>
      </w:r>
      <w:r w:rsidRPr="00B532FA">
        <w:rPr>
          <w:rFonts w:ascii="Times New Roman" w:hAnsi="Times New Roman" w:cs="Times New Roman"/>
          <w:sz w:val="24"/>
          <w:szCs w:val="24"/>
        </w:rPr>
        <w:t xml:space="preserve"> закупк</w:t>
      </w:r>
      <w:r w:rsidR="00664471" w:rsidRPr="00B532FA">
        <w:rPr>
          <w:rFonts w:ascii="Times New Roman" w:hAnsi="Times New Roman" w:cs="Times New Roman"/>
          <w:sz w:val="24"/>
          <w:szCs w:val="24"/>
        </w:rPr>
        <w:t>у</w:t>
      </w:r>
      <w:r w:rsidRPr="00B532FA">
        <w:rPr>
          <w:rFonts w:ascii="Times New Roman" w:hAnsi="Times New Roman" w:cs="Times New Roman"/>
          <w:sz w:val="24"/>
          <w:szCs w:val="24"/>
        </w:rPr>
        <w:t xml:space="preserve"> товаров, работ, услуг в целях капитального ремонта государственного имущества на 790,6 тыс. руб. </w:t>
      </w:r>
      <w:r w:rsidR="00664471" w:rsidRPr="00B532FA">
        <w:rPr>
          <w:rFonts w:ascii="Times New Roman" w:hAnsi="Times New Roman" w:cs="Times New Roman"/>
          <w:sz w:val="24"/>
          <w:szCs w:val="24"/>
        </w:rPr>
        <w:t xml:space="preserve">по пояснениям ГУ ТФОМС </w:t>
      </w:r>
      <w:r w:rsidRPr="00B532FA">
        <w:rPr>
          <w:rFonts w:ascii="Times New Roman" w:hAnsi="Times New Roman" w:cs="Times New Roman"/>
          <w:sz w:val="24"/>
          <w:szCs w:val="24"/>
        </w:rPr>
        <w:t>произошло в связи с необходимостью ремонта изношенного имущества.</w:t>
      </w:r>
    </w:p>
    <w:p w:rsidR="00323BDF" w:rsidRPr="00B532FA" w:rsidRDefault="00323BDF" w:rsidP="00B532FA">
      <w:pPr>
        <w:jc w:val="center"/>
        <w:rPr>
          <w:b/>
          <w:i/>
        </w:rPr>
      </w:pPr>
    </w:p>
    <w:p w:rsidR="00886D43" w:rsidRDefault="00886D43" w:rsidP="00B532FA">
      <w:pPr>
        <w:jc w:val="center"/>
        <w:rPr>
          <w:b/>
          <w:i/>
        </w:rPr>
      </w:pPr>
    </w:p>
    <w:p w:rsidR="00886D43" w:rsidRDefault="00886D43" w:rsidP="00B532FA">
      <w:pPr>
        <w:jc w:val="center"/>
        <w:rPr>
          <w:b/>
          <w:i/>
        </w:rPr>
      </w:pPr>
    </w:p>
    <w:p w:rsidR="00AF4CB2" w:rsidRPr="00B532FA" w:rsidRDefault="00AF4CB2" w:rsidP="00B532FA">
      <w:pPr>
        <w:jc w:val="center"/>
        <w:rPr>
          <w:b/>
          <w:i/>
        </w:rPr>
      </w:pPr>
      <w:r w:rsidRPr="00B532FA">
        <w:rPr>
          <w:b/>
          <w:i/>
        </w:rPr>
        <w:lastRenderedPageBreak/>
        <w:t>Анализ достижения показателей качества и доступности</w:t>
      </w:r>
    </w:p>
    <w:p w:rsidR="00AF4CB2" w:rsidRPr="00B532FA" w:rsidRDefault="00AF4CB2" w:rsidP="00B532FA">
      <w:pPr>
        <w:jc w:val="center"/>
        <w:rPr>
          <w:b/>
          <w:i/>
        </w:rPr>
      </w:pPr>
      <w:r w:rsidRPr="00B532FA">
        <w:rPr>
          <w:b/>
          <w:i/>
        </w:rPr>
        <w:t xml:space="preserve"> медицинской помощи, установленных Терпрограммой, отдельные вопросы реализации Терпрограммы в части средств ОМС</w:t>
      </w:r>
    </w:p>
    <w:p w:rsidR="00AF4CB2" w:rsidRPr="00B532FA" w:rsidRDefault="00AF4CB2" w:rsidP="00B532FA">
      <w:pPr>
        <w:jc w:val="center"/>
        <w:rPr>
          <w:b/>
          <w:i/>
        </w:rPr>
      </w:pPr>
    </w:p>
    <w:p w:rsidR="00AF4CB2" w:rsidRPr="00B532FA" w:rsidRDefault="00AF4CB2" w:rsidP="00B532FA">
      <w:pPr>
        <w:ind w:firstLine="709"/>
        <w:jc w:val="both"/>
        <w:rPr>
          <w:i/>
          <w:u w:val="single"/>
        </w:rPr>
      </w:pPr>
      <w:r w:rsidRPr="00B532FA">
        <w:rPr>
          <w:i/>
          <w:u w:val="single"/>
        </w:rPr>
        <w:t>Анализ исполнения целевых значений критериев доступности и качества медицинской помощи, оказываемой в рамках Терпрограммы на 2017 год</w:t>
      </w:r>
      <w:r w:rsidRPr="00B532FA">
        <w:rPr>
          <w:i/>
        </w:rPr>
        <w:t xml:space="preserve"> </w:t>
      </w:r>
      <w:r w:rsidR="00664471" w:rsidRPr="00B532FA">
        <w:t xml:space="preserve"> приведен в </w:t>
      </w:r>
      <w:r w:rsidRPr="00B532FA">
        <w:rPr>
          <w:color w:val="0000FF"/>
        </w:rPr>
        <w:t>приложени</w:t>
      </w:r>
      <w:r w:rsidR="00664471" w:rsidRPr="00B532FA">
        <w:rPr>
          <w:color w:val="0000FF"/>
        </w:rPr>
        <w:t>и</w:t>
      </w:r>
      <w:r w:rsidRPr="00B532FA">
        <w:rPr>
          <w:color w:val="0000FF"/>
        </w:rPr>
        <w:t xml:space="preserve"> № </w:t>
      </w:r>
      <w:r w:rsidR="00B62884" w:rsidRPr="00B532FA">
        <w:rPr>
          <w:color w:val="0000FF"/>
        </w:rPr>
        <w:t>7</w:t>
      </w:r>
      <w:r w:rsidRPr="00B532FA">
        <w:rPr>
          <w:i/>
        </w:rPr>
        <w:t>.</w:t>
      </w:r>
    </w:p>
    <w:p w:rsidR="00AF4CB2" w:rsidRPr="00B532FA" w:rsidRDefault="00AF4CB2" w:rsidP="00B532FA">
      <w:pPr>
        <w:jc w:val="center"/>
        <w:rPr>
          <w:i/>
          <w:sz w:val="16"/>
          <w:szCs w:val="16"/>
          <w:u w:val="single"/>
        </w:rPr>
      </w:pPr>
    </w:p>
    <w:p w:rsidR="00AF4CB2" w:rsidRPr="00B532FA" w:rsidRDefault="00AF4CB2" w:rsidP="00B532FA">
      <w:pPr>
        <w:ind w:firstLine="709"/>
        <w:jc w:val="both"/>
      </w:pPr>
      <w:r w:rsidRPr="00B532FA">
        <w:t>Терпрограммой на 2017 год установлены 30 критериев доступности и качества медицинской помощи, оказываемой в рамках Терпрограммы, в том числе: качества медицинской помощи – 20, доступности медицинской помощи - 8, эффективности деятельности медицинских организаций – 2.</w:t>
      </w:r>
    </w:p>
    <w:p w:rsidR="00AF4CB2" w:rsidRPr="00B532FA" w:rsidRDefault="00AF4CB2" w:rsidP="00B532FA">
      <w:pPr>
        <w:ind w:firstLine="709"/>
        <w:jc w:val="both"/>
      </w:pPr>
      <w:r w:rsidRPr="00B532FA">
        <w:t>Из 20 критериев качества медицинской помощи не выполнено 2, из них:</w:t>
      </w:r>
    </w:p>
    <w:p w:rsidR="00AF4CB2" w:rsidRPr="00B532FA" w:rsidRDefault="00AF4CB2" w:rsidP="00B532FA">
      <w:pPr>
        <w:ind w:firstLine="709"/>
        <w:jc w:val="both"/>
      </w:pPr>
      <w:r w:rsidRPr="00B532FA">
        <w:t xml:space="preserve">-«Доля пациентов с инфарктом миокарда, госпитализированных в первые 6 часов от начала заболевания, в общем количестве госпитализированных пациентов с инфарктом миокарда» (план – 40%, факт – 38%). Согласно пояснительной  записке Облздрава к форме 62 «Сведения о ресурсном обеспечении и оказании медицинской помощи населению» не выполнение показателя обусловлено несвоевременной обращаемостью граждан и их неосведомленностью о первых симптомах заболевания;  </w:t>
      </w:r>
    </w:p>
    <w:p w:rsidR="002C2E7F" w:rsidRPr="00B532FA" w:rsidRDefault="00AF4CB2" w:rsidP="00B532FA">
      <w:pPr>
        <w:ind w:firstLine="709"/>
        <w:jc w:val="both"/>
      </w:pPr>
      <w:r w:rsidRPr="00B532FA">
        <w:t xml:space="preserve">-«Доля пациентов с острым инфарктом миокарда, которым проведена тромболитическая терапия, в общем количестве пациентов с острым инфарктом миокарда» (план – 34%, факт – 24%). По пояснениям Облздрава недовыполнение показателя связано с </w:t>
      </w:r>
      <w:r w:rsidR="002C2E7F" w:rsidRPr="00B532FA">
        <w:t xml:space="preserve">отсутствием </w:t>
      </w:r>
      <w:r w:rsidR="00F27456" w:rsidRPr="00B532FA">
        <w:t xml:space="preserve">медицинских </w:t>
      </w:r>
      <w:r w:rsidR="002C2E7F" w:rsidRPr="00B532FA">
        <w:t>показаний для проведения тромболитической терапии</w:t>
      </w:r>
      <w:r w:rsidR="00F27456" w:rsidRPr="00B532FA">
        <w:t xml:space="preserve"> пациентам  с острым инфарктом миокарда по сравнению с </w:t>
      </w:r>
      <w:r w:rsidR="00A07A3E" w:rsidRPr="00B532FA">
        <w:t xml:space="preserve">их </w:t>
      </w:r>
      <w:r w:rsidR="00F27456" w:rsidRPr="00B532FA">
        <w:t>ожидаемым количеством</w:t>
      </w:r>
      <w:r w:rsidR="00A07A3E" w:rsidRPr="00B532FA">
        <w:t>.</w:t>
      </w:r>
    </w:p>
    <w:p w:rsidR="00AF4CB2" w:rsidRPr="00B532FA" w:rsidRDefault="00AF4CB2" w:rsidP="00B532FA">
      <w:pPr>
        <w:ind w:firstLine="709"/>
        <w:jc w:val="both"/>
      </w:pPr>
      <w:r w:rsidRPr="00B532FA">
        <w:t>Из 8 критериев доступности медицинской помощи не выполнено 2, из них:</w:t>
      </w:r>
    </w:p>
    <w:p w:rsidR="00AF4CB2" w:rsidRPr="00B532FA" w:rsidRDefault="00AF4CB2" w:rsidP="00B532FA">
      <w:pPr>
        <w:ind w:firstLine="709"/>
        <w:jc w:val="both"/>
        <w:rPr>
          <w:color w:val="000000"/>
        </w:rPr>
      </w:pPr>
      <w:r w:rsidRPr="00B532FA">
        <w:t xml:space="preserve">- «Обеспеченность населения средним медицинским персоналом» (план – 89 на 10 тыс. человек населения, факт – 86 на 10 тыс. человек населения). Облздрав дефицит медицинских кадров объясняет недостаточным восполнением естественной убыли специалистов, вызванной оттоком кадров, в т.ч. в связи с выходом на пенсию (в 2017 году уволено среднего медперсонала 2428 ед. (из них вышедших на пенсию 175 ед., умерших – 26 ед.), принято 1897 ед. (итог: -531 ед.); </w:t>
      </w:r>
    </w:p>
    <w:p w:rsidR="0013155F" w:rsidRPr="00B532FA" w:rsidRDefault="00AF4CB2" w:rsidP="00B532FA">
      <w:pPr>
        <w:ind w:firstLine="709"/>
        <w:jc w:val="both"/>
      </w:pPr>
      <w:r w:rsidRPr="00B532FA">
        <w:t>- «Доля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 бесплатного оказания медицинской помощи» (план - 2,5%, факт - 2,3%)</w:t>
      </w:r>
      <w:r w:rsidR="0013155F" w:rsidRPr="00B532FA">
        <w:t xml:space="preserve"> в связи с неисполнением утвержденных </w:t>
      </w:r>
      <w:r w:rsidR="00A07A3E" w:rsidRPr="00B532FA">
        <w:t xml:space="preserve">Терпрограммой </w:t>
      </w:r>
      <w:r w:rsidR="0013155F" w:rsidRPr="00B532FA">
        <w:t>объемов медицинской помощи в амбулаторных условиях;</w:t>
      </w:r>
    </w:p>
    <w:p w:rsidR="00AF4CB2" w:rsidRPr="00B532FA" w:rsidRDefault="00AF4CB2" w:rsidP="00B532FA">
      <w:pPr>
        <w:ind w:firstLine="709"/>
        <w:jc w:val="both"/>
      </w:pPr>
      <w:r w:rsidRPr="00B532FA">
        <w:t>Критерии эффективности деятельности медицинских организаций не выполнены:</w:t>
      </w:r>
    </w:p>
    <w:p w:rsidR="00AF4CB2" w:rsidRPr="00B532FA" w:rsidRDefault="00AF4CB2" w:rsidP="00B532FA">
      <w:pPr>
        <w:ind w:firstLine="709"/>
        <w:jc w:val="both"/>
        <w:rPr>
          <w:color w:val="000000"/>
        </w:rPr>
      </w:pPr>
      <w:r w:rsidRPr="00B532FA">
        <w:t xml:space="preserve">- «Функция врачебной должности в медицинских организациях» (план – не менее 91%, факт – 90,5%). </w:t>
      </w:r>
      <w:r w:rsidR="0030616C" w:rsidRPr="00B532FA">
        <w:t>Согласно</w:t>
      </w:r>
      <w:r w:rsidR="00651F7D" w:rsidRPr="00B532FA">
        <w:t xml:space="preserve"> информации Облздрава н</w:t>
      </w:r>
      <w:r w:rsidRPr="00B532FA">
        <w:t>едостижение значения показателя связано с дефицитом медицинских кадров</w:t>
      </w:r>
      <w:r w:rsidR="0013155F" w:rsidRPr="00B532FA">
        <w:t xml:space="preserve">. По мнению КСП основной причиной недостижения является неисполнение утвержденных </w:t>
      </w:r>
      <w:r w:rsidR="00A07A3E" w:rsidRPr="00B532FA">
        <w:t xml:space="preserve">Терпрограммой </w:t>
      </w:r>
      <w:r w:rsidR="0013155F" w:rsidRPr="00B532FA">
        <w:t>объемов медицинской помощи в амбулаторных условиях</w:t>
      </w:r>
      <w:r w:rsidRPr="00B532FA">
        <w:t xml:space="preserve">; </w:t>
      </w:r>
    </w:p>
    <w:p w:rsidR="00AF4CB2" w:rsidRPr="00B532FA" w:rsidRDefault="00AF4CB2" w:rsidP="00B532FA">
      <w:pPr>
        <w:ind w:firstLine="709"/>
        <w:jc w:val="both"/>
      </w:pPr>
      <w:r w:rsidRPr="00B532FA">
        <w:t>- «Среднегодовая занятость койки круглосуточного стационара в медицинских организациях» (план – 332 дня в году, факт – 315,8 дней в году).</w:t>
      </w:r>
      <w:r w:rsidR="00651F7D" w:rsidRPr="00B532FA">
        <w:t xml:space="preserve"> По информации Облздрава н</w:t>
      </w:r>
      <w:r w:rsidRPr="00B532FA">
        <w:t xml:space="preserve">евыполнение показателя </w:t>
      </w:r>
      <w:r w:rsidR="00651F7D" w:rsidRPr="00B532FA">
        <w:t>обусловлено</w:t>
      </w:r>
      <w:r w:rsidRPr="00B532FA">
        <w:t xml:space="preserve"> тем, что ряд профилей коек (для беременных и рожениц, токсикологические, ожоговые) работают в режиме ожидания. Показатель среднегодовой занятости койки за 2017 год ниже 280 дней отмечен по койкам поллиативным для детей, ортопедическим и гематологическим для детей.</w:t>
      </w:r>
      <w:r w:rsidR="0013155F" w:rsidRPr="00B532FA">
        <w:t xml:space="preserve"> По мнению КСП </w:t>
      </w:r>
      <w:r w:rsidR="00F26738" w:rsidRPr="00B532FA">
        <w:t xml:space="preserve">вышеуказанные причины </w:t>
      </w:r>
      <w:r w:rsidR="0013155F" w:rsidRPr="00B532FA">
        <w:t>невыполнени</w:t>
      </w:r>
      <w:r w:rsidR="00F26738" w:rsidRPr="00B532FA">
        <w:t>я</w:t>
      </w:r>
      <w:r w:rsidR="0013155F" w:rsidRPr="00B532FA">
        <w:t xml:space="preserve"> свидетельствует о недостатках планирования </w:t>
      </w:r>
      <w:r w:rsidR="00F26738" w:rsidRPr="00B532FA">
        <w:t>показателя при его включении в Терпрограмму.</w:t>
      </w:r>
    </w:p>
    <w:p w:rsidR="000652D4" w:rsidRPr="00B532FA" w:rsidRDefault="00651F7D" w:rsidP="00B532FA">
      <w:pPr>
        <w:ind w:firstLine="709"/>
        <w:jc w:val="both"/>
      </w:pPr>
      <w:r w:rsidRPr="00B532FA">
        <w:t>Следует отметить о значительном перевыполнении критерия качества медицинской помощи «</w:t>
      </w:r>
      <w:r w:rsidR="00AF4CB2" w:rsidRPr="00B532FA">
        <w:t>удовлетворенност</w:t>
      </w:r>
      <w:r w:rsidRPr="00B532FA">
        <w:t>ь</w:t>
      </w:r>
      <w:r w:rsidR="00AF4CB2" w:rsidRPr="00B532FA">
        <w:t xml:space="preserve"> </w:t>
      </w:r>
      <w:r w:rsidR="000B12AA" w:rsidRPr="00B532FA">
        <w:t xml:space="preserve">населения </w:t>
      </w:r>
      <w:r w:rsidR="00AF4CB2" w:rsidRPr="00B532FA">
        <w:t>медицинской помощ</w:t>
      </w:r>
      <w:r w:rsidR="000B12AA" w:rsidRPr="00B532FA">
        <w:t>ью</w:t>
      </w:r>
      <w:r w:rsidRPr="00B532FA">
        <w:t xml:space="preserve">», который </w:t>
      </w:r>
      <w:r w:rsidR="00AF4CB2" w:rsidRPr="00B532FA">
        <w:t>составил 78,9%</w:t>
      </w:r>
      <w:r w:rsidR="000652D4" w:rsidRPr="00B532FA">
        <w:t xml:space="preserve"> при значении планового показателя 43%, </w:t>
      </w:r>
      <w:r w:rsidR="005451F7" w:rsidRPr="00B532FA">
        <w:t>или в 1,8 раза больше</w:t>
      </w:r>
      <w:r w:rsidR="007A77AE" w:rsidRPr="00B532FA">
        <w:t>. Аналогичная ситуация наблюдалась в 2016 году</w:t>
      </w:r>
      <w:r w:rsidR="004E035F" w:rsidRPr="00B532FA">
        <w:t>, когда</w:t>
      </w:r>
      <w:r w:rsidR="007A77AE" w:rsidRPr="00B532FA">
        <w:t xml:space="preserve"> показатель «удовлетворенность населения медицинской помощью» был перевыполнен в 1,9 раза (план - 42%, факт - 80,4%), что </w:t>
      </w:r>
      <w:r w:rsidR="005451F7" w:rsidRPr="00B532FA">
        <w:t>свидетельств</w:t>
      </w:r>
      <w:r w:rsidR="000652D4" w:rsidRPr="00B532FA">
        <w:t xml:space="preserve">ует </w:t>
      </w:r>
      <w:r w:rsidR="005451F7" w:rsidRPr="00B532FA">
        <w:t xml:space="preserve">о </w:t>
      </w:r>
      <w:r w:rsidR="000652D4" w:rsidRPr="00B532FA">
        <w:t>некорректности значения показателя, установленного в приложении №7 к Терпрограмме</w:t>
      </w:r>
      <w:r w:rsidR="007A77AE" w:rsidRPr="00B532FA">
        <w:t>.</w:t>
      </w:r>
      <w:r w:rsidR="000652D4" w:rsidRPr="00B532FA">
        <w:t xml:space="preserve"> </w:t>
      </w:r>
    </w:p>
    <w:p w:rsidR="007A77AE" w:rsidRPr="00B532FA" w:rsidRDefault="007A77AE" w:rsidP="00B532FA">
      <w:pPr>
        <w:ind w:firstLine="709"/>
        <w:jc w:val="both"/>
      </w:pPr>
      <w:r w:rsidRPr="00B532FA">
        <w:lastRenderedPageBreak/>
        <w:t xml:space="preserve">С учетом того, что на 2018 и 2019 годы значение </w:t>
      </w:r>
      <w:r w:rsidR="00124373" w:rsidRPr="00B532FA">
        <w:t xml:space="preserve">рассматриваемого </w:t>
      </w:r>
      <w:r w:rsidRPr="00B532FA">
        <w:t xml:space="preserve">показателя в Терпрограмме </w:t>
      </w:r>
      <w:r w:rsidR="00124373" w:rsidRPr="00B532FA">
        <w:t xml:space="preserve">указано </w:t>
      </w:r>
      <w:r w:rsidRPr="00B532FA">
        <w:t xml:space="preserve">практически на уровне 2017 года - 44% и 45% соответственно, </w:t>
      </w:r>
      <w:r w:rsidR="00124373" w:rsidRPr="00B532FA">
        <w:t xml:space="preserve">КСП считает </w:t>
      </w:r>
      <w:r w:rsidRPr="00B532FA">
        <w:t>необходим</w:t>
      </w:r>
      <w:r w:rsidR="00124373" w:rsidRPr="00B532FA">
        <w:t>ым</w:t>
      </w:r>
      <w:r w:rsidRPr="00B532FA">
        <w:t xml:space="preserve"> рассмотреть вопрос о корректировке значения показателя</w:t>
      </w:r>
      <w:r w:rsidR="008051F2" w:rsidRPr="00B532FA">
        <w:t>, учитывающего реальный потенциал медицины Волгоградской области</w:t>
      </w:r>
      <w:r w:rsidR="00A07A3E" w:rsidRPr="00B532FA">
        <w:t>.</w:t>
      </w:r>
    </w:p>
    <w:p w:rsidR="003A2488" w:rsidRPr="00B532FA" w:rsidRDefault="00F26738" w:rsidP="00B532FA">
      <w:pPr>
        <w:ind w:firstLine="709"/>
        <w:jc w:val="both"/>
      </w:pPr>
      <w:r w:rsidRPr="00B532FA">
        <w:t>Сравнительным а</w:t>
      </w:r>
      <w:r w:rsidR="003A2488" w:rsidRPr="00B532FA">
        <w:t>нализом формирования и выполнения Терпрограммы за 2016</w:t>
      </w:r>
      <w:r w:rsidRPr="00B532FA">
        <w:t xml:space="preserve"> и </w:t>
      </w:r>
      <w:r w:rsidR="003A2488" w:rsidRPr="00B532FA">
        <w:t>2017 год</w:t>
      </w:r>
      <w:r w:rsidRPr="00B532FA">
        <w:t>ы</w:t>
      </w:r>
      <w:r w:rsidR="003A2488" w:rsidRPr="00B532FA">
        <w:t xml:space="preserve"> за счет средств ОМС (</w:t>
      </w:r>
      <w:r w:rsidR="00B62884" w:rsidRPr="00B532FA">
        <w:rPr>
          <w:color w:val="0000FF"/>
        </w:rPr>
        <w:t>приложение № 8</w:t>
      </w:r>
      <w:r w:rsidR="003A2488" w:rsidRPr="00B532FA">
        <w:rPr>
          <w:color w:val="0000FF"/>
        </w:rPr>
        <w:t xml:space="preserve">) </w:t>
      </w:r>
      <w:r w:rsidR="003A2488" w:rsidRPr="00B532FA">
        <w:t>установлено невыполнение отдельных видов медицинской помощи, например:</w:t>
      </w:r>
    </w:p>
    <w:p w:rsidR="003344CB" w:rsidRPr="00B532FA" w:rsidRDefault="003A2488" w:rsidP="00B532FA">
      <w:pPr>
        <w:ind w:firstLine="709"/>
        <w:jc w:val="both"/>
      </w:pPr>
      <w:r w:rsidRPr="00B532FA">
        <w:t>- амбулаторная помощь, оказанная в неотложной форме в 2016 году не выполнена на 428089 посещений (-30,5%), в 2017 году на 276538 посещений (-19,7%). Уровень финансирования в 2017 году снижен на 20,5</w:t>
      </w:r>
      <w:r w:rsidR="00EF6024" w:rsidRPr="00B532FA">
        <w:t xml:space="preserve"> процента. </w:t>
      </w:r>
      <w:r w:rsidR="003344CB" w:rsidRPr="00B532FA">
        <w:t>Уменьшение объемов неисполненной амбулаторной медицинской помощи в неотложной форме свидетельствует о поэтапном выведении из подушевого норматива отдельных видов амбулаторной помощи, что отвечает рекомендациям КСП по результатам проверки отдельных вопросов финансово-хозяйственной деятельности государственных учреждений социальной сферы Волгоградской области за 2016 год и истекший период 2017 года;</w:t>
      </w:r>
    </w:p>
    <w:p w:rsidR="003A2488" w:rsidRPr="00B532FA" w:rsidRDefault="003A2488" w:rsidP="00B532FA">
      <w:pPr>
        <w:ind w:firstLine="709"/>
        <w:jc w:val="both"/>
      </w:pPr>
      <w:r w:rsidRPr="00B532FA">
        <w:t>- амбулаторная помощь, оказанная в связи с заболеваниями в 2016 году не выполнена на 757603 обращений (-15,3%), в 2017 году на 724681 обращения (-14,6%). Уровень финансирования в 2017 году снижен на 10,6%;</w:t>
      </w:r>
    </w:p>
    <w:p w:rsidR="003A2488" w:rsidRPr="00B532FA" w:rsidRDefault="003A2488" w:rsidP="00B532FA">
      <w:pPr>
        <w:ind w:firstLine="709"/>
        <w:jc w:val="both"/>
      </w:pPr>
      <w:r w:rsidRPr="00B532FA">
        <w:t>- амбулаторная помощь, оказанная с профилактическими и иными целями в 2016 году не выполнена на 212924 посещений (-3,6%), в 2017 году на 37013 посещений  (-0,6%). Уровень финансирования в 2017 году увеличен на 17,2 процента.</w:t>
      </w:r>
    </w:p>
    <w:p w:rsidR="003A2488" w:rsidRPr="00B532FA" w:rsidRDefault="003A2488" w:rsidP="00B532FA">
      <w:pPr>
        <w:ind w:firstLine="709"/>
        <w:jc w:val="both"/>
      </w:pPr>
      <w:r w:rsidRPr="00B532FA">
        <w:t>Анализом расходования в 2017 году медицинскими организациями средств, полученных за оказанную в рамках Терпрограммы на 2017 год медицинскую помощь, (</w:t>
      </w:r>
      <w:r w:rsidRPr="00B532FA">
        <w:rPr>
          <w:color w:val="0000FF"/>
        </w:rPr>
        <w:t>приложение №</w:t>
      </w:r>
      <w:r w:rsidR="00B62884" w:rsidRPr="00B532FA">
        <w:rPr>
          <w:color w:val="0000FF"/>
        </w:rPr>
        <w:t xml:space="preserve"> 9</w:t>
      </w:r>
      <w:r w:rsidRPr="00B532FA">
        <w:rPr>
          <w:color w:val="0000FF"/>
        </w:rPr>
        <w:t xml:space="preserve">) </w:t>
      </w:r>
      <w:r w:rsidRPr="00B532FA">
        <w:t>установлено, что основную долю расходов составляют расходы на оплату труда - 65%, увеличение стоимости материальных запасов – 19,6% и оплату работ, услуг (услуги связи, коммунальные, арендная плата и др.) – 13,1%, из них:</w:t>
      </w:r>
    </w:p>
    <w:p w:rsidR="003A2488" w:rsidRPr="00B532FA" w:rsidRDefault="003A2488" w:rsidP="00B532FA">
      <w:pPr>
        <w:ind w:firstLine="709"/>
        <w:jc w:val="both"/>
      </w:pPr>
      <w:r w:rsidRPr="00B532FA">
        <w:t>- скорая медицинская помощь - оплата труда – 65,6%, увеличение стоимости материальных запасов – 7,1% и оплату работ (услуг) – 26,7%;</w:t>
      </w:r>
    </w:p>
    <w:p w:rsidR="003A2488" w:rsidRPr="00B532FA" w:rsidRDefault="003A2488" w:rsidP="00B532FA">
      <w:pPr>
        <w:ind w:firstLine="709"/>
        <w:jc w:val="both"/>
      </w:pPr>
      <w:r w:rsidRPr="00B532FA">
        <w:t>- медицинская помощь, оказанная в амбулаторных условиях - оплата труда – 74,2%, увеличение стоимости материальных запасов – 15,2% и оплату работ (услуг) – 8,6%;</w:t>
      </w:r>
    </w:p>
    <w:p w:rsidR="003A2488" w:rsidRPr="00B532FA" w:rsidRDefault="003A2488" w:rsidP="00B532FA">
      <w:pPr>
        <w:ind w:firstLine="709"/>
        <w:jc w:val="both"/>
      </w:pPr>
      <w:r w:rsidRPr="00B532FA">
        <w:t>- стационарная медицинская помощь - оплата труда – 61,6%, увеличение стоимости материальных запасов – 21,8% и оплату работ (услуг) – 14,1%;</w:t>
      </w:r>
    </w:p>
    <w:p w:rsidR="003A2488" w:rsidRPr="00B532FA" w:rsidRDefault="003A2488" w:rsidP="00B532FA">
      <w:pPr>
        <w:ind w:firstLine="709"/>
        <w:jc w:val="both"/>
      </w:pPr>
      <w:r w:rsidRPr="00B532FA">
        <w:t>- медицинская помощь, оказанная в условиях дневного стационара - оплата труда – 43,6%, увеличение стоимости материальных запасов – 37% и оплату работ (услуг) – 16,6 процентов.</w:t>
      </w:r>
    </w:p>
    <w:p w:rsidR="003A2488" w:rsidRPr="00B532FA" w:rsidRDefault="003A2488" w:rsidP="00B532FA">
      <w:pPr>
        <w:ind w:firstLine="709"/>
        <w:jc w:val="both"/>
      </w:pPr>
    </w:p>
    <w:p w:rsidR="003A2488" w:rsidRPr="00B532FA" w:rsidRDefault="003A2488" w:rsidP="00B532FA">
      <w:pPr>
        <w:pStyle w:val="aff"/>
        <w:ind w:left="0" w:firstLine="708"/>
        <w:jc w:val="center"/>
        <w:rPr>
          <w:b/>
          <w:i/>
        </w:rPr>
      </w:pPr>
      <w:r w:rsidRPr="00B532FA">
        <w:rPr>
          <w:b/>
          <w:i/>
        </w:rPr>
        <w:t xml:space="preserve">Отдельные </w:t>
      </w:r>
      <w:r w:rsidR="00124373" w:rsidRPr="00B532FA">
        <w:rPr>
          <w:b/>
          <w:i/>
        </w:rPr>
        <w:t xml:space="preserve">аспекты </w:t>
      </w:r>
      <w:r w:rsidRPr="00B532FA">
        <w:rPr>
          <w:b/>
          <w:i/>
        </w:rPr>
        <w:t xml:space="preserve">анализа и оценки результатов, достижений целей осуществления закупок </w:t>
      </w:r>
    </w:p>
    <w:p w:rsidR="00B81CB0" w:rsidRPr="00B532FA" w:rsidRDefault="00B81CB0" w:rsidP="00B532FA">
      <w:pPr>
        <w:ind w:firstLine="709"/>
        <w:jc w:val="both"/>
      </w:pPr>
    </w:p>
    <w:p w:rsidR="00B81CB0" w:rsidRPr="00B532FA" w:rsidRDefault="00B81CB0" w:rsidP="00B532FA">
      <w:pPr>
        <w:ind w:firstLine="709"/>
        <w:jc w:val="both"/>
      </w:pPr>
      <w:r w:rsidRPr="00B532FA">
        <w:t>Согласно пункту 4.96 Методики определения стоимости строительной продукции на территории Российской Федерации, утвержденной Постановлением Госстроя России от 05.03.2004 №15/1 (далее  МДС 81-35.2004), в сводный сметный расчет стоимости строительства включается резерв средств на непредвиденные работы и затраты, предназначенный для возмещения стоимости работ и затрат, потребность в которых возникает в процессе разработки рабочей документации или в ходе строительства в результате уточнения проектных решений или условий строительства.</w:t>
      </w:r>
    </w:p>
    <w:p w:rsidR="00B81CB0" w:rsidRPr="00B532FA" w:rsidRDefault="00B81CB0" w:rsidP="00B532FA">
      <w:pPr>
        <w:ind w:firstLine="709"/>
        <w:jc w:val="both"/>
      </w:pPr>
      <w:r w:rsidRPr="00B532FA">
        <w:t xml:space="preserve">Необходимость подтверждения подрядчиком резерва средств на непредвиденные работы и затраты, включенного в твердую договорную цену </w:t>
      </w:r>
      <w:r w:rsidR="00EE54E4" w:rsidRPr="00B532FA">
        <w:t>с учетом положений п. 4.33 МДС 81-35.2004 и п. 8.6 приказа Министерства строительства Волгоградской области от 04.09.2014 № 806-ОД «Об утверждении порядка определения стоимости строительной продукции на территории Волгоградской области» (далее приказ Минстроя ВО № 806-ОД)</w:t>
      </w:r>
      <w:r w:rsidR="00A07A3E" w:rsidRPr="00B532FA">
        <w:t>,</w:t>
      </w:r>
      <w:r w:rsidR="00EE54E4" w:rsidRPr="00B532FA">
        <w:t xml:space="preserve"> </w:t>
      </w:r>
      <w:r w:rsidRPr="00B532FA">
        <w:t>устанавливается государственным контрактом, и в случае отсутствия такого подтверждения цена государственного контракта должна быть снижена на сумму указанного резерва.</w:t>
      </w:r>
    </w:p>
    <w:p w:rsidR="00A07A3E" w:rsidRPr="00B532FA" w:rsidRDefault="00B81CB0" w:rsidP="00B532FA">
      <w:pPr>
        <w:ind w:firstLine="709"/>
        <w:jc w:val="both"/>
      </w:pPr>
      <w:r w:rsidRPr="00B532FA">
        <w:lastRenderedPageBreak/>
        <w:t xml:space="preserve">В 2017 году ГУ ТФОМС заключены 3 </w:t>
      </w:r>
      <w:r w:rsidR="00A07A3E" w:rsidRPr="00B532FA">
        <w:t xml:space="preserve">государственных </w:t>
      </w:r>
      <w:r w:rsidRPr="00B532FA">
        <w:t xml:space="preserve">контракта на выполнение ремонтных работ в серверном помещении учреждения </w:t>
      </w:r>
      <w:r w:rsidR="001A49F1" w:rsidRPr="00B532FA">
        <w:t xml:space="preserve">и помещениях Заволжского филиала, </w:t>
      </w:r>
      <w:r w:rsidRPr="00B532FA">
        <w:t>в которых обязанность подрядчиком подтверждать фактически произведенные непредвиденные затраты не установлена.</w:t>
      </w:r>
      <w:r w:rsidR="00A07A3E" w:rsidRPr="00B532FA">
        <w:t xml:space="preserve"> При этом </w:t>
      </w:r>
      <w:r w:rsidRPr="00B532FA">
        <w:t>в локальных сметных расчетах к заключенным контрактам</w:t>
      </w:r>
      <w:r w:rsidR="00A07A3E" w:rsidRPr="00B532FA">
        <w:t xml:space="preserve"> </w:t>
      </w:r>
      <w:r w:rsidRPr="00B532FA">
        <w:t xml:space="preserve">в составе цены общего объема работ </w:t>
      </w:r>
      <w:r w:rsidR="00A07A3E" w:rsidRPr="00B532FA">
        <w:t xml:space="preserve">предусматривались </w:t>
      </w:r>
      <w:r w:rsidRPr="00B532FA">
        <w:t>непредвиденны</w:t>
      </w:r>
      <w:r w:rsidR="00A07A3E" w:rsidRPr="00B532FA">
        <w:t>е</w:t>
      </w:r>
      <w:r w:rsidRPr="00B532FA">
        <w:t xml:space="preserve"> </w:t>
      </w:r>
      <w:r w:rsidR="00D72F7B" w:rsidRPr="00B532FA">
        <w:t>затрат</w:t>
      </w:r>
      <w:r w:rsidR="00A07A3E" w:rsidRPr="00B532FA">
        <w:t>ы</w:t>
      </w:r>
      <w:r w:rsidRPr="00B532FA">
        <w:t xml:space="preserve"> в размере 2% от стоимости работ</w:t>
      </w:r>
      <w:r w:rsidR="00A07A3E" w:rsidRPr="00B532FA">
        <w:t>.</w:t>
      </w:r>
    </w:p>
    <w:p w:rsidR="001A49F1" w:rsidRPr="00B532FA" w:rsidRDefault="00B81CB0" w:rsidP="00B532FA">
      <w:pPr>
        <w:ind w:firstLine="709"/>
        <w:jc w:val="both"/>
      </w:pPr>
      <w:r w:rsidRPr="00B532FA">
        <w:t xml:space="preserve">В акты о приемке выполненных работ также включались </w:t>
      </w:r>
      <w:r w:rsidR="001A49F1" w:rsidRPr="00B532FA">
        <w:t xml:space="preserve">и были оплачены </w:t>
      </w:r>
      <w:r w:rsidRPr="00B532FA">
        <w:t xml:space="preserve">непредвиденные затраты в размере 2% от стоимости выполненных работ на общую сумму </w:t>
      </w:r>
      <w:r w:rsidR="001A49F1" w:rsidRPr="00B532FA">
        <w:t>38,6</w:t>
      </w:r>
      <w:r w:rsidRPr="00B532FA">
        <w:t xml:space="preserve"> тыс. рублей. Однако эти затраты не подтверждались в связи с отсутствием соответствующего требования в контрактах. </w:t>
      </w:r>
    </w:p>
    <w:p w:rsidR="00B81CB0" w:rsidRPr="00B532FA" w:rsidRDefault="00EE54E4" w:rsidP="00B532FA">
      <w:pPr>
        <w:ind w:firstLine="709"/>
        <w:jc w:val="both"/>
      </w:pPr>
      <w:r w:rsidRPr="00B532FA">
        <w:t>Отсутствие в государственных</w:t>
      </w:r>
      <w:r w:rsidR="00B81CB0" w:rsidRPr="00B532FA">
        <w:t xml:space="preserve"> контракт</w:t>
      </w:r>
      <w:r w:rsidRPr="00B532FA">
        <w:t>ах</w:t>
      </w:r>
      <w:r w:rsidR="00B81CB0" w:rsidRPr="00B532FA">
        <w:t xml:space="preserve"> условия о необходимости подтверждения подрядчиком </w:t>
      </w:r>
      <w:r w:rsidR="00C977F2" w:rsidRPr="00B532FA">
        <w:t xml:space="preserve">расходования </w:t>
      </w:r>
      <w:r w:rsidR="00D72F7B" w:rsidRPr="00B532FA">
        <w:t xml:space="preserve">средств на непредвиденные </w:t>
      </w:r>
      <w:r w:rsidR="00B81CB0" w:rsidRPr="00B532FA">
        <w:t xml:space="preserve">работы </w:t>
      </w:r>
      <w:r w:rsidR="00857AA9" w:rsidRPr="00B532FA">
        <w:t xml:space="preserve">и затраты </w:t>
      </w:r>
      <w:r w:rsidRPr="00B532FA">
        <w:t>противоречит принципу эффективности использования бюджетных средств, установленному ст. 34 Бюджетного кодекса РФ.</w:t>
      </w:r>
      <w:r w:rsidR="00B81CB0" w:rsidRPr="00B532FA">
        <w:t xml:space="preserve"> </w:t>
      </w:r>
    </w:p>
    <w:p w:rsidR="00E44A5C" w:rsidRPr="00B532FA" w:rsidRDefault="00EE54E4" w:rsidP="00B532FA">
      <w:pPr>
        <w:ind w:firstLine="709"/>
        <w:jc w:val="both"/>
        <w:rPr>
          <w:b/>
          <w:i/>
        </w:rPr>
      </w:pPr>
      <w:r w:rsidRPr="00B532FA">
        <w:t>В</w:t>
      </w:r>
      <w:r w:rsidR="00E44A5C" w:rsidRPr="00B532FA">
        <w:t xml:space="preserve"> </w:t>
      </w:r>
      <w:r w:rsidR="00A07A3E" w:rsidRPr="00B532FA">
        <w:t xml:space="preserve">ходе проверки для </w:t>
      </w:r>
      <w:r w:rsidR="00E44A5C" w:rsidRPr="00B532FA">
        <w:t>подтверждения вышеуказанных непредвиденных затрат ГУ ТФОМС совместно с подрядчиками составлены акты на дополнительные работы за счет средств на непредвиденные затраты, а также представлены справки главного бухгалтера и начальника АХО ГУ ТФОМС, которыми подтверждается выполнение работ на объектах и отсутствие претензий к их качеству.</w:t>
      </w:r>
    </w:p>
    <w:p w:rsidR="003A2488" w:rsidRPr="00B532FA" w:rsidRDefault="003A2488" w:rsidP="00B532FA">
      <w:pPr>
        <w:jc w:val="center"/>
        <w:rPr>
          <w:b/>
          <w:i/>
        </w:rPr>
      </w:pPr>
    </w:p>
    <w:p w:rsidR="00805C76" w:rsidRPr="00B532FA" w:rsidRDefault="00805C76" w:rsidP="00B532FA">
      <w:pPr>
        <w:jc w:val="center"/>
        <w:rPr>
          <w:b/>
          <w:i/>
        </w:rPr>
      </w:pPr>
      <w:r w:rsidRPr="00B532FA">
        <w:rPr>
          <w:b/>
          <w:i/>
        </w:rPr>
        <w:t xml:space="preserve">Анализ состояния внутреннего финансового аудита и контроля </w:t>
      </w:r>
    </w:p>
    <w:p w:rsidR="00805C76" w:rsidRPr="00B532FA" w:rsidRDefault="00805C76" w:rsidP="00B532FA">
      <w:pPr>
        <w:autoSpaceDE w:val="0"/>
        <w:autoSpaceDN w:val="0"/>
        <w:adjustRightInd w:val="0"/>
        <w:ind w:firstLine="540"/>
        <w:jc w:val="center"/>
        <w:rPr>
          <w:i/>
          <w:u w:val="single"/>
        </w:rPr>
      </w:pPr>
    </w:p>
    <w:p w:rsidR="00805C76" w:rsidRPr="00B532FA" w:rsidRDefault="00805C76" w:rsidP="00B532FA">
      <w:pPr>
        <w:ind w:firstLine="708"/>
        <w:jc w:val="both"/>
      </w:pPr>
      <w:r w:rsidRPr="00B532FA">
        <w:rPr>
          <w:rStyle w:val="af5"/>
          <w:color w:val="auto"/>
        </w:rPr>
        <w:t xml:space="preserve">План внутреннего финансового аудита на 2017 год </w:t>
      </w:r>
      <w:r w:rsidRPr="00B532FA">
        <w:t>ГУ ТФОМС</w:t>
      </w:r>
      <w:r w:rsidRPr="00B532FA">
        <w:rPr>
          <w:rStyle w:val="af5"/>
          <w:color w:val="auto"/>
        </w:rPr>
        <w:t>, предусматривающий проведение одной проверки</w:t>
      </w:r>
      <w:r w:rsidR="001675E2" w:rsidRPr="00B532FA">
        <w:rPr>
          <w:rStyle w:val="af5"/>
          <w:color w:val="auto"/>
        </w:rPr>
        <w:t xml:space="preserve"> по двум объектам аудита</w:t>
      </w:r>
      <w:r w:rsidRPr="00B532FA">
        <w:rPr>
          <w:rStyle w:val="af5"/>
          <w:color w:val="auto"/>
        </w:rPr>
        <w:t>, выполнен</w:t>
      </w:r>
      <w:r w:rsidR="00D23E08" w:rsidRPr="00B532FA">
        <w:rPr>
          <w:rStyle w:val="af5"/>
          <w:color w:val="auto"/>
        </w:rPr>
        <w:t xml:space="preserve">: </w:t>
      </w:r>
      <w:r w:rsidR="001675E2" w:rsidRPr="00B532FA">
        <w:rPr>
          <w:rStyle w:val="af5"/>
          <w:color w:val="auto"/>
        </w:rPr>
        <w:t xml:space="preserve">в </w:t>
      </w:r>
      <w:r w:rsidR="00D23E08" w:rsidRPr="00B532FA">
        <w:rPr>
          <w:rStyle w:val="af5"/>
          <w:color w:val="auto"/>
        </w:rPr>
        <w:t>бухгалтери</w:t>
      </w:r>
      <w:r w:rsidR="001675E2" w:rsidRPr="00B532FA">
        <w:rPr>
          <w:rStyle w:val="af5"/>
          <w:color w:val="auto"/>
        </w:rPr>
        <w:t>и</w:t>
      </w:r>
      <w:r w:rsidR="00D23E08" w:rsidRPr="00B532FA">
        <w:rPr>
          <w:rStyle w:val="af5"/>
          <w:color w:val="auto"/>
        </w:rPr>
        <w:t xml:space="preserve"> и планово-экономическ</w:t>
      </w:r>
      <w:r w:rsidR="001675E2" w:rsidRPr="00B532FA">
        <w:rPr>
          <w:rStyle w:val="af5"/>
          <w:color w:val="auto"/>
        </w:rPr>
        <w:t>ом</w:t>
      </w:r>
      <w:r w:rsidR="00D23E08" w:rsidRPr="00B532FA">
        <w:rPr>
          <w:rStyle w:val="af5"/>
          <w:color w:val="auto"/>
        </w:rPr>
        <w:t xml:space="preserve"> отдел</w:t>
      </w:r>
      <w:r w:rsidR="001675E2" w:rsidRPr="00B532FA">
        <w:rPr>
          <w:rStyle w:val="af5"/>
          <w:color w:val="auto"/>
        </w:rPr>
        <w:t>е</w:t>
      </w:r>
      <w:r w:rsidR="00D23E08" w:rsidRPr="00B532FA">
        <w:rPr>
          <w:rStyle w:val="af5"/>
          <w:color w:val="auto"/>
        </w:rPr>
        <w:t xml:space="preserve"> </w:t>
      </w:r>
      <w:r w:rsidR="00563593" w:rsidRPr="00B532FA">
        <w:rPr>
          <w:rStyle w:val="af5"/>
          <w:color w:val="auto"/>
        </w:rPr>
        <w:t>п</w:t>
      </w:r>
      <w:r w:rsidRPr="00B532FA">
        <w:t xml:space="preserve">роведен аудит надежности системы внутреннего финансового контроля, достоверности бюджетной отчетности, экономичности и результативности использования бюджетных средств ГУ ТФОМС за 2016 год. </w:t>
      </w:r>
    </w:p>
    <w:p w:rsidR="003A2488" w:rsidRPr="00B532FA" w:rsidRDefault="00805C76" w:rsidP="00B532FA">
      <w:pPr>
        <w:autoSpaceDE w:val="0"/>
        <w:autoSpaceDN w:val="0"/>
        <w:adjustRightInd w:val="0"/>
        <w:ind w:firstLine="709"/>
        <w:jc w:val="both"/>
      </w:pPr>
      <w:r w:rsidRPr="00B532FA">
        <w:t>Положение о внутреннем финансовом контроле и внутреннем финансовом аудите в ГУ ТФОМС утвержден</w:t>
      </w:r>
      <w:r w:rsidR="00AD59F2" w:rsidRPr="00B532FA">
        <w:t>о</w:t>
      </w:r>
      <w:r w:rsidRPr="00B532FA">
        <w:t xml:space="preserve"> п</w:t>
      </w:r>
      <w:r w:rsidR="003A2488" w:rsidRPr="00B532FA">
        <w:t>риложением № 12 приказ</w:t>
      </w:r>
      <w:r w:rsidR="00563593" w:rsidRPr="00B532FA">
        <w:t>ом ГУ ТФОМС</w:t>
      </w:r>
      <w:r w:rsidRPr="00B532FA">
        <w:t xml:space="preserve"> </w:t>
      </w:r>
      <w:r w:rsidR="003A2488" w:rsidRPr="00B532FA">
        <w:t>от 30.12.2016 № 1071 (далее Положение № 1071).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Проверк</w:t>
      </w:r>
      <w:r w:rsidR="00805C76" w:rsidRPr="00B532FA">
        <w:t xml:space="preserve">а показала, что </w:t>
      </w:r>
      <w:r w:rsidRPr="00B532FA">
        <w:t xml:space="preserve">в Положении № 1071 не в полной мере учтены требования </w:t>
      </w:r>
      <w:r w:rsidR="00805C76" w:rsidRPr="00B532FA">
        <w:t xml:space="preserve">Порядка осуществления внутреннего финансового контроля и внутреннего финансового аудита на территории Волгоградской области, утвержденного постановлением Правительства Волгоградской области от 26.05.2014 № 266-п (далее Порядок №266-п), </w:t>
      </w:r>
      <w:r w:rsidRPr="00B532FA">
        <w:t xml:space="preserve">а именно: 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-п.</w:t>
      </w:r>
      <w:r w:rsidR="00625BCF" w:rsidRPr="00B532FA">
        <w:t> </w:t>
      </w:r>
      <w:r w:rsidRPr="00B532FA">
        <w:t xml:space="preserve">2.8 - в ГУ ТФОМС внутренний финансовый контроль осуществляется в соответствии с планом внутреннего финансового контроля, а не в соответствии с </w:t>
      </w:r>
      <w:r w:rsidRPr="00B532FA">
        <w:rPr>
          <w:u w:val="single"/>
        </w:rPr>
        <w:t>картой</w:t>
      </w:r>
      <w:r w:rsidRPr="00B532FA">
        <w:t xml:space="preserve"> в</w:t>
      </w:r>
      <w:r w:rsidR="00134C46" w:rsidRPr="00B532FA">
        <w:t>нутреннего финансового контроля</w:t>
      </w:r>
      <w:r w:rsidRPr="00B532FA">
        <w:t>;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-п.</w:t>
      </w:r>
      <w:r w:rsidR="00625BCF" w:rsidRPr="00B532FA">
        <w:t> </w:t>
      </w:r>
      <w:r w:rsidRPr="00B532FA">
        <w:t>2.13 - план внутреннего финансового контроля на очередной финансовый год в ГУ ТФОМС формируется (актуализируется) до начала очередного финансового года, а не до 1 декабря текущего года;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-п.</w:t>
      </w:r>
      <w:r w:rsidR="00625BCF" w:rsidRPr="00B532FA">
        <w:t> </w:t>
      </w:r>
      <w:r w:rsidRPr="00B532FA">
        <w:t>2.9 - форма плана внутреннего финансового контроля не предусматривает отражение информации о способах проведения контрольных действий;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-п.</w:t>
      </w:r>
      <w:r w:rsidR="00625BCF" w:rsidRPr="00B532FA">
        <w:t> </w:t>
      </w:r>
      <w:r w:rsidRPr="00B532FA">
        <w:t>2.27 - не установлен порядок составления отчетности о результатах внутреннего финансового контроля на основе данных регистров (журналов) внутреннего финансового контроля;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-п.</w:t>
      </w:r>
      <w:r w:rsidR="00625BCF" w:rsidRPr="00B532FA">
        <w:t> </w:t>
      </w:r>
      <w:r w:rsidRPr="00B532FA">
        <w:t>3.12 - форма плана внутреннего финансового аудита не предусматривает отражение информации о теме аудиторской проверки и ответственных исполнителях;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-пп.</w:t>
      </w:r>
      <w:r w:rsidR="00625BCF" w:rsidRPr="00B532FA">
        <w:t> </w:t>
      </w:r>
      <w:r w:rsidRPr="00B532FA">
        <w:t>«е» п. 3.22 - не предусматрива</w:t>
      </w:r>
      <w:r w:rsidR="00134C46" w:rsidRPr="00B532FA">
        <w:t>ло</w:t>
      </w:r>
      <w:r w:rsidRPr="00B532FA">
        <w:t xml:space="preserve"> включения в рабочую документацию, подготавливаемую или получаемую </w:t>
      </w:r>
      <w:r w:rsidR="00AD59F2" w:rsidRPr="00B532FA">
        <w:t xml:space="preserve">при </w:t>
      </w:r>
      <w:r w:rsidRPr="00B532FA">
        <w:t>проведени</w:t>
      </w:r>
      <w:r w:rsidR="00AD59F2" w:rsidRPr="00B532FA">
        <w:t>и</w:t>
      </w:r>
      <w:r w:rsidRPr="00B532FA">
        <w:t xml:space="preserve"> аудиторской проверки, копий обращений, направленных органам государственного финансового контроля, экспертам и (или) третьим лицам в ходе аудиторской проверки, и полученные от них сведения. </w:t>
      </w:r>
    </w:p>
    <w:p w:rsidR="003A2488" w:rsidRPr="00B532FA" w:rsidRDefault="00805C76" w:rsidP="00B532FA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B532FA">
        <w:t>П</w:t>
      </w:r>
      <w:r w:rsidR="003A2488" w:rsidRPr="00B532FA">
        <w:t>риказом ГУ ТФОМС от 29.12.2017 № 910 «О внесении изменений в приказ…» Положение № 1071 утрати</w:t>
      </w:r>
      <w:r w:rsidR="0067122C" w:rsidRPr="00B532FA">
        <w:t xml:space="preserve">ло </w:t>
      </w:r>
      <w:r w:rsidR="003A2488" w:rsidRPr="00B532FA">
        <w:t xml:space="preserve">силу с 01.01.2018.  </w:t>
      </w:r>
    </w:p>
    <w:p w:rsidR="003A2488" w:rsidRPr="00B532FA" w:rsidRDefault="00805C76" w:rsidP="00B532FA">
      <w:pPr>
        <w:autoSpaceDE w:val="0"/>
        <w:autoSpaceDN w:val="0"/>
        <w:adjustRightInd w:val="0"/>
        <w:ind w:firstLine="708"/>
        <w:jc w:val="both"/>
      </w:pPr>
      <w:r w:rsidRPr="00B532FA">
        <w:lastRenderedPageBreak/>
        <w:t>В</w:t>
      </w:r>
      <w:r w:rsidR="003A2488" w:rsidRPr="00B532FA">
        <w:t xml:space="preserve"> </w:t>
      </w:r>
      <w:r w:rsidRPr="00B532FA">
        <w:t xml:space="preserve">конце </w:t>
      </w:r>
      <w:r w:rsidR="003A2488" w:rsidRPr="00B532FA">
        <w:t>2017 год</w:t>
      </w:r>
      <w:r w:rsidRPr="00B532FA">
        <w:t>а</w:t>
      </w:r>
      <w:r w:rsidR="003A2488" w:rsidRPr="00B532FA">
        <w:t xml:space="preserve"> </w:t>
      </w:r>
      <w:r w:rsidRPr="00B532FA">
        <w:t xml:space="preserve">учреждением </w:t>
      </w:r>
      <w:r w:rsidR="003A2488" w:rsidRPr="00B532FA">
        <w:t xml:space="preserve">изданы </w:t>
      </w:r>
      <w:r w:rsidR="00A24318" w:rsidRPr="00B532FA">
        <w:t xml:space="preserve">новые </w:t>
      </w:r>
      <w:r w:rsidR="003A2488" w:rsidRPr="00B532FA">
        <w:t xml:space="preserve">приказы </w:t>
      </w:r>
      <w:r w:rsidR="00A24318" w:rsidRPr="00B532FA">
        <w:t>о</w:t>
      </w:r>
      <w:r w:rsidR="003A2488" w:rsidRPr="00B532FA">
        <w:t xml:space="preserve"> реализации </w:t>
      </w:r>
      <w:r w:rsidR="00A24318" w:rsidRPr="00B532FA">
        <w:t>П</w:t>
      </w:r>
      <w:r w:rsidR="003A2488" w:rsidRPr="00B532FA">
        <w:t>орядка</w:t>
      </w:r>
      <w:r w:rsidR="00A24318" w:rsidRPr="00B532FA">
        <w:t xml:space="preserve"> №266-п</w:t>
      </w:r>
      <w:r w:rsidR="003A2488" w:rsidRPr="00B532FA">
        <w:t xml:space="preserve"> </w:t>
      </w:r>
      <w:r w:rsidR="00134C46" w:rsidRPr="00B532FA">
        <w:t xml:space="preserve">- </w:t>
      </w:r>
      <w:r w:rsidR="003A2488" w:rsidRPr="00B532FA">
        <w:t>в части осуществления в</w:t>
      </w:r>
      <w:r w:rsidR="00134C46" w:rsidRPr="00B532FA">
        <w:t xml:space="preserve">нутреннего финансового контроля </w:t>
      </w:r>
      <w:r w:rsidR="003A2488" w:rsidRPr="00B532FA">
        <w:t>от 01.11.2017 № 736 (далее Приказ № 736, действовал с 2018 года), в части внутреннего финансового аудита от 25.12.2017 № 893 (далее Приказ № 893), в которых вышеуказанные несоответствия Порядка № 266-п отсутствуют.</w:t>
      </w:r>
    </w:p>
    <w:p w:rsidR="00311448" w:rsidRPr="00B532FA" w:rsidRDefault="00311448" w:rsidP="00B532FA">
      <w:pPr>
        <w:autoSpaceDE w:val="0"/>
        <w:autoSpaceDN w:val="0"/>
        <w:adjustRightInd w:val="0"/>
        <w:ind w:firstLine="708"/>
        <w:jc w:val="both"/>
      </w:pP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 xml:space="preserve">При осуществлении </w:t>
      </w:r>
      <w:r w:rsidRPr="00B532FA">
        <w:rPr>
          <w:i/>
        </w:rPr>
        <w:t xml:space="preserve">внутреннего финансового контроля </w:t>
      </w:r>
      <w:r w:rsidR="00A24318" w:rsidRPr="00B532FA">
        <w:t xml:space="preserve">в связи с несовершенством действовавшего Положения № 1071, </w:t>
      </w:r>
      <w:r w:rsidRPr="00B532FA">
        <w:t>выявлен</w:t>
      </w:r>
      <w:r w:rsidR="00134C46" w:rsidRPr="00B532FA">
        <w:t xml:space="preserve"> ряд нарушений</w:t>
      </w:r>
      <w:r w:rsidRPr="00B532FA">
        <w:t xml:space="preserve"> Порядка № 266-п: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-п.</w:t>
      </w:r>
      <w:r w:rsidR="00625BCF" w:rsidRPr="00B532FA">
        <w:t> </w:t>
      </w:r>
      <w:r w:rsidRPr="00B532FA">
        <w:t>2.8 - внутренний финансовый контроль в 2017 году осуществлялся в соответствии с Планом, а не Картой внутреннего финансового контроля;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-п.</w:t>
      </w:r>
      <w:r w:rsidR="00625BCF" w:rsidRPr="00B532FA">
        <w:t> </w:t>
      </w:r>
      <w:r w:rsidRPr="00B532FA">
        <w:t>2.13</w:t>
      </w:r>
      <w:r w:rsidR="0030616C" w:rsidRPr="00B532FA">
        <w:t> </w:t>
      </w:r>
      <w:r w:rsidRPr="00B532FA">
        <w:t>-</w:t>
      </w:r>
      <w:r w:rsidR="0030616C" w:rsidRPr="00B532FA">
        <w:t> </w:t>
      </w:r>
      <w:r w:rsidRPr="00B532FA">
        <w:t>план внутреннего финансового контроля (выполняющего по сути, как указано выше,  функцию карты) бухгалтерии учреждения утвержден позже 01.12.2016</w:t>
      </w:r>
      <w:r w:rsidR="00134C46" w:rsidRPr="00B532FA">
        <w:t xml:space="preserve">, а именно </w:t>
      </w:r>
      <w:r w:rsidRPr="00B532FA">
        <w:t>30.12.2016;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-п.</w:t>
      </w:r>
      <w:r w:rsidR="00625BCF" w:rsidRPr="00B532FA">
        <w:t> </w:t>
      </w:r>
      <w:r w:rsidRPr="00B532FA">
        <w:t xml:space="preserve">2.23 вышеуказанного Порядка и </w:t>
      </w:r>
      <w:r w:rsidR="00134C46" w:rsidRPr="00B532FA">
        <w:t xml:space="preserve">приложения 2 </w:t>
      </w:r>
      <w:r w:rsidRPr="00B532FA">
        <w:t>Положения №1071 - в журнале внутреннего финансового контроля бухгалтерии не указан номер дела в соответствии с номенклатурой дел учреждения (в ходе проверки нарушение устранено);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-п.</w:t>
      </w:r>
      <w:r w:rsidR="00625BCF" w:rsidRPr="00B532FA">
        <w:t> </w:t>
      </w:r>
      <w:r w:rsidRPr="00B532FA">
        <w:t>2.27</w:t>
      </w:r>
      <w:r w:rsidR="0030616C" w:rsidRPr="00B532FA">
        <w:t> </w:t>
      </w:r>
      <w:r w:rsidRPr="00B532FA">
        <w:t>-</w:t>
      </w:r>
      <w:r w:rsidR="0030616C" w:rsidRPr="00B532FA">
        <w:t> </w:t>
      </w:r>
      <w:r w:rsidRPr="00B532FA">
        <w:t xml:space="preserve">отчет о результатах внутреннего финансового контроля за 2017 год, составленный бухгалтерией на 01.01.2018, не соответствует форме, утвержденной Приказом </w:t>
      </w:r>
      <w:r w:rsidR="00134C46" w:rsidRPr="00B532FA">
        <w:t>№ 736</w:t>
      </w:r>
      <w:r w:rsidRPr="00B532FA">
        <w:t>;</w:t>
      </w:r>
    </w:p>
    <w:p w:rsidR="003A2488" w:rsidRPr="00B532FA" w:rsidRDefault="003A2488" w:rsidP="00B532FA">
      <w:pPr>
        <w:autoSpaceDE w:val="0"/>
        <w:autoSpaceDN w:val="0"/>
        <w:adjustRightInd w:val="0"/>
        <w:ind w:firstLine="708"/>
        <w:jc w:val="both"/>
      </w:pPr>
      <w:r w:rsidRPr="00B532FA">
        <w:t>-п.</w:t>
      </w:r>
      <w:r w:rsidR="00625BCF" w:rsidRPr="00B532FA">
        <w:t> </w:t>
      </w:r>
      <w:r w:rsidRPr="00B532FA">
        <w:t>2.27</w:t>
      </w:r>
      <w:r w:rsidR="0030616C" w:rsidRPr="00B532FA">
        <w:t> </w:t>
      </w:r>
      <w:r w:rsidRPr="00B532FA">
        <w:t>вышеуказанного Порядка и Приказа № 736</w:t>
      </w:r>
      <w:r w:rsidR="0030616C" w:rsidRPr="00B532FA">
        <w:t xml:space="preserve"> </w:t>
      </w:r>
      <w:r w:rsidR="0030616C" w:rsidRPr="00B532FA">
        <w:noBreakHyphen/>
        <w:t xml:space="preserve"> </w:t>
      </w:r>
      <w:r w:rsidRPr="00B532FA">
        <w:t>отчеты о внутреннем финансовом контроле бухгалтерии на 01.01.2018 не содержали информацию, сформированную нарастающим итогом за год.</w:t>
      </w:r>
    </w:p>
    <w:p w:rsidR="006E6C60" w:rsidRPr="00B532FA" w:rsidRDefault="006E6C60" w:rsidP="00B532FA">
      <w:pPr>
        <w:ind w:firstLine="709"/>
        <w:jc w:val="center"/>
        <w:rPr>
          <w:i/>
        </w:rPr>
      </w:pPr>
    </w:p>
    <w:p w:rsidR="003A2488" w:rsidRDefault="006E6C60" w:rsidP="00B532FA">
      <w:pPr>
        <w:ind w:firstLine="709"/>
        <w:jc w:val="center"/>
        <w:rPr>
          <w:b/>
          <w:i/>
        </w:rPr>
      </w:pPr>
      <w:r w:rsidRPr="00B532FA">
        <w:rPr>
          <w:b/>
          <w:i/>
        </w:rPr>
        <w:t>Основные показатели контрольно-ревизионной работы ТФОМС</w:t>
      </w:r>
    </w:p>
    <w:p w:rsidR="00B532FA" w:rsidRPr="00B532FA" w:rsidRDefault="00B532FA" w:rsidP="00B532FA">
      <w:pPr>
        <w:ind w:firstLine="709"/>
        <w:jc w:val="center"/>
        <w:rPr>
          <w:b/>
          <w:i/>
        </w:rPr>
      </w:pPr>
    </w:p>
    <w:p w:rsidR="00380C3D" w:rsidRPr="00B532FA" w:rsidRDefault="00380C3D" w:rsidP="00B532FA">
      <w:pPr>
        <w:ind w:firstLine="709"/>
        <w:jc w:val="both"/>
      </w:pPr>
      <w:r w:rsidRPr="00B532FA">
        <w:rPr>
          <w:rStyle w:val="af5"/>
          <w:color w:val="auto"/>
        </w:rPr>
        <w:t xml:space="preserve">План проверок страховых медицинских организаций (далее СМО) и медицинских организаций на 2017 год ГУ ТФОМС выполнен на 101,7% (план - 115 организаций, факт – 117 организаций). </w:t>
      </w:r>
    </w:p>
    <w:p w:rsidR="00BA74A4" w:rsidRPr="00B532FA" w:rsidRDefault="00BA74A4" w:rsidP="00B532FA">
      <w:pPr>
        <w:ind w:firstLine="709"/>
        <w:jc w:val="both"/>
      </w:pPr>
      <w:r w:rsidRPr="00B532FA">
        <w:t xml:space="preserve">Согласно </w:t>
      </w:r>
      <w:r w:rsidR="00380C3D" w:rsidRPr="00B532FA">
        <w:t xml:space="preserve">отчету о контрольно-ревизионной работе </w:t>
      </w:r>
      <w:r w:rsidR="006E6C60" w:rsidRPr="00B532FA">
        <w:t>ТФОМС в 2017 году проведено 1</w:t>
      </w:r>
      <w:r w:rsidR="00380C3D" w:rsidRPr="00B532FA">
        <w:t>78</w:t>
      </w:r>
      <w:r w:rsidR="006E6C60" w:rsidRPr="00B532FA">
        <w:t xml:space="preserve"> плановых и внеплановых проверок</w:t>
      </w:r>
      <w:r w:rsidR="00380C3D" w:rsidRPr="00B532FA">
        <w:t xml:space="preserve"> по использованию средств ОМС, в том числе 26 проверок в СМО и 152 проверки в </w:t>
      </w:r>
      <w:r w:rsidR="006E6C60" w:rsidRPr="00B532FA">
        <w:t xml:space="preserve"> медицинских организаци</w:t>
      </w:r>
      <w:r w:rsidR="00380C3D" w:rsidRPr="00B532FA">
        <w:t>ях</w:t>
      </w:r>
      <w:r w:rsidR="006E6C60" w:rsidRPr="00B532FA">
        <w:t xml:space="preserve">. </w:t>
      </w:r>
    </w:p>
    <w:p w:rsidR="006E6C60" w:rsidRPr="00B532FA" w:rsidRDefault="006E6C60" w:rsidP="00B532FA">
      <w:pPr>
        <w:ind w:firstLine="709"/>
        <w:jc w:val="both"/>
      </w:pPr>
      <w:r w:rsidRPr="00B532FA">
        <w:t>Выявлено нецелевое использование средств</w:t>
      </w:r>
      <w:r w:rsidR="00BA74A4" w:rsidRPr="00B532FA">
        <w:t xml:space="preserve"> </w:t>
      </w:r>
      <w:r w:rsidR="00380C3D" w:rsidRPr="00B532FA">
        <w:t xml:space="preserve">в медицинских организациях на </w:t>
      </w:r>
      <w:r w:rsidRPr="00B532FA">
        <w:t>8674,3 тыс. руб</w:t>
      </w:r>
      <w:r w:rsidR="00BA74A4" w:rsidRPr="00B532FA">
        <w:t xml:space="preserve">лей. </w:t>
      </w:r>
      <w:r w:rsidR="003344CB" w:rsidRPr="00B532FA">
        <w:t>Восстановлено средств ОМС п</w:t>
      </w:r>
      <w:r w:rsidR="00BA74A4" w:rsidRPr="00B532FA">
        <w:t xml:space="preserve">о результатам проверок </w:t>
      </w:r>
      <w:r w:rsidR="003450A9" w:rsidRPr="00B532FA">
        <w:t xml:space="preserve">медицинскими организациями </w:t>
      </w:r>
      <w:r w:rsidRPr="00B532FA">
        <w:t xml:space="preserve">на 8587,4 тыс. руб., </w:t>
      </w:r>
      <w:r w:rsidR="003450A9" w:rsidRPr="00B532FA">
        <w:t xml:space="preserve">из них по проверкам отчетного периода - 6811,6 тыс. руб., по проверкам предыдущих периодов </w:t>
      </w:r>
      <w:r w:rsidR="006B2F08" w:rsidRPr="00B532FA">
        <w:t>-</w:t>
      </w:r>
      <w:r w:rsidR="003450A9" w:rsidRPr="00B532FA">
        <w:t xml:space="preserve"> 1775,8 тыс. рублей. </w:t>
      </w:r>
    </w:p>
    <w:p w:rsidR="00B37926" w:rsidRPr="00B532FA" w:rsidRDefault="006B2F08" w:rsidP="00B532FA">
      <w:pPr>
        <w:ind w:firstLine="709"/>
        <w:jc w:val="both"/>
        <w:rPr>
          <w:rStyle w:val="af5"/>
          <w:color w:val="auto"/>
        </w:rPr>
      </w:pPr>
      <w:r w:rsidRPr="00B532FA">
        <w:t xml:space="preserve">Кроме того, по результатам проверок </w:t>
      </w:r>
      <w:r w:rsidR="00B37926" w:rsidRPr="00B532FA">
        <w:t xml:space="preserve">СМО и </w:t>
      </w:r>
      <w:r w:rsidRPr="00B532FA">
        <w:rPr>
          <w:rStyle w:val="af5"/>
          <w:color w:val="auto"/>
        </w:rPr>
        <w:t xml:space="preserve">медицинских организаций по вопросам использования средств на финансовое обеспечение единовременных компенсационных выплат медработникам и средств НСЗ в 2017 году предъявлено штрафов </w:t>
      </w:r>
      <w:r w:rsidR="00B37926" w:rsidRPr="00B532FA">
        <w:rPr>
          <w:rStyle w:val="af5"/>
          <w:color w:val="auto"/>
        </w:rPr>
        <w:t xml:space="preserve">и пени </w:t>
      </w:r>
      <w:r w:rsidRPr="00B532FA">
        <w:rPr>
          <w:rStyle w:val="af5"/>
          <w:color w:val="auto"/>
        </w:rPr>
        <w:t>на 3607,7 тыс. руб., в т.ч. медицинским организациям - 1834,9 тыс. руб., СМО - 1772,8 тыс. руб</w:t>
      </w:r>
      <w:r w:rsidR="00B37926" w:rsidRPr="00B532FA">
        <w:rPr>
          <w:rStyle w:val="af5"/>
          <w:color w:val="auto"/>
        </w:rPr>
        <w:t xml:space="preserve">лей. </w:t>
      </w:r>
    </w:p>
    <w:p w:rsidR="00915129" w:rsidRPr="00B532FA" w:rsidRDefault="00B37926" w:rsidP="00B532FA">
      <w:pPr>
        <w:ind w:firstLine="709"/>
        <w:jc w:val="both"/>
        <w:rPr>
          <w:rStyle w:val="af5"/>
          <w:color w:val="auto"/>
        </w:rPr>
      </w:pPr>
      <w:r w:rsidRPr="00B532FA">
        <w:t>В 2017 году всего получено штрафов и пени на 3793,6 тыс. руб.</w:t>
      </w:r>
      <w:r w:rsidR="003344CB" w:rsidRPr="00B532FA">
        <w:t xml:space="preserve"> (</w:t>
      </w:r>
      <w:r w:rsidRPr="00B532FA">
        <w:t xml:space="preserve">от </w:t>
      </w:r>
      <w:r w:rsidRPr="00B532FA">
        <w:rPr>
          <w:rStyle w:val="af5"/>
          <w:color w:val="auto"/>
        </w:rPr>
        <w:t>медицинских организаций - 1726,7 тыс. руб., СМО - 2066,9 тыс. руб</w:t>
      </w:r>
      <w:r w:rsidR="003344CB" w:rsidRPr="00B532FA">
        <w:rPr>
          <w:rStyle w:val="af5"/>
          <w:color w:val="auto"/>
        </w:rPr>
        <w:t xml:space="preserve">.), в том числе </w:t>
      </w:r>
      <w:r w:rsidR="00915129" w:rsidRPr="00B532FA">
        <w:rPr>
          <w:rStyle w:val="af5"/>
          <w:color w:val="auto"/>
        </w:rPr>
        <w:t>п</w:t>
      </w:r>
      <w:r w:rsidR="00915129" w:rsidRPr="00B532FA">
        <w:t>о</w:t>
      </w:r>
      <w:r w:rsidR="003344CB" w:rsidRPr="00B532FA">
        <w:t xml:space="preserve"> проверкам предыдущих периодов</w:t>
      </w:r>
      <w:r w:rsidR="00915129" w:rsidRPr="00B532FA">
        <w:t xml:space="preserve"> 465,9 тыс. руб.</w:t>
      </w:r>
      <w:r w:rsidR="003344CB" w:rsidRPr="00B532FA">
        <w:t xml:space="preserve"> (</w:t>
      </w:r>
      <w:r w:rsidR="00915129" w:rsidRPr="00B532FA">
        <w:t xml:space="preserve">от </w:t>
      </w:r>
      <w:r w:rsidR="00915129" w:rsidRPr="00B532FA">
        <w:rPr>
          <w:rStyle w:val="af5"/>
          <w:color w:val="auto"/>
        </w:rPr>
        <w:t>медицинских организаций - 171,8 тыс. руб., СМО - 294,1 тыс. рублей</w:t>
      </w:r>
      <w:r w:rsidR="00E450CB" w:rsidRPr="00B532FA">
        <w:rPr>
          <w:rStyle w:val="af5"/>
          <w:color w:val="auto"/>
        </w:rPr>
        <w:t>)</w:t>
      </w:r>
      <w:r w:rsidR="00915129" w:rsidRPr="00B532FA">
        <w:rPr>
          <w:rStyle w:val="af5"/>
          <w:color w:val="auto"/>
        </w:rPr>
        <w:t xml:space="preserve">. </w:t>
      </w:r>
    </w:p>
    <w:p w:rsidR="00323BDF" w:rsidRPr="00B532FA" w:rsidRDefault="00323BDF" w:rsidP="00B532FA">
      <w:pPr>
        <w:ind w:firstLine="709"/>
        <w:jc w:val="center"/>
        <w:rPr>
          <w:b/>
          <w:i/>
        </w:rPr>
      </w:pPr>
    </w:p>
    <w:p w:rsidR="00805C76" w:rsidRDefault="00A24318" w:rsidP="00B532FA">
      <w:pPr>
        <w:ind w:firstLine="709"/>
        <w:jc w:val="center"/>
        <w:rPr>
          <w:b/>
          <w:i/>
        </w:rPr>
      </w:pPr>
      <w:r w:rsidRPr="00B532FA">
        <w:rPr>
          <w:b/>
          <w:i/>
        </w:rPr>
        <w:t>Выводы</w:t>
      </w:r>
    </w:p>
    <w:p w:rsidR="00B532FA" w:rsidRPr="00B532FA" w:rsidRDefault="00B532FA" w:rsidP="00B532FA">
      <w:pPr>
        <w:ind w:firstLine="709"/>
        <w:jc w:val="center"/>
        <w:rPr>
          <w:b/>
          <w:i/>
        </w:rPr>
      </w:pPr>
    </w:p>
    <w:p w:rsidR="00D25B43" w:rsidRPr="00B532FA" w:rsidRDefault="00D25B43" w:rsidP="00B532F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B532FA">
        <w:t>1. Проверкой состава и содержания бюджетной отчетности ГУ ТФОМС за 2017 год выявлено 6 случаев нарушени</w:t>
      </w:r>
      <w:r w:rsidR="00507BB3" w:rsidRPr="00B532FA">
        <w:t>й</w:t>
      </w:r>
      <w:r w:rsidRPr="00B532FA">
        <w:t xml:space="preserve"> Инструкции №191н, которые в ходе проверки устранены.</w:t>
      </w:r>
    </w:p>
    <w:p w:rsidR="00AF4A09" w:rsidRPr="00B532FA" w:rsidRDefault="00B62884" w:rsidP="00B532FA">
      <w:pPr>
        <w:tabs>
          <w:tab w:val="left" w:pos="993"/>
        </w:tabs>
        <w:autoSpaceDE w:val="0"/>
        <w:autoSpaceDN w:val="0"/>
        <w:adjustRightInd w:val="0"/>
        <w:ind w:left="709"/>
        <w:jc w:val="both"/>
      </w:pPr>
      <w:r w:rsidRPr="00B532FA">
        <w:t xml:space="preserve">2. </w:t>
      </w:r>
      <w:r w:rsidR="00AF4A09" w:rsidRPr="00B532FA">
        <w:t>При исполнении бюджета ТФОМС не исполнены расходы:</w:t>
      </w:r>
    </w:p>
    <w:p w:rsidR="00B70F65" w:rsidRPr="00B532FA" w:rsidRDefault="00AF4A09" w:rsidP="00B532FA">
      <w:pPr>
        <w:ind w:firstLine="708"/>
        <w:jc w:val="both"/>
      </w:pPr>
      <w:r w:rsidRPr="00B532FA">
        <w:t xml:space="preserve">- по обязательствам на финансирование медицинских организаций </w:t>
      </w:r>
      <w:r w:rsidR="00B70F65" w:rsidRPr="00B532FA">
        <w:t xml:space="preserve">за медицинскую помощь, оказанную медицинскими учреждениями Волгоградской области лицам, застрахованным на территории других субъектов РФ, на 70 042,8 тыс. руб. по причине </w:t>
      </w:r>
      <w:r w:rsidRPr="00B532FA">
        <w:t xml:space="preserve">недополучения средств от </w:t>
      </w:r>
      <w:r w:rsidR="00B70F65" w:rsidRPr="00B532FA">
        <w:t xml:space="preserve">других </w:t>
      </w:r>
      <w:r w:rsidRPr="00B532FA">
        <w:t>территориальных фондов субъектов РФ</w:t>
      </w:r>
      <w:r w:rsidR="00B70F65" w:rsidRPr="00B532FA">
        <w:t>;</w:t>
      </w:r>
      <w:r w:rsidRPr="00B532FA">
        <w:t xml:space="preserve"> </w:t>
      </w:r>
    </w:p>
    <w:p w:rsidR="00B70F65" w:rsidRPr="00B532FA" w:rsidRDefault="00B70F65" w:rsidP="00B532FA">
      <w:pPr>
        <w:autoSpaceDE w:val="0"/>
        <w:autoSpaceDN w:val="0"/>
        <w:adjustRightInd w:val="0"/>
        <w:ind w:firstLine="709"/>
        <w:jc w:val="both"/>
      </w:pPr>
      <w:r w:rsidRPr="00B532FA">
        <w:lastRenderedPageBreak/>
        <w:t>- на мероприятия, осуществляемые за счет средств НСЗ ТФОМС, по организации дополнительного профессионального образования медицинских работников по программам повышения квалификации, а также приобретение и проведение ремонта медицинского оборудования на 42482 тыс. руб., которые предусмотрены к расходованию в 1 квартале 2018 года;</w:t>
      </w:r>
    </w:p>
    <w:p w:rsidR="00B62884" w:rsidRPr="00B532FA" w:rsidRDefault="00B70F65" w:rsidP="00B532FA">
      <w:pPr>
        <w:autoSpaceDE w:val="0"/>
        <w:autoSpaceDN w:val="0"/>
        <w:adjustRightInd w:val="0"/>
        <w:ind w:firstLine="709"/>
        <w:jc w:val="both"/>
      </w:pPr>
      <w:r w:rsidRPr="00B532FA">
        <w:t>-</w:t>
      </w:r>
      <w:r w:rsidR="005432B2" w:rsidRPr="00B532FA">
        <w:t xml:space="preserve"> </w:t>
      </w:r>
      <w:r w:rsidRPr="00B532FA">
        <w:t>на закупку товаров, работ и услуг для обеспечения государственных нужд на 9755,1 тыс. руб</w:t>
      </w:r>
      <w:r w:rsidR="00A02D9A" w:rsidRPr="00B532FA">
        <w:t xml:space="preserve">. главным образом за счет </w:t>
      </w:r>
      <w:r w:rsidRPr="00B532FA">
        <w:t>экономи</w:t>
      </w:r>
      <w:r w:rsidR="00A02D9A" w:rsidRPr="00B532FA">
        <w:t xml:space="preserve">и </w:t>
      </w:r>
      <w:r w:rsidRPr="00B532FA">
        <w:t>при проведении конкурсных процедур</w:t>
      </w:r>
      <w:r w:rsidR="00A02D9A" w:rsidRPr="00B532FA">
        <w:t xml:space="preserve">,  </w:t>
      </w:r>
      <w:r w:rsidRPr="00B532FA">
        <w:t>перенос</w:t>
      </w:r>
      <w:r w:rsidR="00A02D9A" w:rsidRPr="00B532FA">
        <w:t xml:space="preserve">а </w:t>
      </w:r>
      <w:r w:rsidRPr="00B532FA">
        <w:t xml:space="preserve">приобретения </w:t>
      </w:r>
      <w:r w:rsidR="00A02D9A" w:rsidRPr="00B532FA">
        <w:t xml:space="preserve">основных средств на следующий год, а также </w:t>
      </w:r>
      <w:r w:rsidRPr="00B532FA">
        <w:t>сокращения закупок отдельных товаров</w:t>
      </w:r>
      <w:r w:rsidR="00A02D9A" w:rsidRPr="00B532FA">
        <w:t>.</w:t>
      </w:r>
      <w:r w:rsidRPr="00B532FA">
        <w:t xml:space="preserve"> </w:t>
      </w:r>
    </w:p>
    <w:p w:rsidR="00E43D3F" w:rsidRPr="00B532FA" w:rsidRDefault="00F4514C" w:rsidP="00B532FA">
      <w:pPr>
        <w:tabs>
          <w:tab w:val="left" w:pos="993"/>
        </w:tabs>
        <w:ind w:firstLine="709"/>
        <w:jc w:val="both"/>
      </w:pPr>
      <w:r w:rsidRPr="00B532FA">
        <w:t>3</w:t>
      </w:r>
      <w:r w:rsidR="00A02D9A" w:rsidRPr="00B532FA">
        <w:t xml:space="preserve">. </w:t>
      </w:r>
      <w:r w:rsidR="00E43D3F" w:rsidRPr="00B532FA">
        <w:t>Установлено ежегодное невыполнение отдельных видов медицинской</w:t>
      </w:r>
      <w:r w:rsidR="00D57481" w:rsidRPr="00B532FA">
        <w:t xml:space="preserve"> помощи</w:t>
      </w:r>
      <w:r w:rsidR="00E43D3F" w:rsidRPr="00B532FA">
        <w:t xml:space="preserve">, в том числе: амбулаторной помощи, оказанной в неотложной форме (в 2016 году на 30,5%, в 2017 году на 19,7%) и в связи с заболеваниями (2016 году на 15,3%, в 2017 году на 10,6%). </w:t>
      </w:r>
    </w:p>
    <w:p w:rsidR="004E035F" w:rsidRPr="00B532FA" w:rsidRDefault="00F4514C" w:rsidP="00B532FA">
      <w:pPr>
        <w:ind w:firstLine="709"/>
        <w:jc w:val="both"/>
      </w:pPr>
      <w:r w:rsidRPr="00B532FA">
        <w:t>4</w:t>
      </w:r>
      <w:r w:rsidR="00E43D3F" w:rsidRPr="00B532FA">
        <w:t xml:space="preserve">. Из 30 целевых значений критериев реализации Терпрограммы на 2017 год не выполнено </w:t>
      </w:r>
      <w:r w:rsidR="004E035F" w:rsidRPr="00B532FA">
        <w:t>6</w:t>
      </w:r>
      <w:r w:rsidR="00E43D3F" w:rsidRPr="00B532FA">
        <w:t xml:space="preserve">, из них </w:t>
      </w:r>
      <w:r w:rsidR="004E035F" w:rsidRPr="00B532FA">
        <w:t xml:space="preserve">2 </w:t>
      </w:r>
      <w:r w:rsidR="00E43D3F" w:rsidRPr="00B532FA">
        <w:t xml:space="preserve">критерия качества медицинской помощи, </w:t>
      </w:r>
      <w:r w:rsidR="004E035F" w:rsidRPr="00B532FA">
        <w:t>2</w:t>
      </w:r>
      <w:r w:rsidR="00E43D3F" w:rsidRPr="00B532FA">
        <w:t xml:space="preserve"> критерия доступности медицинской помощи, 2 критерия эффективность деятельности медицинских организаций. </w:t>
      </w:r>
    </w:p>
    <w:p w:rsidR="004E035F" w:rsidRPr="00B532FA" w:rsidRDefault="00F4514C" w:rsidP="00B532FA">
      <w:pPr>
        <w:ind w:firstLine="709"/>
        <w:jc w:val="both"/>
      </w:pPr>
      <w:r w:rsidRPr="00B532FA">
        <w:t>5</w:t>
      </w:r>
      <w:r w:rsidR="004E0173" w:rsidRPr="00B532FA">
        <w:t xml:space="preserve">. </w:t>
      </w:r>
      <w:r w:rsidRPr="00B532FA">
        <w:t>Е</w:t>
      </w:r>
      <w:r w:rsidR="004E035F" w:rsidRPr="00B532FA">
        <w:t>жегодное перевыполнение у</w:t>
      </w:r>
      <w:r w:rsidR="00E43D3F" w:rsidRPr="00B532FA">
        <w:t>ров</w:t>
      </w:r>
      <w:r w:rsidR="004E035F" w:rsidRPr="00B532FA">
        <w:t>ня</w:t>
      </w:r>
      <w:r w:rsidR="00E43D3F" w:rsidRPr="00B532FA">
        <w:t xml:space="preserve"> удовлетворенности </w:t>
      </w:r>
      <w:r w:rsidR="000B12AA" w:rsidRPr="00B532FA">
        <w:t xml:space="preserve">населения </w:t>
      </w:r>
      <w:r w:rsidR="00E43D3F" w:rsidRPr="00B532FA">
        <w:t>медицинской помощ</w:t>
      </w:r>
      <w:r w:rsidR="000B12AA" w:rsidRPr="00B532FA">
        <w:t>ью</w:t>
      </w:r>
      <w:r w:rsidR="004E035F" w:rsidRPr="00B532FA">
        <w:t xml:space="preserve"> (в 2016 году в 1,9 раза (план - 42%, факт - 80,4%), в 2017 году в 1,8 раза (план</w:t>
      </w:r>
      <w:r w:rsidR="00DC38DA" w:rsidRPr="00B532FA">
        <w:t xml:space="preserve"> - </w:t>
      </w:r>
      <w:r w:rsidR="004E035F" w:rsidRPr="00B532FA">
        <w:t>43 %, факт</w:t>
      </w:r>
      <w:r w:rsidR="00DC38DA" w:rsidRPr="00B532FA">
        <w:t xml:space="preserve"> </w:t>
      </w:r>
      <w:r w:rsidR="004E035F" w:rsidRPr="00B532FA">
        <w:t>-</w:t>
      </w:r>
      <w:r w:rsidR="00DC38DA" w:rsidRPr="00B532FA">
        <w:t xml:space="preserve"> </w:t>
      </w:r>
      <w:r w:rsidR="004E035F" w:rsidRPr="00B532FA">
        <w:t>78,9%)</w:t>
      </w:r>
      <w:r w:rsidR="00DC38DA" w:rsidRPr="00B532FA">
        <w:t xml:space="preserve"> </w:t>
      </w:r>
      <w:r w:rsidR="004E035F" w:rsidRPr="00B532FA">
        <w:t xml:space="preserve">свидетельствует о </w:t>
      </w:r>
      <w:r w:rsidR="001129F1" w:rsidRPr="00B532FA">
        <w:t xml:space="preserve">необходимости корректировки </w:t>
      </w:r>
      <w:r w:rsidR="00D57481" w:rsidRPr="00B532FA">
        <w:t xml:space="preserve">его </w:t>
      </w:r>
      <w:r w:rsidR="00B831E5" w:rsidRPr="00B532FA">
        <w:t xml:space="preserve">планового </w:t>
      </w:r>
      <w:r w:rsidR="004E035F" w:rsidRPr="00B532FA">
        <w:t xml:space="preserve">значения </w:t>
      </w:r>
      <w:r w:rsidR="00D57481" w:rsidRPr="00B532FA">
        <w:t xml:space="preserve">в </w:t>
      </w:r>
      <w:r w:rsidR="004E035F" w:rsidRPr="00B532FA">
        <w:t>Терпрограмме.</w:t>
      </w:r>
    </w:p>
    <w:p w:rsidR="000F34E9" w:rsidRPr="00B532FA" w:rsidRDefault="00F4514C" w:rsidP="00B532FA">
      <w:pPr>
        <w:ind w:firstLine="709"/>
        <w:jc w:val="both"/>
      </w:pPr>
      <w:r w:rsidRPr="00B532FA">
        <w:t>6</w:t>
      </w:r>
      <w:r w:rsidR="00A317E2" w:rsidRPr="00B532FA">
        <w:t xml:space="preserve">. </w:t>
      </w:r>
      <w:r w:rsidR="00382E94" w:rsidRPr="00B532FA">
        <w:t xml:space="preserve">ГУ ТФОМС </w:t>
      </w:r>
      <w:r w:rsidR="000F34E9" w:rsidRPr="00B532FA">
        <w:t xml:space="preserve">в нарушение положений МДС 81-35.2004 и приказа Минстроя ВО № 806-ОД </w:t>
      </w:r>
      <w:r w:rsidR="00382E94" w:rsidRPr="00B532FA">
        <w:t xml:space="preserve">заключены 3 контракта на выполнение ремонтных работ в серверном помещении учреждения и помещениях Заволжского филиала, в которых </w:t>
      </w:r>
      <w:r w:rsidR="001675E2" w:rsidRPr="00B532FA">
        <w:t xml:space="preserve">не установлена </w:t>
      </w:r>
      <w:r w:rsidR="00382E94" w:rsidRPr="00B532FA">
        <w:t xml:space="preserve">обязанность подрядчиком подтверждать фактически произведенные непредвиденные затраты. </w:t>
      </w:r>
    </w:p>
    <w:p w:rsidR="00382E94" w:rsidRPr="00B532FA" w:rsidRDefault="00382E94" w:rsidP="00B532FA">
      <w:pPr>
        <w:ind w:firstLine="709"/>
        <w:jc w:val="both"/>
      </w:pPr>
      <w:r w:rsidRPr="00B532FA">
        <w:t xml:space="preserve">В результате </w:t>
      </w:r>
      <w:r w:rsidR="000F34E9" w:rsidRPr="00B532FA">
        <w:t xml:space="preserve">этого </w:t>
      </w:r>
      <w:r w:rsidRPr="00B532FA">
        <w:t xml:space="preserve">в отсутствие фактического подтверждения подрядчиком объемов и видов работ, произведенных за счет непредвиденных расходов, </w:t>
      </w:r>
      <w:r w:rsidR="00D57481" w:rsidRPr="00B532FA">
        <w:t>ГУ ТФОМС</w:t>
      </w:r>
      <w:r w:rsidR="000F34E9" w:rsidRPr="00B532FA">
        <w:t xml:space="preserve"> </w:t>
      </w:r>
      <w:r w:rsidRPr="00B532FA">
        <w:t xml:space="preserve">были приняты к учету и оплачены по 3 контрактам </w:t>
      </w:r>
      <w:r w:rsidR="000F34E9" w:rsidRPr="00B532FA">
        <w:t xml:space="preserve">непредвиденные </w:t>
      </w:r>
      <w:r w:rsidRPr="00B532FA">
        <w:t>расходы на выполнение ремонтных работ на 38,6 тыс. руб</w:t>
      </w:r>
      <w:r w:rsidR="000F34E9" w:rsidRPr="00B532FA">
        <w:t xml:space="preserve">. (в ходе проверки непредвиденные </w:t>
      </w:r>
      <w:r w:rsidR="00D72F7B" w:rsidRPr="00B532FA">
        <w:t>расход</w:t>
      </w:r>
      <w:r w:rsidR="001675E2" w:rsidRPr="00B532FA">
        <w:t>ы</w:t>
      </w:r>
      <w:r w:rsidR="000F34E9" w:rsidRPr="00B532FA">
        <w:t xml:space="preserve"> подтверждены).</w:t>
      </w:r>
    </w:p>
    <w:p w:rsidR="00D72F7B" w:rsidRPr="00B532FA" w:rsidRDefault="00D72F7B" w:rsidP="00B532FA">
      <w:pPr>
        <w:ind w:firstLine="709"/>
        <w:jc w:val="both"/>
      </w:pPr>
      <w:r w:rsidRPr="00B532FA">
        <w:t xml:space="preserve">Отсутствие в государственных контрактах на выполнение ремонтных работ условия о необходимости подтверждения подрядчиком </w:t>
      </w:r>
      <w:r w:rsidR="00C977F2" w:rsidRPr="00B532FA">
        <w:t>расходования</w:t>
      </w:r>
      <w:r w:rsidRPr="00B532FA">
        <w:t xml:space="preserve"> средств на непредвиденные работы и затраты противоречит принципу эффективности использования бюджетных средств, установленному ст. 34 Бюджетного кодекса РФ. </w:t>
      </w:r>
    </w:p>
    <w:p w:rsidR="0067122C" w:rsidRPr="00B532FA" w:rsidRDefault="004D1756" w:rsidP="00B532FA">
      <w:pPr>
        <w:autoSpaceDE w:val="0"/>
        <w:autoSpaceDN w:val="0"/>
        <w:adjustRightInd w:val="0"/>
        <w:ind w:firstLine="708"/>
        <w:jc w:val="both"/>
      </w:pPr>
      <w:r w:rsidRPr="00B532FA">
        <w:t>7</w:t>
      </w:r>
      <w:r w:rsidR="000F34E9" w:rsidRPr="00B532FA">
        <w:t>. ГУ ТФОМС в 2017 году осуществлен внутренний финансовый контроль и организован внутренний финансовый аудит с нарушени</w:t>
      </w:r>
      <w:r w:rsidR="00D72F7B" w:rsidRPr="00B532FA">
        <w:t>я</w:t>
      </w:r>
      <w:r w:rsidR="000F34E9" w:rsidRPr="00B532FA">
        <w:t>м</w:t>
      </w:r>
      <w:r w:rsidR="00D72F7B" w:rsidRPr="00B532FA">
        <w:t>и</w:t>
      </w:r>
      <w:r w:rsidR="000F34E9" w:rsidRPr="00B532FA">
        <w:t xml:space="preserve"> </w:t>
      </w:r>
      <w:r w:rsidR="000F34E9" w:rsidRPr="00B532FA">
        <w:rPr>
          <w:rStyle w:val="af5"/>
          <w:color w:val="auto"/>
        </w:rPr>
        <w:t>Порядка № 266-п</w:t>
      </w:r>
      <w:r w:rsidR="0067122C" w:rsidRPr="00B532FA">
        <w:rPr>
          <w:rStyle w:val="af5"/>
          <w:color w:val="auto"/>
        </w:rPr>
        <w:t>,</w:t>
      </w:r>
      <w:r w:rsidR="0067122C" w:rsidRPr="00B532FA">
        <w:rPr>
          <w:rStyle w:val="af5"/>
        </w:rPr>
        <w:t xml:space="preserve"> </w:t>
      </w:r>
      <w:r w:rsidR="0067122C" w:rsidRPr="00B532FA">
        <w:t>Положения №1071 и Приказа № 736.</w:t>
      </w:r>
    </w:p>
    <w:p w:rsidR="00323BDF" w:rsidRDefault="00323BDF" w:rsidP="00B532FA">
      <w:pPr>
        <w:jc w:val="center"/>
        <w:rPr>
          <w:b/>
          <w:i/>
        </w:rPr>
      </w:pPr>
    </w:p>
    <w:p w:rsidR="00886D43" w:rsidRPr="00B532FA" w:rsidRDefault="00886D43" w:rsidP="00B532FA">
      <w:pPr>
        <w:jc w:val="center"/>
        <w:rPr>
          <w:b/>
          <w:i/>
        </w:rPr>
      </w:pPr>
    </w:p>
    <w:p w:rsidR="004E0173" w:rsidRPr="00B532FA" w:rsidRDefault="004E0173" w:rsidP="00B532FA">
      <w:pPr>
        <w:jc w:val="center"/>
        <w:rPr>
          <w:b/>
          <w:i/>
        </w:rPr>
      </w:pPr>
      <w:r w:rsidRPr="00B532FA">
        <w:rPr>
          <w:b/>
          <w:i/>
        </w:rPr>
        <w:t>Предложения</w:t>
      </w:r>
    </w:p>
    <w:p w:rsidR="00886D43" w:rsidRDefault="00886D43" w:rsidP="00B532FA">
      <w:pPr>
        <w:ind w:firstLine="709"/>
        <w:rPr>
          <w:i/>
          <w:u w:val="single"/>
        </w:rPr>
      </w:pPr>
    </w:p>
    <w:p w:rsidR="004E0173" w:rsidRPr="00B532FA" w:rsidRDefault="004E0173" w:rsidP="00B532FA">
      <w:pPr>
        <w:ind w:firstLine="709"/>
        <w:rPr>
          <w:i/>
          <w:u w:val="single"/>
        </w:rPr>
      </w:pPr>
      <w:r w:rsidRPr="00B532FA">
        <w:rPr>
          <w:i/>
          <w:u w:val="single"/>
        </w:rPr>
        <w:t>ГУ ТФОМС</w:t>
      </w:r>
    </w:p>
    <w:p w:rsidR="004E0173" w:rsidRPr="00B532FA" w:rsidRDefault="004E0173" w:rsidP="00B532FA">
      <w:pPr>
        <w:tabs>
          <w:tab w:val="left" w:pos="709"/>
        </w:tabs>
        <w:jc w:val="both"/>
        <w:rPr>
          <w:bCs/>
        </w:rPr>
      </w:pPr>
      <w:r w:rsidRPr="00B532FA">
        <w:rPr>
          <w:bCs/>
        </w:rPr>
        <w:tab/>
        <w:t>1.</w:t>
      </w:r>
      <w:r w:rsidR="007776CA" w:rsidRPr="00B532FA">
        <w:rPr>
          <w:bCs/>
        </w:rPr>
        <w:t> </w:t>
      </w:r>
      <w:r w:rsidRPr="00B532FA">
        <w:rPr>
          <w:bCs/>
        </w:rPr>
        <w:t>Обратить внимание на ненадлежащий контроль за соблюдением требований Инструкции № 191н при заполнении форм годовой бюджетной отчетности за 2017 год.</w:t>
      </w:r>
    </w:p>
    <w:p w:rsidR="007776CA" w:rsidRPr="00B532FA" w:rsidRDefault="0030616C" w:rsidP="00B532FA">
      <w:pPr>
        <w:ind w:firstLine="709"/>
        <w:jc w:val="both"/>
      </w:pPr>
      <w:r w:rsidRPr="00B532FA">
        <w:t>2</w:t>
      </w:r>
      <w:r w:rsidR="007A2FD8" w:rsidRPr="00B532FA">
        <w:t>.</w:t>
      </w:r>
      <w:r w:rsidR="007776CA" w:rsidRPr="00B532FA">
        <w:t> Совместно с Облздравом рассмотреть вопрос о корректировк</w:t>
      </w:r>
      <w:r w:rsidR="00D57481" w:rsidRPr="00B532FA">
        <w:t>е</w:t>
      </w:r>
      <w:r w:rsidR="007776CA" w:rsidRPr="00B532FA">
        <w:t xml:space="preserve"> значения показателя «удовлетворенность населения медицинской помощью» в </w:t>
      </w:r>
      <w:r w:rsidR="008B49F4" w:rsidRPr="00B532FA">
        <w:rPr>
          <w:rStyle w:val="af5"/>
          <w:color w:val="auto"/>
        </w:rPr>
        <w:t xml:space="preserve">Территориальной программе государственных гарантий бесплатного оказания гражданам медицинской помощи в Волгоградской области на 2018 год и на плановый период 2019 и 2020 годов, утвержденной Закон Волгоградской области от 25.12.2017 № 139-ОД, </w:t>
      </w:r>
      <w:r w:rsidR="007776CA" w:rsidRPr="00B532FA">
        <w:t>при внесении очередных изменений.</w:t>
      </w:r>
    </w:p>
    <w:p w:rsidR="007776CA" w:rsidRPr="00B532FA" w:rsidRDefault="0030616C" w:rsidP="00B532FA">
      <w:pPr>
        <w:ind w:firstLine="709"/>
        <w:jc w:val="both"/>
      </w:pPr>
      <w:r w:rsidRPr="00B532FA">
        <w:t>3</w:t>
      </w:r>
      <w:r w:rsidR="00C951AD" w:rsidRPr="00B532FA">
        <w:t>. При заключении государственных контрактов на капитальный ремонт зданий и сооружений предусмотреть в контрактах условие о необходимости подтверждения подрядчиком резерва средств на непредвиденные работы и затраты с учетом положений МДС 81-35.2004 и приказа Минстроя ВО № 806-ОД.</w:t>
      </w:r>
    </w:p>
    <w:p w:rsidR="00C951AD" w:rsidRPr="00B532FA" w:rsidRDefault="0099398E" w:rsidP="00B532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32FA">
        <w:rPr>
          <w:rFonts w:ascii="Times New Roman" w:hAnsi="Times New Roman" w:cs="Times New Roman"/>
          <w:sz w:val="24"/>
          <w:szCs w:val="24"/>
        </w:rPr>
        <w:tab/>
      </w:r>
      <w:r w:rsidR="0030616C" w:rsidRPr="00B532FA">
        <w:rPr>
          <w:rFonts w:ascii="Times New Roman" w:hAnsi="Times New Roman" w:cs="Times New Roman"/>
          <w:sz w:val="24"/>
          <w:szCs w:val="24"/>
        </w:rPr>
        <w:t>4</w:t>
      </w:r>
      <w:r w:rsidR="00C951AD" w:rsidRPr="00B532FA">
        <w:rPr>
          <w:rFonts w:ascii="Times New Roman" w:hAnsi="Times New Roman" w:cs="Times New Roman"/>
          <w:sz w:val="24"/>
          <w:szCs w:val="24"/>
        </w:rPr>
        <w:t>. Рассмотреть вопрос о проведении с сотрудниками ГУ ТФОМС рабочего совещания с разъяснением выявленных ошибок и способов устранения:</w:t>
      </w:r>
    </w:p>
    <w:p w:rsidR="00C951AD" w:rsidRPr="00B532FA" w:rsidRDefault="00C951AD" w:rsidP="00B532FA">
      <w:pPr>
        <w:autoSpaceDE w:val="0"/>
        <w:autoSpaceDN w:val="0"/>
        <w:adjustRightInd w:val="0"/>
        <w:ind w:firstLine="709"/>
        <w:jc w:val="both"/>
      </w:pPr>
      <w:r w:rsidRPr="00B532FA">
        <w:lastRenderedPageBreak/>
        <w:t>-</w:t>
      </w:r>
      <w:r w:rsidR="00A0152F" w:rsidRPr="00B532FA">
        <w:t> </w:t>
      </w:r>
      <w:r w:rsidRPr="00B532FA">
        <w:t xml:space="preserve">с бухгалтерией </w:t>
      </w:r>
      <w:r w:rsidRPr="00B532FA">
        <w:rPr>
          <w:rStyle w:val="af5"/>
          <w:bCs/>
          <w:color w:val="auto"/>
        </w:rPr>
        <w:t xml:space="preserve">в </w:t>
      </w:r>
      <w:r w:rsidRPr="00B532FA">
        <w:t>целях недопущения случаев искажения форм бюджетной отчетности и нарушения требований Инструкций №191н при составлении бюджетной отчетности</w:t>
      </w:r>
      <w:r w:rsidR="004111FC" w:rsidRPr="00B532FA">
        <w:t xml:space="preserve"> ТФОМС</w:t>
      </w:r>
      <w:r w:rsidRPr="00B532FA">
        <w:t xml:space="preserve">; </w:t>
      </w:r>
    </w:p>
    <w:p w:rsidR="00A54344" w:rsidRPr="00B532FA" w:rsidRDefault="00C951AD" w:rsidP="00B532FA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32FA">
        <w:t>-</w:t>
      </w:r>
      <w:r w:rsidR="00A0152F" w:rsidRPr="00B532FA">
        <w:t> </w:t>
      </w:r>
      <w:r w:rsidRPr="00B532FA">
        <w:t xml:space="preserve">с отделами </w:t>
      </w:r>
      <w:r w:rsidR="006C07AF" w:rsidRPr="00B532FA">
        <w:t>ГУ ТФОМС</w:t>
      </w:r>
      <w:r w:rsidRPr="00B532FA">
        <w:t>, ответственными за выполнение внутренних бюджетных процедур</w:t>
      </w:r>
      <w:r w:rsidR="001675E2" w:rsidRPr="00B532FA">
        <w:t>,</w:t>
      </w:r>
      <w:r w:rsidRPr="00B532FA">
        <w:t xml:space="preserve"> </w:t>
      </w:r>
      <w:r w:rsidRPr="00B532FA">
        <w:rPr>
          <w:rStyle w:val="af5"/>
          <w:bCs/>
          <w:color w:val="auto"/>
        </w:rPr>
        <w:t xml:space="preserve">в </w:t>
      </w:r>
      <w:r w:rsidRPr="00B532FA">
        <w:t xml:space="preserve">целях организации внутреннего финансового контроля в соответствии с Порядком № 266-п и Приказом № </w:t>
      </w:r>
      <w:r w:rsidR="004111FC" w:rsidRPr="00B532FA">
        <w:t>736.</w:t>
      </w:r>
    </w:p>
    <w:p w:rsidR="00311448" w:rsidRDefault="00311448" w:rsidP="00B532FA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B532FA" w:rsidRDefault="00B532FA" w:rsidP="00B532FA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886D43" w:rsidRDefault="00886D43" w:rsidP="00B532FA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886D43" w:rsidRPr="00B532FA" w:rsidRDefault="00886D43" w:rsidP="00B532FA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BA3328" w:rsidRPr="009B6F7E" w:rsidRDefault="004E0173" w:rsidP="00B532FA">
      <w:pPr>
        <w:autoSpaceDE w:val="0"/>
        <w:autoSpaceDN w:val="0"/>
        <w:adjustRightInd w:val="0"/>
        <w:ind w:firstLine="708"/>
        <w:jc w:val="both"/>
        <w:rPr>
          <w:b/>
          <w:i/>
        </w:rPr>
      </w:pPr>
      <w:r w:rsidRPr="00B532FA">
        <w:rPr>
          <w:b/>
        </w:rPr>
        <w:t>Аудитор                                                                                             М.Е. Татаринцев</w:t>
      </w:r>
    </w:p>
    <w:sectPr w:rsidR="00BA3328" w:rsidRPr="009B6F7E" w:rsidSect="00886D43">
      <w:headerReference w:type="even" r:id="rId8"/>
      <w:headerReference w:type="default" r:id="rId9"/>
      <w:pgSz w:w="11906" w:h="16838" w:code="9"/>
      <w:pgMar w:top="851" w:right="851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D09" w:rsidRDefault="00C72D09">
      <w:r>
        <w:separator/>
      </w:r>
    </w:p>
  </w:endnote>
  <w:endnote w:type="continuationSeparator" w:id="1">
    <w:p w:rsidR="00C72D09" w:rsidRDefault="00C72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D09" w:rsidRDefault="00C72D09">
      <w:r>
        <w:separator/>
      </w:r>
    </w:p>
  </w:footnote>
  <w:footnote w:type="continuationSeparator" w:id="1">
    <w:p w:rsidR="00C72D09" w:rsidRDefault="00C72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1AD" w:rsidRDefault="000446FD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951A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951AD" w:rsidRDefault="00C951A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1AD" w:rsidRDefault="000446FD" w:rsidP="00CF44C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951A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86D43">
      <w:rPr>
        <w:rStyle w:val="aa"/>
        <w:noProof/>
      </w:rPr>
      <w:t>11</w:t>
    </w:r>
    <w:r>
      <w:rPr>
        <w:rStyle w:val="aa"/>
      </w:rPr>
      <w:fldChar w:fldCharType="end"/>
    </w:r>
  </w:p>
  <w:p w:rsidR="00C951AD" w:rsidRDefault="00C951AD" w:rsidP="00F324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7E6CF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9D77B6"/>
    <w:multiLevelType w:val="hybridMultilevel"/>
    <w:tmpl w:val="167CF090"/>
    <w:lvl w:ilvl="0" w:tplc="12A6E63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1BBF"/>
    <w:multiLevelType w:val="hybridMultilevel"/>
    <w:tmpl w:val="C2F83D64"/>
    <w:lvl w:ilvl="0" w:tplc="95FC5F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1F1594"/>
    <w:multiLevelType w:val="multilevel"/>
    <w:tmpl w:val="28500CA4"/>
    <w:lvl w:ilvl="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4C726BC8"/>
    <w:multiLevelType w:val="hybridMultilevel"/>
    <w:tmpl w:val="BAE6A570"/>
    <w:lvl w:ilvl="0" w:tplc="D0CE06F2">
      <w:start w:val="1"/>
      <w:numFmt w:val="decimal"/>
      <w:lvlText w:val="%1."/>
      <w:lvlJc w:val="left"/>
      <w:pPr>
        <w:ind w:left="1684" w:hanging="97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FD3699"/>
    <w:multiLevelType w:val="hybridMultilevel"/>
    <w:tmpl w:val="CA387D38"/>
    <w:lvl w:ilvl="0" w:tplc="69C29C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ABA72AF"/>
    <w:multiLevelType w:val="hybridMultilevel"/>
    <w:tmpl w:val="C42C6CC4"/>
    <w:lvl w:ilvl="0" w:tplc="0BBCA0A8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B3292B"/>
    <w:multiLevelType w:val="hybridMultilevel"/>
    <w:tmpl w:val="E5EE7EA4"/>
    <w:lvl w:ilvl="0" w:tplc="F114319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845"/>
    <w:rsid w:val="00000356"/>
    <w:rsid w:val="0000047E"/>
    <w:rsid w:val="000009CE"/>
    <w:rsid w:val="00000E07"/>
    <w:rsid w:val="00001E80"/>
    <w:rsid w:val="00002223"/>
    <w:rsid w:val="000027C6"/>
    <w:rsid w:val="000028B9"/>
    <w:rsid w:val="00002D9B"/>
    <w:rsid w:val="00003005"/>
    <w:rsid w:val="00003C01"/>
    <w:rsid w:val="0000450C"/>
    <w:rsid w:val="00005907"/>
    <w:rsid w:val="00006265"/>
    <w:rsid w:val="00006612"/>
    <w:rsid w:val="0000712D"/>
    <w:rsid w:val="000076D9"/>
    <w:rsid w:val="00007CA0"/>
    <w:rsid w:val="00007EF5"/>
    <w:rsid w:val="000106E1"/>
    <w:rsid w:val="00010820"/>
    <w:rsid w:val="00010AC6"/>
    <w:rsid w:val="000115B7"/>
    <w:rsid w:val="00011832"/>
    <w:rsid w:val="00011CC8"/>
    <w:rsid w:val="00012548"/>
    <w:rsid w:val="00012966"/>
    <w:rsid w:val="0001368C"/>
    <w:rsid w:val="00013911"/>
    <w:rsid w:val="0001446C"/>
    <w:rsid w:val="000148B4"/>
    <w:rsid w:val="00014CD8"/>
    <w:rsid w:val="00015321"/>
    <w:rsid w:val="000157FA"/>
    <w:rsid w:val="00015B39"/>
    <w:rsid w:val="00016698"/>
    <w:rsid w:val="0001710E"/>
    <w:rsid w:val="00020A97"/>
    <w:rsid w:val="0002144C"/>
    <w:rsid w:val="0002187C"/>
    <w:rsid w:val="00021CE0"/>
    <w:rsid w:val="00022963"/>
    <w:rsid w:val="00022EF5"/>
    <w:rsid w:val="000230E0"/>
    <w:rsid w:val="00023140"/>
    <w:rsid w:val="000246EF"/>
    <w:rsid w:val="0002487B"/>
    <w:rsid w:val="00024DE4"/>
    <w:rsid w:val="00025910"/>
    <w:rsid w:val="00025B9A"/>
    <w:rsid w:val="0002692C"/>
    <w:rsid w:val="00026EFB"/>
    <w:rsid w:val="0003049B"/>
    <w:rsid w:val="000304CA"/>
    <w:rsid w:val="000304E4"/>
    <w:rsid w:val="000307E1"/>
    <w:rsid w:val="000309AE"/>
    <w:rsid w:val="000309C3"/>
    <w:rsid w:val="000311D1"/>
    <w:rsid w:val="000316BF"/>
    <w:rsid w:val="0003193D"/>
    <w:rsid w:val="00032690"/>
    <w:rsid w:val="00032B8F"/>
    <w:rsid w:val="00032F9B"/>
    <w:rsid w:val="0003323B"/>
    <w:rsid w:val="00033437"/>
    <w:rsid w:val="000337DE"/>
    <w:rsid w:val="00033EE5"/>
    <w:rsid w:val="000344E7"/>
    <w:rsid w:val="00034C3C"/>
    <w:rsid w:val="00034C78"/>
    <w:rsid w:val="00035181"/>
    <w:rsid w:val="00035240"/>
    <w:rsid w:val="00036007"/>
    <w:rsid w:val="000360B5"/>
    <w:rsid w:val="000360E0"/>
    <w:rsid w:val="00036389"/>
    <w:rsid w:val="000368E3"/>
    <w:rsid w:val="00037455"/>
    <w:rsid w:val="0003764F"/>
    <w:rsid w:val="000378C9"/>
    <w:rsid w:val="00040051"/>
    <w:rsid w:val="0004009D"/>
    <w:rsid w:val="00040FB8"/>
    <w:rsid w:val="0004188E"/>
    <w:rsid w:val="00042177"/>
    <w:rsid w:val="0004250C"/>
    <w:rsid w:val="000428F5"/>
    <w:rsid w:val="00044213"/>
    <w:rsid w:val="000446FD"/>
    <w:rsid w:val="00044990"/>
    <w:rsid w:val="00044A80"/>
    <w:rsid w:val="00044D99"/>
    <w:rsid w:val="00046953"/>
    <w:rsid w:val="000469DD"/>
    <w:rsid w:val="000475DE"/>
    <w:rsid w:val="00047ABA"/>
    <w:rsid w:val="00047C7B"/>
    <w:rsid w:val="000517C9"/>
    <w:rsid w:val="000517E8"/>
    <w:rsid w:val="00051D5B"/>
    <w:rsid w:val="00052175"/>
    <w:rsid w:val="00052B55"/>
    <w:rsid w:val="000531BF"/>
    <w:rsid w:val="000536DD"/>
    <w:rsid w:val="00053904"/>
    <w:rsid w:val="00053B5E"/>
    <w:rsid w:val="000546FE"/>
    <w:rsid w:val="00054A31"/>
    <w:rsid w:val="00054EE6"/>
    <w:rsid w:val="00055342"/>
    <w:rsid w:val="0005564C"/>
    <w:rsid w:val="00055E60"/>
    <w:rsid w:val="000560C4"/>
    <w:rsid w:val="000565BA"/>
    <w:rsid w:val="00056620"/>
    <w:rsid w:val="000566A6"/>
    <w:rsid w:val="00056945"/>
    <w:rsid w:val="000570CA"/>
    <w:rsid w:val="00057970"/>
    <w:rsid w:val="00057D10"/>
    <w:rsid w:val="00057E51"/>
    <w:rsid w:val="00057F0C"/>
    <w:rsid w:val="0006029A"/>
    <w:rsid w:val="00060FB8"/>
    <w:rsid w:val="00061760"/>
    <w:rsid w:val="000631CD"/>
    <w:rsid w:val="000639C8"/>
    <w:rsid w:val="00063B52"/>
    <w:rsid w:val="0006409C"/>
    <w:rsid w:val="00064391"/>
    <w:rsid w:val="00064491"/>
    <w:rsid w:val="000645CE"/>
    <w:rsid w:val="00064A31"/>
    <w:rsid w:val="00064B9D"/>
    <w:rsid w:val="00064C22"/>
    <w:rsid w:val="00064DDC"/>
    <w:rsid w:val="00065000"/>
    <w:rsid w:val="000652D4"/>
    <w:rsid w:val="000653C1"/>
    <w:rsid w:val="00065562"/>
    <w:rsid w:val="00065FC6"/>
    <w:rsid w:val="0006649B"/>
    <w:rsid w:val="000667F4"/>
    <w:rsid w:val="00066CDF"/>
    <w:rsid w:val="00067366"/>
    <w:rsid w:val="000705CB"/>
    <w:rsid w:val="0007062A"/>
    <w:rsid w:val="00070808"/>
    <w:rsid w:val="000718D2"/>
    <w:rsid w:val="000719C3"/>
    <w:rsid w:val="00071BE7"/>
    <w:rsid w:val="00071DC5"/>
    <w:rsid w:val="000720D9"/>
    <w:rsid w:val="000721E8"/>
    <w:rsid w:val="00072290"/>
    <w:rsid w:val="00072520"/>
    <w:rsid w:val="00072F8B"/>
    <w:rsid w:val="00073228"/>
    <w:rsid w:val="000736F5"/>
    <w:rsid w:val="00073F68"/>
    <w:rsid w:val="00073F9E"/>
    <w:rsid w:val="00074310"/>
    <w:rsid w:val="0007442E"/>
    <w:rsid w:val="00074F0F"/>
    <w:rsid w:val="00075182"/>
    <w:rsid w:val="0007719F"/>
    <w:rsid w:val="000774B1"/>
    <w:rsid w:val="00077B11"/>
    <w:rsid w:val="00077E60"/>
    <w:rsid w:val="00080402"/>
    <w:rsid w:val="0008059D"/>
    <w:rsid w:val="00080D7A"/>
    <w:rsid w:val="00080DEE"/>
    <w:rsid w:val="00081069"/>
    <w:rsid w:val="0008113C"/>
    <w:rsid w:val="000811B6"/>
    <w:rsid w:val="00081ACB"/>
    <w:rsid w:val="00081DE0"/>
    <w:rsid w:val="00082527"/>
    <w:rsid w:val="00082DB1"/>
    <w:rsid w:val="000835A3"/>
    <w:rsid w:val="000838BB"/>
    <w:rsid w:val="00083F4C"/>
    <w:rsid w:val="000840A4"/>
    <w:rsid w:val="00084235"/>
    <w:rsid w:val="0008451F"/>
    <w:rsid w:val="00084600"/>
    <w:rsid w:val="00084675"/>
    <w:rsid w:val="00084A9D"/>
    <w:rsid w:val="00085232"/>
    <w:rsid w:val="00085415"/>
    <w:rsid w:val="00085D9A"/>
    <w:rsid w:val="0008643F"/>
    <w:rsid w:val="0008646C"/>
    <w:rsid w:val="0008691F"/>
    <w:rsid w:val="0008707F"/>
    <w:rsid w:val="0008749B"/>
    <w:rsid w:val="0009045D"/>
    <w:rsid w:val="00090A22"/>
    <w:rsid w:val="00090DD5"/>
    <w:rsid w:val="000916C9"/>
    <w:rsid w:val="000916D4"/>
    <w:rsid w:val="00091C3E"/>
    <w:rsid w:val="00091E87"/>
    <w:rsid w:val="00092222"/>
    <w:rsid w:val="000928AC"/>
    <w:rsid w:val="00092926"/>
    <w:rsid w:val="00092C7B"/>
    <w:rsid w:val="000934A0"/>
    <w:rsid w:val="00093613"/>
    <w:rsid w:val="000942B8"/>
    <w:rsid w:val="0009480C"/>
    <w:rsid w:val="00094B63"/>
    <w:rsid w:val="000951E6"/>
    <w:rsid w:val="0009530B"/>
    <w:rsid w:val="0009530C"/>
    <w:rsid w:val="00095317"/>
    <w:rsid w:val="000959DD"/>
    <w:rsid w:val="00095F3F"/>
    <w:rsid w:val="00096224"/>
    <w:rsid w:val="000963E3"/>
    <w:rsid w:val="0009684F"/>
    <w:rsid w:val="00096903"/>
    <w:rsid w:val="00096EE1"/>
    <w:rsid w:val="00097B30"/>
    <w:rsid w:val="00097DC8"/>
    <w:rsid w:val="000A06C2"/>
    <w:rsid w:val="000A0762"/>
    <w:rsid w:val="000A1B51"/>
    <w:rsid w:val="000A250C"/>
    <w:rsid w:val="000A283E"/>
    <w:rsid w:val="000A2E41"/>
    <w:rsid w:val="000A2E9D"/>
    <w:rsid w:val="000A36B5"/>
    <w:rsid w:val="000A38B1"/>
    <w:rsid w:val="000A3A47"/>
    <w:rsid w:val="000A3EB6"/>
    <w:rsid w:val="000A43E8"/>
    <w:rsid w:val="000A4455"/>
    <w:rsid w:val="000A446B"/>
    <w:rsid w:val="000A45E9"/>
    <w:rsid w:val="000A4873"/>
    <w:rsid w:val="000A556A"/>
    <w:rsid w:val="000A5A90"/>
    <w:rsid w:val="000A5BDA"/>
    <w:rsid w:val="000A5C3E"/>
    <w:rsid w:val="000A625E"/>
    <w:rsid w:val="000A7712"/>
    <w:rsid w:val="000A7B75"/>
    <w:rsid w:val="000B01FC"/>
    <w:rsid w:val="000B0806"/>
    <w:rsid w:val="000B0CA9"/>
    <w:rsid w:val="000B114A"/>
    <w:rsid w:val="000B12AA"/>
    <w:rsid w:val="000B184E"/>
    <w:rsid w:val="000B2202"/>
    <w:rsid w:val="000B3D77"/>
    <w:rsid w:val="000B4C7E"/>
    <w:rsid w:val="000B5A2F"/>
    <w:rsid w:val="000B5D2B"/>
    <w:rsid w:val="000B60F2"/>
    <w:rsid w:val="000B6D43"/>
    <w:rsid w:val="000B701E"/>
    <w:rsid w:val="000B7D49"/>
    <w:rsid w:val="000C006A"/>
    <w:rsid w:val="000C0426"/>
    <w:rsid w:val="000C0941"/>
    <w:rsid w:val="000C15BC"/>
    <w:rsid w:val="000C1A6A"/>
    <w:rsid w:val="000C1F42"/>
    <w:rsid w:val="000C4E32"/>
    <w:rsid w:val="000C4FD2"/>
    <w:rsid w:val="000C56AD"/>
    <w:rsid w:val="000C597B"/>
    <w:rsid w:val="000C5BA0"/>
    <w:rsid w:val="000C6F81"/>
    <w:rsid w:val="000D0342"/>
    <w:rsid w:val="000D0E92"/>
    <w:rsid w:val="000D118C"/>
    <w:rsid w:val="000D1904"/>
    <w:rsid w:val="000D1AF8"/>
    <w:rsid w:val="000D29A3"/>
    <w:rsid w:val="000D2AB7"/>
    <w:rsid w:val="000D2B87"/>
    <w:rsid w:val="000D300B"/>
    <w:rsid w:val="000D3129"/>
    <w:rsid w:val="000D31E4"/>
    <w:rsid w:val="000D3625"/>
    <w:rsid w:val="000D3BC8"/>
    <w:rsid w:val="000D4799"/>
    <w:rsid w:val="000D4B39"/>
    <w:rsid w:val="000D4B89"/>
    <w:rsid w:val="000D542E"/>
    <w:rsid w:val="000D5B49"/>
    <w:rsid w:val="000D5DB0"/>
    <w:rsid w:val="000D61B0"/>
    <w:rsid w:val="000D6215"/>
    <w:rsid w:val="000D6309"/>
    <w:rsid w:val="000D7281"/>
    <w:rsid w:val="000D7F0B"/>
    <w:rsid w:val="000E0364"/>
    <w:rsid w:val="000E1AB0"/>
    <w:rsid w:val="000E1F35"/>
    <w:rsid w:val="000E24E7"/>
    <w:rsid w:val="000E2D4B"/>
    <w:rsid w:val="000E31A9"/>
    <w:rsid w:val="000E3EFB"/>
    <w:rsid w:val="000E40C5"/>
    <w:rsid w:val="000E448B"/>
    <w:rsid w:val="000E4E61"/>
    <w:rsid w:val="000E5315"/>
    <w:rsid w:val="000E570F"/>
    <w:rsid w:val="000E5EF4"/>
    <w:rsid w:val="000E604F"/>
    <w:rsid w:val="000E65D5"/>
    <w:rsid w:val="000E68B5"/>
    <w:rsid w:val="000E6CE3"/>
    <w:rsid w:val="000E6D39"/>
    <w:rsid w:val="000E718B"/>
    <w:rsid w:val="000E72EA"/>
    <w:rsid w:val="000E7A1A"/>
    <w:rsid w:val="000E7E46"/>
    <w:rsid w:val="000F058C"/>
    <w:rsid w:val="000F087B"/>
    <w:rsid w:val="000F135D"/>
    <w:rsid w:val="000F15F1"/>
    <w:rsid w:val="000F17A1"/>
    <w:rsid w:val="000F1952"/>
    <w:rsid w:val="000F2C3A"/>
    <w:rsid w:val="000F34E9"/>
    <w:rsid w:val="000F3BBA"/>
    <w:rsid w:val="000F3D4D"/>
    <w:rsid w:val="000F443D"/>
    <w:rsid w:val="000F485D"/>
    <w:rsid w:val="000F4BC0"/>
    <w:rsid w:val="000F4C59"/>
    <w:rsid w:val="000F5239"/>
    <w:rsid w:val="000F54B1"/>
    <w:rsid w:val="000F5C2D"/>
    <w:rsid w:val="000F5D0D"/>
    <w:rsid w:val="000F6580"/>
    <w:rsid w:val="000F669D"/>
    <w:rsid w:val="000F68DA"/>
    <w:rsid w:val="000F7051"/>
    <w:rsid w:val="000F7159"/>
    <w:rsid w:val="000F7474"/>
    <w:rsid w:val="001003E3"/>
    <w:rsid w:val="00100A08"/>
    <w:rsid w:val="00100AE5"/>
    <w:rsid w:val="00100BA7"/>
    <w:rsid w:val="00100C8E"/>
    <w:rsid w:val="00100EA5"/>
    <w:rsid w:val="00100FB1"/>
    <w:rsid w:val="00100FCF"/>
    <w:rsid w:val="00101093"/>
    <w:rsid w:val="001015E5"/>
    <w:rsid w:val="00101F71"/>
    <w:rsid w:val="00103483"/>
    <w:rsid w:val="00104741"/>
    <w:rsid w:val="00104764"/>
    <w:rsid w:val="0010496C"/>
    <w:rsid w:val="001051A2"/>
    <w:rsid w:val="001058AD"/>
    <w:rsid w:val="00105FEC"/>
    <w:rsid w:val="001061A4"/>
    <w:rsid w:val="001078D3"/>
    <w:rsid w:val="00107A78"/>
    <w:rsid w:val="0011064B"/>
    <w:rsid w:val="00110AF6"/>
    <w:rsid w:val="00110DF6"/>
    <w:rsid w:val="00110F33"/>
    <w:rsid w:val="00111ADB"/>
    <w:rsid w:val="001128F3"/>
    <w:rsid w:val="001129F1"/>
    <w:rsid w:val="0011369F"/>
    <w:rsid w:val="001136EE"/>
    <w:rsid w:val="00113795"/>
    <w:rsid w:val="00113834"/>
    <w:rsid w:val="00113F0E"/>
    <w:rsid w:val="00114239"/>
    <w:rsid w:val="001142B0"/>
    <w:rsid w:val="001149DB"/>
    <w:rsid w:val="00114C1E"/>
    <w:rsid w:val="00114CD4"/>
    <w:rsid w:val="00114FB4"/>
    <w:rsid w:val="00115E2B"/>
    <w:rsid w:val="001165BD"/>
    <w:rsid w:val="00116F59"/>
    <w:rsid w:val="0011760B"/>
    <w:rsid w:val="00117C68"/>
    <w:rsid w:val="00117E8A"/>
    <w:rsid w:val="00120038"/>
    <w:rsid w:val="001212BE"/>
    <w:rsid w:val="00121638"/>
    <w:rsid w:val="0012166B"/>
    <w:rsid w:val="00121F71"/>
    <w:rsid w:val="001222B5"/>
    <w:rsid w:val="00122591"/>
    <w:rsid w:val="00122B73"/>
    <w:rsid w:val="00122FE8"/>
    <w:rsid w:val="00123388"/>
    <w:rsid w:val="00123A7E"/>
    <w:rsid w:val="00123E72"/>
    <w:rsid w:val="00124179"/>
    <w:rsid w:val="00124310"/>
    <w:rsid w:val="00124373"/>
    <w:rsid w:val="00124590"/>
    <w:rsid w:val="00124595"/>
    <w:rsid w:val="001246B9"/>
    <w:rsid w:val="00124FA7"/>
    <w:rsid w:val="00125406"/>
    <w:rsid w:val="0012542B"/>
    <w:rsid w:val="00125801"/>
    <w:rsid w:val="00125BFC"/>
    <w:rsid w:val="00125D07"/>
    <w:rsid w:val="001261C9"/>
    <w:rsid w:val="001266CB"/>
    <w:rsid w:val="00126C21"/>
    <w:rsid w:val="00126E6A"/>
    <w:rsid w:val="00127753"/>
    <w:rsid w:val="00127987"/>
    <w:rsid w:val="00127994"/>
    <w:rsid w:val="001279FF"/>
    <w:rsid w:val="001301AD"/>
    <w:rsid w:val="001302AE"/>
    <w:rsid w:val="00130513"/>
    <w:rsid w:val="00130C8B"/>
    <w:rsid w:val="00130F32"/>
    <w:rsid w:val="00131060"/>
    <w:rsid w:val="001314E2"/>
    <w:rsid w:val="0013155F"/>
    <w:rsid w:val="001315A7"/>
    <w:rsid w:val="00131825"/>
    <w:rsid w:val="00131B20"/>
    <w:rsid w:val="00132488"/>
    <w:rsid w:val="001329EF"/>
    <w:rsid w:val="001344F5"/>
    <w:rsid w:val="00134C46"/>
    <w:rsid w:val="00134EE0"/>
    <w:rsid w:val="00135106"/>
    <w:rsid w:val="00135378"/>
    <w:rsid w:val="00135457"/>
    <w:rsid w:val="00136F01"/>
    <w:rsid w:val="001375F6"/>
    <w:rsid w:val="00137A06"/>
    <w:rsid w:val="00137A14"/>
    <w:rsid w:val="00137DE9"/>
    <w:rsid w:val="001402AA"/>
    <w:rsid w:val="0014066F"/>
    <w:rsid w:val="001406A5"/>
    <w:rsid w:val="001407AE"/>
    <w:rsid w:val="00140D5B"/>
    <w:rsid w:val="001410F6"/>
    <w:rsid w:val="001416F6"/>
    <w:rsid w:val="001418AB"/>
    <w:rsid w:val="00141A3C"/>
    <w:rsid w:val="00142871"/>
    <w:rsid w:val="00142A4E"/>
    <w:rsid w:val="00142C85"/>
    <w:rsid w:val="001433F5"/>
    <w:rsid w:val="00143B11"/>
    <w:rsid w:val="00144396"/>
    <w:rsid w:val="00144E97"/>
    <w:rsid w:val="0014513E"/>
    <w:rsid w:val="00145729"/>
    <w:rsid w:val="00145A0A"/>
    <w:rsid w:val="00145D28"/>
    <w:rsid w:val="00146596"/>
    <w:rsid w:val="00146F05"/>
    <w:rsid w:val="001502FC"/>
    <w:rsid w:val="00150509"/>
    <w:rsid w:val="00150516"/>
    <w:rsid w:val="00151656"/>
    <w:rsid w:val="001519E5"/>
    <w:rsid w:val="00151A0A"/>
    <w:rsid w:val="00152505"/>
    <w:rsid w:val="001526A9"/>
    <w:rsid w:val="00152C38"/>
    <w:rsid w:val="00153660"/>
    <w:rsid w:val="00153C38"/>
    <w:rsid w:val="00155326"/>
    <w:rsid w:val="00156924"/>
    <w:rsid w:val="00156A95"/>
    <w:rsid w:val="00156E1F"/>
    <w:rsid w:val="001570F3"/>
    <w:rsid w:val="001575E2"/>
    <w:rsid w:val="00157EBF"/>
    <w:rsid w:val="00160133"/>
    <w:rsid w:val="00160D66"/>
    <w:rsid w:val="00161580"/>
    <w:rsid w:val="00161EC1"/>
    <w:rsid w:val="00162132"/>
    <w:rsid w:val="001635CE"/>
    <w:rsid w:val="001636FE"/>
    <w:rsid w:val="001640CC"/>
    <w:rsid w:val="00164FD0"/>
    <w:rsid w:val="0016625A"/>
    <w:rsid w:val="00166280"/>
    <w:rsid w:val="00166570"/>
    <w:rsid w:val="00166580"/>
    <w:rsid w:val="001671A9"/>
    <w:rsid w:val="001675E2"/>
    <w:rsid w:val="00167956"/>
    <w:rsid w:val="00167D71"/>
    <w:rsid w:val="00171894"/>
    <w:rsid w:val="0017192C"/>
    <w:rsid w:val="001723C4"/>
    <w:rsid w:val="00172862"/>
    <w:rsid w:val="001733C6"/>
    <w:rsid w:val="001736EA"/>
    <w:rsid w:val="00173A15"/>
    <w:rsid w:val="00173F58"/>
    <w:rsid w:val="001745C3"/>
    <w:rsid w:val="001746E8"/>
    <w:rsid w:val="00174A9E"/>
    <w:rsid w:val="00174B19"/>
    <w:rsid w:val="00175974"/>
    <w:rsid w:val="0017649B"/>
    <w:rsid w:val="00176756"/>
    <w:rsid w:val="00176799"/>
    <w:rsid w:val="00176A84"/>
    <w:rsid w:val="001771D1"/>
    <w:rsid w:val="00177CAC"/>
    <w:rsid w:val="00180643"/>
    <w:rsid w:val="00180662"/>
    <w:rsid w:val="00181365"/>
    <w:rsid w:val="00181A4B"/>
    <w:rsid w:val="00181DC9"/>
    <w:rsid w:val="00181E53"/>
    <w:rsid w:val="001831F5"/>
    <w:rsid w:val="00183544"/>
    <w:rsid w:val="00183DC9"/>
    <w:rsid w:val="00184019"/>
    <w:rsid w:val="0018437E"/>
    <w:rsid w:val="00184845"/>
    <w:rsid w:val="00184854"/>
    <w:rsid w:val="00184BB6"/>
    <w:rsid w:val="00185283"/>
    <w:rsid w:val="001855D5"/>
    <w:rsid w:val="00185809"/>
    <w:rsid w:val="001859D8"/>
    <w:rsid w:val="001865FD"/>
    <w:rsid w:val="00186671"/>
    <w:rsid w:val="00186842"/>
    <w:rsid w:val="00186DE4"/>
    <w:rsid w:val="001878C9"/>
    <w:rsid w:val="00187C03"/>
    <w:rsid w:val="0019027A"/>
    <w:rsid w:val="0019238E"/>
    <w:rsid w:val="00192857"/>
    <w:rsid w:val="00193037"/>
    <w:rsid w:val="00193721"/>
    <w:rsid w:val="001939DA"/>
    <w:rsid w:val="00193E4E"/>
    <w:rsid w:val="0019530F"/>
    <w:rsid w:val="0019577A"/>
    <w:rsid w:val="0019582F"/>
    <w:rsid w:val="001958E6"/>
    <w:rsid w:val="00195D20"/>
    <w:rsid w:val="00196645"/>
    <w:rsid w:val="0019683D"/>
    <w:rsid w:val="00196AF1"/>
    <w:rsid w:val="00196B00"/>
    <w:rsid w:val="001971AF"/>
    <w:rsid w:val="00197237"/>
    <w:rsid w:val="00197C61"/>
    <w:rsid w:val="00197D63"/>
    <w:rsid w:val="001A0471"/>
    <w:rsid w:val="001A0CF0"/>
    <w:rsid w:val="001A1702"/>
    <w:rsid w:val="001A187A"/>
    <w:rsid w:val="001A19B1"/>
    <w:rsid w:val="001A2D89"/>
    <w:rsid w:val="001A3BEB"/>
    <w:rsid w:val="001A428B"/>
    <w:rsid w:val="001A4296"/>
    <w:rsid w:val="001A49F1"/>
    <w:rsid w:val="001A563F"/>
    <w:rsid w:val="001A594A"/>
    <w:rsid w:val="001A5B3F"/>
    <w:rsid w:val="001A5D55"/>
    <w:rsid w:val="001A63DE"/>
    <w:rsid w:val="001A6A6D"/>
    <w:rsid w:val="001A6A74"/>
    <w:rsid w:val="001A716D"/>
    <w:rsid w:val="001A7199"/>
    <w:rsid w:val="001A737A"/>
    <w:rsid w:val="001A75C1"/>
    <w:rsid w:val="001A7795"/>
    <w:rsid w:val="001A7CC3"/>
    <w:rsid w:val="001B0154"/>
    <w:rsid w:val="001B077F"/>
    <w:rsid w:val="001B100E"/>
    <w:rsid w:val="001B1C3D"/>
    <w:rsid w:val="001B202A"/>
    <w:rsid w:val="001B20B3"/>
    <w:rsid w:val="001B2446"/>
    <w:rsid w:val="001B293F"/>
    <w:rsid w:val="001B2A11"/>
    <w:rsid w:val="001B2F20"/>
    <w:rsid w:val="001B2F6B"/>
    <w:rsid w:val="001B34B3"/>
    <w:rsid w:val="001B4366"/>
    <w:rsid w:val="001B4FBC"/>
    <w:rsid w:val="001B505E"/>
    <w:rsid w:val="001B5109"/>
    <w:rsid w:val="001B5164"/>
    <w:rsid w:val="001B516E"/>
    <w:rsid w:val="001B551D"/>
    <w:rsid w:val="001B55F1"/>
    <w:rsid w:val="001B63EB"/>
    <w:rsid w:val="001B6929"/>
    <w:rsid w:val="001B74D0"/>
    <w:rsid w:val="001B7560"/>
    <w:rsid w:val="001B764A"/>
    <w:rsid w:val="001B7E93"/>
    <w:rsid w:val="001C0434"/>
    <w:rsid w:val="001C1AF5"/>
    <w:rsid w:val="001C29C9"/>
    <w:rsid w:val="001C2E94"/>
    <w:rsid w:val="001C312B"/>
    <w:rsid w:val="001C38D3"/>
    <w:rsid w:val="001C3A12"/>
    <w:rsid w:val="001C4365"/>
    <w:rsid w:val="001C43FB"/>
    <w:rsid w:val="001C444C"/>
    <w:rsid w:val="001C4667"/>
    <w:rsid w:val="001C52F1"/>
    <w:rsid w:val="001C72E2"/>
    <w:rsid w:val="001C793F"/>
    <w:rsid w:val="001C7D87"/>
    <w:rsid w:val="001D0AE9"/>
    <w:rsid w:val="001D0C35"/>
    <w:rsid w:val="001D0EFA"/>
    <w:rsid w:val="001D0F75"/>
    <w:rsid w:val="001D10E9"/>
    <w:rsid w:val="001D12E9"/>
    <w:rsid w:val="001D14D5"/>
    <w:rsid w:val="001D1632"/>
    <w:rsid w:val="001D174B"/>
    <w:rsid w:val="001D1E50"/>
    <w:rsid w:val="001D1FC3"/>
    <w:rsid w:val="001D20AC"/>
    <w:rsid w:val="001D2769"/>
    <w:rsid w:val="001D2CDA"/>
    <w:rsid w:val="001D4C6B"/>
    <w:rsid w:val="001D63CC"/>
    <w:rsid w:val="001D640B"/>
    <w:rsid w:val="001D6A2D"/>
    <w:rsid w:val="001D6DE8"/>
    <w:rsid w:val="001D72E9"/>
    <w:rsid w:val="001D7D90"/>
    <w:rsid w:val="001E00DE"/>
    <w:rsid w:val="001E03A2"/>
    <w:rsid w:val="001E06B1"/>
    <w:rsid w:val="001E0F2F"/>
    <w:rsid w:val="001E138E"/>
    <w:rsid w:val="001E13A5"/>
    <w:rsid w:val="001E236C"/>
    <w:rsid w:val="001E2451"/>
    <w:rsid w:val="001E3030"/>
    <w:rsid w:val="001E304C"/>
    <w:rsid w:val="001E379F"/>
    <w:rsid w:val="001E3B76"/>
    <w:rsid w:val="001E3CB9"/>
    <w:rsid w:val="001E4015"/>
    <w:rsid w:val="001E57BB"/>
    <w:rsid w:val="001E66FB"/>
    <w:rsid w:val="001E6B4B"/>
    <w:rsid w:val="001E6DD5"/>
    <w:rsid w:val="001E703C"/>
    <w:rsid w:val="001E78E7"/>
    <w:rsid w:val="001F0CC1"/>
    <w:rsid w:val="001F17BD"/>
    <w:rsid w:val="001F1B2A"/>
    <w:rsid w:val="001F1DA4"/>
    <w:rsid w:val="001F24C9"/>
    <w:rsid w:val="001F2732"/>
    <w:rsid w:val="001F2E5A"/>
    <w:rsid w:val="001F2F34"/>
    <w:rsid w:val="001F3A12"/>
    <w:rsid w:val="001F3B85"/>
    <w:rsid w:val="001F3E37"/>
    <w:rsid w:val="001F4118"/>
    <w:rsid w:val="001F4410"/>
    <w:rsid w:val="001F578B"/>
    <w:rsid w:val="001F61CC"/>
    <w:rsid w:val="001F642D"/>
    <w:rsid w:val="001F6705"/>
    <w:rsid w:val="001F6788"/>
    <w:rsid w:val="001F68BE"/>
    <w:rsid w:val="001F691A"/>
    <w:rsid w:val="001F6BEA"/>
    <w:rsid w:val="001F7054"/>
    <w:rsid w:val="001F7BA6"/>
    <w:rsid w:val="001F7BCE"/>
    <w:rsid w:val="0020024A"/>
    <w:rsid w:val="00200331"/>
    <w:rsid w:val="0020048F"/>
    <w:rsid w:val="0020057A"/>
    <w:rsid w:val="0020084F"/>
    <w:rsid w:val="002008A6"/>
    <w:rsid w:val="002023F9"/>
    <w:rsid w:val="002026EB"/>
    <w:rsid w:val="00202F96"/>
    <w:rsid w:val="0020321E"/>
    <w:rsid w:val="00203462"/>
    <w:rsid w:val="00203E75"/>
    <w:rsid w:val="002040CD"/>
    <w:rsid w:val="0020496B"/>
    <w:rsid w:val="002049D4"/>
    <w:rsid w:val="00204BCC"/>
    <w:rsid w:val="00205938"/>
    <w:rsid w:val="00205EBF"/>
    <w:rsid w:val="00206844"/>
    <w:rsid w:val="0020689A"/>
    <w:rsid w:val="0020689C"/>
    <w:rsid w:val="00206B87"/>
    <w:rsid w:val="002078D8"/>
    <w:rsid w:val="00207EA2"/>
    <w:rsid w:val="00210DBF"/>
    <w:rsid w:val="0021154F"/>
    <w:rsid w:val="00211FB3"/>
    <w:rsid w:val="0021206C"/>
    <w:rsid w:val="002120BF"/>
    <w:rsid w:val="0021254F"/>
    <w:rsid w:val="00212645"/>
    <w:rsid w:val="0021298B"/>
    <w:rsid w:val="002131A5"/>
    <w:rsid w:val="002134D4"/>
    <w:rsid w:val="00213591"/>
    <w:rsid w:val="00214086"/>
    <w:rsid w:val="00214150"/>
    <w:rsid w:val="0021427C"/>
    <w:rsid w:val="00214438"/>
    <w:rsid w:val="00214620"/>
    <w:rsid w:val="00214B4F"/>
    <w:rsid w:val="00214B71"/>
    <w:rsid w:val="0021510E"/>
    <w:rsid w:val="002153D1"/>
    <w:rsid w:val="0021599C"/>
    <w:rsid w:val="00215D26"/>
    <w:rsid w:val="00215D71"/>
    <w:rsid w:val="002160D1"/>
    <w:rsid w:val="0021661E"/>
    <w:rsid w:val="00216C3C"/>
    <w:rsid w:val="00216F6B"/>
    <w:rsid w:val="002171AA"/>
    <w:rsid w:val="00217729"/>
    <w:rsid w:val="0022029A"/>
    <w:rsid w:val="00220339"/>
    <w:rsid w:val="0022046D"/>
    <w:rsid w:val="00221102"/>
    <w:rsid w:val="002211C5"/>
    <w:rsid w:val="002213E1"/>
    <w:rsid w:val="002219D2"/>
    <w:rsid w:val="00221F93"/>
    <w:rsid w:val="00222AA8"/>
    <w:rsid w:val="00224BE9"/>
    <w:rsid w:val="00224E1B"/>
    <w:rsid w:val="00224EAE"/>
    <w:rsid w:val="002252E5"/>
    <w:rsid w:val="0022560F"/>
    <w:rsid w:val="002256BB"/>
    <w:rsid w:val="00225889"/>
    <w:rsid w:val="00225A07"/>
    <w:rsid w:val="002261B2"/>
    <w:rsid w:val="00226FE4"/>
    <w:rsid w:val="00227147"/>
    <w:rsid w:val="00227AE3"/>
    <w:rsid w:val="0023019B"/>
    <w:rsid w:val="0023026C"/>
    <w:rsid w:val="00230876"/>
    <w:rsid w:val="002316CC"/>
    <w:rsid w:val="00231FE5"/>
    <w:rsid w:val="00232CF7"/>
    <w:rsid w:val="00232D68"/>
    <w:rsid w:val="00233053"/>
    <w:rsid w:val="00233213"/>
    <w:rsid w:val="0023321B"/>
    <w:rsid w:val="00233BBA"/>
    <w:rsid w:val="00233F41"/>
    <w:rsid w:val="00234656"/>
    <w:rsid w:val="00234C03"/>
    <w:rsid w:val="00234DF8"/>
    <w:rsid w:val="00235240"/>
    <w:rsid w:val="002356F4"/>
    <w:rsid w:val="002357C3"/>
    <w:rsid w:val="00235851"/>
    <w:rsid w:val="002367DC"/>
    <w:rsid w:val="002370AA"/>
    <w:rsid w:val="0023718D"/>
    <w:rsid w:val="0024055B"/>
    <w:rsid w:val="0024060E"/>
    <w:rsid w:val="00240649"/>
    <w:rsid w:val="00240E61"/>
    <w:rsid w:val="00242C86"/>
    <w:rsid w:val="00242FEE"/>
    <w:rsid w:val="00243CA3"/>
    <w:rsid w:val="002440F5"/>
    <w:rsid w:val="00244B58"/>
    <w:rsid w:val="00244BC5"/>
    <w:rsid w:val="00244D9E"/>
    <w:rsid w:val="002455B8"/>
    <w:rsid w:val="002459EB"/>
    <w:rsid w:val="00245D93"/>
    <w:rsid w:val="00245DB9"/>
    <w:rsid w:val="0024617C"/>
    <w:rsid w:val="00246222"/>
    <w:rsid w:val="00246585"/>
    <w:rsid w:val="00246E99"/>
    <w:rsid w:val="002474BF"/>
    <w:rsid w:val="00247983"/>
    <w:rsid w:val="002506AC"/>
    <w:rsid w:val="00250A52"/>
    <w:rsid w:val="0025117D"/>
    <w:rsid w:val="002518E2"/>
    <w:rsid w:val="002524FF"/>
    <w:rsid w:val="00252F23"/>
    <w:rsid w:val="002539A7"/>
    <w:rsid w:val="00253B56"/>
    <w:rsid w:val="0025467B"/>
    <w:rsid w:val="00254BBB"/>
    <w:rsid w:val="00254CB3"/>
    <w:rsid w:val="00255B2A"/>
    <w:rsid w:val="002561EF"/>
    <w:rsid w:val="002569D7"/>
    <w:rsid w:val="0025700F"/>
    <w:rsid w:val="00257032"/>
    <w:rsid w:val="002572A8"/>
    <w:rsid w:val="00257402"/>
    <w:rsid w:val="00257511"/>
    <w:rsid w:val="002575EF"/>
    <w:rsid w:val="0025794A"/>
    <w:rsid w:val="00257B91"/>
    <w:rsid w:val="00257B94"/>
    <w:rsid w:val="00260997"/>
    <w:rsid w:val="00260A83"/>
    <w:rsid w:val="00260B87"/>
    <w:rsid w:val="00260BBB"/>
    <w:rsid w:val="00260C60"/>
    <w:rsid w:val="00261945"/>
    <w:rsid w:val="00262956"/>
    <w:rsid w:val="00262A1E"/>
    <w:rsid w:val="0026354D"/>
    <w:rsid w:val="002639BB"/>
    <w:rsid w:val="00264056"/>
    <w:rsid w:val="002646D1"/>
    <w:rsid w:val="002665FA"/>
    <w:rsid w:val="00266676"/>
    <w:rsid w:val="0026698D"/>
    <w:rsid w:val="00266B37"/>
    <w:rsid w:val="00266CA8"/>
    <w:rsid w:val="00267084"/>
    <w:rsid w:val="0026724B"/>
    <w:rsid w:val="0027089F"/>
    <w:rsid w:val="00270B01"/>
    <w:rsid w:val="00270C3A"/>
    <w:rsid w:val="00271ABF"/>
    <w:rsid w:val="00271B7D"/>
    <w:rsid w:val="00271F99"/>
    <w:rsid w:val="00272C65"/>
    <w:rsid w:val="00273115"/>
    <w:rsid w:val="0027388D"/>
    <w:rsid w:val="002746FE"/>
    <w:rsid w:val="002748FE"/>
    <w:rsid w:val="002750D6"/>
    <w:rsid w:val="0027552E"/>
    <w:rsid w:val="00275BC6"/>
    <w:rsid w:val="002762BE"/>
    <w:rsid w:val="002770C7"/>
    <w:rsid w:val="00277F61"/>
    <w:rsid w:val="00280206"/>
    <w:rsid w:val="00280393"/>
    <w:rsid w:val="00281041"/>
    <w:rsid w:val="0028182F"/>
    <w:rsid w:val="00281C3A"/>
    <w:rsid w:val="00281C59"/>
    <w:rsid w:val="00281E84"/>
    <w:rsid w:val="0028250E"/>
    <w:rsid w:val="00282B2C"/>
    <w:rsid w:val="00282FB8"/>
    <w:rsid w:val="002836BE"/>
    <w:rsid w:val="00283B66"/>
    <w:rsid w:val="00284169"/>
    <w:rsid w:val="00284BBC"/>
    <w:rsid w:val="00284EFA"/>
    <w:rsid w:val="00285613"/>
    <w:rsid w:val="002856B7"/>
    <w:rsid w:val="002860EC"/>
    <w:rsid w:val="00291494"/>
    <w:rsid w:val="0029228F"/>
    <w:rsid w:val="00292967"/>
    <w:rsid w:val="00292CAF"/>
    <w:rsid w:val="00292E58"/>
    <w:rsid w:val="00292F42"/>
    <w:rsid w:val="00293020"/>
    <w:rsid w:val="00293846"/>
    <w:rsid w:val="00293E75"/>
    <w:rsid w:val="0029430D"/>
    <w:rsid w:val="0029447D"/>
    <w:rsid w:val="00294D78"/>
    <w:rsid w:val="00295944"/>
    <w:rsid w:val="002962CE"/>
    <w:rsid w:val="0029669B"/>
    <w:rsid w:val="00296718"/>
    <w:rsid w:val="00296C0B"/>
    <w:rsid w:val="00296F4B"/>
    <w:rsid w:val="00296F6B"/>
    <w:rsid w:val="002972F4"/>
    <w:rsid w:val="002978ED"/>
    <w:rsid w:val="002A0128"/>
    <w:rsid w:val="002A0311"/>
    <w:rsid w:val="002A0825"/>
    <w:rsid w:val="002A0D02"/>
    <w:rsid w:val="002A0FF5"/>
    <w:rsid w:val="002A25C5"/>
    <w:rsid w:val="002A35EC"/>
    <w:rsid w:val="002A4126"/>
    <w:rsid w:val="002A413E"/>
    <w:rsid w:val="002A470E"/>
    <w:rsid w:val="002A593C"/>
    <w:rsid w:val="002A5E7F"/>
    <w:rsid w:val="002A668A"/>
    <w:rsid w:val="002A6918"/>
    <w:rsid w:val="002A6D2C"/>
    <w:rsid w:val="002A6DD6"/>
    <w:rsid w:val="002A7182"/>
    <w:rsid w:val="002A72A3"/>
    <w:rsid w:val="002A72E8"/>
    <w:rsid w:val="002A7390"/>
    <w:rsid w:val="002A7786"/>
    <w:rsid w:val="002A7B4D"/>
    <w:rsid w:val="002B0158"/>
    <w:rsid w:val="002B0777"/>
    <w:rsid w:val="002B0F12"/>
    <w:rsid w:val="002B2218"/>
    <w:rsid w:val="002B2614"/>
    <w:rsid w:val="002B4C42"/>
    <w:rsid w:val="002B5AA5"/>
    <w:rsid w:val="002B60CC"/>
    <w:rsid w:val="002B69BC"/>
    <w:rsid w:val="002B6D2E"/>
    <w:rsid w:val="002B6D33"/>
    <w:rsid w:val="002B6DA5"/>
    <w:rsid w:val="002B6DAA"/>
    <w:rsid w:val="002B72FC"/>
    <w:rsid w:val="002B76F9"/>
    <w:rsid w:val="002B77D2"/>
    <w:rsid w:val="002C0B79"/>
    <w:rsid w:val="002C13FF"/>
    <w:rsid w:val="002C1625"/>
    <w:rsid w:val="002C2040"/>
    <w:rsid w:val="002C274B"/>
    <w:rsid w:val="002C2E7F"/>
    <w:rsid w:val="002C3F36"/>
    <w:rsid w:val="002C40FB"/>
    <w:rsid w:val="002C4987"/>
    <w:rsid w:val="002C5244"/>
    <w:rsid w:val="002C5F56"/>
    <w:rsid w:val="002C606E"/>
    <w:rsid w:val="002C7C13"/>
    <w:rsid w:val="002D0DCA"/>
    <w:rsid w:val="002D0FE9"/>
    <w:rsid w:val="002D1069"/>
    <w:rsid w:val="002D1139"/>
    <w:rsid w:val="002D1586"/>
    <w:rsid w:val="002D1627"/>
    <w:rsid w:val="002D20C5"/>
    <w:rsid w:val="002D29A3"/>
    <w:rsid w:val="002D365E"/>
    <w:rsid w:val="002D3999"/>
    <w:rsid w:val="002D42D3"/>
    <w:rsid w:val="002D42F2"/>
    <w:rsid w:val="002D42FB"/>
    <w:rsid w:val="002D4CA1"/>
    <w:rsid w:val="002D5F7E"/>
    <w:rsid w:val="002D6960"/>
    <w:rsid w:val="002D6BEB"/>
    <w:rsid w:val="002D6FD7"/>
    <w:rsid w:val="002D7000"/>
    <w:rsid w:val="002E0012"/>
    <w:rsid w:val="002E0AC6"/>
    <w:rsid w:val="002E0BD1"/>
    <w:rsid w:val="002E13A1"/>
    <w:rsid w:val="002E1F65"/>
    <w:rsid w:val="002E223B"/>
    <w:rsid w:val="002E22A1"/>
    <w:rsid w:val="002E2C9E"/>
    <w:rsid w:val="002E3571"/>
    <w:rsid w:val="002E3A22"/>
    <w:rsid w:val="002E3C4E"/>
    <w:rsid w:val="002E3E13"/>
    <w:rsid w:val="002E3F60"/>
    <w:rsid w:val="002E4124"/>
    <w:rsid w:val="002E4422"/>
    <w:rsid w:val="002E4871"/>
    <w:rsid w:val="002E6015"/>
    <w:rsid w:val="002E609C"/>
    <w:rsid w:val="002E6581"/>
    <w:rsid w:val="002E6786"/>
    <w:rsid w:val="002E695A"/>
    <w:rsid w:val="002E6975"/>
    <w:rsid w:val="002E6AD5"/>
    <w:rsid w:val="002E6B16"/>
    <w:rsid w:val="002E7D83"/>
    <w:rsid w:val="002F0143"/>
    <w:rsid w:val="002F09FE"/>
    <w:rsid w:val="002F1086"/>
    <w:rsid w:val="002F13A6"/>
    <w:rsid w:val="002F17DF"/>
    <w:rsid w:val="002F1C40"/>
    <w:rsid w:val="002F1D65"/>
    <w:rsid w:val="002F21D2"/>
    <w:rsid w:val="002F2905"/>
    <w:rsid w:val="002F35EC"/>
    <w:rsid w:val="002F3838"/>
    <w:rsid w:val="002F48FA"/>
    <w:rsid w:val="002F51F1"/>
    <w:rsid w:val="002F5C46"/>
    <w:rsid w:val="002F6108"/>
    <w:rsid w:val="002F68EC"/>
    <w:rsid w:val="00300AE0"/>
    <w:rsid w:val="00301025"/>
    <w:rsid w:val="003017F9"/>
    <w:rsid w:val="00301930"/>
    <w:rsid w:val="003019B8"/>
    <w:rsid w:val="0030208B"/>
    <w:rsid w:val="003021D5"/>
    <w:rsid w:val="00302BBF"/>
    <w:rsid w:val="003033A9"/>
    <w:rsid w:val="00303516"/>
    <w:rsid w:val="00303551"/>
    <w:rsid w:val="003036DC"/>
    <w:rsid w:val="0030469E"/>
    <w:rsid w:val="003048FD"/>
    <w:rsid w:val="00304D54"/>
    <w:rsid w:val="00306151"/>
    <w:rsid w:val="0030616C"/>
    <w:rsid w:val="003067DE"/>
    <w:rsid w:val="003076F2"/>
    <w:rsid w:val="00307D9F"/>
    <w:rsid w:val="00311301"/>
    <w:rsid w:val="00311448"/>
    <w:rsid w:val="003115C2"/>
    <w:rsid w:val="0031165A"/>
    <w:rsid w:val="00311ED8"/>
    <w:rsid w:val="0031294B"/>
    <w:rsid w:val="00312BC2"/>
    <w:rsid w:val="0031313B"/>
    <w:rsid w:val="003133CC"/>
    <w:rsid w:val="003133E5"/>
    <w:rsid w:val="00313C6B"/>
    <w:rsid w:val="00314171"/>
    <w:rsid w:val="00314580"/>
    <w:rsid w:val="003146D5"/>
    <w:rsid w:val="00314B49"/>
    <w:rsid w:val="0031574F"/>
    <w:rsid w:val="00315753"/>
    <w:rsid w:val="00315A87"/>
    <w:rsid w:val="003161B0"/>
    <w:rsid w:val="0031690A"/>
    <w:rsid w:val="00316A09"/>
    <w:rsid w:val="00316CA4"/>
    <w:rsid w:val="00316EF1"/>
    <w:rsid w:val="0031718E"/>
    <w:rsid w:val="00317C19"/>
    <w:rsid w:val="00317F00"/>
    <w:rsid w:val="00320011"/>
    <w:rsid w:val="00320079"/>
    <w:rsid w:val="00320723"/>
    <w:rsid w:val="003207DF"/>
    <w:rsid w:val="00320E7A"/>
    <w:rsid w:val="00320ED3"/>
    <w:rsid w:val="0032110F"/>
    <w:rsid w:val="003214C1"/>
    <w:rsid w:val="00321578"/>
    <w:rsid w:val="00321E28"/>
    <w:rsid w:val="00321F97"/>
    <w:rsid w:val="003221D2"/>
    <w:rsid w:val="00322667"/>
    <w:rsid w:val="00322C25"/>
    <w:rsid w:val="00322EB0"/>
    <w:rsid w:val="00323BB6"/>
    <w:rsid w:val="00323BDF"/>
    <w:rsid w:val="00323C45"/>
    <w:rsid w:val="00323F95"/>
    <w:rsid w:val="00324368"/>
    <w:rsid w:val="00325096"/>
    <w:rsid w:val="00327630"/>
    <w:rsid w:val="003277C7"/>
    <w:rsid w:val="003308B8"/>
    <w:rsid w:val="00331303"/>
    <w:rsid w:val="00331767"/>
    <w:rsid w:val="00331BFC"/>
    <w:rsid w:val="00332BA5"/>
    <w:rsid w:val="00332CC4"/>
    <w:rsid w:val="00333764"/>
    <w:rsid w:val="00333A22"/>
    <w:rsid w:val="003340A0"/>
    <w:rsid w:val="00334343"/>
    <w:rsid w:val="003344CB"/>
    <w:rsid w:val="00334918"/>
    <w:rsid w:val="00334D1C"/>
    <w:rsid w:val="003350DB"/>
    <w:rsid w:val="00335355"/>
    <w:rsid w:val="00335572"/>
    <w:rsid w:val="00335B6F"/>
    <w:rsid w:val="003361E8"/>
    <w:rsid w:val="003363E3"/>
    <w:rsid w:val="00336EB6"/>
    <w:rsid w:val="003372B3"/>
    <w:rsid w:val="003379BC"/>
    <w:rsid w:val="00337EE9"/>
    <w:rsid w:val="0034042F"/>
    <w:rsid w:val="003412EA"/>
    <w:rsid w:val="0034219E"/>
    <w:rsid w:val="00342EAC"/>
    <w:rsid w:val="003447D8"/>
    <w:rsid w:val="003450A9"/>
    <w:rsid w:val="003450BC"/>
    <w:rsid w:val="003451A0"/>
    <w:rsid w:val="003452DB"/>
    <w:rsid w:val="00345364"/>
    <w:rsid w:val="00345FB0"/>
    <w:rsid w:val="003460A7"/>
    <w:rsid w:val="00346920"/>
    <w:rsid w:val="00346CFF"/>
    <w:rsid w:val="003475E4"/>
    <w:rsid w:val="0034784D"/>
    <w:rsid w:val="00347D67"/>
    <w:rsid w:val="0035073C"/>
    <w:rsid w:val="00350818"/>
    <w:rsid w:val="00350DDC"/>
    <w:rsid w:val="003514A1"/>
    <w:rsid w:val="00351561"/>
    <w:rsid w:val="003519CC"/>
    <w:rsid w:val="003522CA"/>
    <w:rsid w:val="00352F41"/>
    <w:rsid w:val="003537C3"/>
    <w:rsid w:val="00353D92"/>
    <w:rsid w:val="0035402D"/>
    <w:rsid w:val="0035418E"/>
    <w:rsid w:val="003542F7"/>
    <w:rsid w:val="00354DD4"/>
    <w:rsid w:val="003551E3"/>
    <w:rsid w:val="0035534E"/>
    <w:rsid w:val="00355424"/>
    <w:rsid w:val="0035542E"/>
    <w:rsid w:val="00361990"/>
    <w:rsid w:val="00361EFB"/>
    <w:rsid w:val="0036299F"/>
    <w:rsid w:val="00362A4D"/>
    <w:rsid w:val="003630E2"/>
    <w:rsid w:val="00363484"/>
    <w:rsid w:val="00363702"/>
    <w:rsid w:val="00364203"/>
    <w:rsid w:val="003646B6"/>
    <w:rsid w:val="00364DBA"/>
    <w:rsid w:val="00366A49"/>
    <w:rsid w:val="00366E58"/>
    <w:rsid w:val="00367322"/>
    <w:rsid w:val="003677EA"/>
    <w:rsid w:val="00367C05"/>
    <w:rsid w:val="00367D77"/>
    <w:rsid w:val="0037008A"/>
    <w:rsid w:val="0037036E"/>
    <w:rsid w:val="00370446"/>
    <w:rsid w:val="00370614"/>
    <w:rsid w:val="003711CE"/>
    <w:rsid w:val="003714C3"/>
    <w:rsid w:val="00371979"/>
    <w:rsid w:val="0037298A"/>
    <w:rsid w:val="00373E8C"/>
    <w:rsid w:val="00374EB8"/>
    <w:rsid w:val="00374F94"/>
    <w:rsid w:val="003750D5"/>
    <w:rsid w:val="0037510D"/>
    <w:rsid w:val="003752EB"/>
    <w:rsid w:val="00375BBC"/>
    <w:rsid w:val="00376096"/>
    <w:rsid w:val="00377F73"/>
    <w:rsid w:val="00377FE9"/>
    <w:rsid w:val="0038012B"/>
    <w:rsid w:val="00380C3D"/>
    <w:rsid w:val="0038130C"/>
    <w:rsid w:val="00381903"/>
    <w:rsid w:val="00381A5D"/>
    <w:rsid w:val="00381B41"/>
    <w:rsid w:val="00382338"/>
    <w:rsid w:val="00382E94"/>
    <w:rsid w:val="0038498F"/>
    <w:rsid w:val="00384F04"/>
    <w:rsid w:val="003851B0"/>
    <w:rsid w:val="00385306"/>
    <w:rsid w:val="0038534B"/>
    <w:rsid w:val="003858B6"/>
    <w:rsid w:val="003862E0"/>
    <w:rsid w:val="00387333"/>
    <w:rsid w:val="0038742B"/>
    <w:rsid w:val="00387770"/>
    <w:rsid w:val="00387881"/>
    <w:rsid w:val="00387FFC"/>
    <w:rsid w:val="00390395"/>
    <w:rsid w:val="00390988"/>
    <w:rsid w:val="003911BB"/>
    <w:rsid w:val="0039311E"/>
    <w:rsid w:val="00393734"/>
    <w:rsid w:val="003943A1"/>
    <w:rsid w:val="003945A7"/>
    <w:rsid w:val="003949D8"/>
    <w:rsid w:val="003956D4"/>
    <w:rsid w:val="0039584B"/>
    <w:rsid w:val="003959F4"/>
    <w:rsid w:val="00396319"/>
    <w:rsid w:val="003966A0"/>
    <w:rsid w:val="003971FF"/>
    <w:rsid w:val="00397365"/>
    <w:rsid w:val="00397E24"/>
    <w:rsid w:val="003A048C"/>
    <w:rsid w:val="003A1BE8"/>
    <w:rsid w:val="003A2099"/>
    <w:rsid w:val="003A23CD"/>
    <w:rsid w:val="003A2488"/>
    <w:rsid w:val="003A2A92"/>
    <w:rsid w:val="003A3A84"/>
    <w:rsid w:val="003A3BA5"/>
    <w:rsid w:val="003A478C"/>
    <w:rsid w:val="003A4E29"/>
    <w:rsid w:val="003A517C"/>
    <w:rsid w:val="003A51E7"/>
    <w:rsid w:val="003A51F4"/>
    <w:rsid w:val="003A59F7"/>
    <w:rsid w:val="003A6155"/>
    <w:rsid w:val="003A6463"/>
    <w:rsid w:val="003A6E2D"/>
    <w:rsid w:val="003A721D"/>
    <w:rsid w:val="003A739D"/>
    <w:rsid w:val="003A7B05"/>
    <w:rsid w:val="003A7B8F"/>
    <w:rsid w:val="003B02DB"/>
    <w:rsid w:val="003B0C21"/>
    <w:rsid w:val="003B0D7B"/>
    <w:rsid w:val="003B128E"/>
    <w:rsid w:val="003B1432"/>
    <w:rsid w:val="003B191C"/>
    <w:rsid w:val="003B1D6F"/>
    <w:rsid w:val="003B210E"/>
    <w:rsid w:val="003B2C3F"/>
    <w:rsid w:val="003B3366"/>
    <w:rsid w:val="003B3408"/>
    <w:rsid w:val="003B37C2"/>
    <w:rsid w:val="003B412B"/>
    <w:rsid w:val="003B4601"/>
    <w:rsid w:val="003B4E94"/>
    <w:rsid w:val="003B50C2"/>
    <w:rsid w:val="003B5798"/>
    <w:rsid w:val="003B5BA3"/>
    <w:rsid w:val="003B6023"/>
    <w:rsid w:val="003B6067"/>
    <w:rsid w:val="003B6376"/>
    <w:rsid w:val="003B67B0"/>
    <w:rsid w:val="003B6A13"/>
    <w:rsid w:val="003B6B6B"/>
    <w:rsid w:val="003B7235"/>
    <w:rsid w:val="003C014E"/>
    <w:rsid w:val="003C10DC"/>
    <w:rsid w:val="003C116F"/>
    <w:rsid w:val="003C133E"/>
    <w:rsid w:val="003C192E"/>
    <w:rsid w:val="003C1977"/>
    <w:rsid w:val="003C19A1"/>
    <w:rsid w:val="003C2C94"/>
    <w:rsid w:val="003C2F56"/>
    <w:rsid w:val="003C311C"/>
    <w:rsid w:val="003C336B"/>
    <w:rsid w:val="003C35FA"/>
    <w:rsid w:val="003C373A"/>
    <w:rsid w:val="003C3D0F"/>
    <w:rsid w:val="003C4364"/>
    <w:rsid w:val="003C49FE"/>
    <w:rsid w:val="003C4B88"/>
    <w:rsid w:val="003C5138"/>
    <w:rsid w:val="003C5669"/>
    <w:rsid w:val="003C56F8"/>
    <w:rsid w:val="003C6155"/>
    <w:rsid w:val="003C6417"/>
    <w:rsid w:val="003C658D"/>
    <w:rsid w:val="003C6FC5"/>
    <w:rsid w:val="003D03F1"/>
    <w:rsid w:val="003D081A"/>
    <w:rsid w:val="003D098C"/>
    <w:rsid w:val="003D0F1A"/>
    <w:rsid w:val="003D0FE9"/>
    <w:rsid w:val="003D16B9"/>
    <w:rsid w:val="003D1753"/>
    <w:rsid w:val="003D1C84"/>
    <w:rsid w:val="003D2521"/>
    <w:rsid w:val="003D2709"/>
    <w:rsid w:val="003D2C70"/>
    <w:rsid w:val="003D2E46"/>
    <w:rsid w:val="003D3522"/>
    <w:rsid w:val="003D395D"/>
    <w:rsid w:val="003D3EE3"/>
    <w:rsid w:val="003D4278"/>
    <w:rsid w:val="003D4CF4"/>
    <w:rsid w:val="003D5564"/>
    <w:rsid w:val="003D5D79"/>
    <w:rsid w:val="003D6A12"/>
    <w:rsid w:val="003D6E21"/>
    <w:rsid w:val="003D7296"/>
    <w:rsid w:val="003D7708"/>
    <w:rsid w:val="003E10A3"/>
    <w:rsid w:val="003E20B5"/>
    <w:rsid w:val="003E2370"/>
    <w:rsid w:val="003E244F"/>
    <w:rsid w:val="003E27F6"/>
    <w:rsid w:val="003E2EC0"/>
    <w:rsid w:val="003E2FC2"/>
    <w:rsid w:val="003E31B9"/>
    <w:rsid w:val="003E32B1"/>
    <w:rsid w:val="003E34D4"/>
    <w:rsid w:val="003E3D08"/>
    <w:rsid w:val="003E40BB"/>
    <w:rsid w:val="003E43EE"/>
    <w:rsid w:val="003E44AE"/>
    <w:rsid w:val="003E461B"/>
    <w:rsid w:val="003E473F"/>
    <w:rsid w:val="003E4F66"/>
    <w:rsid w:val="003E5D14"/>
    <w:rsid w:val="003E606B"/>
    <w:rsid w:val="003E610B"/>
    <w:rsid w:val="003E610F"/>
    <w:rsid w:val="003E62A7"/>
    <w:rsid w:val="003E6B70"/>
    <w:rsid w:val="003E6BD1"/>
    <w:rsid w:val="003E7A9D"/>
    <w:rsid w:val="003F0587"/>
    <w:rsid w:val="003F1136"/>
    <w:rsid w:val="003F1352"/>
    <w:rsid w:val="003F1516"/>
    <w:rsid w:val="003F1D61"/>
    <w:rsid w:val="003F22C0"/>
    <w:rsid w:val="003F24E8"/>
    <w:rsid w:val="003F2EE3"/>
    <w:rsid w:val="003F3407"/>
    <w:rsid w:val="003F3538"/>
    <w:rsid w:val="003F3DEB"/>
    <w:rsid w:val="003F3E69"/>
    <w:rsid w:val="003F4D2E"/>
    <w:rsid w:val="003F5F15"/>
    <w:rsid w:val="003F66DE"/>
    <w:rsid w:val="003F6753"/>
    <w:rsid w:val="003F67EF"/>
    <w:rsid w:val="003F6C92"/>
    <w:rsid w:val="003F7113"/>
    <w:rsid w:val="003F75F0"/>
    <w:rsid w:val="00401407"/>
    <w:rsid w:val="004020DA"/>
    <w:rsid w:val="00402861"/>
    <w:rsid w:val="00403290"/>
    <w:rsid w:val="00403301"/>
    <w:rsid w:val="00403CB8"/>
    <w:rsid w:val="00404375"/>
    <w:rsid w:val="00404FBF"/>
    <w:rsid w:val="004051C7"/>
    <w:rsid w:val="00405333"/>
    <w:rsid w:val="004055F8"/>
    <w:rsid w:val="004062E4"/>
    <w:rsid w:val="0040749E"/>
    <w:rsid w:val="00410AD4"/>
    <w:rsid w:val="004111FC"/>
    <w:rsid w:val="00411362"/>
    <w:rsid w:val="00411574"/>
    <w:rsid w:val="00412747"/>
    <w:rsid w:val="0041283D"/>
    <w:rsid w:val="004133B7"/>
    <w:rsid w:val="00413580"/>
    <w:rsid w:val="00413596"/>
    <w:rsid w:val="00413673"/>
    <w:rsid w:val="00413DF5"/>
    <w:rsid w:val="004144EA"/>
    <w:rsid w:val="0041539B"/>
    <w:rsid w:val="00416416"/>
    <w:rsid w:val="0041648F"/>
    <w:rsid w:val="00417F3E"/>
    <w:rsid w:val="00420D50"/>
    <w:rsid w:val="00421796"/>
    <w:rsid w:val="00422D9F"/>
    <w:rsid w:val="0042331B"/>
    <w:rsid w:val="00423777"/>
    <w:rsid w:val="00423C7A"/>
    <w:rsid w:val="00423E4C"/>
    <w:rsid w:val="00424136"/>
    <w:rsid w:val="00424562"/>
    <w:rsid w:val="00424B5A"/>
    <w:rsid w:val="00424DAD"/>
    <w:rsid w:val="00424F08"/>
    <w:rsid w:val="0042517E"/>
    <w:rsid w:val="0042526A"/>
    <w:rsid w:val="00425456"/>
    <w:rsid w:val="00425927"/>
    <w:rsid w:val="00425F4D"/>
    <w:rsid w:val="00425FB6"/>
    <w:rsid w:val="004261C9"/>
    <w:rsid w:val="00426E52"/>
    <w:rsid w:val="004273FD"/>
    <w:rsid w:val="004276E2"/>
    <w:rsid w:val="004278BD"/>
    <w:rsid w:val="00427D77"/>
    <w:rsid w:val="004300DC"/>
    <w:rsid w:val="0043056D"/>
    <w:rsid w:val="004306DF"/>
    <w:rsid w:val="0043135B"/>
    <w:rsid w:val="00431C34"/>
    <w:rsid w:val="004327A0"/>
    <w:rsid w:val="0043283B"/>
    <w:rsid w:val="00432C1D"/>
    <w:rsid w:val="00433235"/>
    <w:rsid w:val="0043327D"/>
    <w:rsid w:val="00433392"/>
    <w:rsid w:val="00436950"/>
    <w:rsid w:val="00437567"/>
    <w:rsid w:val="00437858"/>
    <w:rsid w:val="00437EC9"/>
    <w:rsid w:val="00440138"/>
    <w:rsid w:val="00441788"/>
    <w:rsid w:val="00441A78"/>
    <w:rsid w:val="00441EB5"/>
    <w:rsid w:val="00442ED0"/>
    <w:rsid w:val="00443A61"/>
    <w:rsid w:val="00443A75"/>
    <w:rsid w:val="00443CCA"/>
    <w:rsid w:val="004444CD"/>
    <w:rsid w:val="0044467F"/>
    <w:rsid w:val="00445262"/>
    <w:rsid w:val="0044529F"/>
    <w:rsid w:val="004453C4"/>
    <w:rsid w:val="00445963"/>
    <w:rsid w:val="00445F91"/>
    <w:rsid w:val="00446592"/>
    <w:rsid w:val="00447533"/>
    <w:rsid w:val="0044790B"/>
    <w:rsid w:val="00447941"/>
    <w:rsid w:val="00450227"/>
    <w:rsid w:val="0045048A"/>
    <w:rsid w:val="0045051F"/>
    <w:rsid w:val="00450570"/>
    <w:rsid w:val="00450FCD"/>
    <w:rsid w:val="00451056"/>
    <w:rsid w:val="004511CA"/>
    <w:rsid w:val="0045159B"/>
    <w:rsid w:val="00452137"/>
    <w:rsid w:val="0045238A"/>
    <w:rsid w:val="004524F3"/>
    <w:rsid w:val="0045280C"/>
    <w:rsid w:val="004528FE"/>
    <w:rsid w:val="00452999"/>
    <w:rsid w:val="00452DE8"/>
    <w:rsid w:val="00453EF0"/>
    <w:rsid w:val="004545F2"/>
    <w:rsid w:val="00454F43"/>
    <w:rsid w:val="004550E2"/>
    <w:rsid w:val="00455894"/>
    <w:rsid w:val="004563ED"/>
    <w:rsid w:val="004566ED"/>
    <w:rsid w:val="00456B59"/>
    <w:rsid w:val="00456D24"/>
    <w:rsid w:val="00456E7A"/>
    <w:rsid w:val="004571C0"/>
    <w:rsid w:val="0045728F"/>
    <w:rsid w:val="00457741"/>
    <w:rsid w:val="00457928"/>
    <w:rsid w:val="00460366"/>
    <w:rsid w:val="00462167"/>
    <w:rsid w:val="004622AA"/>
    <w:rsid w:val="00462EFF"/>
    <w:rsid w:val="00464478"/>
    <w:rsid w:val="00464AB6"/>
    <w:rsid w:val="00464D03"/>
    <w:rsid w:val="0046503B"/>
    <w:rsid w:val="00465086"/>
    <w:rsid w:val="00465C9B"/>
    <w:rsid w:val="0046625A"/>
    <w:rsid w:val="0046659C"/>
    <w:rsid w:val="00466C56"/>
    <w:rsid w:val="00467260"/>
    <w:rsid w:val="00467C93"/>
    <w:rsid w:val="0047044B"/>
    <w:rsid w:val="00470813"/>
    <w:rsid w:val="00470E0C"/>
    <w:rsid w:val="00470E5D"/>
    <w:rsid w:val="00471871"/>
    <w:rsid w:val="00471A66"/>
    <w:rsid w:val="00471B1A"/>
    <w:rsid w:val="00471E2E"/>
    <w:rsid w:val="004731D0"/>
    <w:rsid w:val="00473EAF"/>
    <w:rsid w:val="00474968"/>
    <w:rsid w:val="0047508C"/>
    <w:rsid w:val="004751CC"/>
    <w:rsid w:val="0047607D"/>
    <w:rsid w:val="00476367"/>
    <w:rsid w:val="00476A7A"/>
    <w:rsid w:val="00476B75"/>
    <w:rsid w:val="00476F30"/>
    <w:rsid w:val="00477261"/>
    <w:rsid w:val="0047738C"/>
    <w:rsid w:val="00477396"/>
    <w:rsid w:val="004775B2"/>
    <w:rsid w:val="00477904"/>
    <w:rsid w:val="00477F44"/>
    <w:rsid w:val="00477F88"/>
    <w:rsid w:val="00481D2B"/>
    <w:rsid w:val="00482AC5"/>
    <w:rsid w:val="0048355B"/>
    <w:rsid w:val="00483A6F"/>
    <w:rsid w:val="0048403E"/>
    <w:rsid w:val="00484377"/>
    <w:rsid w:val="00484F5A"/>
    <w:rsid w:val="00485891"/>
    <w:rsid w:val="00485C87"/>
    <w:rsid w:val="00485CF2"/>
    <w:rsid w:val="00485F31"/>
    <w:rsid w:val="00485FD2"/>
    <w:rsid w:val="00486BBA"/>
    <w:rsid w:val="0048718F"/>
    <w:rsid w:val="004874A1"/>
    <w:rsid w:val="00487A7F"/>
    <w:rsid w:val="00487B14"/>
    <w:rsid w:val="00490654"/>
    <w:rsid w:val="00490A4F"/>
    <w:rsid w:val="00490EAC"/>
    <w:rsid w:val="004932A2"/>
    <w:rsid w:val="0049373D"/>
    <w:rsid w:val="00493ECE"/>
    <w:rsid w:val="004951BE"/>
    <w:rsid w:val="00495ACB"/>
    <w:rsid w:val="0049625F"/>
    <w:rsid w:val="00497122"/>
    <w:rsid w:val="00497A98"/>
    <w:rsid w:val="004A021C"/>
    <w:rsid w:val="004A08B1"/>
    <w:rsid w:val="004A0A1B"/>
    <w:rsid w:val="004A0BE5"/>
    <w:rsid w:val="004A0F44"/>
    <w:rsid w:val="004A0F60"/>
    <w:rsid w:val="004A18B5"/>
    <w:rsid w:val="004A1A3F"/>
    <w:rsid w:val="004A1C89"/>
    <w:rsid w:val="004A1E99"/>
    <w:rsid w:val="004A1F99"/>
    <w:rsid w:val="004A22FF"/>
    <w:rsid w:val="004A27DA"/>
    <w:rsid w:val="004A2878"/>
    <w:rsid w:val="004A36CB"/>
    <w:rsid w:val="004A3F51"/>
    <w:rsid w:val="004A413E"/>
    <w:rsid w:val="004A4665"/>
    <w:rsid w:val="004A46A9"/>
    <w:rsid w:val="004A486F"/>
    <w:rsid w:val="004A4CC4"/>
    <w:rsid w:val="004A4EA4"/>
    <w:rsid w:val="004A55C7"/>
    <w:rsid w:val="004A5B5B"/>
    <w:rsid w:val="004A5CEB"/>
    <w:rsid w:val="004A656F"/>
    <w:rsid w:val="004A678E"/>
    <w:rsid w:val="004A68E5"/>
    <w:rsid w:val="004A6903"/>
    <w:rsid w:val="004A7217"/>
    <w:rsid w:val="004A7333"/>
    <w:rsid w:val="004A7B1D"/>
    <w:rsid w:val="004A7D7D"/>
    <w:rsid w:val="004B08B9"/>
    <w:rsid w:val="004B1133"/>
    <w:rsid w:val="004B19A7"/>
    <w:rsid w:val="004B1E8E"/>
    <w:rsid w:val="004B1FF1"/>
    <w:rsid w:val="004B3780"/>
    <w:rsid w:val="004B3F1E"/>
    <w:rsid w:val="004B58B1"/>
    <w:rsid w:val="004B62AB"/>
    <w:rsid w:val="004B69C5"/>
    <w:rsid w:val="004B6BE3"/>
    <w:rsid w:val="004B6D9A"/>
    <w:rsid w:val="004B7332"/>
    <w:rsid w:val="004B790D"/>
    <w:rsid w:val="004B7925"/>
    <w:rsid w:val="004B7E84"/>
    <w:rsid w:val="004C1442"/>
    <w:rsid w:val="004C1BBF"/>
    <w:rsid w:val="004C270B"/>
    <w:rsid w:val="004C2C6F"/>
    <w:rsid w:val="004C302A"/>
    <w:rsid w:val="004C3170"/>
    <w:rsid w:val="004C3399"/>
    <w:rsid w:val="004C3D87"/>
    <w:rsid w:val="004C3DDD"/>
    <w:rsid w:val="004C46B0"/>
    <w:rsid w:val="004C52F9"/>
    <w:rsid w:val="004C5740"/>
    <w:rsid w:val="004C5B53"/>
    <w:rsid w:val="004C5CF4"/>
    <w:rsid w:val="004C5D94"/>
    <w:rsid w:val="004C6683"/>
    <w:rsid w:val="004C68FC"/>
    <w:rsid w:val="004C6DD1"/>
    <w:rsid w:val="004C73EC"/>
    <w:rsid w:val="004C7E56"/>
    <w:rsid w:val="004D03BD"/>
    <w:rsid w:val="004D08EB"/>
    <w:rsid w:val="004D0914"/>
    <w:rsid w:val="004D16A7"/>
    <w:rsid w:val="004D1756"/>
    <w:rsid w:val="004D195F"/>
    <w:rsid w:val="004D1A6E"/>
    <w:rsid w:val="004D2A5A"/>
    <w:rsid w:val="004D3F38"/>
    <w:rsid w:val="004D49A1"/>
    <w:rsid w:val="004D55E7"/>
    <w:rsid w:val="004D5670"/>
    <w:rsid w:val="004D5E4C"/>
    <w:rsid w:val="004D63A2"/>
    <w:rsid w:val="004D63E4"/>
    <w:rsid w:val="004D6E57"/>
    <w:rsid w:val="004D6ED7"/>
    <w:rsid w:val="004D7188"/>
    <w:rsid w:val="004D72B6"/>
    <w:rsid w:val="004D76DA"/>
    <w:rsid w:val="004D7B74"/>
    <w:rsid w:val="004E0173"/>
    <w:rsid w:val="004E035F"/>
    <w:rsid w:val="004E0E27"/>
    <w:rsid w:val="004E121F"/>
    <w:rsid w:val="004E1261"/>
    <w:rsid w:val="004E1297"/>
    <w:rsid w:val="004E14C3"/>
    <w:rsid w:val="004E164B"/>
    <w:rsid w:val="004E1B06"/>
    <w:rsid w:val="004E1CE6"/>
    <w:rsid w:val="004E1F83"/>
    <w:rsid w:val="004E208D"/>
    <w:rsid w:val="004E2268"/>
    <w:rsid w:val="004E22BF"/>
    <w:rsid w:val="004E29B2"/>
    <w:rsid w:val="004E2FF1"/>
    <w:rsid w:val="004E3D17"/>
    <w:rsid w:val="004E44EB"/>
    <w:rsid w:val="004E497F"/>
    <w:rsid w:val="004E4FB2"/>
    <w:rsid w:val="004E51CC"/>
    <w:rsid w:val="004E51DF"/>
    <w:rsid w:val="004E5B71"/>
    <w:rsid w:val="004E6383"/>
    <w:rsid w:val="004E68C3"/>
    <w:rsid w:val="004E7D4A"/>
    <w:rsid w:val="004E7E63"/>
    <w:rsid w:val="004F1076"/>
    <w:rsid w:val="004F137F"/>
    <w:rsid w:val="004F188F"/>
    <w:rsid w:val="004F1ED0"/>
    <w:rsid w:val="004F23AC"/>
    <w:rsid w:val="004F27A8"/>
    <w:rsid w:val="004F28FF"/>
    <w:rsid w:val="004F3166"/>
    <w:rsid w:val="004F39B4"/>
    <w:rsid w:val="004F3B6A"/>
    <w:rsid w:val="004F3D4F"/>
    <w:rsid w:val="004F3F43"/>
    <w:rsid w:val="004F3FBF"/>
    <w:rsid w:val="004F436C"/>
    <w:rsid w:val="004F55A1"/>
    <w:rsid w:val="004F6137"/>
    <w:rsid w:val="004F65D9"/>
    <w:rsid w:val="004F6B11"/>
    <w:rsid w:val="004F6BB5"/>
    <w:rsid w:val="004F743D"/>
    <w:rsid w:val="004F7806"/>
    <w:rsid w:val="004F7D66"/>
    <w:rsid w:val="00500021"/>
    <w:rsid w:val="00500242"/>
    <w:rsid w:val="005002C8"/>
    <w:rsid w:val="00500782"/>
    <w:rsid w:val="00500B1B"/>
    <w:rsid w:val="00500F5A"/>
    <w:rsid w:val="0050167E"/>
    <w:rsid w:val="00501A35"/>
    <w:rsid w:val="00502031"/>
    <w:rsid w:val="00502CB3"/>
    <w:rsid w:val="0050307E"/>
    <w:rsid w:val="0050370A"/>
    <w:rsid w:val="00503957"/>
    <w:rsid w:val="00503A6F"/>
    <w:rsid w:val="0050467E"/>
    <w:rsid w:val="00504AB9"/>
    <w:rsid w:val="0050594E"/>
    <w:rsid w:val="00505F1D"/>
    <w:rsid w:val="00506264"/>
    <w:rsid w:val="005064F6"/>
    <w:rsid w:val="00506676"/>
    <w:rsid w:val="00506993"/>
    <w:rsid w:val="00506D67"/>
    <w:rsid w:val="00506D83"/>
    <w:rsid w:val="00507663"/>
    <w:rsid w:val="00507BB3"/>
    <w:rsid w:val="0051049B"/>
    <w:rsid w:val="0051050F"/>
    <w:rsid w:val="005108FC"/>
    <w:rsid w:val="00511506"/>
    <w:rsid w:val="00512CAE"/>
    <w:rsid w:val="00513211"/>
    <w:rsid w:val="00513666"/>
    <w:rsid w:val="005148F0"/>
    <w:rsid w:val="00514E81"/>
    <w:rsid w:val="00516A9E"/>
    <w:rsid w:val="00516CB7"/>
    <w:rsid w:val="00516CBF"/>
    <w:rsid w:val="00516FBB"/>
    <w:rsid w:val="0052024D"/>
    <w:rsid w:val="00521197"/>
    <w:rsid w:val="00521777"/>
    <w:rsid w:val="005219F5"/>
    <w:rsid w:val="00522266"/>
    <w:rsid w:val="00523337"/>
    <w:rsid w:val="005242A1"/>
    <w:rsid w:val="0052520C"/>
    <w:rsid w:val="005254D7"/>
    <w:rsid w:val="00525906"/>
    <w:rsid w:val="00526153"/>
    <w:rsid w:val="00526799"/>
    <w:rsid w:val="00526C7B"/>
    <w:rsid w:val="005273E0"/>
    <w:rsid w:val="00527FDC"/>
    <w:rsid w:val="005311AA"/>
    <w:rsid w:val="005314E1"/>
    <w:rsid w:val="00532242"/>
    <w:rsid w:val="00532272"/>
    <w:rsid w:val="00532EB7"/>
    <w:rsid w:val="00533573"/>
    <w:rsid w:val="005336AA"/>
    <w:rsid w:val="00533956"/>
    <w:rsid w:val="00533AC8"/>
    <w:rsid w:val="00534487"/>
    <w:rsid w:val="00534A0A"/>
    <w:rsid w:val="00534B56"/>
    <w:rsid w:val="00534D8A"/>
    <w:rsid w:val="005357B6"/>
    <w:rsid w:val="0053620A"/>
    <w:rsid w:val="00536933"/>
    <w:rsid w:val="005372FF"/>
    <w:rsid w:val="0054074E"/>
    <w:rsid w:val="00540863"/>
    <w:rsid w:val="005408CF"/>
    <w:rsid w:val="00540971"/>
    <w:rsid w:val="00540BA7"/>
    <w:rsid w:val="00540F90"/>
    <w:rsid w:val="00541011"/>
    <w:rsid w:val="0054222C"/>
    <w:rsid w:val="00542378"/>
    <w:rsid w:val="00542444"/>
    <w:rsid w:val="005432B2"/>
    <w:rsid w:val="005435A3"/>
    <w:rsid w:val="00543616"/>
    <w:rsid w:val="00543CD5"/>
    <w:rsid w:val="005440CE"/>
    <w:rsid w:val="00544D3D"/>
    <w:rsid w:val="00544D99"/>
    <w:rsid w:val="005451F7"/>
    <w:rsid w:val="0054551A"/>
    <w:rsid w:val="00545BDF"/>
    <w:rsid w:val="00546071"/>
    <w:rsid w:val="00546072"/>
    <w:rsid w:val="005461B5"/>
    <w:rsid w:val="00546F6B"/>
    <w:rsid w:val="0054740F"/>
    <w:rsid w:val="00547412"/>
    <w:rsid w:val="00547665"/>
    <w:rsid w:val="005477D0"/>
    <w:rsid w:val="00547A63"/>
    <w:rsid w:val="00550384"/>
    <w:rsid w:val="00551861"/>
    <w:rsid w:val="00553304"/>
    <w:rsid w:val="005538C1"/>
    <w:rsid w:val="00554297"/>
    <w:rsid w:val="005542D5"/>
    <w:rsid w:val="005545C6"/>
    <w:rsid w:val="00554AC5"/>
    <w:rsid w:val="00554CA8"/>
    <w:rsid w:val="00554F13"/>
    <w:rsid w:val="0055544E"/>
    <w:rsid w:val="00555870"/>
    <w:rsid w:val="005561BB"/>
    <w:rsid w:val="00556A4D"/>
    <w:rsid w:val="00556BCA"/>
    <w:rsid w:val="005573AE"/>
    <w:rsid w:val="005577A5"/>
    <w:rsid w:val="00560333"/>
    <w:rsid w:val="00560885"/>
    <w:rsid w:val="00560AD9"/>
    <w:rsid w:val="005610DB"/>
    <w:rsid w:val="005612AA"/>
    <w:rsid w:val="00561768"/>
    <w:rsid w:val="00561B87"/>
    <w:rsid w:val="00561D01"/>
    <w:rsid w:val="00561DE9"/>
    <w:rsid w:val="00562677"/>
    <w:rsid w:val="005627D8"/>
    <w:rsid w:val="00562878"/>
    <w:rsid w:val="00562C00"/>
    <w:rsid w:val="00563593"/>
    <w:rsid w:val="00563F82"/>
    <w:rsid w:val="005644A9"/>
    <w:rsid w:val="005654E7"/>
    <w:rsid w:val="00565CA4"/>
    <w:rsid w:val="00566095"/>
    <w:rsid w:val="00566132"/>
    <w:rsid w:val="0056615B"/>
    <w:rsid w:val="00566944"/>
    <w:rsid w:val="005674F0"/>
    <w:rsid w:val="005675AB"/>
    <w:rsid w:val="00567666"/>
    <w:rsid w:val="00567C61"/>
    <w:rsid w:val="00567E25"/>
    <w:rsid w:val="005710FB"/>
    <w:rsid w:val="005713F6"/>
    <w:rsid w:val="00571882"/>
    <w:rsid w:val="0057270E"/>
    <w:rsid w:val="00572BFC"/>
    <w:rsid w:val="00572FFA"/>
    <w:rsid w:val="00573382"/>
    <w:rsid w:val="00573AD2"/>
    <w:rsid w:val="00573AF4"/>
    <w:rsid w:val="00574125"/>
    <w:rsid w:val="00574F6B"/>
    <w:rsid w:val="005750C5"/>
    <w:rsid w:val="005753DC"/>
    <w:rsid w:val="0057594B"/>
    <w:rsid w:val="00575A7E"/>
    <w:rsid w:val="00575CB4"/>
    <w:rsid w:val="00575DC2"/>
    <w:rsid w:val="00575DD6"/>
    <w:rsid w:val="0057613B"/>
    <w:rsid w:val="005764C7"/>
    <w:rsid w:val="00576959"/>
    <w:rsid w:val="005773A7"/>
    <w:rsid w:val="005774E0"/>
    <w:rsid w:val="005776B6"/>
    <w:rsid w:val="00577DEB"/>
    <w:rsid w:val="005808E9"/>
    <w:rsid w:val="00580AB5"/>
    <w:rsid w:val="0058172A"/>
    <w:rsid w:val="00581932"/>
    <w:rsid w:val="00581BBD"/>
    <w:rsid w:val="00581C4E"/>
    <w:rsid w:val="00581DAD"/>
    <w:rsid w:val="0058248C"/>
    <w:rsid w:val="00582A43"/>
    <w:rsid w:val="00582D18"/>
    <w:rsid w:val="00583411"/>
    <w:rsid w:val="00583701"/>
    <w:rsid w:val="00583A11"/>
    <w:rsid w:val="0058405C"/>
    <w:rsid w:val="0058430F"/>
    <w:rsid w:val="00584624"/>
    <w:rsid w:val="005856E9"/>
    <w:rsid w:val="00585FAC"/>
    <w:rsid w:val="00586082"/>
    <w:rsid w:val="005860C6"/>
    <w:rsid w:val="00586186"/>
    <w:rsid w:val="00586196"/>
    <w:rsid w:val="00586346"/>
    <w:rsid w:val="005863C6"/>
    <w:rsid w:val="00586551"/>
    <w:rsid w:val="0058671D"/>
    <w:rsid w:val="00587D8D"/>
    <w:rsid w:val="00590431"/>
    <w:rsid w:val="00590B70"/>
    <w:rsid w:val="00590C7E"/>
    <w:rsid w:val="005911D6"/>
    <w:rsid w:val="005919C2"/>
    <w:rsid w:val="00591AFD"/>
    <w:rsid w:val="00592E50"/>
    <w:rsid w:val="005931D7"/>
    <w:rsid w:val="00595D93"/>
    <w:rsid w:val="005966AC"/>
    <w:rsid w:val="00596ABD"/>
    <w:rsid w:val="00596F44"/>
    <w:rsid w:val="0059726D"/>
    <w:rsid w:val="0059742F"/>
    <w:rsid w:val="00597A80"/>
    <w:rsid w:val="005A061D"/>
    <w:rsid w:val="005A1105"/>
    <w:rsid w:val="005A1579"/>
    <w:rsid w:val="005A225A"/>
    <w:rsid w:val="005A388A"/>
    <w:rsid w:val="005A44D6"/>
    <w:rsid w:val="005A458B"/>
    <w:rsid w:val="005A49C2"/>
    <w:rsid w:val="005A4A8A"/>
    <w:rsid w:val="005A5801"/>
    <w:rsid w:val="005A5A02"/>
    <w:rsid w:val="005A6346"/>
    <w:rsid w:val="005A6DA3"/>
    <w:rsid w:val="005A7636"/>
    <w:rsid w:val="005A79DC"/>
    <w:rsid w:val="005B003D"/>
    <w:rsid w:val="005B00F1"/>
    <w:rsid w:val="005B0967"/>
    <w:rsid w:val="005B0AA5"/>
    <w:rsid w:val="005B1561"/>
    <w:rsid w:val="005B18C6"/>
    <w:rsid w:val="005B27F8"/>
    <w:rsid w:val="005B2A27"/>
    <w:rsid w:val="005B2AAA"/>
    <w:rsid w:val="005B2B33"/>
    <w:rsid w:val="005B2C87"/>
    <w:rsid w:val="005B2CDB"/>
    <w:rsid w:val="005B3AE5"/>
    <w:rsid w:val="005B3D73"/>
    <w:rsid w:val="005B3EBE"/>
    <w:rsid w:val="005B3F65"/>
    <w:rsid w:val="005B420C"/>
    <w:rsid w:val="005B4900"/>
    <w:rsid w:val="005B4C76"/>
    <w:rsid w:val="005B50A4"/>
    <w:rsid w:val="005B5883"/>
    <w:rsid w:val="005B664C"/>
    <w:rsid w:val="005B6C6B"/>
    <w:rsid w:val="005B7796"/>
    <w:rsid w:val="005B7CFD"/>
    <w:rsid w:val="005C002A"/>
    <w:rsid w:val="005C075E"/>
    <w:rsid w:val="005C1079"/>
    <w:rsid w:val="005C1BD1"/>
    <w:rsid w:val="005C399A"/>
    <w:rsid w:val="005C4045"/>
    <w:rsid w:val="005C4626"/>
    <w:rsid w:val="005C51B9"/>
    <w:rsid w:val="005C63BA"/>
    <w:rsid w:val="005C6981"/>
    <w:rsid w:val="005C6D23"/>
    <w:rsid w:val="005C72C0"/>
    <w:rsid w:val="005C7B8A"/>
    <w:rsid w:val="005C7DAF"/>
    <w:rsid w:val="005D056D"/>
    <w:rsid w:val="005D0F09"/>
    <w:rsid w:val="005D1090"/>
    <w:rsid w:val="005D1E8B"/>
    <w:rsid w:val="005D2307"/>
    <w:rsid w:val="005D2CDD"/>
    <w:rsid w:val="005D40DE"/>
    <w:rsid w:val="005D41A5"/>
    <w:rsid w:val="005D439A"/>
    <w:rsid w:val="005D48E1"/>
    <w:rsid w:val="005D5B5C"/>
    <w:rsid w:val="005D5EED"/>
    <w:rsid w:val="005D6739"/>
    <w:rsid w:val="005D6CCD"/>
    <w:rsid w:val="005D6FB9"/>
    <w:rsid w:val="005E071F"/>
    <w:rsid w:val="005E15AF"/>
    <w:rsid w:val="005E1DFE"/>
    <w:rsid w:val="005E1EF3"/>
    <w:rsid w:val="005E2078"/>
    <w:rsid w:val="005E2375"/>
    <w:rsid w:val="005E26F3"/>
    <w:rsid w:val="005E2AA5"/>
    <w:rsid w:val="005E2ECD"/>
    <w:rsid w:val="005E3065"/>
    <w:rsid w:val="005E3449"/>
    <w:rsid w:val="005E36AE"/>
    <w:rsid w:val="005E4361"/>
    <w:rsid w:val="005E4917"/>
    <w:rsid w:val="005E49BC"/>
    <w:rsid w:val="005E4E18"/>
    <w:rsid w:val="005E4F6A"/>
    <w:rsid w:val="005E4FE6"/>
    <w:rsid w:val="005E5376"/>
    <w:rsid w:val="005E5716"/>
    <w:rsid w:val="005E5B04"/>
    <w:rsid w:val="005E604B"/>
    <w:rsid w:val="005E7216"/>
    <w:rsid w:val="005E77E0"/>
    <w:rsid w:val="005F00D2"/>
    <w:rsid w:val="005F0412"/>
    <w:rsid w:val="005F053F"/>
    <w:rsid w:val="005F098B"/>
    <w:rsid w:val="005F0994"/>
    <w:rsid w:val="005F10C9"/>
    <w:rsid w:val="005F19CC"/>
    <w:rsid w:val="005F2056"/>
    <w:rsid w:val="005F23BD"/>
    <w:rsid w:val="005F2490"/>
    <w:rsid w:val="005F335E"/>
    <w:rsid w:val="005F3946"/>
    <w:rsid w:val="005F3A14"/>
    <w:rsid w:val="005F403B"/>
    <w:rsid w:val="005F49FC"/>
    <w:rsid w:val="005F4C23"/>
    <w:rsid w:val="005F4C44"/>
    <w:rsid w:val="005F5F55"/>
    <w:rsid w:val="005F627F"/>
    <w:rsid w:val="005F6FBF"/>
    <w:rsid w:val="005F7083"/>
    <w:rsid w:val="005F710B"/>
    <w:rsid w:val="005F71A0"/>
    <w:rsid w:val="006000C8"/>
    <w:rsid w:val="006003C5"/>
    <w:rsid w:val="006006E5"/>
    <w:rsid w:val="00600A7B"/>
    <w:rsid w:val="00601002"/>
    <w:rsid w:val="00601C4B"/>
    <w:rsid w:val="006027BD"/>
    <w:rsid w:val="00602871"/>
    <w:rsid w:val="00602B36"/>
    <w:rsid w:val="0060382D"/>
    <w:rsid w:val="00603AC7"/>
    <w:rsid w:val="00603E2A"/>
    <w:rsid w:val="006041E4"/>
    <w:rsid w:val="00604246"/>
    <w:rsid w:val="00604440"/>
    <w:rsid w:val="00604695"/>
    <w:rsid w:val="006055A0"/>
    <w:rsid w:val="006061AB"/>
    <w:rsid w:val="00606E27"/>
    <w:rsid w:val="00607586"/>
    <w:rsid w:val="00607F48"/>
    <w:rsid w:val="00610D59"/>
    <w:rsid w:val="00611101"/>
    <w:rsid w:val="006113F1"/>
    <w:rsid w:val="00611AAD"/>
    <w:rsid w:val="00611CF4"/>
    <w:rsid w:val="006127EF"/>
    <w:rsid w:val="00612C52"/>
    <w:rsid w:val="00612E12"/>
    <w:rsid w:val="00613080"/>
    <w:rsid w:val="006137E2"/>
    <w:rsid w:val="0061391B"/>
    <w:rsid w:val="00613A82"/>
    <w:rsid w:val="00613FAA"/>
    <w:rsid w:val="006145A3"/>
    <w:rsid w:val="00614818"/>
    <w:rsid w:val="0061533F"/>
    <w:rsid w:val="0061577E"/>
    <w:rsid w:val="00615803"/>
    <w:rsid w:val="00615818"/>
    <w:rsid w:val="00615CB2"/>
    <w:rsid w:val="00616615"/>
    <w:rsid w:val="00616EEB"/>
    <w:rsid w:val="0061704F"/>
    <w:rsid w:val="00617840"/>
    <w:rsid w:val="006179E2"/>
    <w:rsid w:val="00617EDB"/>
    <w:rsid w:val="00620174"/>
    <w:rsid w:val="00620347"/>
    <w:rsid w:val="00620E8F"/>
    <w:rsid w:val="0062181C"/>
    <w:rsid w:val="00621915"/>
    <w:rsid w:val="00621C72"/>
    <w:rsid w:val="00621F3C"/>
    <w:rsid w:val="00622002"/>
    <w:rsid w:val="00622562"/>
    <w:rsid w:val="00622B8F"/>
    <w:rsid w:val="00622D74"/>
    <w:rsid w:val="0062310C"/>
    <w:rsid w:val="0062368C"/>
    <w:rsid w:val="006239F4"/>
    <w:rsid w:val="0062491C"/>
    <w:rsid w:val="00624CC8"/>
    <w:rsid w:val="006254FE"/>
    <w:rsid w:val="006258CE"/>
    <w:rsid w:val="00625BCF"/>
    <w:rsid w:val="00625C2C"/>
    <w:rsid w:val="00626575"/>
    <w:rsid w:val="00626A4C"/>
    <w:rsid w:val="00626AA4"/>
    <w:rsid w:val="00626C09"/>
    <w:rsid w:val="006274D0"/>
    <w:rsid w:val="006278CC"/>
    <w:rsid w:val="00630200"/>
    <w:rsid w:val="00630544"/>
    <w:rsid w:val="006308A7"/>
    <w:rsid w:val="00631502"/>
    <w:rsid w:val="00631566"/>
    <w:rsid w:val="00631ACE"/>
    <w:rsid w:val="00632899"/>
    <w:rsid w:val="00632C8E"/>
    <w:rsid w:val="00632F3D"/>
    <w:rsid w:val="00633B8A"/>
    <w:rsid w:val="00634DA6"/>
    <w:rsid w:val="00635252"/>
    <w:rsid w:val="006357D3"/>
    <w:rsid w:val="00635975"/>
    <w:rsid w:val="00636319"/>
    <w:rsid w:val="00636412"/>
    <w:rsid w:val="006367A5"/>
    <w:rsid w:val="00636941"/>
    <w:rsid w:val="0063732F"/>
    <w:rsid w:val="0063747F"/>
    <w:rsid w:val="00637604"/>
    <w:rsid w:val="006376D6"/>
    <w:rsid w:val="00637C41"/>
    <w:rsid w:val="00640A1F"/>
    <w:rsid w:val="00640D3F"/>
    <w:rsid w:val="00641437"/>
    <w:rsid w:val="0064146A"/>
    <w:rsid w:val="006415E2"/>
    <w:rsid w:val="00641FDD"/>
    <w:rsid w:val="0064210B"/>
    <w:rsid w:val="00642E09"/>
    <w:rsid w:val="006434E5"/>
    <w:rsid w:val="00643747"/>
    <w:rsid w:val="00643749"/>
    <w:rsid w:val="00643843"/>
    <w:rsid w:val="00643CC3"/>
    <w:rsid w:val="00643ED7"/>
    <w:rsid w:val="006447A2"/>
    <w:rsid w:val="006447E4"/>
    <w:rsid w:val="00644B43"/>
    <w:rsid w:val="00644B97"/>
    <w:rsid w:val="00645789"/>
    <w:rsid w:val="00646183"/>
    <w:rsid w:val="0064684F"/>
    <w:rsid w:val="00646987"/>
    <w:rsid w:val="00647993"/>
    <w:rsid w:val="006503EC"/>
    <w:rsid w:val="00651F7D"/>
    <w:rsid w:val="006521C3"/>
    <w:rsid w:val="00652CF5"/>
    <w:rsid w:val="00653353"/>
    <w:rsid w:val="0065356A"/>
    <w:rsid w:val="00653652"/>
    <w:rsid w:val="006536FC"/>
    <w:rsid w:val="00653887"/>
    <w:rsid w:val="00653D33"/>
    <w:rsid w:val="00654C76"/>
    <w:rsid w:val="00654DB6"/>
    <w:rsid w:val="00654F16"/>
    <w:rsid w:val="006550FF"/>
    <w:rsid w:val="006555B5"/>
    <w:rsid w:val="006558FA"/>
    <w:rsid w:val="00655FC1"/>
    <w:rsid w:val="006566FE"/>
    <w:rsid w:val="0065759F"/>
    <w:rsid w:val="00657ECB"/>
    <w:rsid w:val="00657FBD"/>
    <w:rsid w:val="006601BB"/>
    <w:rsid w:val="00660DED"/>
    <w:rsid w:val="00660EED"/>
    <w:rsid w:val="00660F38"/>
    <w:rsid w:val="006614FA"/>
    <w:rsid w:val="00661E12"/>
    <w:rsid w:val="0066281D"/>
    <w:rsid w:val="0066288A"/>
    <w:rsid w:val="00662FBD"/>
    <w:rsid w:val="00663175"/>
    <w:rsid w:val="0066347B"/>
    <w:rsid w:val="0066376C"/>
    <w:rsid w:val="00663B20"/>
    <w:rsid w:val="00664471"/>
    <w:rsid w:val="0066480B"/>
    <w:rsid w:val="00665053"/>
    <w:rsid w:val="00665247"/>
    <w:rsid w:val="00665F9B"/>
    <w:rsid w:val="00666D62"/>
    <w:rsid w:val="00666F88"/>
    <w:rsid w:val="00670A9A"/>
    <w:rsid w:val="0067120D"/>
    <w:rsid w:val="0067122C"/>
    <w:rsid w:val="00671479"/>
    <w:rsid w:val="00671743"/>
    <w:rsid w:val="00671A6B"/>
    <w:rsid w:val="006725CF"/>
    <w:rsid w:val="006726AD"/>
    <w:rsid w:val="00672F9C"/>
    <w:rsid w:val="006736D4"/>
    <w:rsid w:val="006737E6"/>
    <w:rsid w:val="006738CD"/>
    <w:rsid w:val="00673B4B"/>
    <w:rsid w:val="00673C43"/>
    <w:rsid w:val="00674B4F"/>
    <w:rsid w:val="00674E5E"/>
    <w:rsid w:val="00675182"/>
    <w:rsid w:val="00675C92"/>
    <w:rsid w:val="00675D4B"/>
    <w:rsid w:val="00676223"/>
    <w:rsid w:val="00676AE5"/>
    <w:rsid w:val="00676B98"/>
    <w:rsid w:val="0067709B"/>
    <w:rsid w:val="00677301"/>
    <w:rsid w:val="00677628"/>
    <w:rsid w:val="006776AF"/>
    <w:rsid w:val="0067777E"/>
    <w:rsid w:val="006777A1"/>
    <w:rsid w:val="00677910"/>
    <w:rsid w:val="00680A54"/>
    <w:rsid w:val="00680D3D"/>
    <w:rsid w:val="00680F68"/>
    <w:rsid w:val="00681538"/>
    <w:rsid w:val="00681BBF"/>
    <w:rsid w:val="00681C7A"/>
    <w:rsid w:val="006827E6"/>
    <w:rsid w:val="006828E1"/>
    <w:rsid w:val="00682AE7"/>
    <w:rsid w:val="00682D37"/>
    <w:rsid w:val="00682D6B"/>
    <w:rsid w:val="00683233"/>
    <w:rsid w:val="00683307"/>
    <w:rsid w:val="00683B33"/>
    <w:rsid w:val="00683DD0"/>
    <w:rsid w:val="00683F63"/>
    <w:rsid w:val="00683FF2"/>
    <w:rsid w:val="0068479D"/>
    <w:rsid w:val="0068480D"/>
    <w:rsid w:val="00684A18"/>
    <w:rsid w:val="00684FC7"/>
    <w:rsid w:val="0068522C"/>
    <w:rsid w:val="00685818"/>
    <w:rsid w:val="00685987"/>
    <w:rsid w:val="00685BC6"/>
    <w:rsid w:val="0068665F"/>
    <w:rsid w:val="00686C93"/>
    <w:rsid w:val="006873D8"/>
    <w:rsid w:val="0068788E"/>
    <w:rsid w:val="00687E6E"/>
    <w:rsid w:val="00690703"/>
    <w:rsid w:val="006909C6"/>
    <w:rsid w:val="00690D27"/>
    <w:rsid w:val="00690E3A"/>
    <w:rsid w:val="00691285"/>
    <w:rsid w:val="006919D3"/>
    <w:rsid w:val="00691B3F"/>
    <w:rsid w:val="00691F9C"/>
    <w:rsid w:val="00692328"/>
    <w:rsid w:val="00692510"/>
    <w:rsid w:val="00693191"/>
    <w:rsid w:val="006942AF"/>
    <w:rsid w:val="006944AA"/>
    <w:rsid w:val="0069469B"/>
    <w:rsid w:val="00694AF8"/>
    <w:rsid w:val="00695F84"/>
    <w:rsid w:val="00695FDC"/>
    <w:rsid w:val="00696056"/>
    <w:rsid w:val="00696607"/>
    <w:rsid w:val="00697164"/>
    <w:rsid w:val="00697BD4"/>
    <w:rsid w:val="006A0748"/>
    <w:rsid w:val="006A0C53"/>
    <w:rsid w:val="006A0F35"/>
    <w:rsid w:val="006A1047"/>
    <w:rsid w:val="006A12CF"/>
    <w:rsid w:val="006A17B0"/>
    <w:rsid w:val="006A189E"/>
    <w:rsid w:val="006A1FEF"/>
    <w:rsid w:val="006A218C"/>
    <w:rsid w:val="006A2CB9"/>
    <w:rsid w:val="006A2E19"/>
    <w:rsid w:val="006A387C"/>
    <w:rsid w:val="006A3CC7"/>
    <w:rsid w:val="006A3D3A"/>
    <w:rsid w:val="006A48C1"/>
    <w:rsid w:val="006A49CD"/>
    <w:rsid w:val="006A4E21"/>
    <w:rsid w:val="006A5008"/>
    <w:rsid w:val="006A53AD"/>
    <w:rsid w:val="006A5AF8"/>
    <w:rsid w:val="006A6A6C"/>
    <w:rsid w:val="006A719F"/>
    <w:rsid w:val="006B07DE"/>
    <w:rsid w:val="006B0AEB"/>
    <w:rsid w:val="006B1B86"/>
    <w:rsid w:val="006B1CEA"/>
    <w:rsid w:val="006B22C5"/>
    <w:rsid w:val="006B246F"/>
    <w:rsid w:val="006B2D33"/>
    <w:rsid w:val="006B2E9C"/>
    <w:rsid w:val="006B2F08"/>
    <w:rsid w:val="006B2F1C"/>
    <w:rsid w:val="006B3893"/>
    <w:rsid w:val="006B3D34"/>
    <w:rsid w:val="006B4474"/>
    <w:rsid w:val="006B45FB"/>
    <w:rsid w:val="006B5051"/>
    <w:rsid w:val="006B5696"/>
    <w:rsid w:val="006B59AA"/>
    <w:rsid w:val="006B64CF"/>
    <w:rsid w:val="006B6893"/>
    <w:rsid w:val="006B6CAC"/>
    <w:rsid w:val="006B7277"/>
    <w:rsid w:val="006B7D2D"/>
    <w:rsid w:val="006C00C0"/>
    <w:rsid w:val="006C0128"/>
    <w:rsid w:val="006C02E4"/>
    <w:rsid w:val="006C0686"/>
    <w:rsid w:val="006C07AF"/>
    <w:rsid w:val="006C16D4"/>
    <w:rsid w:val="006C20F1"/>
    <w:rsid w:val="006C2131"/>
    <w:rsid w:val="006C27A8"/>
    <w:rsid w:val="006C2E84"/>
    <w:rsid w:val="006C32C8"/>
    <w:rsid w:val="006C3A12"/>
    <w:rsid w:val="006C3E28"/>
    <w:rsid w:val="006C4BB2"/>
    <w:rsid w:val="006C575A"/>
    <w:rsid w:val="006C5829"/>
    <w:rsid w:val="006C5EF7"/>
    <w:rsid w:val="006C614A"/>
    <w:rsid w:val="006C64E8"/>
    <w:rsid w:val="006C6B3F"/>
    <w:rsid w:val="006C7383"/>
    <w:rsid w:val="006C748D"/>
    <w:rsid w:val="006C7511"/>
    <w:rsid w:val="006C7A98"/>
    <w:rsid w:val="006C7C95"/>
    <w:rsid w:val="006D005F"/>
    <w:rsid w:val="006D063B"/>
    <w:rsid w:val="006D08CC"/>
    <w:rsid w:val="006D12C6"/>
    <w:rsid w:val="006D154D"/>
    <w:rsid w:val="006D15EC"/>
    <w:rsid w:val="006D1C84"/>
    <w:rsid w:val="006D1C8A"/>
    <w:rsid w:val="006D240D"/>
    <w:rsid w:val="006D3ADA"/>
    <w:rsid w:val="006D3E23"/>
    <w:rsid w:val="006D4E70"/>
    <w:rsid w:val="006D5932"/>
    <w:rsid w:val="006D5C22"/>
    <w:rsid w:val="006D65A7"/>
    <w:rsid w:val="006D6D0E"/>
    <w:rsid w:val="006D78C9"/>
    <w:rsid w:val="006D7B5C"/>
    <w:rsid w:val="006D7F54"/>
    <w:rsid w:val="006E0813"/>
    <w:rsid w:val="006E1875"/>
    <w:rsid w:val="006E21CC"/>
    <w:rsid w:val="006E35F2"/>
    <w:rsid w:val="006E44CE"/>
    <w:rsid w:val="006E468C"/>
    <w:rsid w:val="006E56C2"/>
    <w:rsid w:val="006E59BD"/>
    <w:rsid w:val="006E60DB"/>
    <w:rsid w:val="006E6164"/>
    <w:rsid w:val="006E65DA"/>
    <w:rsid w:val="006E670C"/>
    <w:rsid w:val="006E6899"/>
    <w:rsid w:val="006E6A5C"/>
    <w:rsid w:val="006E6B3F"/>
    <w:rsid w:val="006E6C60"/>
    <w:rsid w:val="006E7141"/>
    <w:rsid w:val="006E74C2"/>
    <w:rsid w:val="006E77BD"/>
    <w:rsid w:val="006E77FF"/>
    <w:rsid w:val="006E7857"/>
    <w:rsid w:val="006E7D4A"/>
    <w:rsid w:val="006E7DA6"/>
    <w:rsid w:val="006F015A"/>
    <w:rsid w:val="006F021A"/>
    <w:rsid w:val="006F05A5"/>
    <w:rsid w:val="006F13DD"/>
    <w:rsid w:val="006F2131"/>
    <w:rsid w:val="006F2481"/>
    <w:rsid w:val="006F28C2"/>
    <w:rsid w:val="006F2AEE"/>
    <w:rsid w:val="006F2BF2"/>
    <w:rsid w:val="006F3B1F"/>
    <w:rsid w:val="006F3E4D"/>
    <w:rsid w:val="006F4033"/>
    <w:rsid w:val="006F4BC9"/>
    <w:rsid w:val="006F4E4F"/>
    <w:rsid w:val="006F5067"/>
    <w:rsid w:val="006F5163"/>
    <w:rsid w:val="006F520B"/>
    <w:rsid w:val="006F5259"/>
    <w:rsid w:val="006F52D5"/>
    <w:rsid w:val="006F5C08"/>
    <w:rsid w:val="006F6315"/>
    <w:rsid w:val="006F6750"/>
    <w:rsid w:val="006F71AC"/>
    <w:rsid w:val="006F75C1"/>
    <w:rsid w:val="006F7909"/>
    <w:rsid w:val="006F7A16"/>
    <w:rsid w:val="006F7D93"/>
    <w:rsid w:val="0070082F"/>
    <w:rsid w:val="00700B2C"/>
    <w:rsid w:val="00700DE4"/>
    <w:rsid w:val="007010A5"/>
    <w:rsid w:val="0070250B"/>
    <w:rsid w:val="00702FE2"/>
    <w:rsid w:val="00703613"/>
    <w:rsid w:val="00704209"/>
    <w:rsid w:val="007043B7"/>
    <w:rsid w:val="00705099"/>
    <w:rsid w:val="007053FE"/>
    <w:rsid w:val="00705535"/>
    <w:rsid w:val="00705AFE"/>
    <w:rsid w:val="00705E61"/>
    <w:rsid w:val="00706046"/>
    <w:rsid w:val="007061D9"/>
    <w:rsid w:val="00707690"/>
    <w:rsid w:val="00707830"/>
    <w:rsid w:val="0070785C"/>
    <w:rsid w:val="00707BA1"/>
    <w:rsid w:val="00707E0A"/>
    <w:rsid w:val="00711381"/>
    <w:rsid w:val="0071141F"/>
    <w:rsid w:val="00711473"/>
    <w:rsid w:val="00711951"/>
    <w:rsid w:val="00711B22"/>
    <w:rsid w:val="00711E39"/>
    <w:rsid w:val="00713104"/>
    <w:rsid w:val="00713525"/>
    <w:rsid w:val="0071367D"/>
    <w:rsid w:val="00714801"/>
    <w:rsid w:val="0071509B"/>
    <w:rsid w:val="00715264"/>
    <w:rsid w:val="0071533A"/>
    <w:rsid w:val="0071590D"/>
    <w:rsid w:val="00715AE3"/>
    <w:rsid w:val="00715E18"/>
    <w:rsid w:val="0071636F"/>
    <w:rsid w:val="007164AE"/>
    <w:rsid w:val="007167EA"/>
    <w:rsid w:val="00716A43"/>
    <w:rsid w:val="00716B40"/>
    <w:rsid w:val="0071715E"/>
    <w:rsid w:val="0071739C"/>
    <w:rsid w:val="00717E94"/>
    <w:rsid w:val="0072072F"/>
    <w:rsid w:val="007209AC"/>
    <w:rsid w:val="007214B6"/>
    <w:rsid w:val="007217E2"/>
    <w:rsid w:val="00722482"/>
    <w:rsid w:val="00722577"/>
    <w:rsid w:val="00723009"/>
    <w:rsid w:val="007236D6"/>
    <w:rsid w:val="00723AE3"/>
    <w:rsid w:val="00723CBD"/>
    <w:rsid w:val="00723DB3"/>
    <w:rsid w:val="00723E34"/>
    <w:rsid w:val="00724360"/>
    <w:rsid w:val="0072442D"/>
    <w:rsid w:val="007249AA"/>
    <w:rsid w:val="00724C2E"/>
    <w:rsid w:val="00724E32"/>
    <w:rsid w:val="00724F56"/>
    <w:rsid w:val="007250E9"/>
    <w:rsid w:val="007250FC"/>
    <w:rsid w:val="007251D8"/>
    <w:rsid w:val="0072566B"/>
    <w:rsid w:val="00725F25"/>
    <w:rsid w:val="00726DCC"/>
    <w:rsid w:val="00726E9F"/>
    <w:rsid w:val="00727BAE"/>
    <w:rsid w:val="00727C43"/>
    <w:rsid w:val="00730D65"/>
    <w:rsid w:val="00731094"/>
    <w:rsid w:val="00732122"/>
    <w:rsid w:val="0073246B"/>
    <w:rsid w:val="00732983"/>
    <w:rsid w:val="00732FE5"/>
    <w:rsid w:val="007330B8"/>
    <w:rsid w:val="0073336E"/>
    <w:rsid w:val="007336BB"/>
    <w:rsid w:val="007337CB"/>
    <w:rsid w:val="007338FA"/>
    <w:rsid w:val="00733AA4"/>
    <w:rsid w:val="00733DC9"/>
    <w:rsid w:val="00733E6F"/>
    <w:rsid w:val="0073482E"/>
    <w:rsid w:val="007348A3"/>
    <w:rsid w:val="007348F2"/>
    <w:rsid w:val="00734D2B"/>
    <w:rsid w:val="00734DF6"/>
    <w:rsid w:val="0073515D"/>
    <w:rsid w:val="007354DA"/>
    <w:rsid w:val="00735CDC"/>
    <w:rsid w:val="0073639C"/>
    <w:rsid w:val="007363E3"/>
    <w:rsid w:val="007364F8"/>
    <w:rsid w:val="007367C9"/>
    <w:rsid w:val="00737E12"/>
    <w:rsid w:val="0074041F"/>
    <w:rsid w:val="00740EF6"/>
    <w:rsid w:val="007412F6"/>
    <w:rsid w:val="007413FB"/>
    <w:rsid w:val="0074243D"/>
    <w:rsid w:val="00742C24"/>
    <w:rsid w:val="00743943"/>
    <w:rsid w:val="00744889"/>
    <w:rsid w:val="00744AD8"/>
    <w:rsid w:val="0074552E"/>
    <w:rsid w:val="007458DD"/>
    <w:rsid w:val="00745EB0"/>
    <w:rsid w:val="00746345"/>
    <w:rsid w:val="007469E6"/>
    <w:rsid w:val="00746CDC"/>
    <w:rsid w:val="00746D54"/>
    <w:rsid w:val="00751415"/>
    <w:rsid w:val="00751D25"/>
    <w:rsid w:val="007527F1"/>
    <w:rsid w:val="00753DE5"/>
    <w:rsid w:val="00754660"/>
    <w:rsid w:val="00754909"/>
    <w:rsid w:val="00754B03"/>
    <w:rsid w:val="00754C45"/>
    <w:rsid w:val="00754D76"/>
    <w:rsid w:val="007551A4"/>
    <w:rsid w:val="007563C1"/>
    <w:rsid w:val="00756B5C"/>
    <w:rsid w:val="00757F4E"/>
    <w:rsid w:val="00760089"/>
    <w:rsid w:val="00760F84"/>
    <w:rsid w:val="00762690"/>
    <w:rsid w:val="007629E4"/>
    <w:rsid w:val="00762C17"/>
    <w:rsid w:val="00763D3E"/>
    <w:rsid w:val="00763D4A"/>
    <w:rsid w:val="00763DC6"/>
    <w:rsid w:val="00764014"/>
    <w:rsid w:val="007641CF"/>
    <w:rsid w:val="0076444A"/>
    <w:rsid w:val="00764944"/>
    <w:rsid w:val="007653F0"/>
    <w:rsid w:val="007656AE"/>
    <w:rsid w:val="00765B7B"/>
    <w:rsid w:val="0076621A"/>
    <w:rsid w:val="00766297"/>
    <w:rsid w:val="00766481"/>
    <w:rsid w:val="007667DC"/>
    <w:rsid w:val="00767891"/>
    <w:rsid w:val="00767C33"/>
    <w:rsid w:val="00767E5A"/>
    <w:rsid w:val="00770340"/>
    <w:rsid w:val="00770C39"/>
    <w:rsid w:val="0077129C"/>
    <w:rsid w:val="00771A61"/>
    <w:rsid w:val="00771EB4"/>
    <w:rsid w:val="00773AD0"/>
    <w:rsid w:val="00773B38"/>
    <w:rsid w:val="00773DB0"/>
    <w:rsid w:val="0077463E"/>
    <w:rsid w:val="00774B3E"/>
    <w:rsid w:val="00774C78"/>
    <w:rsid w:val="00774CDD"/>
    <w:rsid w:val="00774DF1"/>
    <w:rsid w:val="00774F25"/>
    <w:rsid w:val="00775192"/>
    <w:rsid w:val="007751AA"/>
    <w:rsid w:val="00775E50"/>
    <w:rsid w:val="00776B38"/>
    <w:rsid w:val="00776B53"/>
    <w:rsid w:val="00776B5F"/>
    <w:rsid w:val="00776D46"/>
    <w:rsid w:val="007776CA"/>
    <w:rsid w:val="0078017F"/>
    <w:rsid w:val="007802AB"/>
    <w:rsid w:val="007805C1"/>
    <w:rsid w:val="0078060F"/>
    <w:rsid w:val="0078081F"/>
    <w:rsid w:val="007819FF"/>
    <w:rsid w:val="00781D61"/>
    <w:rsid w:val="00781F00"/>
    <w:rsid w:val="00781FFA"/>
    <w:rsid w:val="0078201A"/>
    <w:rsid w:val="00782A67"/>
    <w:rsid w:val="00782D01"/>
    <w:rsid w:val="00782EC0"/>
    <w:rsid w:val="00782F05"/>
    <w:rsid w:val="00783163"/>
    <w:rsid w:val="00783975"/>
    <w:rsid w:val="007847F9"/>
    <w:rsid w:val="007849C2"/>
    <w:rsid w:val="00785415"/>
    <w:rsid w:val="007854B3"/>
    <w:rsid w:val="00785B1C"/>
    <w:rsid w:val="007861D1"/>
    <w:rsid w:val="00786393"/>
    <w:rsid w:val="007866F2"/>
    <w:rsid w:val="007867A3"/>
    <w:rsid w:val="007867B0"/>
    <w:rsid w:val="0078702E"/>
    <w:rsid w:val="00787A2A"/>
    <w:rsid w:val="00787B02"/>
    <w:rsid w:val="00787EFF"/>
    <w:rsid w:val="00791359"/>
    <w:rsid w:val="00791D22"/>
    <w:rsid w:val="00791E1A"/>
    <w:rsid w:val="00791E2E"/>
    <w:rsid w:val="00792A70"/>
    <w:rsid w:val="00793754"/>
    <w:rsid w:val="00793BCB"/>
    <w:rsid w:val="00793FB5"/>
    <w:rsid w:val="0079487B"/>
    <w:rsid w:val="00794A64"/>
    <w:rsid w:val="007959E4"/>
    <w:rsid w:val="00795D4D"/>
    <w:rsid w:val="00796808"/>
    <w:rsid w:val="007969B6"/>
    <w:rsid w:val="00797CC1"/>
    <w:rsid w:val="00797CD4"/>
    <w:rsid w:val="00797D58"/>
    <w:rsid w:val="007A053D"/>
    <w:rsid w:val="007A0EC7"/>
    <w:rsid w:val="007A0FCE"/>
    <w:rsid w:val="007A23D8"/>
    <w:rsid w:val="007A242F"/>
    <w:rsid w:val="007A25B6"/>
    <w:rsid w:val="007A2AA3"/>
    <w:rsid w:val="007A2FD8"/>
    <w:rsid w:val="007A3B5C"/>
    <w:rsid w:val="007A3CA3"/>
    <w:rsid w:val="007A4603"/>
    <w:rsid w:val="007A4761"/>
    <w:rsid w:val="007A4E7E"/>
    <w:rsid w:val="007A54FA"/>
    <w:rsid w:val="007A55A1"/>
    <w:rsid w:val="007A5919"/>
    <w:rsid w:val="007A6561"/>
    <w:rsid w:val="007A6587"/>
    <w:rsid w:val="007A6D84"/>
    <w:rsid w:val="007A717C"/>
    <w:rsid w:val="007A7432"/>
    <w:rsid w:val="007A77AE"/>
    <w:rsid w:val="007A7B25"/>
    <w:rsid w:val="007A7DFD"/>
    <w:rsid w:val="007B09B6"/>
    <w:rsid w:val="007B143B"/>
    <w:rsid w:val="007B2033"/>
    <w:rsid w:val="007B29F9"/>
    <w:rsid w:val="007B3D81"/>
    <w:rsid w:val="007B42AE"/>
    <w:rsid w:val="007B4A4D"/>
    <w:rsid w:val="007B4F49"/>
    <w:rsid w:val="007B5463"/>
    <w:rsid w:val="007B5A9D"/>
    <w:rsid w:val="007B63A6"/>
    <w:rsid w:val="007B662D"/>
    <w:rsid w:val="007B696E"/>
    <w:rsid w:val="007B6A25"/>
    <w:rsid w:val="007B700E"/>
    <w:rsid w:val="007B7649"/>
    <w:rsid w:val="007B7777"/>
    <w:rsid w:val="007B77FF"/>
    <w:rsid w:val="007B7AB9"/>
    <w:rsid w:val="007B7D8B"/>
    <w:rsid w:val="007C0181"/>
    <w:rsid w:val="007C0CFC"/>
    <w:rsid w:val="007C13B5"/>
    <w:rsid w:val="007C15F2"/>
    <w:rsid w:val="007C24FB"/>
    <w:rsid w:val="007C4137"/>
    <w:rsid w:val="007C4142"/>
    <w:rsid w:val="007C4618"/>
    <w:rsid w:val="007C470B"/>
    <w:rsid w:val="007C5653"/>
    <w:rsid w:val="007C6441"/>
    <w:rsid w:val="007C6DF3"/>
    <w:rsid w:val="007C7D5C"/>
    <w:rsid w:val="007C7FB1"/>
    <w:rsid w:val="007D042D"/>
    <w:rsid w:val="007D0CB2"/>
    <w:rsid w:val="007D1251"/>
    <w:rsid w:val="007D1BF4"/>
    <w:rsid w:val="007D2059"/>
    <w:rsid w:val="007D229A"/>
    <w:rsid w:val="007D2BC3"/>
    <w:rsid w:val="007D2F19"/>
    <w:rsid w:val="007D34B0"/>
    <w:rsid w:val="007D3AC5"/>
    <w:rsid w:val="007D3DED"/>
    <w:rsid w:val="007D4D29"/>
    <w:rsid w:val="007D5B07"/>
    <w:rsid w:val="007D5B5C"/>
    <w:rsid w:val="007D5DF5"/>
    <w:rsid w:val="007D66F8"/>
    <w:rsid w:val="007D70D9"/>
    <w:rsid w:val="007D7357"/>
    <w:rsid w:val="007D74E2"/>
    <w:rsid w:val="007D7538"/>
    <w:rsid w:val="007D7F33"/>
    <w:rsid w:val="007E1BB1"/>
    <w:rsid w:val="007E1E07"/>
    <w:rsid w:val="007E1ECE"/>
    <w:rsid w:val="007E32CC"/>
    <w:rsid w:val="007E35F3"/>
    <w:rsid w:val="007E42D6"/>
    <w:rsid w:val="007E4346"/>
    <w:rsid w:val="007E4744"/>
    <w:rsid w:val="007E47B3"/>
    <w:rsid w:val="007E4A2B"/>
    <w:rsid w:val="007E4AE0"/>
    <w:rsid w:val="007E5351"/>
    <w:rsid w:val="007E589D"/>
    <w:rsid w:val="007E5D4A"/>
    <w:rsid w:val="007E61CD"/>
    <w:rsid w:val="007E62CB"/>
    <w:rsid w:val="007E6BC0"/>
    <w:rsid w:val="007E6E61"/>
    <w:rsid w:val="007E7EC9"/>
    <w:rsid w:val="007F036C"/>
    <w:rsid w:val="007F0D6B"/>
    <w:rsid w:val="007F13ED"/>
    <w:rsid w:val="007F15A7"/>
    <w:rsid w:val="007F17D9"/>
    <w:rsid w:val="007F1919"/>
    <w:rsid w:val="007F224B"/>
    <w:rsid w:val="007F25D7"/>
    <w:rsid w:val="007F27EF"/>
    <w:rsid w:val="007F2A8B"/>
    <w:rsid w:val="007F333F"/>
    <w:rsid w:val="007F33DC"/>
    <w:rsid w:val="007F38E3"/>
    <w:rsid w:val="007F3FAB"/>
    <w:rsid w:val="007F55B2"/>
    <w:rsid w:val="007F5D3E"/>
    <w:rsid w:val="007F6141"/>
    <w:rsid w:val="007F634F"/>
    <w:rsid w:val="007F7033"/>
    <w:rsid w:val="007F72C9"/>
    <w:rsid w:val="00800078"/>
    <w:rsid w:val="00800196"/>
    <w:rsid w:val="00800BE9"/>
    <w:rsid w:val="0080120D"/>
    <w:rsid w:val="00801A87"/>
    <w:rsid w:val="00802988"/>
    <w:rsid w:val="00802DC6"/>
    <w:rsid w:val="00803994"/>
    <w:rsid w:val="00803DFB"/>
    <w:rsid w:val="00803ED1"/>
    <w:rsid w:val="00804FDA"/>
    <w:rsid w:val="008051F2"/>
    <w:rsid w:val="00805AAC"/>
    <w:rsid w:val="00805C76"/>
    <w:rsid w:val="00806392"/>
    <w:rsid w:val="00806918"/>
    <w:rsid w:val="00806B86"/>
    <w:rsid w:val="00806E2E"/>
    <w:rsid w:val="008076DC"/>
    <w:rsid w:val="008077C0"/>
    <w:rsid w:val="00807A2B"/>
    <w:rsid w:val="00807E15"/>
    <w:rsid w:val="00810485"/>
    <w:rsid w:val="008104A5"/>
    <w:rsid w:val="00810C72"/>
    <w:rsid w:val="008119AA"/>
    <w:rsid w:val="00811C35"/>
    <w:rsid w:val="0081350E"/>
    <w:rsid w:val="008138DF"/>
    <w:rsid w:val="00813A0B"/>
    <w:rsid w:val="00813B81"/>
    <w:rsid w:val="00813D36"/>
    <w:rsid w:val="008142EB"/>
    <w:rsid w:val="00814331"/>
    <w:rsid w:val="00814681"/>
    <w:rsid w:val="00815214"/>
    <w:rsid w:val="0081528E"/>
    <w:rsid w:val="00815F06"/>
    <w:rsid w:val="00816C07"/>
    <w:rsid w:val="00817676"/>
    <w:rsid w:val="008178F9"/>
    <w:rsid w:val="0082093B"/>
    <w:rsid w:val="00820A6B"/>
    <w:rsid w:val="00820EC8"/>
    <w:rsid w:val="008213A6"/>
    <w:rsid w:val="00821767"/>
    <w:rsid w:val="00821CF0"/>
    <w:rsid w:val="00821D53"/>
    <w:rsid w:val="00822A98"/>
    <w:rsid w:val="00822AC4"/>
    <w:rsid w:val="00823013"/>
    <w:rsid w:val="008239A8"/>
    <w:rsid w:val="0082416B"/>
    <w:rsid w:val="0082454E"/>
    <w:rsid w:val="00825505"/>
    <w:rsid w:val="00825B26"/>
    <w:rsid w:val="00825D50"/>
    <w:rsid w:val="008262DD"/>
    <w:rsid w:val="00826AE1"/>
    <w:rsid w:val="00826D31"/>
    <w:rsid w:val="00826DC1"/>
    <w:rsid w:val="00826DC6"/>
    <w:rsid w:val="008277BD"/>
    <w:rsid w:val="0083007A"/>
    <w:rsid w:val="0083070B"/>
    <w:rsid w:val="0083073A"/>
    <w:rsid w:val="00830F00"/>
    <w:rsid w:val="00831189"/>
    <w:rsid w:val="008315D2"/>
    <w:rsid w:val="008317F4"/>
    <w:rsid w:val="00831EBE"/>
    <w:rsid w:val="0083211C"/>
    <w:rsid w:val="008322AC"/>
    <w:rsid w:val="00833106"/>
    <w:rsid w:val="0083350E"/>
    <w:rsid w:val="00833826"/>
    <w:rsid w:val="00833A4C"/>
    <w:rsid w:val="00833E14"/>
    <w:rsid w:val="0083460C"/>
    <w:rsid w:val="008347D6"/>
    <w:rsid w:val="008348A3"/>
    <w:rsid w:val="00834DC7"/>
    <w:rsid w:val="00834FB0"/>
    <w:rsid w:val="00835023"/>
    <w:rsid w:val="0083547E"/>
    <w:rsid w:val="00835514"/>
    <w:rsid w:val="008356ED"/>
    <w:rsid w:val="008365ED"/>
    <w:rsid w:val="00837075"/>
    <w:rsid w:val="00837FBB"/>
    <w:rsid w:val="008410FD"/>
    <w:rsid w:val="0084187C"/>
    <w:rsid w:val="00843B9E"/>
    <w:rsid w:val="0084402B"/>
    <w:rsid w:val="008459ED"/>
    <w:rsid w:val="00845A79"/>
    <w:rsid w:val="00845CD2"/>
    <w:rsid w:val="008503E4"/>
    <w:rsid w:val="00850495"/>
    <w:rsid w:val="00850505"/>
    <w:rsid w:val="00850AB4"/>
    <w:rsid w:val="00851153"/>
    <w:rsid w:val="0085174E"/>
    <w:rsid w:val="00851992"/>
    <w:rsid w:val="0085213D"/>
    <w:rsid w:val="00852E3C"/>
    <w:rsid w:val="00853701"/>
    <w:rsid w:val="00853703"/>
    <w:rsid w:val="00853E3E"/>
    <w:rsid w:val="0085407D"/>
    <w:rsid w:val="008540F2"/>
    <w:rsid w:val="008544DC"/>
    <w:rsid w:val="00854872"/>
    <w:rsid w:val="00854A0A"/>
    <w:rsid w:val="00854AD8"/>
    <w:rsid w:val="00855557"/>
    <w:rsid w:val="00855603"/>
    <w:rsid w:val="00855AB5"/>
    <w:rsid w:val="00855CCE"/>
    <w:rsid w:val="00856B90"/>
    <w:rsid w:val="00856D99"/>
    <w:rsid w:val="00857AA9"/>
    <w:rsid w:val="00857D14"/>
    <w:rsid w:val="008607F1"/>
    <w:rsid w:val="00860D21"/>
    <w:rsid w:val="00860D88"/>
    <w:rsid w:val="00861193"/>
    <w:rsid w:val="00863272"/>
    <w:rsid w:val="0086346A"/>
    <w:rsid w:val="00863F21"/>
    <w:rsid w:val="0086431D"/>
    <w:rsid w:val="00864876"/>
    <w:rsid w:val="00865079"/>
    <w:rsid w:val="00865186"/>
    <w:rsid w:val="008651AB"/>
    <w:rsid w:val="008651EC"/>
    <w:rsid w:val="00865C27"/>
    <w:rsid w:val="00865C81"/>
    <w:rsid w:val="00866D9E"/>
    <w:rsid w:val="00866F06"/>
    <w:rsid w:val="0086724B"/>
    <w:rsid w:val="00867867"/>
    <w:rsid w:val="008679CD"/>
    <w:rsid w:val="00867B03"/>
    <w:rsid w:val="008710BD"/>
    <w:rsid w:val="00871C76"/>
    <w:rsid w:val="0087318E"/>
    <w:rsid w:val="008731D4"/>
    <w:rsid w:val="0087428C"/>
    <w:rsid w:val="008746D8"/>
    <w:rsid w:val="0087481E"/>
    <w:rsid w:val="0087490C"/>
    <w:rsid w:val="00874BED"/>
    <w:rsid w:val="00874DFB"/>
    <w:rsid w:val="0087535C"/>
    <w:rsid w:val="00875A69"/>
    <w:rsid w:val="00875F99"/>
    <w:rsid w:val="00876527"/>
    <w:rsid w:val="00876593"/>
    <w:rsid w:val="00877318"/>
    <w:rsid w:val="008806EA"/>
    <w:rsid w:val="00880972"/>
    <w:rsid w:val="00880A73"/>
    <w:rsid w:val="00880F49"/>
    <w:rsid w:val="00880FB9"/>
    <w:rsid w:val="008814C4"/>
    <w:rsid w:val="008819D2"/>
    <w:rsid w:val="008822A1"/>
    <w:rsid w:val="0088264D"/>
    <w:rsid w:val="00882EEE"/>
    <w:rsid w:val="008831D0"/>
    <w:rsid w:val="00883D2B"/>
    <w:rsid w:val="00883DDE"/>
    <w:rsid w:val="00883F02"/>
    <w:rsid w:val="0088435E"/>
    <w:rsid w:val="008844A1"/>
    <w:rsid w:val="00884941"/>
    <w:rsid w:val="00884F3B"/>
    <w:rsid w:val="0088586F"/>
    <w:rsid w:val="00885945"/>
    <w:rsid w:val="008859F9"/>
    <w:rsid w:val="00885E77"/>
    <w:rsid w:val="008864C9"/>
    <w:rsid w:val="0088684E"/>
    <w:rsid w:val="00886A8B"/>
    <w:rsid w:val="00886C87"/>
    <w:rsid w:val="00886D43"/>
    <w:rsid w:val="008870BC"/>
    <w:rsid w:val="008878C4"/>
    <w:rsid w:val="00887CBE"/>
    <w:rsid w:val="00887F57"/>
    <w:rsid w:val="00887F6C"/>
    <w:rsid w:val="00890C26"/>
    <w:rsid w:val="00890E21"/>
    <w:rsid w:val="00890FAE"/>
    <w:rsid w:val="008914C9"/>
    <w:rsid w:val="008919E7"/>
    <w:rsid w:val="00891FCE"/>
    <w:rsid w:val="00892473"/>
    <w:rsid w:val="00892F31"/>
    <w:rsid w:val="008932DC"/>
    <w:rsid w:val="00893960"/>
    <w:rsid w:val="008939C1"/>
    <w:rsid w:val="00893C11"/>
    <w:rsid w:val="0089476A"/>
    <w:rsid w:val="00894ED6"/>
    <w:rsid w:val="008957A3"/>
    <w:rsid w:val="00895D53"/>
    <w:rsid w:val="00896011"/>
    <w:rsid w:val="00896878"/>
    <w:rsid w:val="008973AC"/>
    <w:rsid w:val="00897973"/>
    <w:rsid w:val="00897C1D"/>
    <w:rsid w:val="00897CD4"/>
    <w:rsid w:val="008A0560"/>
    <w:rsid w:val="008A05D1"/>
    <w:rsid w:val="008A06B4"/>
    <w:rsid w:val="008A06E2"/>
    <w:rsid w:val="008A08FF"/>
    <w:rsid w:val="008A09D1"/>
    <w:rsid w:val="008A10AD"/>
    <w:rsid w:val="008A11E3"/>
    <w:rsid w:val="008A122D"/>
    <w:rsid w:val="008A163B"/>
    <w:rsid w:val="008A1AAD"/>
    <w:rsid w:val="008A1C7D"/>
    <w:rsid w:val="008A20FE"/>
    <w:rsid w:val="008A259F"/>
    <w:rsid w:val="008A3541"/>
    <w:rsid w:val="008A4B87"/>
    <w:rsid w:val="008A5673"/>
    <w:rsid w:val="008A73B3"/>
    <w:rsid w:val="008A746D"/>
    <w:rsid w:val="008A75B9"/>
    <w:rsid w:val="008A7A0C"/>
    <w:rsid w:val="008A7B6D"/>
    <w:rsid w:val="008A7BE3"/>
    <w:rsid w:val="008A7CAB"/>
    <w:rsid w:val="008A7F6F"/>
    <w:rsid w:val="008B0DC1"/>
    <w:rsid w:val="008B106D"/>
    <w:rsid w:val="008B20C8"/>
    <w:rsid w:val="008B226E"/>
    <w:rsid w:val="008B2D89"/>
    <w:rsid w:val="008B3092"/>
    <w:rsid w:val="008B311A"/>
    <w:rsid w:val="008B3BE7"/>
    <w:rsid w:val="008B4314"/>
    <w:rsid w:val="008B4326"/>
    <w:rsid w:val="008B4383"/>
    <w:rsid w:val="008B4841"/>
    <w:rsid w:val="008B48D2"/>
    <w:rsid w:val="008B49F4"/>
    <w:rsid w:val="008B4AC7"/>
    <w:rsid w:val="008B4E1E"/>
    <w:rsid w:val="008B502C"/>
    <w:rsid w:val="008B52EA"/>
    <w:rsid w:val="008B53C7"/>
    <w:rsid w:val="008B55A7"/>
    <w:rsid w:val="008B583A"/>
    <w:rsid w:val="008B59DA"/>
    <w:rsid w:val="008B680F"/>
    <w:rsid w:val="008B6D0D"/>
    <w:rsid w:val="008B74EB"/>
    <w:rsid w:val="008B7834"/>
    <w:rsid w:val="008C035D"/>
    <w:rsid w:val="008C07F3"/>
    <w:rsid w:val="008C0937"/>
    <w:rsid w:val="008C1298"/>
    <w:rsid w:val="008C141E"/>
    <w:rsid w:val="008C17C1"/>
    <w:rsid w:val="008C1ECB"/>
    <w:rsid w:val="008C38AB"/>
    <w:rsid w:val="008C3D3D"/>
    <w:rsid w:val="008C40FA"/>
    <w:rsid w:val="008C493A"/>
    <w:rsid w:val="008C4A88"/>
    <w:rsid w:val="008C54EC"/>
    <w:rsid w:val="008C616D"/>
    <w:rsid w:val="008C61FB"/>
    <w:rsid w:val="008C7149"/>
    <w:rsid w:val="008D01B8"/>
    <w:rsid w:val="008D057A"/>
    <w:rsid w:val="008D0677"/>
    <w:rsid w:val="008D0BDF"/>
    <w:rsid w:val="008D0CEB"/>
    <w:rsid w:val="008D10A0"/>
    <w:rsid w:val="008D147E"/>
    <w:rsid w:val="008D165E"/>
    <w:rsid w:val="008D1881"/>
    <w:rsid w:val="008D1C7A"/>
    <w:rsid w:val="008D23B3"/>
    <w:rsid w:val="008D2875"/>
    <w:rsid w:val="008D2965"/>
    <w:rsid w:val="008D2F79"/>
    <w:rsid w:val="008D329E"/>
    <w:rsid w:val="008D46E7"/>
    <w:rsid w:val="008D59E2"/>
    <w:rsid w:val="008D637C"/>
    <w:rsid w:val="008D661F"/>
    <w:rsid w:val="008D78C7"/>
    <w:rsid w:val="008D7D6A"/>
    <w:rsid w:val="008D7DE1"/>
    <w:rsid w:val="008D7F97"/>
    <w:rsid w:val="008E0305"/>
    <w:rsid w:val="008E1D88"/>
    <w:rsid w:val="008E3217"/>
    <w:rsid w:val="008E3F60"/>
    <w:rsid w:val="008E4B86"/>
    <w:rsid w:val="008E556B"/>
    <w:rsid w:val="008E5630"/>
    <w:rsid w:val="008E61A1"/>
    <w:rsid w:val="008E6A67"/>
    <w:rsid w:val="008E7767"/>
    <w:rsid w:val="008E7FD0"/>
    <w:rsid w:val="008F0267"/>
    <w:rsid w:val="008F06B2"/>
    <w:rsid w:val="008F0790"/>
    <w:rsid w:val="008F1353"/>
    <w:rsid w:val="008F1493"/>
    <w:rsid w:val="008F16A6"/>
    <w:rsid w:val="008F175E"/>
    <w:rsid w:val="008F2324"/>
    <w:rsid w:val="008F2862"/>
    <w:rsid w:val="008F2EA1"/>
    <w:rsid w:val="008F3013"/>
    <w:rsid w:val="008F32DF"/>
    <w:rsid w:val="008F37AC"/>
    <w:rsid w:val="008F3E8D"/>
    <w:rsid w:val="008F42ED"/>
    <w:rsid w:val="008F5245"/>
    <w:rsid w:val="008F5321"/>
    <w:rsid w:val="008F55B5"/>
    <w:rsid w:val="008F6480"/>
    <w:rsid w:val="008F66BE"/>
    <w:rsid w:val="008F6E33"/>
    <w:rsid w:val="008F6FE3"/>
    <w:rsid w:val="008F728C"/>
    <w:rsid w:val="008F766A"/>
    <w:rsid w:val="008F78E3"/>
    <w:rsid w:val="0090011A"/>
    <w:rsid w:val="00900444"/>
    <w:rsid w:val="009004BA"/>
    <w:rsid w:val="00900A6F"/>
    <w:rsid w:val="00900D75"/>
    <w:rsid w:val="00901E01"/>
    <w:rsid w:val="00901E4A"/>
    <w:rsid w:val="00901EE0"/>
    <w:rsid w:val="00901F1C"/>
    <w:rsid w:val="00902007"/>
    <w:rsid w:val="00902982"/>
    <w:rsid w:val="00902A62"/>
    <w:rsid w:val="009031BA"/>
    <w:rsid w:val="009031E7"/>
    <w:rsid w:val="009034F4"/>
    <w:rsid w:val="0090365D"/>
    <w:rsid w:val="00903DC0"/>
    <w:rsid w:val="0090481E"/>
    <w:rsid w:val="00904DAB"/>
    <w:rsid w:val="0090565A"/>
    <w:rsid w:val="0090785B"/>
    <w:rsid w:val="00910595"/>
    <w:rsid w:val="00911DCB"/>
    <w:rsid w:val="0091256C"/>
    <w:rsid w:val="00912F46"/>
    <w:rsid w:val="00913073"/>
    <w:rsid w:val="0091378D"/>
    <w:rsid w:val="0091390B"/>
    <w:rsid w:val="00913D88"/>
    <w:rsid w:val="00913F0F"/>
    <w:rsid w:val="00914DB6"/>
    <w:rsid w:val="0091501E"/>
    <w:rsid w:val="00915129"/>
    <w:rsid w:val="00915431"/>
    <w:rsid w:val="009168FD"/>
    <w:rsid w:val="00916DD3"/>
    <w:rsid w:val="00916EAB"/>
    <w:rsid w:val="00920228"/>
    <w:rsid w:val="009204BC"/>
    <w:rsid w:val="009206C0"/>
    <w:rsid w:val="009208F4"/>
    <w:rsid w:val="00920A03"/>
    <w:rsid w:val="009211A5"/>
    <w:rsid w:val="009213A8"/>
    <w:rsid w:val="00921999"/>
    <w:rsid w:val="00921E31"/>
    <w:rsid w:val="0092295F"/>
    <w:rsid w:val="00922D57"/>
    <w:rsid w:val="00922EC5"/>
    <w:rsid w:val="0092300E"/>
    <w:rsid w:val="009231DE"/>
    <w:rsid w:val="00923558"/>
    <w:rsid w:val="00923CF1"/>
    <w:rsid w:val="009245D9"/>
    <w:rsid w:val="00924ED3"/>
    <w:rsid w:val="00925878"/>
    <w:rsid w:val="00925A45"/>
    <w:rsid w:val="00925F5A"/>
    <w:rsid w:val="0092613E"/>
    <w:rsid w:val="009266FF"/>
    <w:rsid w:val="00926B1A"/>
    <w:rsid w:val="00927AD9"/>
    <w:rsid w:val="00927DE7"/>
    <w:rsid w:val="00927F65"/>
    <w:rsid w:val="00930BF4"/>
    <w:rsid w:val="009311AB"/>
    <w:rsid w:val="00931B19"/>
    <w:rsid w:val="00931CEB"/>
    <w:rsid w:val="0093234D"/>
    <w:rsid w:val="009328C9"/>
    <w:rsid w:val="00932BCB"/>
    <w:rsid w:val="00933FA5"/>
    <w:rsid w:val="009342C3"/>
    <w:rsid w:val="00934C97"/>
    <w:rsid w:val="00935461"/>
    <w:rsid w:val="00935530"/>
    <w:rsid w:val="00935554"/>
    <w:rsid w:val="00935F24"/>
    <w:rsid w:val="00936390"/>
    <w:rsid w:val="009376C8"/>
    <w:rsid w:val="009378DA"/>
    <w:rsid w:val="00940568"/>
    <w:rsid w:val="00940E0F"/>
    <w:rsid w:val="0094139C"/>
    <w:rsid w:val="00941532"/>
    <w:rsid w:val="00942374"/>
    <w:rsid w:val="0094246D"/>
    <w:rsid w:val="0094274E"/>
    <w:rsid w:val="00942DE3"/>
    <w:rsid w:val="00942F3D"/>
    <w:rsid w:val="00943D21"/>
    <w:rsid w:val="00943DC1"/>
    <w:rsid w:val="0094403F"/>
    <w:rsid w:val="0094407F"/>
    <w:rsid w:val="00946416"/>
    <w:rsid w:val="00946C82"/>
    <w:rsid w:val="00946DB9"/>
    <w:rsid w:val="00946F61"/>
    <w:rsid w:val="00947098"/>
    <w:rsid w:val="0094736F"/>
    <w:rsid w:val="009502A8"/>
    <w:rsid w:val="00950A17"/>
    <w:rsid w:val="00950A91"/>
    <w:rsid w:val="00951B0F"/>
    <w:rsid w:val="00951B37"/>
    <w:rsid w:val="00951C10"/>
    <w:rsid w:val="00951E3A"/>
    <w:rsid w:val="00951F7D"/>
    <w:rsid w:val="0095215B"/>
    <w:rsid w:val="00952AF6"/>
    <w:rsid w:val="00952EEF"/>
    <w:rsid w:val="00953156"/>
    <w:rsid w:val="009531AD"/>
    <w:rsid w:val="00953667"/>
    <w:rsid w:val="00954708"/>
    <w:rsid w:val="00955575"/>
    <w:rsid w:val="009556A3"/>
    <w:rsid w:val="009558CF"/>
    <w:rsid w:val="00956172"/>
    <w:rsid w:val="0095664C"/>
    <w:rsid w:val="0095668A"/>
    <w:rsid w:val="00957271"/>
    <w:rsid w:val="009573BB"/>
    <w:rsid w:val="00957992"/>
    <w:rsid w:val="00957FFA"/>
    <w:rsid w:val="009605F9"/>
    <w:rsid w:val="00961119"/>
    <w:rsid w:val="00961EA8"/>
    <w:rsid w:val="00962058"/>
    <w:rsid w:val="00962864"/>
    <w:rsid w:val="00963E00"/>
    <w:rsid w:val="00964A06"/>
    <w:rsid w:val="0096501B"/>
    <w:rsid w:val="009653AE"/>
    <w:rsid w:val="00966085"/>
    <w:rsid w:val="00966208"/>
    <w:rsid w:val="0096692C"/>
    <w:rsid w:val="00966CEE"/>
    <w:rsid w:val="00966F19"/>
    <w:rsid w:val="00967003"/>
    <w:rsid w:val="00967567"/>
    <w:rsid w:val="00967642"/>
    <w:rsid w:val="009679CC"/>
    <w:rsid w:val="0097031C"/>
    <w:rsid w:val="0097043D"/>
    <w:rsid w:val="00970E6A"/>
    <w:rsid w:val="0097118A"/>
    <w:rsid w:val="00971288"/>
    <w:rsid w:val="009715EF"/>
    <w:rsid w:val="00971DAA"/>
    <w:rsid w:val="00972604"/>
    <w:rsid w:val="0097311B"/>
    <w:rsid w:val="00973450"/>
    <w:rsid w:val="0097420A"/>
    <w:rsid w:val="00974622"/>
    <w:rsid w:val="009749ED"/>
    <w:rsid w:val="00974AEA"/>
    <w:rsid w:val="00974C77"/>
    <w:rsid w:val="009754BA"/>
    <w:rsid w:val="00975608"/>
    <w:rsid w:val="0097764B"/>
    <w:rsid w:val="00977D74"/>
    <w:rsid w:val="00980316"/>
    <w:rsid w:val="00980CCF"/>
    <w:rsid w:val="00980E57"/>
    <w:rsid w:val="00980FFA"/>
    <w:rsid w:val="009811E7"/>
    <w:rsid w:val="00981DDC"/>
    <w:rsid w:val="00982426"/>
    <w:rsid w:val="00982C4C"/>
    <w:rsid w:val="00983563"/>
    <w:rsid w:val="009845FE"/>
    <w:rsid w:val="0098483A"/>
    <w:rsid w:val="0098500D"/>
    <w:rsid w:val="009852E9"/>
    <w:rsid w:val="00985430"/>
    <w:rsid w:val="009856DC"/>
    <w:rsid w:val="00985BF1"/>
    <w:rsid w:val="0098600C"/>
    <w:rsid w:val="00986242"/>
    <w:rsid w:val="0098695E"/>
    <w:rsid w:val="00986BB4"/>
    <w:rsid w:val="00986FD3"/>
    <w:rsid w:val="0098755B"/>
    <w:rsid w:val="00987959"/>
    <w:rsid w:val="00987A4F"/>
    <w:rsid w:val="00987AEC"/>
    <w:rsid w:val="0099009B"/>
    <w:rsid w:val="00990297"/>
    <w:rsid w:val="0099044D"/>
    <w:rsid w:val="00991B2E"/>
    <w:rsid w:val="00991E40"/>
    <w:rsid w:val="00991F1E"/>
    <w:rsid w:val="0099398E"/>
    <w:rsid w:val="00994D49"/>
    <w:rsid w:val="0099506E"/>
    <w:rsid w:val="00995843"/>
    <w:rsid w:val="00995E13"/>
    <w:rsid w:val="009963C7"/>
    <w:rsid w:val="0099673E"/>
    <w:rsid w:val="00996BED"/>
    <w:rsid w:val="00997568"/>
    <w:rsid w:val="00997B03"/>
    <w:rsid w:val="009A0439"/>
    <w:rsid w:val="009A0D7F"/>
    <w:rsid w:val="009A1277"/>
    <w:rsid w:val="009A19E8"/>
    <w:rsid w:val="009A234D"/>
    <w:rsid w:val="009A2514"/>
    <w:rsid w:val="009A2DE3"/>
    <w:rsid w:val="009A2E3D"/>
    <w:rsid w:val="009A344C"/>
    <w:rsid w:val="009A344E"/>
    <w:rsid w:val="009A40C1"/>
    <w:rsid w:val="009A4750"/>
    <w:rsid w:val="009A4961"/>
    <w:rsid w:val="009A4BF6"/>
    <w:rsid w:val="009A5260"/>
    <w:rsid w:val="009A56BA"/>
    <w:rsid w:val="009A6A89"/>
    <w:rsid w:val="009A6E31"/>
    <w:rsid w:val="009A746F"/>
    <w:rsid w:val="009A74C8"/>
    <w:rsid w:val="009A7E9B"/>
    <w:rsid w:val="009B01B2"/>
    <w:rsid w:val="009B042C"/>
    <w:rsid w:val="009B0547"/>
    <w:rsid w:val="009B15A2"/>
    <w:rsid w:val="009B18EE"/>
    <w:rsid w:val="009B1ADF"/>
    <w:rsid w:val="009B2772"/>
    <w:rsid w:val="009B3E18"/>
    <w:rsid w:val="009B40DD"/>
    <w:rsid w:val="009B43DD"/>
    <w:rsid w:val="009B4881"/>
    <w:rsid w:val="009B4BFA"/>
    <w:rsid w:val="009B5E84"/>
    <w:rsid w:val="009B5FB2"/>
    <w:rsid w:val="009B62E3"/>
    <w:rsid w:val="009B658D"/>
    <w:rsid w:val="009B660F"/>
    <w:rsid w:val="009B6D32"/>
    <w:rsid w:val="009B6D45"/>
    <w:rsid w:val="009B6F7E"/>
    <w:rsid w:val="009B78C3"/>
    <w:rsid w:val="009B7A13"/>
    <w:rsid w:val="009B7C1C"/>
    <w:rsid w:val="009C0122"/>
    <w:rsid w:val="009C02E2"/>
    <w:rsid w:val="009C1020"/>
    <w:rsid w:val="009C119A"/>
    <w:rsid w:val="009C1211"/>
    <w:rsid w:val="009C12BF"/>
    <w:rsid w:val="009C1C94"/>
    <w:rsid w:val="009C1CB0"/>
    <w:rsid w:val="009C1FB8"/>
    <w:rsid w:val="009C2052"/>
    <w:rsid w:val="009C244D"/>
    <w:rsid w:val="009C25AB"/>
    <w:rsid w:val="009C26D6"/>
    <w:rsid w:val="009C2B74"/>
    <w:rsid w:val="009C2CE4"/>
    <w:rsid w:val="009C2D26"/>
    <w:rsid w:val="009C3075"/>
    <w:rsid w:val="009C32F6"/>
    <w:rsid w:val="009C378A"/>
    <w:rsid w:val="009C41AA"/>
    <w:rsid w:val="009C43DA"/>
    <w:rsid w:val="009C4B18"/>
    <w:rsid w:val="009C4EEE"/>
    <w:rsid w:val="009C57E6"/>
    <w:rsid w:val="009C5EFF"/>
    <w:rsid w:val="009C66FA"/>
    <w:rsid w:val="009C6F3B"/>
    <w:rsid w:val="009C7216"/>
    <w:rsid w:val="009C7784"/>
    <w:rsid w:val="009D1166"/>
    <w:rsid w:val="009D16C1"/>
    <w:rsid w:val="009D2BCC"/>
    <w:rsid w:val="009D3358"/>
    <w:rsid w:val="009D3610"/>
    <w:rsid w:val="009D3C5E"/>
    <w:rsid w:val="009D429B"/>
    <w:rsid w:val="009D47E2"/>
    <w:rsid w:val="009D4EA9"/>
    <w:rsid w:val="009D5555"/>
    <w:rsid w:val="009D5702"/>
    <w:rsid w:val="009D699F"/>
    <w:rsid w:val="009D6F80"/>
    <w:rsid w:val="009D75C2"/>
    <w:rsid w:val="009E07C0"/>
    <w:rsid w:val="009E0D80"/>
    <w:rsid w:val="009E0F1F"/>
    <w:rsid w:val="009E0FF4"/>
    <w:rsid w:val="009E161E"/>
    <w:rsid w:val="009E175E"/>
    <w:rsid w:val="009E302B"/>
    <w:rsid w:val="009E3647"/>
    <w:rsid w:val="009E389B"/>
    <w:rsid w:val="009E4476"/>
    <w:rsid w:val="009E4C4E"/>
    <w:rsid w:val="009E50F9"/>
    <w:rsid w:val="009E510E"/>
    <w:rsid w:val="009E601B"/>
    <w:rsid w:val="009E6659"/>
    <w:rsid w:val="009E6E75"/>
    <w:rsid w:val="009E71C1"/>
    <w:rsid w:val="009E74E1"/>
    <w:rsid w:val="009E769E"/>
    <w:rsid w:val="009F0054"/>
    <w:rsid w:val="009F03C6"/>
    <w:rsid w:val="009F1472"/>
    <w:rsid w:val="009F1638"/>
    <w:rsid w:val="009F25DE"/>
    <w:rsid w:val="009F3666"/>
    <w:rsid w:val="009F368A"/>
    <w:rsid w:val="009F3BB1"/>
    <w:rsid w:val="009F3CD6"/>
    <w:rsid w:val="009F3F77"/>
    <w:rsid w:val="009F4BCC"/>
    <w:rsid w:val="009F504C"/>
    <w:rsid w:val="009F514F"/>
    <w:rsid w:val="009F54B0"/>
    <w:rsid w:val="009F6166"/>
    <w:rsid w:val="009F6701"/>
    <w:rsid w:val="009F67BF"/>
    <w:rsid w:val="009F6928"/>
    <w:rsid w:val="009F6C45"/>
    <w:rsid w:val="009F747E"/>
    <w:rsid w:val="009F7985"/>
    <w:rsid w:val="00A0152F"/>
    <w:rsid w:val="00A018FE"/>
    <w:rsid w:val="00A01F41"/>
    <w:rsid w:val="00A024E6"/>
    <w:rsid w:val="00A02729"/>
    <w:rsid w:val="00A02A93"/>
    <w:rsid w:val="00A02C9A"/>
    <w:rsid w:val="00A02D9A"/>
    <w:rsid w:val="00A0309F"/>
    <w:rsid w:val="00A032E8"/>
    <w:rsid w:val="00A044C4"/>
    <w:rsid w:val="00A04C0E"/>
    <w:rsid w:val="00A04E34"/>
    <w:rsid w:val="00A0519B"/>
    <w:rsid w:val="00A0586E"/>
    <w:rsid w:val="00A058A4"/>
    <w:rsid w:val="00A05D40"/>
    <w:rsid w:val="00A06185"/>
    <w:rsid w:val="00A061E7"/>
    <w:rsid w:val="00A0648E"/>
    <w:rsid w:val="00A06A92"/>
    <w:rsid w:val="00A06BB4"/>
    <w:rsid w:val="00A06C6A"/>
    <w:rsid w:val="00A07694"/>
    <w:rsid w:val="00A07A3E"/>
    <w:rsid w:val="00A101DE"/>
    <w:rsid w:val="00A1141A"/>
    <w:rsid w:val="00A115AF"/>
    <w:rsid w:val="00A120F1"/>
    <w:rsid w:val="00A128A0"/>
    <w:rsid w:val="00A12F34"/>
    <w:rsid w:val="00A13221"/>
    <w:rsid w:val="00A1392A"/>
    <w:rsid w:val="00A13B23"/>
    <w:rsid w:val="00A14682"/>
    <w:rsid w:val="00A1597F"/>
    <w:rsid w:val="00A15D5D"/>
    <w:rsid w:val="00A15EA0"/>
    <w:rsid w:val="00A161BA"/>
    <w:rsid w:val="00A16BB5"/>
    <w:rsid w:val="00A16EEA"/>
    <w:rsid w:val="00A170A6"/>
    <w:rsid w:val="00A17C10"/>
    <w:rsid w:val="00A203E1"/>
    <w:rsid w:val="00A2054D"/>
    <w:rsid w:val="00A21217"/>
    <w:rsid w:val="00A219B3"/>
    <w:rsid w:val="00A21F6C"/>
    <w:rsid w:val="00A220B4"/>
    <w:rsid w:val="00A221A4"/>
    <w:rsid w:val="00A22869"/>
    <w:rsid w:val="00A22883"/>
    <w:rsid w:val="00A22B10"/>
    <w:rsid w:val="00A22CC9"/>
    <w:rsid w:val="00A23109"/>
    <w:rsid w:val="00A233F9"/>
    <w:rsid w:val="00A24318"/>
    <w:rsid w:val="00A24DD5"/>
    <w:rsid w:val="00A252DB"/>
    <w:rsid w:val="00A253EF"/>
    <w:rsid w:val="00A275A9"/>
    <w:rsid w:val="00A27B85"/>
    <w:rsid w:val="00A30F49"/>
    <w:rsid w:val="00A317E2"/>
    <w:rsid w:val="00A317E9"/>
    <w:rsid w:val="00A32180"/>
    <w:rsid w:val="00A323FA"/>
    <w:rsid w:val="00A3356E"/>
    <w:rsid w:val="00A338C7"/>
    <w:rsid w:val="00A343C2"/>
    <w:rsid w:val="00A357DE"/>
    <w:rsid w:val="00A35996"/>
    <w:rsid w:val="00A364EF"/>
    <w:rsid w:val="00A3684B"/>
    <w:rsid w:val="00A36B44"/>
    <w:rsid w:val="00A37044"/>
    <w:rsid w:val="00A40265"/>
    <w:rsid w:val="00A40500"/>
    <w:rsid w:val="00A4105E"/>
    <w:rsid w:val="00A41375"/>
    <w:rsid w:val="00A41422"/>
    <w:rsid w:val="00A415E6"/>
    <w:rsid w:val="00A4191D"/>
    <w:rsid w:val="00A41A74"/>
    <w:rsid w:val="00A41BF0"/>
    <w:rsid w:val="00A41E3D"/>
    <w:rsid w:val="00A424BD"/>
    <w:rsid w:val="00A426D1"/>
    <w:rsid w:val="00A42768"/>
    <w:rsid w:val="00A4285C"/>
    <w:rsid w:val="00A42BF8"/>
    <w:rsid w:val="00A43178"/>
    <w:rsid w:val="00A433A9"/>
    <w:rsid w:val="00A439CF"/>
    <w:rsid w:val="00A43F06"/>
    <w:rsid w:val="00A43F33"/>
    <w:rsid w:val="00A444C3"/>
    <w:rsid w:val="00A44A07"/>
    <w:rsid w:val="00A44DCA"/>
    <w:rsid w:val="00A46005"/>
    <w:rsid w:val="00A463C5"/>
    <w:rsid w:val="00A46767"/>
    <w:rsid w:val="00A47235"/>
    <w:rsid w:val="00A47AD3"/>
    <w:rsid w:val="00A508A1"/>
    <w:rsid w:val="00A51026"/>
    <w:rsid w:val="00A515DE"/>
    <w:rsid w:val="00A51798"/>
    <w:rsid w:val="00A51C2A"/>
    <w:rsid w:val="00A51DF1"/>
    <w:rsid w:val="00A51F59"/>
    <w:rsid w:val="00A52390"/>
    <w:rsid w:val="00A5248E"/>
    <w:rsid w:val="00A529C8"/>
    <w:rsid w:val="00A5315F"/>
    <w:rsid w:val="00A53568"/>
    <w:rsid w:val="00A54344"/>
    <w:rsid w:val="00A54AC9"/>
    <w:rsid w:val="00A552D9"/>
    <w:rsid w:val="00A559EF"/>
    <w:rsid w:val="00A56AAF"/>
    <w:rsid w:val="00A56B6A"/>
    <w:rsid w:val="00A574C3"/>
    <w:rsid w:val="00A57998"/>
    <w:rsid w:val="00A57B26"/>
    <w:rsid w:val="00A60915"/>
    <w:rsid w:val="00A61027"/>
    <w:rsid w:val="00A6193C"/>
    <w:rsid w:val="00A639E7"/>
    <w:rsid w:val="00A63A70"/>
    <w:rsid w:val="00A63D1D"/>
    <w:rsid w:val="00A6444B"/>
    <w:rsid w:val="00A648E8"/>
    <w:rsid w:val="00A64982"/>
    <w:rsid w:val="00A64A24"/>
    <w:rsid w:val="00A657B1"/>
    <w:rsid w:val="00A65832"/>
    <w:rsid w:val="00A65969"/>
    <w:rsid w:val="00A65A53"/>
    <w:rsid w:val="00A65B6C"/>
    <w:rsid w:val="00A65BB6"/>
    <w:rsid w:val="00A65F96"/>
    <w:rsid w:val="00A6667A"/>
    <w:rsid w:val="00A667E7"/>
    <w:rsid w:val="00A6763E"/>
    <w:rsid w:val="00A70397"/>
    <w:rsid w:val="00A7113A"/>
    <w:rsid w:val="00A7157A"/>
    <w:rsid w:val="00A7170F"/>
    <w:rsid w:val="00A7300F"/>
    <w:rsid w:val="00A73423"/>
    <w:rsid w:val="00A73910"/>
    <w:rsid w:val="00A73980"/>
    <w:rsid w:val="00A7415B"/>
    <w:rsid w:val="00A747B5"/>
    <w:rsid w:val="00A7483A"/>
    <w:rsid w:val="00A74936"/>
    <w:rsid w:val="00A74F49"/>
    <w:rsid w:val="00A750AA"/>
    <w:rsid w:val="00A7511F"/>
    <w:rsid w:val="00A752C4"/>
    <w:rsid w:val="00A75D1F"/>
    <w:rsid w:val="00A7646F"/>
    <w:rsid w:val="00A766FC"/>
    <w:rsid w:val="00A77031"/>
    <w:rsid w:val="00A77374"/>
    <w:rsid w:val="00A77E3D"/>
    <w:rsid w:val="00A77FFA"/>
    <w:rsid w:val="00A8003A"/>
    <w:rsid w:val="00A80985"/>
    <w:rsid w:val="00A81992"/>
    <w:rsid w:val="00A819F9"/>
    <w:rsid w:val="00A81BBF"/>
    <w:rsid w:val="00A81EAF"/>
    <w:rsid w:val="00A82DB6"/>
    <w:rsid w:val="00A832E1"/>
    <w:rsid w:val="00A837B8"/>
    <w:rsid w:val="00A844A3"/>
    <w:rsid w:val="00A84BF3"/>
    <w:rsid w:val="00A8501D"/>
    <w:rsid w:val="00A853FE"/>
    <w:rsid w:val="00A856C6"/>
    <w:rsid w:val="00A85E24"/>
    <w:rsid w:val="00A85E3A"/>
    <w:rsid w:val="00A863B9"/>
    <w:rsid w:val="00A8683C"/>
    <w:rsid w:val="00A86A46"/>
    <w:rsid w:val="00A86BD6"/>
    <w:rsid w:val="00A873C8"/>
    <w:rsid w:val="00A8742F"/>
    <w:rsid w:val="00A87BD9"/>
    <w:rsid w:val="00A87E0F"/>
    <w:rsid w:val="00A902B6"/>
    <w:rsid w:val="00A90973"/>
    <w:rsid w:val="00A90ADF"/>
    <w:rsid w:val="00A90CCD"/>
    <w:rsid w:val="00A90D0C"/>
    <w:rsid w:val="00A90E86"/>
    <w:rsid w:val="00A911CF"/>
    <w:rsid w:val="00A92D29"/>
    <w:rsid w:val="00A931ED"/>
    <w:rsid w:val="00A93596"/>
    <w:rsid w:val="00A9360D"/>
    <w:rsid w:val="00A9405B"/>
    <w:rsid w:val="00A942AB"/>
    <w:rsid w:val="00A94E2D"/>
    <w:rsid w:val="00A95580"/>
    <w:rsid w:val="00A9635E"/>
    <w:rsid w:val="00A9651C"/>
    <w:rsid w:val="00A97C53"/>
    <w:rsid w:val="00AA098C"/>
    <w:rsid w:val="00AA10D4"/>
    <w:rsid w:val="00AA1394"/>
    <w:rsid w:val="00AA2986"/>
    <w:rsid w:val="00AA37B8"/>
    <w:rsid w:val="00AA4BDF"/>
    <w:rsid w:val="00AA4CB1"/>
    <w:rsid w:val="00AA562B"/>
    <w:rsid w:val="00AA60EA"/>
    <w:rsid w:val="00AA66B2"/>
    <w:rsid w:val="00AA6766"/>
    <w:rsid w:val="00AA6B09"/>
    <w:rsid w:val="00AA6D93"/>
    <w:rsid w:val="00AA712F"/>
    <w:rsid w:val="00AB011D"/>
    <w:rsid w:val="00AB0A65"/>
    <w:rsid w:val="00AB0E9E"/>
    <w:rsid w:val="00AB155E"/>
    <w:rsid w:val="00AB1695"/>
    <w:rsid w:val="00AB171B"/>
    <w:rsid w:val="00AB25E3"/>
    <w:rsid w:val="00AB2969"/>
    <w:rsid w:val="00AB2A56"/>
    <w:rsid w:val="00AB2F30"/>
    <w:rsid w:val="00AB3364"/>
    <w:rsid w:val="00AB33D8"/>
    <w:rsid w:val="00AB3A31"/>
    <w:rsid w:val="00AB3B2E"/>
    <w:rsid w:val="00AB3E5D"/>
    <w:rsid w:val="00AB433E"/>
    <w:rsid w:val="00AB5B97"/>
    <w:rsid w:val="00AB60BF"/>
    <w:rsid w:val="00AB612B"/>
    <w:rsid w:val="00AB637C"/>
    <w:rsid w:val="00AB6724"/>
    <w:rsid w:val="00AB6B29"/>
    <w:rsid w:val="00AB6FC4"/>
    <w:rsid w:val="00AB731C"/>
    <w:rsid w:val="00AB7EC6"/>
    <w:rsid w:val="00AB7FAF"/>
    <w:rsid w:val="00AC06C1"/>
    <w:rsid w:val="00AC1F59"/>
    <w:rsid w:val="00AC2026"/>
    <w:rsid w:val="00AC2429"/>
    <w:rsid w:val="00AC2D00"/>
    <w:rsid w:val="00AC3271"/>
    <w:rsid w:val="00AC387B"/>
    <w:rsid w:val="00AC3F40"/>
    <w:rsid w:val="00AC42FE"/>
    <w:rsid w:val="00AC46B4"/>
    <w:rsid w:val="00AC4EBF"/>
    <w:rsid w:val="00AC50AA"/>
    <w:rsid w:val="00AC51F8"/>
    <w:rsid w:val="00AC5876"/>
    <w:rsid w:val="00AC5963"/>
    <w:rsid w:val="00AC5ACC"/>
    <w:rsid w:val="00AC5B29"/>
    <w:rsid w:val="00AC6A87"/>
    <w:rsid w:val="00AC6F93"/>
    <w:rsid w:val="00AC732D"/>
    <w:rsid w:val="00AC747A"/>
    <w:rsid w:val="00AC760B"/>
    <w:rsid w:val="00AD0248"/>
    <w:rsid w:val="00AD05B3"/>
    <w:rsid w:val="00AD0D47"/>
    <w:rsid w:val="00AD1DD5"/>
    <w:rsid w:val="00AD2529"/>
    <w:rsid w:val="00AD2B42"/>
    <w:rsid w:val="00AD3841"/>
    <w:rsid w:val="00AD4065"/>
    <w:rsid w:val="00AD435A"/>
    <w:rsid w:val="00AD5143"/>
    <w:rsid w:val="00AD5264"/>
    <w:rsid w:val="00AD59F2"/>
    <w:rsid w:val="00AD6045"/>
    <w:rsid w:val="00AD7192"/>
    <w:rsid w:val="00AD71BD"/>
    <w:rsid w:val="00AD7271"/>
    <w:rsid w:val="00AD7FE3"/>
    <w:rsid w:val="00AE04FE"/>
    <w:rsid w:val="00AE0709"/>
    <w:rsid w:val="00AE072E"/>
    <w:rsid w:val="00AE0A43"/>
    <w:rsid w:val="00AE1091"/>
    <w:rsid w:val="00AE1125"/>
    <w:rsid w:val="00AE5836"/>
    <w:rsid w:val="00AE5992"/>
    <w:rsid w:val="00AE5B01"/>
    <w:rsid w:val="00AE5CE3"/>
    <w:rsid w:val="00AE5DE6"/>
    <w:rsid w:val="00AE5DEC"/>
    <w:rsid w:val="00AE6696"/>
    <w:rsid w:val="00AE7029"/>
    <w:rsid w:val="00AE73F4"/>
    <w:rsid w:val="00AE7462"/>
    <w:rsid w:val="00AE7885"/>
    <w:rsid w:val="00AE7EFA"/>
    <w:rsid w:val="00AF04ED"/>
    <w:rsid w:val="00AF06BF"/>
    <w:rsid w:val="00AF09D2"/>
    <w:rsid w:val="00AF0EEA"/>
    <w:rsid w:val="00AF1A6B"/>
    <w:rsid w:val="00AF22B0"/>
    <w:rsid w:val="00AF2DA3"/>
    <w:rsid w:val="00AF3528"/>
    <w:rsid w:val="00AF36D2"/>
    <w:rsid w:val="00AF4A09"/>
    <w:rsid w:val="00AF4CB2"/>
    <w:rsid w:val="00AF4E0E"/>
    <w:rsid w:val="00AF5301"/>
    <w:rsid w:val="00AF56D8"/>
    <w:rsid w:val="00AF6107"/>
    <w:rsid w:val="00AF64EA"/>
    <w:rsid w:val="00AF65DA"/>
    <w:rsid w:val="00AF6C76"/>
    <w:rsid w:val="00AF6D98"/>
    <w:rsid w:val="00AF6F93"/>
    <w:rsid w:val="00AF77DC"/>
    <w:rsid w:val="00B0057B"/>
    <w:rsid w:val="00B009A9"/>
    <w:rsid w:val="00B00A52"/>
    <w:rsid w:val="00B00CEC"/>
    <w:rsid w:val="00B01A07"/>
    <w:rsid w:val="00B01D8A"/>
    <w:rsid w:val="00B0233B"/>
    <w:rsid w:val="00B028A1"/>
    <w:rsid w:val="00B03001"/>
    <w:rsid w:val="00B03D45"/>
    <w:rsid w:val="00B040B6"/>
    <w:rsid w:val="00B0548E"/>
    <w:rsid w:val="00B05B50"/>
    <w:rsid w:val="00B068D3"/>
    <w:rsid w:val="00B070FF"/>
    <w:rsid w:val="00B078A8"/>
    <w:rsid w:val="00B10301"/>
    <w:rsid w:val="00B10715"/>
    <w:rsid w:val="00B10F7C"/>
    <w:rsid w:val="00B11AA3"/>
    <w:rsid w:val="00B124CE"/>
    <w:rsid w:val="00B12B78"/>
    <w:rsid w:val="00B131F3"/>
    <w:rsid w:val="00B139B8"/>
    <w:rsid w:val="00B13F57"/>
    <w:rsid w:val="00B13F73"/>
    <w:rsid w:val="00B140E9"/>
    <w:rsid w:val="00B140F3"/>
    <w:rsid w:val="00B14627"/>
    <w:rsid w:val="00B14C86"/>
    <w:rsid w:val="00B15281"/>
    <w:rsid w:val="00B15A17"/>
    <w:rsid w:val="00B15C6B"/>
    <w:rsid w:val="00B15D44"/>
    <w:rsid w:val="00B1670F"/>
    <w:rsid w:val="00B169FF"/>
    <w:rsid w:val="00B16AB8"/>
    <w:rsid w:val="00B16BC3"/>
    <w:rsid w:val="00B17240"/>
    <w:rsid w:val="00B17367"/>
    <w:rsid w:val="00B1788F"/>
    <w:rsid w:val="00B17914"/>
    <w:rsid w:val="00B204EB"/>
    <w:rsid w:val="00B20899"/>
    <w:rsid w:val="00B20984"/>
    <w:rsid w:val="00B20BAA"/>
    <w:rsid w:val="00B21037"/>
    <w:rsid w:val="00B2107A"/>
    <w:rsid w:val="00B219DD"/>
    <w:rsid w:val="00B21B83"/>
    <w:rsid w:val="00B21E42"/>
    <w:rsid w:val="00B22093"/>
    <w:rsid w:val="00B22301"/>
    <w:rsid w:val="00B229EF"/>
    <w:rsid w:val="00B22F1E"/>
    <w:rsid w:val="00B23B8A"/>
    <w:rsid w:val="00B241A5"/>
    <w:rsid w:val="00B243EB"/>
    <w:rsid w:val="00B24457"/>
    <w:rsid w:val="00B250C1"/>
    <w:rsid w:val="00B25939"/>
    <w:rsid w:val="00B25CAC"/>
    <w:rsid w:val="00B26228"/>
    <w:rsid w:val="00B26336"/>
    <w:rsid w:val="00B264BE"/>
    <w:rsid w:val="00B26C27"/>
    <w:rsid w:val="00B27016"/>
    <w:rsid w:val="00B30A26"/>
    <w:rsid w:val="00B3138B"/>
    <w:rsid w:val="00B318A0"/>
    <w:rsid w:val="00B327EE"/>
    <w:rsid w:val="00B32C92"/>
    <w:rsid w:val="00B3304C"/>
    <w:rsid w:val="00B3349B"/>
    <w:rsid w:val="00B33A7F"/>
    <w:rsid w:val="00B33ABD"/>
    <w:rsid w:val="00B34E05"/>
    <w:rsid w:val="00B34F1A"/>
    <w:rsid w:val="00B34FC2"/>
    <w:rsid w:val="00B3529D"/>
    <w:rsid w:val="00B3587E"/>
    <w:rsid w:val="00B36052"/>
    <w:rsid w:val="00B36100"/>
    <w:rsid w:val="00B36721"/>
    <w:rsid w:val="00B36C15"/>
    <w:rsid w:val="00B37542"/>
    <w:rsid w:val="00B37926"/>
    <w:rsid w:val="00B40BB1"/>
    <w:rsid w:val="00B40EA6"/>
    <w:rsid w:val="00B41019"/>
    <w:rsid w:val="00B4130E"/>
    <w:rsid w:val="00B41998"/>
    <w:rsid w:val="00B4223C"/>
    <w:rsid w:val="00B422F8"/>
    <w:rsid w:val="00B42432"/>
    <w:rsid w:val="00B42CE7"/>
    <w:rsid w:val="00B43301"/>
    <w:rsid w:val="00B43F39"/>
    <w:rsid w:val="00B442F5"/>
    <w:rsid w:val="00B4466C"/>
    <w:rsid w:val="00B451F5"/>
    <w:rsid w:val="00B46A62"/>
    <w:rsid w:val="00B46DB2"/>
    <w:rsid w:val="00B471AF"/>
    <w:rsid w:val="00B50284"/>
    <w:rsid w:val="00B504E0"/>
    <w:rsid w:val="00B50710"/>
    <w:rsid w:val="00B50A26"/>
    <w:rsid w:val="00B50F60"/>
    <w:rsid w:val="00B515C7"/>
    <w:rsid w:val="00B515DC"/>
    <w:rsid w:val="00B51722"/>
    <w:rsid w:val="00B5199C"/>
    <w:rsid w:val="00B51CC1"/>
    <w:rsid w:val="00B51F43"/>
    <w:rsid w:val="00B522B8"/>
    <w:rsid w:val="00B52902"/>
    <w:rsid w:val="00B529ED"/>
    <w:rsid w:val="00B53170"/>
    <w:rsid w:val="00B532FA"/>
    <w:rsid w:val="00B53EA7"/>
    <w:rsid w:val="00B53FA6"/>
    <w:rsid w:val="00B5405C"/>
    <w:rsid w:val="00B5423E"/>
    <w:rsid w:val="00B546EE"/>
    <w:rsid w:val="00B54D19"/>
    <w:rsid w:val="00B54DD5"/>
    <w:rsid w:val="00B558A4"/>
    <w:rsid w:val="00B55AE4"/>
    <w:rsid w:val="00B55FEB"/>
    <w:rsid w:val="00B5631D"/>
    <w:rsid w:val="00B56640"/>
    <w:rsid w:val="00B5695D"/>
    <w:rsid w:val="00B56DEF"/>
    <w:rsid w:val="00B56E7B"/>
    <w:rsid w:val="00B57A75"/>
    <w:rsid w:val="00B57B85"/>
    <w:rsid w:val="00B603A9"/>
    <w:rsid w:val="00B60832"/>
    <w:rsid w:val="00B60914"/>
    <w:rsid w:val="00B609F1"/>
    <w:rsid w:val="00B60E2F"/>
    <w:rsid w:val="00B60F89"/>
    <w:rsid w:val="00B614F5"/>
    <w:rsid w:val="00B6201C"/>
    <w:rsid w:val="00B6205A"/>
    <w:rsid w:val="00B620AD"/>
    <w:rsid w:val="00B62254"/>
    <w:rsid w:val="00B625D8"/>
    <w:rsid w:val="00B62661"/>
    <w:rsid w:val="00B62884"/>
    <w:rsid w:val="00B633AE"/>
    <w:rsid w:val="00B6353D"/>
    <w:rsid w:val="00B63B6F"/>
    <w:rsid w:val="00B645C7"/>
    <w:rsid w:val="00B646BE"/>
    <w:rsid w:val="00B64BD7"/>
    <w:rsid w:val="00B651FA"/>
    <w:rsid w:val="00B65524"/>
    <w:rsid w:val="00B65825"/>
    <w:rsid w:val="00B65D78"/>
    <w:rsid w:val="00B65FD0"/>
    <w:rsid w:val="00B66538"/>
    <w:rsid w:val="00B66B84"/>
    <w:rsid w:val="00B66BC8"/>
    <w:rsid w:val="00B66E89"/>
    <w:rsid w:val="00B67F37"/>
    <w:rsid w:val="00B70A30"/>
    <w:rsid w:val="00B70F65"/>
    <w:rsid w:val="00B71942"/>
    <w:rsid w:val="00B721EB"/>
    <w:rsid w:val="00B72275"/>
    <w:rsid w:val="00B72591"/>
    <w:rsid w:val="00B7261B"/>
    <w:rsid w:val="00B73EC5"/>
    <w:rsid w:val="00B74646"/>
    <w:rsid w:val="00B74B93"/>
    <w:rsid w:val="00B74ED0"/>
    <w:rsid w:val="00B7537D"/>
    <w:rsid w:val="00B75559"/>
    <w:rsid w:val="00B75746"/>
    <w:rsid w:val="00B75CC7"/>
    <w:rsid w:val="00B75D8D"/>
    <w:rsid w:val="00B7675D"/>
    <w:rsid w:val="00B76BC1"/>
    <w:rsid w:val="00B77F79"/>
    <w:rsid w:val="00B8008C"/>
    <w:rsid w:val="00B8131B"/>
    <w:rsid w:val="00B81A26"/>
    <w:rsid w:val="00B81A46"/>
    <w:rsid w:val="00B81CB0"/>
    <w:rsid w:val="00B81E4A"/>
    <w:rsid w:val="00B8211A"/>
    <w:rsid w:val="00B831E5"/>
    <w:rsid w:val="00B837A6"/>
    <w:rsid w:val="00B83D06"/>
    <w:rsid w:val="00B83F78"/>
    <w:rsid w:val="00B8432F"/>
    <w:rsid w:val="00B84545"/>
    <w:rsid w:val="00B84B1E"/>
    <w:rsid w:val="00B855EC"/>
    <w:rsid w:val="00B85E3E"/>
    <w:rsid w:val="00B8622C"/>
    <w:rsid w:val="00B867AF"/>
    <w:rsid w:val="00B86D1B"/>
    <w:rsid w:val="00B86F20"/>
    <w:rsid w:val="00B875C8"/>
    <w:rsid w:val="00B87617"/>
    <w:rsid w:val="00B87882"/>
    <w:rsid w:val="00B87F2E"/>
    <w:rsid w:val="00B909BA"/>
    <w:rsid w:val="00B90C84"/>
    <w:rsid w:val="00B90CFB"/>
    <w:rsid w:val="00B90DD3"/>
    <w:rsid w:val="00B90DFE"/>
    <w:rsid w:val="00B90F57"/>
    <w:rsid w:val="00B91094"/>
    <w:rsid w:val="00B919FD"/>
    <w:rsid w:val="00B92DBD"/>
    <w:rsid w:val="00B92F8E"/>
    <w:rsid w:val="00B93459"/>
    <w:rsid w:val="00B95B6D"/>
    <w:rsid w:val="00B95D0E"/>
    <w:rsid w:val="00B95E84"/>
    <w:rsid w:val="00B95FBA"/>
    <w:rsid w:val="00B960F2"/>
    <w:rsid w:val="00B966BB"/>
    <w:rsid w:val="00B97286"/>
    <w:rsid w:val="00BA0571"/>
    <w:rsid w:val="00BA05A8"/>
    <w:rsid w:val="00BA0AEC"/>
    <w:rsid w:val="00BA0E39"/>
    <w:rsid w:val="00BA11DC"/>
    <w:rsid w:val="00BA1309"/>
    <w:rsid w:val="00BA1401"/>
    <w:rsid w:val="00BA1732"/>
    <w:rsid w:val="00BA2927"/>
    <w:rsid w:val="00BA3328"/>
    <w:rsid w:val="00BA3456"/>
    <w:rsid w:val="00BA34FE"/>
    <w:rsid w:val="00BA3B79"/>
    <w:rsid w:val="00BA42C3"/>
    <w:rsid w:val="00BA4803"/>
    <w:rsid w:val="00BA50ED"/>
    <w:rsid w:val="00BA5257"/>
    <w:rsid w:val="00BA52FD"/>
    <w:rsid w:val="00BA5A3D"/>
    <w:rsid w:val="00BA5F8F"/>
    <w:rsid w:val="00BA68F5"/>
    <w:rsid w:val="00BA6C10"/>
    <w:rsid w:val="00BA6E1C"/>
    <w:rsid w:val="00BA73B5"/>
    <w:rsid w:val="00BA74A4"/>
    <w:rsid w:val="00BA79DA"/>
    <w:rsid w:val="00BA7B1E"/>
    <w:rsid w:val="00BA7E02"/>
    <w:rsid w:val="00BB0008"/>
    <w:rsid w:val="00BB0721"/>
    <w:rsid w:val="00BB0BD7"/>
    <w:rsid w:val="00BB0CB9"/>
    <w:rsid w:val="00BB0F40"/>
    <w:rsid w:val="00BB0F70"/>
    <w:rsid w:val="00BB226A"/>
    <w:rsid w:val="00BB345B"/>
    <w:rsid w:val="00BB39B8"/>
    <w:rsid w:val="00BB3ECA"/>
    <w:rsid w:val="00BB3F51"/>
    <w:rsid w:val="00BB4140"/>
    <w:rsid w:val="00BB47A5"/>
    <w:rsid w:val="00BB51D1"/>
    <w:rsid w:val="00BB667C"/>
    <w:rsid w:val="00BB6B43"/>
    <w:rsid w:val="00BB7508"/>
    <w:rsid w:val="00BB7841"/>
    <w:rsid w:val="00BC0561"/>
    <w:rsid w:val="00BC06C7"/>
    <w:rsid w:val="00BC0801"/>
    <w:rsid w:val="00BC0819"/>
    <w:rsid w:val="00BC11AE"/>
    <w:rsid w:val="00BC1C2B"/>
    <w:rsid w:val="00BC258F"/>
    <w:rsid w:val="00BC28D4"/>
    <w:rsid w:val="00BC3051"/>
    <w:rsid w:val="00BC330E"/>
    <w:rsid w:val="00BC4B32"/>
    <w:rsid w:val="00BC5C90"/>
    <w:rsid w:val="00BC6991"/>
    <w:rsid w:val="00BC710A"/>
    <w:rsid w:val="00BC7D01"/>
    <w:rsid w:val="00BD0414"/>
    <w:rsid w:val="00BD08DA"/>
    <w:rsid w:val="00BD112E"/>
    <w:rsid w:val="00BD12BB"/>
    <w:rsid w:val="00BD16ED"/>
    <w:rsid w:val="00BD2293"/>
    <w:rsid w:val="00BD2A4C"/>
    <w:rsid w:val="00BD2BA0"/>
    <w:rsid w:val="00BD32B5"/>
    <w:rsid w:val="00BD380C"/>
    <w:rsid w:val="00BD447B"/>
    <w:rsid w:val="00BD44B2"/>
    <w:rsid w:val="00BD4539"/>
    <w:rsid w:val="00BD453C"/>
    <w:rsid w:val="00BD4745"/>
    <w:rsid w:val="00BD4BEE"/>
    <w:rsid w:val="00BD4D4F"/>
    <w:rsid w:val="00BD59DD"/>
    <w:rsid w:val="00BD675E"/>
    <w:rsid w:val="00BD753F"/>
    <w:rsid w:val="00BD7BD9"/>
    <w:rsid w:val="00BE0218"/>
    <w:rsid w:val="00BE083D"/>
    <w:rsid w:val="00BE0AD0"/>
    <w:rsid w:val="00BE0BE4"/>
    <w:rsid w:val="00BE0BF6"/>
    <w:rsid w:val="00BE0C55"/>
    <w:rsid w:val="00BE12F5"/>
    <w:rsid w:val="00BE13E9"/>
    <w:rsid w:val="00BE178A"/>
    <w:rsid w:val="00BE17E4"/>
    <w:rsid w:val="00BE1958"/>
    <w:rsid w:val="00BE1F2A"/>
    <w:rsid w:val="00BE2E47"/>
    <w:rsid w:val="00BE32F2"/>
    <w:rsid w:val="00BE39BF"/>
    <w:rsid w:val="00BE4E2B"/>
    <w:rsid w:val="00BE512B"/>
    <w:rsid w:val="00BE5E6A"/>
    <w:rsid w:val="00BE622C"/>
    <w:rsid w:val="00BE6BBB"/>
    <w:rsid w:val="00BE6F46"/>
    <w:rsid w:val="00BE73B4"/>
    <w:rsid w:val="00BE754F"/>
    <w:rsid w:val="00BE77C6"/>
    <w:rsid w:val="00BE79B1"/>
    <w:rsid w:val="00BE7ACE"/>
    <w:rsid w:val="00BF03D0"/>
    <w:rsid w:val="00BF0DE0"/>
    <w:rsid w:val="00BF139D"/>
    <w:rsid w:val="00BF17FD"/>
    <w:rsid w:val="00BF1857"/>
    <w:rsid w:val="00BF1AEF"/>
    <w:rsid w:val="00BF1F9A"/>
    <w:rsid w:val="00BF254F"/>
    <w:rsid w:val="00BF273A"/>
    <w:rsid w:val="00BF294B"/>
    <w:rsid w:val="00BF3580"/>
    <w:rsid w:val="00BF3B1F"/>
    <w:rsid w:val="00BF3B91"/>
    <w:rsid w:val="00BF3F42"/>
    <w:rsid w:val="00BF4602"/>
    <w:rsid w:val="00BF4869"/>
    <w:rsid w:val="00BF4B89"/>
    <w:rsid w:val="00BF5288"/>
    <w:rsid w:val="00BF55EF"/>
    <w:rsid w:val="00BF583E"/>
    <w:rsid w:val="00BF5F20"/>
    <w:rsid w:val="00BF5FB2"/>
    <w:rsid w:val="00BF604E"/>
    <w:rsid w:val="00BF6596"/>
    <w:rsid w:val="00BF68A9"/>
    <w:rsid w:val="00BF7284"/>
    <w:rsid w:val="00BF737F"/>
    <w:rsid w:val="00BF7611"/>
    <w:rsid w:val="00BF7700"/>
    <w:rsid w:val="00BF7B8D"/>
    <w:rsid w:val="00C00EFF"/>
    <w:rsid w:val="00C0183D"/>
    <w:rsid w:val="00C018C1"/>
    <w:rsid w:val="00C01ADB"/>
    <w:rsid w:val="00C02005"/>
    <w:rsid w:val="00C02D07"/>
    <w:rsid w:val="00C03BEA"/>
    <w:rsid w:val="00C03D16"/>
    <w:rsid w:val="00C042AC"/>
    <w:rsid w:val="00C0430B"/>
    <w:rsid w:val="00C04969"/>
    <w:rsid w:val="00C04E4A"/>
    <w:rsid w:val="00C0597F"/>
    <w:rsid w:val="00C05B12"/>
    <w:rsid w:val="00C068A1"/>
    <w:rsid w:val="00C06D43"/>
    <w:rsid w:val="00C06FB7"/>
    <w:rsid w:val="00C071FD"/>
    <w:rsid w:val="00C0730E"/>
    <w:rsid w:val="00C07923"/>
    <w:rsid w:val="00C11409"/>
    <w:rsid w:val="00C11C96"/>
    <w:rsid w:val="00C12E09"/>
    <w:rsid w:val="00C13594"/>
    <w:rsid w:val="00C143AA"/>
    <w:rsid w:val="00C14462"/>
    <w:rsid w:val="00C14C91"/>
    <w:rsid w:val="00C15084"/>
    <w:rsid w:val="00C15771"/>
    <w:rsid w:val="00C15802"/>
    <w:rsid w:val="00C16CF0"/>
    <w:rsid w:val="00C17019"/>
    <w:rsid w:val="00C1791D"/>
    <w:rsid w:val="00C2058E"/>
    <w:rsid w:val="00C2064E"/>
    <w:rsid w:val="00C20700"/>
    <w:rsid w:val="00C207D2"/>
    <w:rsid w:val="00C20D49"/>
    <w:rsid w:val="00C20EB6"/>
    <w:rsid w:val="00C21768"/>
    <w:rsid w:val="00C21844"/>
    <w:rsid w:val="00C21A7E"/>
    <w:rsid w:val="00C22A78"/>
    <w:rsid w:val="00C23306"/>
    <w:rsid w:val="00C234FD"/>
    <w:rsid w:val="00C23521"/>
    <w:rsid w:val="00C24280"/>
    <w:rsid w:val="00C248D3"/>
    <w:rsid w:val="00C24A64"/>
    <w:rsid w:val="00C24DCE"/>
    <w:rsid w:val="00C24F42"/>
    <w:rsid w:val="00C2567A"/>
    <w:rsid w:val="00C25860"/>
    <w:rsid w:val="00C26CF8"/>
    <w:rsid w:val="00C2710C"/>
    <w:rsid w:val="00C278B5"/>
    <w:rsid w:val="00C27E31"/>
    <w:rsid w:val="00C304FD"/>
    <w:rsid w:val="00C3111D"/>
    <w:rsid w:val="00C31994"/>
    <w:rsid w:val="00C3280F"/>
    <w:rsid w:val="00C329CC"/>
    <w:rsid w:val="00C3315F"/>
    <w:rsid w:val="00C3397D"/>
    <w:rsid w:val="00C346AD"/>
    <w:rsid w:val="00C3545B"/>
    <w:rsid w:val="00C3577A"/>
    <w:rsid w:val="00C35A0C"/>
    <w:rsid w:val="00C35D73"/>
    <w:rsid w:val="00C361E5"/>
    <w:rsid w:val="00C36921"/>
    <w:rsid w:val="00C369B9"/>
    <w:rsid w:val="00C36E38"/>
    <w:rsid w:val="00C37711"/>
    <w:rsid w:val="00C37E4E"/>
    <w:rsid w:val="00C407C0"/>
    <w:rsid w:val="00C408E2"/>
    <w:rsid w:val="00C4098B"/>
    <w:rsid w:val="00C40D09"/>
    <w:rsid w:val="00C40ECE"/>
    <w:rsid w:val="00C40F69"/>
    <w:rsid w:val="00C4143A"/>
    <w:rsid w:val="00C4154D"/>
    <w:rsid w:val="00C41AA4"/>
    <w:rsid w:val="00C4261F"/>
    <w:rsid w:val="00C42CC6"/>
    <w:rsid w:val="00C42DCC"/>
    <w:rsid w:val="00C434EE"/>
    <w:rsid w:val="00C43A79"/>
    <w:rsid w:val="00C43D6B"/>
    <w:rsid w:val="00C43F1D"/>
    <w:rsid w:val="00C4409D"/>
    <w:rsid w:val="00C44278"/>
    <w:rsid w:val="00C445D4"/>
    <w:rsid w:val="00C44647"/>
    <w:rsid w:val="00C44D0C"/>
    <w:rsid w:val="00C45176"/>
    <w:rsid w:val="00C456AF"/>
    <w:rsid w:val="00C45B48"/>
    <w:rsid w:val="00C47BA6"/>
    <w:rsid w:val="00C47D00"/>
    <w:rsid w:val="00C47FA5"/>
    <w:rsid w:val="00C50362"/>
    <w:rsid w:val="00C506EB"/>
    <w:rsid w:val="00C50AAC"/>
    <w:rsid w:val="00C50ADD"/>
    <w:rsid w:val="00C50FD8"/>
    <w:rsid w:val="00C5140E"/>
    <w:rsid w:val="00C51932"/>
    <w:rsid w:val="00C51999"/>
    <w:rsid w:val="00C51A9B"/>
    <w:rsid w:val="00C52254"/>
    <w:rsid w:val="00C53633"/>
    <w:rsid w:val="00C53A7B"/>
    <w:rsid w:val="00C53E8E"/>
    <w:rsid w:val="00C542F9"/>
    <w:rsid w:val="00C54DF3"/>
    <w:rsid w:val="00C558CA"/>
    <w:rsid w:val="00C5687F"/>
    <w:rsid w:val="00C57270"/>
    <w:rsid w:val="00C57391"/>
    <w:rsid w:val="00C577F2"/>
    <w:rsid w:val="00C57863"/>
    <w:rsid w:val="00C57929"/>
    <w:rsid w:val="00C57BC5"/>
    <w:rsid w:val="00C605A0"/>
    <w:rsid w:val="00C605AE"/>
    <w:rsid w:val="00C60896"/>
    <w:rsid w:val="00C6143D"/>
    <w:rsid w:val="00C61A3C"/>
    <w:rsid w:val="00C61BE1"/>
    <w:rsid w:val="00C61E6B"/>
    <w:rsid w:val="00C6241E"/>
    <w:rsid w:val="00C62887"/>
    <w:rsid w:val="00C62BA3"/>
    <w:rsid w:val="00C62BFC"/>
    <w:rsid w:val="00C630BA"/>
    <w:rsid w:val="00C6342F"/>
    <w:rsid w:val="00C6478F"/>
    <w:rsid w:val="00C647FC"/>
    <w:rsid w:val="00C64928"/>
    <w:rsid w:val="00C64A58"/>
    <w:rsid w:val="00C64DA7"/>
    <w:rsid w:val="00C64E4B"/>
    <w:rsid w:val="00C64F50"/>
    <w:rsid w:val="00C65910"/>
    <w:rsid w:val="00C65B83"/>
    <w:rsid w:val="00C65DBD"/>
    <w:rsid w:val="00C6613E"/>
    <w:rsid w:val="00C66D23"/>
    <w:rsid w:val="00C674E5"/>
    <w:rsid w:val="00C67999"/>
    <w:rsid w:val="00C67A1D"/>
    <w:rsid w:val="00C67F63"/>
    <w:rsid w:val="00C70369"/>
    <w:rsid w:val="00C70566"/>
    <w:rsid w:val="00C707EB"/>
    <w:rsid w:val="00C71BBC"/>
    <w:rsid w:val="00C72D09"/>
    <w:rsid w:val="00C734AF"/>
    <w:rsid w:val="00C73D2E"/>
    <w:rsid w:val="00C74259"/>
    <w:rsid w:val="00C744F4"/>
    <w:rsid w:val="00C74709"/>
    <w:rsid w:val="00C75191"/>
    <w:rsid w:val="00C75EC2"/>
    <w:rsid w:val="00C76152"/>
    <w:rsid w:val="00C767B1"/>
    <w:rsid w:val="00C76DA4"/>
    <w:rsid w:val="00C76E86"/>
    <w:rsid w:val="00C77619"/>
    <w:rsid w:val="00C80B3A"/>
    <w:rsid w:val="00C82091"/>
    <w:rsid w:val="00C824EE"/>
    <w:rsid w:val="00C83009"/>
    <w:rsid w:val="00C833C0"/>
    <w:rsid w:val="00C834D7"/>
    <w:rsid w:val="00C83CB1"/>
    <w:rsid w:val="00C840D5"/>
    <w:rsid w:val="00C845AA"/>
    <w:rsid w:val="00C84905"/>
    <w:rsid w:val="00C84D74"/>
    <w:rsid w:val="00C84EA9"/>
    <w:rsid w:val="00C84F57"/>
    <w:rsid w:val="00C84F99"/>
    <w:rsid w:val="00C8687C"/>
    <w:rsid w:val="00C874E6"/>
    <w:rsid w:val="00C876A0"/>
    <w:rsid w:val="00C9006D"/>
    <w:rsid w:val="00C9296C"/>
    <w:rsid w:val="00C92C5F"/>
    <w:rsid w:val="00C9370B"/>
    <w:rsid w:val="00C9381C"/>
    <w:rsid w:val="00C93D91"/>
    <w:rsid w:val="00C94024"/>
    <w:rsid w:val="00C948A6"/>
    <w:rsid w:val="00C94C0A"/>
    <w:rsid w:val="00C94D79"/>
    <w:rsid w:val="00C94DB4"/>
    <w:rsid w:val="00C95134"/>
    <w:rsid w:val="00C951AD"/>
    <w:rsid w:val="00C9548C"/>
    <w:rsid w:val="00C962B8"/>
    <w:rsid w:val="00C97143"/>
    <w:rsid w:val="00C97446"/>
    <w:rsid w:val="00C975C7"/>
    <w:rsid w:val="00C977BA"/>
    <w:rsid w:val="00C977F2"/>
    <w:rsid w:val="00C97BE0"/>
    <w:rsid w:val="00CA12B5"/>
    <w:rsid w:val="00CA1B85"/>
    <w:rsid w:val="00CA1E1F"/>
    <w:rsid w:val="00CA2540"/>
    <w:rsid w:val="00CA2ABD"/>
    <w:rsid w:val="00CA2CD1"/>
    <w:rsid w:val="00CA2DDC"/>
    <w:rsid w:val="00CA2ECE"/>
    <w:rsid w:val="00CA3AC5"/>
    <w:rsid w:val="00CA3D1C"/>
    <w:rsid w:val="00CA3DDD"/>
    <w:rsid w:val="00CA3F58"/>
    <w:rsid w:val="00CA44F7"/>
    <w:rsid w:val="00CA47B3"/>
    <w:rsid w:val="00CA4A3B"/>
    <w:rsid w:val="00CA4C18"/>
    <w:rsid w:val="00CA59F1"/>
    <w:rsid w:val="00CA670F"/>
    <w:rsid w:val="00CA73BE"/>
    <w:rsid w:val="00CA743B"/>
    <w:rsid w:val="00CA7856"/>
    <w:rsid w:val="00CB0687"/>
    <w:rsid w:val="00CB0DEF"/>
    <w:rsid w:val="00CB14AD"/>
    <w:rsid w:val="00CB17EF"/>
    <w:rsid w:val="00CB1850"/>
    <w:rsid w:val="00CB1EA8"/>
    <w:rsid w:val="00CB38A9"/>
    <w:rsid w:val="00CB4173"/>
    <w:rsid w:val="00CB4860"/>
    <w:rsid w:val="00CB4A72"/>
    <w:rsid w:val="00CB502C"/>
    <w:rsid w:val="00CB5BC2"/>
    <w:rsid w:val="00CB6022"/>
    <w:rsid w:val="00CB65F8"/>
    <w:rsid w:val="00CB6BCF"/>
    <w:rsid w:val="00CB7942"/>
    <w:rsid w:val="00CC0AAD"/>
    <w:rsid w:val="00CC0B68"/>
    <w:rsid w:val="00CC0BDF"/>
    <w:rsid w:val="00CC1B11"/>
    <w:rsid w:val="00CC1D9A"/>
    <w:rsid w:val="00CC2CBB"/>
    <w:rsid w:val="00CC3448"/>
    <w:rsid w:val="00CC35D9"/>
    <w:rsid w:val="00CC4CA7"/>
    <w:rsid w:val="00CC58CD"/>
    <w:rsid w:val="00CC6017"/>
    <w:rsid w:val="00CC6409"/>
    <w:rsid w:val="00CC681F"/>
    <w:rsid w:val="00CC6856"/>
    <w:rsid w:val="00CC6F17"/>
    <w:rsid w:val="00CC7585"/>
    <w:rsid w:val="00CC7A35"/>
    <w:rsid w:val="00CD09F9"/>
    <w:rsid w:val="00CD1C6F"/>
    <w:rsid w:val="00CD211E"/>
    <w:rsid w:val="00CD2244"/>
    <w:rsid w:val="00CD22BB"/>
    <w:rsid w:val="00CD2329"/>
    <w:rsid w:val="00CD29B8"/>
    <w:rsid w:val="00CD2FE1"/>
    <w:rsid w:val="00CD3802"/>
    <w:rsid w:val="00CD3899"/>
    <w:rsid w:val="00CD522A"/>
    <w:rsid w:val="00CD5251"/>
    <w:rsid w:val="00CD5EAA"/>
    <w:rsid w:val="00CD6690"/>
    <w:rsid w:val="00CD6993"/>
    <w:rsid w:val="00CD7466"/>
    <w:rsid w:val="00CD7574"/>
    <w:rsid w:val="00CD794C"/>
    <w:rsid w:val="00CE0522"/>
    <w:rsid w:val="00CE0CB6"/>
    <w:rsid w:val="00CE0D8A"/>
    <w:rsid w:val="00CE18B3"/>
    <w:rsid w:val="00CE1C6C"/>
    <w:rsid w:val="00CE2F72"/>
    <w:rsid w:val="00CE3835"/>
    <w:rsid w:val="00CE38F4"/>
    <w:rsid w:val="00CE3D82"/>
    <w:rsid w:val="00CE46BF"/>
    <w:rsid w:val="00CE49B4"/>
    <w:rsid w:val="00CE4A4B"/>
    <w:rsid w:val="00CE54DC"/>
    <w:rsid w:val="00CE5DF8"/>
    <w:rsid w:val="00CE5FA5"/>
    <w:rsid w:val="00CE6140"/>
    <w:rsid w:val="00CE6C76"/>
    <w:rsid w:val="00CE728E"/>
    <w:rsid w:val="00CE7532"/>
    <w:rsid w:val="00CE78F5"/>
    <w:rsid w:val="00CE7E76"/>
    <w:rsid w:val="00CF084F"/>
    <w:rsid w:val="00CF0A27"/>
    <w:rsid w:val="00CF0F0F"/>
    <w:rsid w:val="00CF15F9"/>
    <w:rsid w:val="00CF166D"/>
    <w:rsid w:val="00CF19B8"/>
    <w:rsid w:val="00CF1BC1"/>
    <w:rsid w:val="00CF1C83"/>
    <w:rsid w:val="00CF1DE8"/>
    <w:rsid w:val="00CF1E8F"/>
    <w:rsid w:val="00CF2C70"/>
    <w:rsid w:val="00CF3260"/>
    <w:rsid w:val="00CF37BE"/>
    <w:rsid w:val="00CF3C5C"/>
    <w:rsid w:val="00CF44C9"/>
    <w:rsid w:val="00CF47BF"/>
    <w:rsid w:val="00CF4DEB"/>
    <w:rsid w:val="00CF5494"/>
    <w:rsid w:val="00CF57AA"/>
    <w:rsid w:val="00CF5EE4"/>
    <w:rsid w:val="00CF653A"/>
    <w:rsid w:val="00CF7BF5"/>
    <w:rsid w:val="00CF7D20"/>
    <w:rsid w:val="00D00E7E"/>
    <w:rsid w:val="00D010D0"/>
    <w:rsid w:val="00D01902"/>
    <w:rsid w:val="00D01FC8"/>
    <w:rsid w:val="00D02604"/>
    <w:rsid w:val="00D02978"/>
    <w:rsid w:val="00D02A33"/>
    <w:rsid w:val="00D02BD5"/>
    <w:rsid w:val="00D032F0"/>
    <w:rsid w:val="00D03CF4"/>
    <w:rsid w:val="00D04115"/>
    <w:rsid w:val="00D04185"/>
    <w:rsid w:val="00D04642"/>
    <w:rsid w:val="00D0472B"/>
    <w:rsid w:val="00D0504A"/>
    <w:rsid w:val="00D054BD"/>
    <w:rsid w:val="00D05E89"/>
    <w:rsid w:val="00D060D5"/>
    <w:rsid w:val="00D060F2"/>
    <w:rsid w:val="00D06532"/>
    <w:rsid w:val="00D1047A"/>
    <w:rsid w:val="00D109CA"/>
    <w:rsid w:val="00D10E41"/>
    <w:rsid w:val="00D1148D"/>
    <w:rsid w:val="00D11682"/>
    <w:rsid w:val="00D1169F"/>
    <w:rsid w:val="00D11A01"/>
    <w:rsid w:val="00D11EFE"/>
    <w:rsid w:val="00D122AC"/>
    <w:rsid w:val="00D12520"/>
    <w:rsid w:val="00D12861"/>
    <w:rsid w:val="00D1396F"/>
    <w:rsid w:val="00D13E9C"/>
    <w:rsid w:val="00D13FD2"/>
    <w:rsid w:val="00D14048"/>
    <w:rsid w:val="00D1430B"/>
    <w:rsid w:val="00D1440B"/>
    <w:rsid w:val="00D14462"/>
    <w:rsid w:val="00D146BE"/>
    <w:rsid w:val="00D153F1"/>
    <w:rsid w:val="00D15EB7"/>
    <w:rsid w:val="00D161CE"/>
    <w:rsid w:val="00D161D3"/>
    <w:rsid w:val="00D17041"/>
    <w:rsid w:val="00D17B3D"/>
    <w:rsid w:val="00D17BB3"/>
    <w:rsid w:val="00D17FBD"/>
    <w:rsid w:val="00D2010D"/>
    <w:rsid w:val="00D2057C"/>
    <w:rsid w:val="00D205ED"/>
    <w:rsid w:val="00D206B4"/>
    <w:rsid w:val="00D20889"/>
    <w:rsid w:val="00D20BB9"/>
    <w:rsid w:val="00D20CA0"/>
    <w:rsid w:val="00D20CC3"/>
    <w:rsid w:val="00D20CCE"/>
    <w:rsid w:val="00D22020"/>
    <w:rsid w:val="00D2269A"/>
    <w:rsid w:val="00D226D2"/>
    <w:rsid w:val="00D2293B"/>
    <w:rsid w:val="00D22977"/>
    <w:rsid w:val="00D231E4"/>
    <w:rsid w:val="00D231F0"/>
    <w:rsid w:val="00D2358E"/>
    <w:rsid w:val="00D23650"/>
    <w:rsid w:val="00D236CD"/>
    <w:rsid w:val="00D23E08"/>
    <w:rsid w:val="00D24BD0"/>
    <w:rsid w:val="00D24C45"/>
    <w:rsid w:val="00D25A8E"/>
    <w:rsid w:val="00D25B43"/>
    <w:rsid w:val="00D25C51"/>
    <w:rsid w:val="00D25D3E"/>
    <w:rsid w:val="00D26019"/>
    <w:rsid w:val="00D26128"/>
    <w:rsid w:val="00D26F09"/>
    <w:rsid w:val="00D26FF1"/>
    <w:rsid w:val="00D277DF"/>
    <w:rsid w:val="00D2786E"/>
    <w:rsid w:val="00D27E33"/>
    <w:rsid w:val="00D30133"/>
    <w:rsid w:val="00D30300"/>
    <w:rsid w:val="00D312A0"/>
    <w:rsid w:val="00D320BA"/>
    <w:rsid w:val="00D365C0"/>
    <w:rsid w:val="00D368A7"/>
    <w:rsid w:val="00D36D04"/>
    <w:rsid w:val="00D36FA6"/>
    <w:rsid w:val="00D3701B"/>
    <w:rsid w:val="00D376EB"/>
    <w:rsid w:val="00D376F8"/>
    <w:rsid w:val="00D37FA0"/>
    <w:rsid w:val="00D41F49"/>
    <w:rsid w:val="00D425FB"/>
    <w:rsid w:val="00D434D7"/>
    <w:rsid w:val="00D43711"/>
    <w:rsid w:val="00D43949"/>
    <w:rsid w:val="00D454C1"/>
    <w:rsid w:val="00D45556"/>
    <w:rsid w:val="00D45DEA"/>
    <w:rsid w:val="00D463BC"/>
    <w:rsid w:val="00D46918"/>
    <w:rsid w:val="00D46EFE"/>
    <w:rsid w:val="00D47897"/>
    <w:rsid w:val="00D47E22"/>
    <w:rsid w:val="00D50B6A"/>
    <w:rsid w:val="00D50C08"/>
    <w:rsid w:val="00D515B5"/>
    <w:rsid w:val="00D5173B"/>
    <w:rsid w:val="00D519F2"/>
    <w:rsid w:val="00D522DF"/>
    <w:rsid w:val="00D52421"/>
    <w:rsid w:val="00D52727"/>
    <w:rsid w:val="00D53253"/>
    <w:rsid w:val="00D5326F"/>
    <w:rsid w:val="00D53F67"/>
    <w:rsid w:val="00D5433F"/>
    <w:rsid w:val="00D543A3"/>
    <w:rsid w:val="00D553E0"/>
    <w:rsid w:val="00D558AC"/>
    <w:rsid w:val="00D562FA"/>
    <w:rsid w:val="00D568A0"/>
    <w:rsid w:val="00D57481"/>
    <w:rsid w:val="00D5768A"/>
    <w:rsid w:val="00D57B76"/>
    <w:rsid w:val="00D57CBC"/>
    <w:rsid w:val="00D57F98"/>
    <w:rsid w:val="00D604D3"/>
    <w:rsid w:val="00D60A04"/>
    <w:rsid w:val="00D60B38"/>
    <w:rsid w:val="00D60BA1"/>
    <w:rsid w:val="00D60F58"/>
    <w:rsid w:val="00D61271"/>
    <w:rsid w:val="00D61507"/>
    <w:rsid w:val="00D61BE1"/>
    <w:rsid w:val="00D61E86"/>
    <w:rsid w:val="00D62483"/>
    <w:rsid w:val="00D626D7"/>
    <w:rsid w:val="00D6271A"/>
    <w:rsid w:val="00D627F7"/>
    <w:rsid w:val="00D62E8B"/>
    <w:rsid w:val="00D6307E"/>
    <w:rsid w:val="00D6363B"/>
    <w:rsid w:val="00D638D8"/>
    <w:rsid w:val="00D63EB2"/>
    <w:rsid w:val="00D64521"/>
    <w:rsid w:val="00D649E7"/>
    <w:rsid w:val="00D64BC9"/>
    <w:rsid w:val="00D64F91"/>
    <w:rsid w:val="00D6584B"/>
    <w:rsid w:val="00D65A82"/>
    <w:rsid w:val="00D65DB7"/>
    <w:rsid w:val="00D65E08"/>
    <w:rsid w:val="00D660B2"/>
    <w:rsid w:val="00D666E3"/>
    <w:rsid w:val="00D66B48"/>
    <w:rsid w:val="00D67BC8"/>
    <w:rsid w:val="00D67C32"/>
    <w:rsid w:val="00D67D10"/>
    <w:rsid w:val="00D70087"/>
    <w:rsid w:val="00D70151"/>
    <w:rsid w:val="00D701D3"/>
    <w:rsid w:val="00D7035D"/>
    <w:rsid w:val="00D7062D"/>
    <w:rsid w:val="00D71DD6"/>
    <w:rsid w:val="00D72816"/>
    <w:rsid w:val="00D72B0A"/>
    <w:rsid w:val="00D72F7B"/>
    <w:rsid w:val="00D731C8"/>
    <w:rsid w:val="00D73B32"/>
    <w:rsid w:val="00D73BEB"/>
    <w:rsid w:val="00D741FA"/>
    <w:rsid w:val="00D742AA"/>
    <w:rsid w:val="00D742C7"/>
    <w:rsid w:val="00D743C1"/>
    <w:rsid w:val="00D74446"/>
    <w:rsid w:val="00D74592"/>
    <w:rsid w:val="00D745AC"/>
    <w:rsid w:val="00D7475A"/>
    <w:rsid w:val="00D74DD0"/>
    <w:rsid w:val="00D74E9B"/>
    <w:rsid w:val="00D75354"/>
    <w:rsid w:val="00D758A5"/>
    <w:rsid w:val="00D771C2"/>
    <w:rsid w:val="00D774A1"/>
    <w:rsid w:val="00D77A91"/>
    <w:rsid w:val="00D81540"/>
    <w:rsid w:val="00D81862"/>
    <w:rsid w:val="00D81A32"/>
    <w:rsid w:val="00D826A2"/>
    <w:rsid w:val="00D82F7A"/>
    <w:rsid w:val="00D83E0D"/>
    <w:rsid w:val="00D83FD9"/>
    <w:rsid w:val="00D84D77"/>
    <w:rsid w:val="00D84F8F"/>
    <w:rsid w:val="00D851D7"/>
    <w:rsid w:val="00D86582"/>
    <w:rsid w:val="00D86843"/>
    <w:rsid w:val="00D8690B"/>
    <w:rsid w:val="00D86B1B"/>
    <w:rsid w:val="00D86BEB"/>
    <w:rsid w:val="00D873F2"/>
    <w:rsid w:val="00D87F56"/>
    <w:rsid w:val="00D9073D"/>
    <w:rsid w:val="00D90832"/>
    <w:rsid w:val="00D910BF"/>
    <w:rsid w:val="00D910F3"/>
    <w:rsid w:val="00D91132"/>
    <w:rsid w:val="00D9134E"/>
    <w:rsid w:val="00D917BB"/>
    <w:rsid w:val="00D923BC"/>
    <w:rsid w:val="00D9250D"/>
    <w:rsid w:val="00D92AE9"/>
    <w:rsid w:val="00D92EDB"/>
    <w:rsid w:val="00D93014"/>
    <w:rsid w:val="00D9317B"/>
    <w:rsid w:val="00D9338D"/>
    <w:rsid w:val="00D93479"/>
    <w:rsid w:val="00D93932"/>
    <w:rsid w:val="00D93B50"/>
    <w:rsid w:val="00D94A57"/>
    <w:rsid w:val="00D94B62"/>
    <w:rsid w:val="00D94BBF"/>
    <w:rsid w:val="00D94EEC"/>
    <w:rsid w:val="00D95492"/>
    <w:rsid w:val="00D96068"/>
    <w:rsid w:val="00D9655E"/>
    <w:rsid w:val="00D9712F"/>
    <w:rsid w:val="00D97674"/>
    <w:rsid w:val="00D978FA"/>
    <w:rsid w:val="00DA0197"/>
    <w:rsid w:val="00DA05B1"/>
    <w:rsid w:val="00DA0B7B"/>
    <w:rsid w:val="00DA17A4"/>
    <w:rsid w:val="00DA207B"/>
    <w:rsid w:val="00DA2415"/>
    <w:rsid w:val="00DA2784"/>
    <w:rsid w:val="00DA2BD6"/>
    <w:rsid w:val="00DA3551"/>
    <w:rsid w:val="00DA3C2D"/>
    <w:rsid w:val="00DA3CB9"/>
    <w:rsid w:val="00DA4056"/>
    <w:rsid w:val="00DA5402"/>
    <w:rsid w:val="00DB019D"/>
    <w:rsid w:val="00DB12C8"/>
    <w:rsid w:val="00DB1F7B"/>
    <w:rsid w:val="00DB1FE5"/>
    <w:rsid w:val="00DB274D"/>
    <w:rsid w:val="00DB3058"/>
    <w:rsid w:val="00DB3706"/>
    <w:rsid w:val="00DB3A7F"/>
    <w:rsid w:val="00DB4393"/>
    <w:rsid w:val="00DB4AE1"/>
    <w:rsid w:val="00DB5184"/>
    <w:rsid w:val="00DB64FF"/>
    <w:rsid w:val="00DB663F"/>
    <w:rsid w:val="00DB6CFA"/>
    <w:rsid w:val="00DB7648"/>
    <w:rsid w:val="00DB776B"/>
    <w:rsid w:val="00DC0FEC"/>
    <w:rsid w:val="00DC12CF"/>
    <w:rsid w:val="00DC1518"/>
    <w:rsid w:val="00DC1A01"/>
    <w:rsid w:val="00DC28F6"/>
    <w:rsid w:val="00DC332F"/>
    <w:rsid w:val="00DC38DA"/>
    <w:rsid w:val="00DC3B3C"/>
    <w:rsid w:val="00DC3FCB"/>
    <w:rsid w:val="00DC4180"/>
    <w:rsid w:val="00DC421D"/>
    <w:rsid w:val="00DC48E2"/>
    <w:rsid w:val="00DC4B33"/>
    <w:rsid w:val="00DC4FF2"/>
    <w:rsid w:val="00DC584E"/>
    <w:rsid w:val="00DC63AB"/>
    <w:rsid w:val="00DC6B84"/>
    <w:rsid w:val="00DC7926"/>
    <w:rsid w:val="00DD0101"/>
    <w:rsid w:val="00DD04E1"/>
    <w:rsid w:val="00DD084C"/>
    <w:rsid w:val="00DD08B2"/>
    <w:rsid w:val="00DD0F0F"/>
    <w:rsid w:val="00DD12F4"/>
    <w:rsid w:val="00DD143C"/>
    <w:rsid w:val="00DD20D1"/>
    <w:rsid w:val="00DD32A8"/>
    <w:rsid w:val="00DD3EEE"/>
    <w:rsid w:val="00DD3F8E"/>
    <w:rsid w:val="00DD4AFD"/>
    <w:rsid w:val="00DD4B97"/>
    <w:rsid w:val="00DD4BA7"/>
    <w:rsid w:val="00DD506A"/>
    <w:rsid w:val="00DD5E4F"/>
    <w:rsid w:val="00DD621F"/>
    <w:rsid w:val="00DD6460"/>
    <w:rsid w:val="00DD76D4"/>
    <w:rsid w:val="00DE0444"/>
    <w:rsid w:val="00DE0574"/>
    <w:rsid w:val="00DE0584"/>
    <w:rsid w:val="00DE1C9E"/>
    <w:rsid w:val="00DE1CB9"/>
    <w:rsid w:val="00DE1E51"/>
    <w:rsid w:val="00DE269B"/>
    <w:rsid w:val="00DE2E16"/>
    <w:rsid w:val="00DE2E8F"/>
    <w:rsid w:val="00DE2EBA"/>
    <w:rsid w:val="00DE30F8"/>
    <w:rsid w:val="00DE4B2C"/>
    <w:rsid w:val="00DE5000"/>
    <w:rsid w:val="00DE5024"/>
    <w:rsid w:val="00DE56C3"/>
    <w:rsid w:val="00DE5909"/>
    <w:rsid w:val="00DE5D01"/>
    <w:rsid w:val="00DE6BAA"/>
    <w:rsid w:val="00DE72A6"/>
    <w:rsid w:val="00DE7A12"/>
    <w:rsid w:val="00DF0A3B"/>
    <w:rsid w:val="00DF0B5B"/>
    <w:rsid w:val="00DF10EC"/>
    <w:rsid w:val="00DF1378"/>
    <w:rsid w:val="00DF196C"/>
    <w:rsid w:val="00DF1C02"/>
    <w:rsid w:val="00DF22D6"/>
    <w:rsid w:val="00DF274E"/>
    <w:rsid w:val="00DF2CD5"/>
    <w:rsid w:val="00DF2E9B"/>
    <w:rsid w:val="00DF39F2"/>
    <w:rsid w:val="00DF3FC2"/>
    <w:rsid w:val="00DF483D"/>
    <w:rsid w:val="00DF4FC8"/>
    <w:rsid w:val="00DF540A"/>
    <w:rsid w:val="00DF6B4B"/>
    <w:rsid w:val="00DF6E11"/>
    <w:rsid w:val="00DF7214"/>
    <w:rsid w:val="00DF7919"/>
    <w:rsid w:val="00DF7D39"/>
    <w:rsid w:val="00E00054"/>
    <w:rsid w:val="00E01147"/>
    <w:rsid w:val="00E02E33"/>
    <w:rsid w:val="00E03307"/>
    <w:rsid w:val="00E03AF5"/>
    <w:rsid w:val="00E03B1C"/>
    <w:rsid w:val="00E03C54"/>
    <w:rsid w:val="00E04583"/>
    <w:rsid w:val="00E045B0"/>
    <w:rsid w:val="00E04ACF"/>
    <w:rsid w:val="00E04ADA"/>
    <w:rsid w:val="00E04DCE"/>
    <w:rsid w:val="00E04E7C"/>
    <w:rsid w:val="00E050B0"/>
    <w:rsid w:val="00E05707"/>
    <w:rsid w:val="00E05B9F"/>
    <w:rsid w:val="00E062A1"/>
    <w:rsid w:val="00E06BDA"/>
    <w:rsid w:val="00E06E76"/>
    <w:rsid w:val="00E06FBE"/>
    <w:rsid w:val="00E07388"/>
    <w:rsid w:val="00E1039E"/>
    <w:rsid w:val="00E1111D"/>
    <w:rsid w:val="00E115EC"/>
    <w:rsid w:val="00E118EF"/>
    <w:rsid w:val="00E120D3"/>
    <w:rsid w:val="00E1219D"/>
    <w:rsid w:val="00E1277B"/>
    <w:rsid w:val="00E129CC"/>
    <w:rsid w:val="00E12A4E"/>
    <w:rsid w:val="00E12BE9"/>
    <w:rsid w:val="00E12D71"/>
    <w:rsid w:val="00E12FD4"/>
    <w:rsid w:val="00E138F7"/>
    <w:rsid w:val="00E140D2"/>
    <w:rsid w:val="00E145FB"/>
    <w:rsid w:val="00E1469B"/>
    <w:rsid w:val="00E14941"/>
    <w:rsid w:val="00E14DB1"/>
    <w:rsid w:val="00E15007"/>
    <w:rsid w:val="00E155DA"/>
    <w:rsid w:val="00E15697"/>
    <w:rsid w:val="00E158F6"/>
    <w:rsid w:val="00E15A0A"/>
    <w:rsid w:val="00E15AA0"/>
    <w:rsid w:val="00E15B28"/>
    <w:rsid w:val="00E15CDC"/>
    <w:rsid w:val="00E16068"/>
    <w:rsid w:val="00E163D9"/>
    <w:rsid w:val="00E17167"/>
    <w:rsid w:val="00E17635"/>
    <w:rsid w:val="00E17EF5"/>
    <w:rsid w:val="00E20260"/>
    <w:rsid w:val="00E212E5"/>
    <w:rsid w:val="00E21EA9"/>
    <w:rsid w:val="00E22A99"/>
    <w:rsid w:val="00E22C02"/>
    <w:rsid w:val="00E22DF5"/>
    <w:rsid w:val="00E22E7A"/>
    <w:rsid w:val="00E231AB"/>
    <w:rsid w:val="00E2342E"/>
    <w:rsid w:val="00E24692"/>
    <w:rsid w:val="00E247C9"/>
    <w:rsid w:val="00E247D7"/>
    <w:rsid w:val="00E248D0"/>
    <w:rsid w:val="00E24916"/>
    <w:rsid w:val="00E24932"/>
    <w:rsid w:val="00E24B0A"/>
    <w:rsid w:val="00E24ECE"/>
    <w:rsid w:val="00E25065"/>
    <w:rsid w:val="00E2564F"/>
    <w:rsid w:val="00E257E9"/>
    <w:rsid w:val="00E260C7"/>
    <w:rsid w:val="00E26558"/>
    <w:rsid w:val="00E269F7"/>
    <w:rsid w:val="00E26C56"/>
    <w:rsid w:val="00E270F4"/>
    <w:rsid w:val="00E2717A"/>
    <w:rsid w:val="00E27201"/>
    <w:rsid w:val="00E2746E"/>
    <w:rsid w:val="00E275DE"/>
    <w:rsid w:val="00E27649"/>
    <w:rsid w:val="00E27A77"/>
    <w:rsid w:val="00E30BCB"/>
    <w:rsid w:val="00E30E75"/>
    <w:rsid w:val="00E314F4"/>
    <w:rsid w:val="00E31819"/>
    <w:rsid w:val="00E31CE8"/>
    <w:rsid w:val="00E31CFC"/>
    <w:rsid w:val="00E31FEB"/>
    <w:rsid w:val="00E321A8"/>
    <w:rsid w:val="00E32CD8"/>
    <w:rsid w:val="00E33775"/>
    <w:rsid w:val="00E3387C"/>
    <w:rsid w:val="00E33A62"/>
    <w:rsid w:val="00E33A95"/>
    <w:rsid w:val="00E33F83"/>
    <w:rsid w:val="00E33FF8"/>
    <w:rsid w:val="00E34138"/>
    <w:rsid w:val="00E34645"/>
    <w:rsid w:val="00E353CF"/>
    <w:rsid w:val="00E3606F"/>
    <w:rsid w:val="00E363D6"/>
    <w:rsid w:val="00E366FC"/>
    <w:rsid w:val="00E36987"/>
    <w:rsid w:val="00E37300"/>
    <w:rsid w:val="00E37D63"/>
    <w:rsid w:val="00E37E33"/>
    <w:rsid w:val="00E40B23"/>
    <w:rsid w:val="00E40B66"/>
    <w:rsid w:val="00E410D3"/>
    <w:rsid w:val="00E4117A"/>
    <w:rsid w:val="00E41A14"/>
    <w:rsid w:val="00E4269E"/>
    <w:rsid w:val="00E42910"/>
    <w:rsid w:val="00E42ACE"/>
    <w:rsid w:val="00E433E3"/>
    <w:rsid w:val="00E438BE"/>
    <w:rsid w:val="00E43B7F"/>
    <w:rsid w:val="00E43D3F"/>
    <w:rsid w:val="00E449E7"/>
    <w:rsid w:val="00E44A5C"/>
    <w:rsid w:val="00E44DF7"/>
    <w:rsid w:val="00E450CB"/>
    <w:rsid w:val="00E45190"/>
    <w:rsid w:val="00E45CFA"/>
    <w:rsid w:val="00E45F43"/>
    <w:rsid w:val="00E46266"/>
    <w:rsid w:val="00E463D9"/>
    <w:rsid w:val="00E4640A"/>
    <w:rsid w:val="00E46B09"/>
    <w:rsid w:val="00E46C30"/>
    <w:rsid w:val="00E46CE2"/>
    <w:rsid w:val="00E46EA3"/>
    <w:rsid w:val="00E479A2"/>
    <w:rsid w:val="00E47C66"/>
    <w:rsid w:val="00E47DD6"/>
    <w:rsid w:val="00E507E5"/>
    <w:rsid w:val="00E50A0F"/>
    <w:rsid w:val="00E510F6"/>
    <w:rsid w:val="00E5112E"/>
    <w:rsid w:val="00E51CDA"/>
    <w:rsid w:val="00E51EDF"/>
    <w:rsid w:val="00E520B6"/>
    <w:rsid w:val="00E524CB"/>
    <w:rsid w:val="00E52924"/>
    <w:rsid w:val="00E52D82"/>
    <w:rsid w:val="00E53615"/>
    <w:rsid w:val="00E53746"/>
    <w:rsid w:val="00E53ABB"/>
    <w:rsid w:val="00E54B36"/>
    <w:rsid w:val="00E551B0"/>
    <w:rsid w:val="00E557B7"/>
    <w:rsid w:val="00E5626E"/>
    <w:rsid w:val="00E56A05"/>
    <w:rsid w:val="00E56AD5"/>
    <w:rsid w:val="00E56E47"/>
    <w:rsid w:val="00E57A9D"/>
    <w:rsid w:val="00E57B5B"/>
    <w:rsid w:val="00E60490"/>
    <w:rsid w:val="00E6070B"/>
    <w:rsid w:val="00E61088"/>
    <w:rsid w:val="00E610DB"/>
    <w:rsid w:val="00E61220"/>
    <w:rsid w:val="00E61DD9"/>
    <w:rsid w:val="00E6251E"/>
    <w:rsid w:val="00E62D5F"/>
    <w:rsid w:val="00E6313C"/>
    <w:rsid w:val="00E6380F"/>
    <w:rsid w:val="00E63A30"/>
    <w:rsid w:val="00E63CA9"/>
    <w:rsid w:val="00E63D7D"/>
    <w:rsid w:val="00E63FA3"/>
    <w:rsid w:val="00E641CD"/>
    <w:rsid w:val="00E64CED"/>
    <w:rsid w:val="00E64D15"/>
    <w:rsid w:val="00E64D4E"/>
    <w:rsid w:val="00E66746"/>
    <w:rsid w:val="00E66BC7"/>
    <w:rsid w:val="00E66D84"/>
    <w:rsid w:val="00E67163"/>
    <w:rsid w:val="00E671D9"/>
    <w:rsid w:val="00E703F5"/>
    <w:rsid w:val="00E70BEF"/>
    <w:rsid w:val="00E71432"/>
    <w:rsid w:val="00E7144C"/>
    <w:rsid w:val="00E716A6"/>
    <w:rsid w:val="00E7402B"/>
    <w:rsid w:val="00E7458F"/>
    <w:rsid w:val="00E74A6B"/>
    <w:rsid w:val="00E74EC7"/>
    <w:rsid w:val="00E7506E"/>
    <w:rsid w:val="00E75C34"/>
    <w:rsid w:val="00E75C97"/>
    <w:rsid w:val="00E76205"/>
    <w:rsid w:val="00E76FB6"/>
    <w:rsid w:val="00E76FD2"/>
    <w:rsid w:val="00E7759E"/>
    <w:rsid w:val="00E777F2"/>
    <w:rsid w:val="00E80A6E"/>
    <w:rsid w:val="00E80BDE"/>
    <w:rsid w:val="00E81272"/>
    <w:rsid w:val="00E815AE"/>
    <w:rsid w:val="00E81714"/>
    <w:rsid w:val="00E81A85"/>
    <w:rsid w:val="00E8214C"/>
    <w:rsid w:val="00E82319"/>
    <w:rsid w:val="00E823E6"/>
    <w:rsid w:val="00E826B1"/>
    <w:rsid w:val="00E83640"/>
    <w:rsid w:val="00E844D0"/>
    <w:rsid w:val="00E84513"/>
    <w:rsid w:val="00E848D3"/>
    <w:rsid w:val="00E859D7"/>
    <w:rsid w:val="00E85D6F"/>
    <w:rsid w:val="00E8662D"/>
    <w:rsid w:val="00E86B0E"/>
    <w:rsid w:val="00E87057"/>
    <w:rsid w:val="00E87576"/>
    <w:rsid w:val="00E87F4E"/>
    <w:rsid w:val="00E9026E"/>
    <w:rsid w:val="00E902E6"/>
    <w:rsid w:val="00E92403"/>
    <w:rsid w:val="00E928B3"/>
    <w:rsid w:val="00E929A5"/>
    <w:rsid w:val="00E92B46"/>
    <w:rsid w:val="00E92B56"/>
    <w:rsid w:val="00E932BD"/>
    <w:rsid w:val="00E941DC"/>
    <w:rsid w:val="00E94580"/>
    <w:rsid w:val="00E9459D"/>
    <w:rsid w:val="00E957D1"/>
    <w:rsid w:val="00E961BE"/>
    <w:rsid w:val="00E96239"/>
    <w:rsid w:val="00E964BF"/>
    <w:rsid w:val="00E96BB8"/>
    <w:rsid w:val="00E97F73"/>
    <w:rsid w:val="00EA0019"/>
    <w:rsid w:val="00EA09DA"/>
    <w:rsid w:val="00EA0B49"/>
    <w:rsid w:val="00EA187A"/>
    <w:rsid w:val="00EA238A"/>
    <w:rsid w:val="00EA26E7"/>
    <w:rsid w:val="00EA27EF"/>
    <w:rsid w:val="00EA29B5"/>
    <w:rsid w:val="00EA2F23"/>
    <w:rsid w:val="00EA30A7"/>
    <w:rsid w:val="00EA3A69"/>
    <w:rsid w:val="00EA41CB"/>
    <w:rsid w:val="00EA7405"/>
    <w:rsid w:val="00EA7888"/>
    <w:rsid w:val="00EA7E2F"/>
    <w:rsid w:val="00EA7F6A"/>
    <w:rsid w:val="00EB02C6"/>
    <w:rsid w:val="00EB0A05"/>
    <w:rsid w:val="00EB10C5"/>
    <w:rsid w:val="00EB136B"/>
    <w:rsid w:val="00EB15E8"/>
    <w:rsid w:val="00EB1763"/>
    <w:rsid w:val="00EB30F2"/>
    <w:rsid w:val="00EB39EC"/>
    <w:rsid w:val="00EB41EE"/>
    <w:rsid w:val="00EB42F9"/>
    <w:rsid w:val="00EB4B4F"/>
    <w:rsid w:val="00EB4EF3"/>
    <w:rsid w:val="00EB4F7C"/>
    <w:rsid w:val="00EB541C"/>
    <w:rsid w:val="00EB54C3"/>
    <w:rsid w:val="00EB5645"/>
    <w:rsid w:val="00EB663E"/>
    <w:rsid w:val="00EB6895"/>
    <w:rsid w:val="00EB7071"/>
    <w:rsid w:val="00EB7073"/>
    <w:rsid w:val="00EB74C5"/>
    <w:rsid w:val="00EB784D"/>
    <w:rsid w:val="00EC0019"/>
    <w:rsid w:val="00EC03CA"/>
    <w:rsid w:val="00EC0724"/>
    <w:rsid w:val="00EC14B6"/>
    <w:rsid w:val="00EC14F8"/>
    <w:rsid w:val="00EC1CC6"/>
    <w:rsid w:val="00EC1F04"/>
    <w:rsid w:val="00EC2A5A"/>
    <w:rsid w:val="00EC2C18"/>
    <w:rsid w:val="00EC30B9"/>
    <w:rsid w:val="00EC3419"/>
    <w:rsid w:val="00EC35B1"/>
    <w:rsid w:val="00EC37D6"/>
    <w:rsid w:val="00EC3B6E"/>
    <w:rsid w:val="00EC4144"/>
    <w:rsid w:val="00EC4457"/>
    <w:rsid w:val="00EC5B27"/>
    <w:rsid w:val="00EC5EC2"/>
    <w:rsid w:val="00EC67FF"/>
    <w:rsid w:val="00EC6858"/>
    <w:rsid w:val="00EC6CEB"/>
    <w:rsid w:val="00EC72C1"/>
    <w:rsid w:val="00EC72D7"/>
    <w:rsid w:val="00EC743F"/>
    <w:rsid w:val="00EC76DE"/>
    <w:rsid w:val="00EC7D27"/>
    <w:rsid w:val="00EC7E0B"/>
    <w:rsid w:val="00ED09F8"/>
    <w:rsid w:val="00ED0BDD"/>
    <w:rsid w:val="00ED0E61"/>
    <w:rsid w:val="00ED2129"/>
    <w:rsid w:val="00ED276E"/>
    <w:rsid w:val="00ED2854"/>
    <w:rsid w:val="00ED2A81"/>
    <w:rsid w:val="00ED31E3"/>
    <w:rsid w:val="00ED3208"/>
    <w:rsid w:val="00ED4146"/>
    <w:rsid w:val="00ED4BB3"/>
    <w:rsid w:val="00ED4F71"/>
    <w:rsid w:val="00ED50B4"/>
    <w:rsid w:val="00ED5A4C"/>
    <w:rsid w:val="00ED5CD4"/>
    <w:rsid w:val="00ED5E9D"/>
    <w:rsid w:val="00ED6888"/>
    <w:rsid w:val="00EE0442"/>
    <w:rsid w:val="00EE0501"/>
    <w:rsid w:val="00EE063C"/>
    <w:rsid w:val="00EE0CBD"/>
    <w:rsid w:val="00EE1511"/>
    <w:rsid w:val="00EE1998"/>
    <w:rsid w:val="00EE1D15"/>
    <w:rsid w:val="00EE2965"/>
    <w:rsid w:val="00EE33EF"/>
    <w:rsid w:val="00EE42A9"/>
    <w:rsid w:val="00EE4A93"/>
    <w:rsid w:val="00EE4AAF"/>
    <w:rsid w:val="00EE4EDC"/>
    <w:rsid w:val="00EE51EA"/>
    <w:rsid w:val="00EE54E4"/>
    <w:rsid w:val="00EE5558"/>
    <w:rsid w:val="00EE5AC0"/>
    <w:rsid w:val="00EE6244"/>
    <w:rsid w:val="00EE6668"/>
    <w:rsid w:val="00EE6A0D"/>
    <w:rsid w:val="00EE6F81"/>
    <w:rsid w:val="00EE6FAD"/>
    <w:rsid w:val="00EE72CF"/>
    <w:rsid w:val="00EE7558"/>
    <w:rsid w:val="00EE7573"/>
    <w:rsid w:val="00EE764A"/>
    <w:rsid w:val="00EE770B"/>
    <w:rsid w:val="00EE78DC"/>
    <w:rsid w:val="00EF091B"/>
    <w:rsid w:val="00EF0C95"/>
    <w:rsid w:val="00EF0CF1"/>
    <w:rsid w:val="00EF0E18"/>
    <w:rsid w:val="00EF1A0E"/>
    <w:rsid w:val="00EF1D18"/>
    <w:rsid w:val="00EF24F8"/>
    <w:rsid w:val="00EF291F"/>
    <w:rsid w:val="00EF4B3C"/>
    <w:rsid w:val="00EF4E6C"/>
    <w:rsid w:val="00EF58A5"/>
    <w:rsid w:val="00EF5DBF"/>
    <w:rsid w:val="00EF6024"/>
    <w:rsid w:val="00EF617F"/>
    <w:rsid w:val="00EF669B"/>
    <w:rsid w:val="00EF6764"/>
    <w:rsid w:val="00EF6C4D"/>
    <w:rsid w:val="00EF73F5"/>
    <w:rsid w:val="00EF7486"/>
    <w:rsid w:val="00EF758A"/>
    <w:rsid w:val="00EF792C"/>
    <w:rsid w:val="00EF7A50"/>
    <w:rsid w:val="00F0144C"/>
    <w:rsid w:val="00F02884"/>
    <w:rsid w:val="00F03761"/>
    <w:rsid w:val="00F038B9"/>
    <w:rsid w:val="00F03950"/>
    <w:rsid w:val="00F03CE9"/>
    <w:rsid w:val="00F04CC7"/>
    <w:rsid w:val="00F050CC"/>
    <w:rsid w:val="00F05A09"/>
    <w:rsid w:val="00F05E6C"/>
    <w:rsid w:val="00F0637C"/>
    <w:rsid w:val="00F063DE"/>
    <w:rsid w:val="00F0671C"/>
    <w:rsid w:val="00F07F0D"/>
    <w:rsid w:val="00F1008E"/>
    <w:rsid w:val="00F100D2"/>
    <w:rsid w:val="00F10BB2"/>
    <w:rsid w:val="00F10F9B"/>
    <w:rsid w:val="00F1132D"/>
    <w:rsid w:val="00F1166B"/>
    <w:rsid w:val="00F11866"/>
    <w:rsid w:val="00F11E05"/>
    <w:rsid w:val="00F123C6"/>
    <w:rsid w:val="00F12619"/>
    <w:rsid w:val="00F126C3"/>
    <w:rsid w:val="00F1270E"/>
    <w:rsid w:val="00F129C4"/>
    <w:rsid w:val="00F13FA4"/>
    <w:rsid w:val="00F14078"/>
    <w:rsid w:val="00F1414A"/>
    <w:rsid w:val="00F14408"/>
    <w:rsid w:val="00F14833"/>
    <w:rsid w:val="00F14F85"/>
    <w:rsid w:val="00F153A2"/>
    <w:rsid w:val="00F15CA0"/>
    <w:rsid w:val="00F163BA"/>
    <w:rsid w:val="00F1675E"/>
    <w:rsid w:val="00F16B50"/>
    <w:rsid w:val="00F177B5"/>
    <w:rsid w:val="00F177C8"/>
    <w:rsid w:val="00F17C44"/>
    <w:rsid w:val="00F202C2"/>
    <w:rsid w:val="00F202F8"/>
    <w:rsid w:val="00F2055E"/>
    <w:rsid w:val="00F2073D"/>
    <w:rsid w:val="00F2095F"/>
    <w:rsid w:val="00F20FF4"/>
    <w:rsid w:val="00F21448"/>
    <w:rsid w:val="00F21E8E"/>
    <w:rsid w:val="00F22294"/>
    <w:rsid w:val="00F222AF"/>
    <w:rsid w:val="00F232F6"/>
    <w:rsid w:val="00F2348F"/>
    <w:rsid w:val="00F2366B"/>
    <w:rsid w:val="00F243E1"/>
    <w:rsid w:val="00F2443E"/>
    <w:rsid w:val="00F2470C"/>
    <w:rsid w:val="00F24863"/>
    <w:rsid w:val="00F24B08"/>
    <w:rsid w:val="00F24EAC"/>
    <w:rsid w:val="00F25971"/>
    <w:rsid w:val="00F25CC3"/>
    <w:rsid w:val="00F26738"/>
    <w:rsid w:val="00F2690C"/>
    <w:rsid w:val="00F26AF6"/>
    <w:rsid w:val="00F27456"/>
    <w:rsid w:val="00F27B8B"/>
    <w:rsid w:val="00F3049F"/>
    <w:rsid w:val="00F30650"/>
    <w:rsid w:val="00F3249D"/>
    <w:rsid w:val="00F32724"/>
    <w:rsid w:val="00F32D8C"/>
    <w:rsid w:val="00F330A3"/>
    <w:rsid w:val="00F3328B"/>
    <w:rsid w:val="00F34026"/>
    <w:rsid w:val="00F34045"/>
    <w:rsid w:val="00F34129"/>
    <w:rsid w:val="00F34190"/>
    <w:rsid w:val="00F3429D"/>
    <w:rsid w:val="00F34471"/>
    <w:rsid w:val="00F34C40"/>
    <w:rsid w:val="00F34CB0"/>
    <w:rsid w:val="00F35375"/>
    <w:rsid w:val="00F35AE5"/>
    <w:rsid w:val="00F401DE"/>
    <w:rsid w:val="00F404D9"/>
    <w:rsid w:val="00F40752"/>
    <w:rsid w:val="00F40DA7"/>
    <w:rsid w:val="00F41014"/>
    <w:rsid w:val="00F41813"/>
    <w:rsid w:val="00F421B8"/>
    <w:rsid w:val="00F423AD"/>
    <w:rsid w:val="00F424F1"/>
    <w:rsid w:val="00F42862"/>
    <w:rsid w:val="00F428C3"/>
    <w:rsid w:val="00F42E88"/>
    <w:rsid w:val="00F4350C"/>
    <w:rsid w:val="00F43A5F"/>
    <w:rsid w:val="00F4454E"/>
    <w:rsid w:val="00F4514C"/>
    <w:rsid w:val="00F453A4"/>
    <w:rsid w:val="00F458CA"/>
    <w:rsid w:val="00F45AC6"/>
    <w:rsid w:val="00F45CDA"/>
    <w:rsid w:val="00F471D1"/>
    <w:rsid w:val="00F476EA"/>
    <w:rsid w:val="00F4776F"/>
    <w:rsid w:val="00F479E6"/>
    <w:rsid w:val="00F47E74"/>
    <w:rsid w:val="00F47E8E"/>
    <w:rsid w:val="00F50870"/>
    <w:rsid w:val="00F50A2B"/>
    <w:rsid w:val="00F50DAE"/>
    <w:rsid w:val="00F51255"/>
    <w:rsid w:val="00F512F2"/>
    <w:rsid w:val="00F517E6"/>
    <w:rsid w:val="00F523CE"/>
    <w:rsid w:val="00F52569"/>
    <w:rsid w:val="00F52583"/>
    <w:rsid w:val="00F529C5"/>
    <w:rsid w:val="00F53302"/>
    <w:rsid w:val="00F535FA"/>
    <w:rsid w:val="00F53878"/>
    <w:rsid w:val="00F53F34"/>
    <w:rsid w:val="00F54154"/>
    <w:rsid w:val="00F5420B"/>
    <w:rsid w:val="00F54E68"/>
    <w:rsid w:val="00F55991"/>
    <w:rsid w:val="00F55DD4"/>
    <w:rsid w:val="00F56AAC"/>
    <w:rsid w:val="00F56B17"/>
    <w:rsid w:val="00F56E81"/>
    <w:rsid w:val="00F56FC9"/>
    <w:rsid w:val="00F5729F"/>
    <w:rsid w:val="00F57969"/>
    <w:rsid w:val="00F6058C"/>
    <w:rsid w:val="00F60847"/>
    <w:rsid w:val="00F60B25"/>
    <w:rsid w:val="00F610E2"/>
    <w:rsid w:val="00F634DC"/>
    <w:rsid w:val="00F63680"/>
    <w:rsid w:val="00F64D4E"/>
    <w:rsid w:val="00F65016"/>
    <w:rsid w:val="00F65482"/>
    <w:rsid w:val="00F65680"/>
    <w:rsid w:val="00F6586A"/>
    <w:rsid w:val="00F659F0"/>
    <w:rsid w:val="00F65D39"/>
    <w:rsid w:val="00F6618F"/>
    <w:rsid w:val="00F66209"/>
    <w:rsid w:val="00F66BD8"/>
    <w:rsid w:val="00F6791F"/>
    <w:rsid w:val="00F67F97"/>
    <w:rsid w:val="00F7040D"/>
    <w:rsid w:val="00F70603"/>
    <w:rsid w:val="00F70852"/>
    <w:rsid w:val="00F70EB2"/>
    <w:rsid w:val="00F70EEF"/>
    <w:rsid w:val="00F71CF9"/>
    <w:rsid w:val="00F7307B"/>
    <w:rsid w:val="00F73371"/>
    <w:rsid w:val="00F73A61"/>
    <w:rsid w:val="00F73D0B"/>
    <w:rsid w:val="00F73E05"/>
    <w:rsid w:val="00F74851"/>
    <w:rsid w:val="00F74F0D"/>
    <w:rsid w:val="00F74F5F"/>
    <w:rsid w:val="00F75442"/>
    <w:rsid w:val="00F7597A"/>
    <w:rsid w:val="00F75BAA"/>
    <w:rsid w:val="00F76C8E"/>
    <w:rsid w:val="00F76CA5"/>
    <w:rsid w:val="00F773EB"/>
    <w:rsid w:val="00F77BB2"/>
    <w:rsid w:val="00F80318"/>
    <w:rsid w:val="00F80665"/>
    <w:rsid w:val="00F810B3"/>
    <w:rsid w:val="00F8127E"/>
    <w:rsid w:val="00F8148D"/>
    <w:rsid w:val="00F8169C"/>
    <w:rsid w:val="00F82116"/>
    <w:rsid w:val="00F823DE"/>
    <w:rsid w:val="00F82500"/>
    <w:rsid w:val="00F82A64"/>
    <w:rsid w:val="00F82E5B"/>
    <w:rsid w:val="00F83755"/>
    <w:rsid w:val="00F84025"/>
    <w:rsid w:val="00F8430B"/>
    <w:rsid w:val="00F84362"/>
    <w:rsid w:val="00F84AD8"/>
    <w:rsid w:val="00F84B9F"/>
    <w:rsid w:val="00F85045"/>
    <w:rsid w:val="00F8513F"/>
    <w:rsid w:val="00F852BC"/>
    <w:rsid w:val="00F8539C"/>
    <w:rsid w:val="00F86CDD"/>
    <w:rsid w:val="00F870E8"/>
    <w:rsid w:val="00F8737C"/>
    <w:rsid w:val="00F87498"/>
    <w:rsid w:val="00F875C8"/>
    <w:rsid w:val="00F87A93"/>
    <w:rsid w:val="00F87D22"/>
    <w:rsid w:val="00F90981"/>
    <w:rsid w:val="00F90A4E"/>
    <w:rsid w:val="00F90CB1"/>
    <w:rsid w:val="00F915A2"/>
    <w:rsid w:val="00F91A5D"/>
    <w:rsid w:val="00F91C93"/>
    <w:rsid w:val="00F91D3D"/>
    <w:rsid w:val="00F91EC4"/>
    <w:rsid w:val="00F92E13"/>
    <w:rsid w:val="00F93193"/>
    <w:rsid w:val="00F9338A"/>
    <w:rsid w:val="00F93568"/>
    <w:rsid w:val="00F94817"/>
    <w:rsid w:val="00F94BEA"/>
    <w:rsid w:val="00F94C6B"/>
    <w:rsid w:val="00F94FF1"/>
    <w:rsid w:val="00F951A1"/>
    <w:rsid w:val="00F9557E"/>
    <w:rsid w:val="00F95992"/>
    <w:rsid w:val="00F96256"/>
    <w:rsid w:val="00F96494"/>
    <w:rsid w:val="00F96D80"/>
    <w:rsid w:val="00FA0051"/>
    <w:rsid w:val="00FA00E9"/>
    <w:rsid w:val="00FA0DD4"/>
    <w:rsid w:val="00FA10F2"/>
    <w:rsid w:val="00FA12C2"/>
    <w:rsid w:val="00FA1ACA"/>
    <w:rsid w:val="00FA20D1"/>
    <w:rsid w:val="00FA21A1"/>
    <w:rsid w:val="00FA2820"/>
    <w:rsid w:val="00FA328A"/>
    <w:rsid w:val="00FA3790"/>
    <w:rsid w:val="00FA3ABF"/>
    <w:rsid w:val="00FA3CA9"/>
    <w:rsid w:val="00FA3D81"/>
    <w:rsid w:val="00FA3DC2"/>
    <w:rsid w:val="00FA3F2E"/>
    <w:rsid w:val="00FA40EA"/>
    <w:rsid w:val="00FA4628"/>
    <w:rsid w:val="00FA4648"/>
    <w:rsid w:val="00FA4A5F"/>
    <w:rsid w:val="00FA501B"/>
    <w:rsid w:val="00FA52D8"/>
    <w:rsid w:val="00FA57E1"/>
    <w:rsid w:val="00FA5D03"/>
    <w:rsid w:val="00FA6280"/>
    <w:rsid w:val="00FA6924"/>
    <w:rsid w:val="00FA6948"/>
    <w:rsid w:val="00FA6FA8"/>
    <w:rsid w:val="00FA7091"/>
    <w:rsid w:val="00FA775D"/>
    <w:rsid w:val="00FA7F02"/>
    <w:rsid w:val="00FB02CC"/>
    <w:rsid w:val="00FB08AC"/>
    <w:rsid w:val="00FB11CA"/>
    <w:rsid w:val="00FB17A2"/>
    <w:rsid w:val="00FB1A97"/>
    <w:rsid w:val="00FB1EEC"/>
    <w:rsid w:val="00FB29D7"/>
    <w:rsid w:val="00FB3058"/>
    <w:rsid w:val="00FB3181"/>
    <w:rsid w:val="00FB3686"/>
    <w:rsid w:val="00FB39A7"/>
    <w:rsid w:val="00FB3A0F"/>
    <w:rsid w:val="00FB3DA8"/>
    <w:rsid w:val="00FB4570"/>
    <w:rsid w:val="00FB5160"/>
    <w:rsid w:val="00FB53F8"/>
    <w:rsid w:val="00FB5933"/>
    <w:rsid w:val="00FB5D6B"/>
    <w:rsid w:val="00FB6ACA"/>
    <w:rsid w:val="00FB7107"/>
    <w:rsid w:val="00FB7373"/>
    <w:rsid w:val="00FB799E"/>
    <w:rsid w:val="00FB7AD1"/>
    <w:rsid w:val="00FB7F45"/>
    <w:rsid w:val="00FC015F"/>
    <w:rsid w:val="00FC1774"/>
    <w:rsid w:val="00FC1C51"/>
    <w:rsid w:val="00FC2336"/>
    <w:rsid w:val="00FC2E10"/>
    <w:rsid w:val="00FC2E5D"/>
    <w:rsid w:val="00FC3AB4"/>
    <w:rsid w:val="00FC5139"/>
    <w:rsid w:val="00FC5BC7"/>
    <w:rsid w:val="00FC6650"/>
    <w:rsid w:val="00FC6839"/>
    <w:rsid w:val="00FC7011"/>
    <w:rsid w:val="00FC7348"/>
    <w:rsid w:val="00FC777C"/>
    <w:rsid w:val="00FC7918"/>
    <w:rsid w:val="00FC7ECE"/>
    <w:rsid w:val="00FD0102"/>
    <w:rsid w:val="00FD019D"/>
    <w:rsid w:val="00FD0600"/>
    <w:rsid w:val="00FD0A9A"/>
    <w:rsid w:val="00FD0E22"/>
    <w:rsid w:val="00FD146B"/>
    <w:rsid w:val="00FD1C16"/>
    <w:rsid w:val="00FD2382"/>
    <w:rsid w:val="00FD2A11"/>
    <w:rsid w:val="00FD3EE0"/>
    <w:rsid w:val="00FD44CC"/>
    <w:rsid w:val="00FD4824"/>
    <w:rsid w:val="00FD49F2"/>
    <w:rsid w:val="00FD5765"/>
    <w:rsid w:val="00FD599F"/>
    <w:rsid w:val="00FD5BC5"/>
    <w:rsid w:val="00FD5DA2"/>
    <w:rsid w:val="00FD5E84"/>
    <w:rsid w:val="00FD5FA8"/>
    <w:rsid w:val="00FD654D"/>
    <w:rsid w:val="00FD66C1"/>
    <w:rsid w:val="00FD6C24"/>
    <w:rsid w:val="00FD723C"/>
    <w:rsid w:val="00FD72AD"/>
    <w:rsid w:val="00FD7310"/>
    <w:rsid w:val="00FD7315"/>
    <w:rsid w:val="00FD7717"/>
    <w:rsid w:val="00FE00F8"/>
    <w:rsid w:val="00FE02DD"/>
    <w:rsid w:val="00FE0562"/>
    <w:rsid w:val="00FE0D24"/>
    <w:rsid w:val="00FE16B6"/>
    <w:rsid w:val="00FE299C"/>
    <w:rsid w:val="00FE2D25"/>
    <w:rsid w:val="00FE331B"/>
    <w:rsid w:val="00FE359B"/>
    <w:rsid w:val="00FE37E3"/>
    <w:rsid w:val="00FE3A2B"/>
    <w:rsid w:val="00FE3ADA"/>
    <w:rsid w:val="00FE44CA"/>
    <w:rsid w:val="00FE48AD"/>
    <w:rsid w:val="00FE4DEB"/>
    <w:rsid w:val="00FE5E43"/>
    <w:rsid w:val="00FE6CC4"/>
    <w:rsid w:val="00FE7792"/>
    <w:rsid w:val="00FE77DA"/>
    <w:rsid w:val="00FE7CF7"/>
    <w:rsid w:val="00FF0292"/>
    <w:rsid w:val="00FF10E0"/>
    <w:rsid w:val="00FF1338"/>
    <w:rsid w:val="00FF1AEE"/>
    <w:rsid w:val="00FF2C57"/>
    <w:rsid w:val="00FF350A"/>
    <w:rsid w:val="00FF35FC"/>
    <w:rsid w:val="00FF4BFE"/>
    <w:rsid w:val="00FF4C4D"/>
    <w:rsid w:val="00FF5364"/>
    <w:rsid w:val="00FF546C"/>
    <w:rsid w:val="00FF5965"/>
    <w:rsid w:val="00FF5FC9"/>
    <w:rsid w:val="00FF6321"/>
    <w:rsid w:val="00FF63A8"/>
    <w:rsid w:val="00FF718F"/>
    <w:rsid w:val="00FF7225"/>
    <w:rsid w:val="00FF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484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A4050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0"/>
    <w:next w:val="a0"/>
    <w:link w:val="20"/>
    <w:semiHidden/>
    <w:unhideWhenUsed/>
    <w:qFormat/>
    <w:rsid w:val="001B5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2746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18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Знак,Òàáë òåêñò, Знак,Знак"/>
    <w:basedOn w:val="a0"/>
    <w:link w:val="11"/>
    <w:uiPriority w:val="99"/>
    <w:rsid w:val="00F63680"/>
    <w:pPr>
      <w:spacing w:after="120"/>
    </w:pPr>
  </w:style>
  <w:style w:type="paragraph" w:styleId="a6">
    <w:name w:val="Title"/>
    <w:basedOn w:val="a0"/>
    <w:link w:val="a7"/>
    <w:uiPriority w:val="99"/>
    <w:qFormat/>
    <w:rsid w:val="00F63680"/>
    <w:pPr>
      <w:jc w:val="center"/>
    </w:pPr>
    <w:rPr>
      <w:b/>
      <w:szCs w:val="20"/>
    </w:rPr>
  </w:style>
  <w:style w:type="paragraph" w:customStyle="1" w:styleId="a8">
    <w:name w:val="Комментарий"/>
    <w:basedOn w:val="a0"/>
    <w:next w:val="a0"/>
    <w:rsid w:val="004A0F60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12">
    <w:name w:val="1"/>
    <w:rsid w:val="00000356"/>
    <w:rPr>
      <w:sz w:val="24"/>
      <w:szCs w:val="24"/>
    </w:rPr>
  </w:style>
  <w:style w:type="paragraph" w:styleId="a9">
    <w:name w:val="header"/>
    <w:basedOn w:val="a0"/>
    <w:rsid w:val="003C5669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3C5669"/>
  </w:style>
  <w:style w:type="paragraph" w:customStyle="1" w:styleId="ab">
    <w:name w:val="Таблицы (моноширинный)"/>
    <w:basedOn w:val="a0"/>
    <w:next w:val="a0"/>
    <w:rsid w:val="00807A2B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0"/>
    <w:rsid w:val="00F3249D"/>
    <w:pPr>
      <w:tabs>
        <w:tab w:val="center" w:pos="4677"/>
        <w:tab w:val="right" w:pos="9355"/>
      </w:tabs>
    </w:pPr>
  </w:style>
  <w:style w:type="paragraph" w:styleId="ad">
    <w:name w:val="Body Text Indent"/>
    <w:basedOn w:val="a0"/>
    <w:link w:val="ae"/>
    <w:uiPriority w:val="99"/>
    <w:rsid w:val="00D43949"/>
    <w:pPr>
      <w:spacing w:after="120"/>
      <w:ind w:left="283"/>
    </w:pPr>
  </w:style>
  <w:style w:type="paragraph" w:styleId="21">
    <w:name w:val="Body Text 2"/>
    <w:basedOn w:val="a0"/>
    <w:rsid w:val="000D4799"/>
    <w:pPr>
      <w:spacing w:after="120" w:line="480" w:lineRule="auto"/>
    </w:pPr>
  </w:style>
  <w:style w:type="paragraph" w:styleId="af">
    <w:name w:val="Balloon Text"/>
    <w:basedOn w:val="a0"/>
    <w:semiHidden/>
    <w:rsid w:val="00697164"/>
    <w:rPr>
      <w:rFonts w:ascii="Tahoma" w:hAnsi="Tahoma" w:cs="Tahoma"/>
      <w:sz w:val="16"/>
      <w:szCs w:val="16"/>
    </w:rPr>
  </w:style>
  <w:style w:type="paragraph" w:styleId="af0">
    <w:name w:val="footnote text"/>
    <w:basedOn w:val="a0"/>
    <w:link w:val="af1"/>
    <w:rsid w:val="000D542E"/>
    <w:pPr>
      <w:autoSpaceDE w:val="0"/>
      <w:autoSpaceDN w:val="0"/>
    </w:pPr>
    <w:rPr>
      <w:sz w:val="20"/>
      <w:szCs w:val="20"/>
    </w:rPr>
  </w:style>
  <w:style w:type="character" w:styleId="af2">
    <w:name w:val="footnote reference"/>
    <w:rsid w:val="000D542E"/>
    <w:rPr>
      <w:vertAlign w:val="superscript"/>
    </w:rPr>
  </w:style>
  <w:style w:type="paragraph" w:customStyle="1" w:styleId="af3">
    <w:name w:val="Заголовок статьи"/>
    <w:basedOn w:val="a0"/>
    <w:next w:val="a0"/>
    <w:rsid w:val="00CE5FA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4">
    <w:name w:val="Прижатый влево"/>
    <w:basedOn w:val="a0"/>
    <w:next w:val="a0"/>
    <w:uiPriority w:val="99"/>
    <w:rsid w:val="00543CD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Гипертекстовая ссылка"/>
    <w:uiPriority w:val="99"/>
    <w:rsid w:val="003522CA"/>
    <w:rPr>
      <w:color w:val="008000"/>
    </w:rPr>
  </w:style>
  <w:style w:type="character" w:customStyle="1" w:styleId="10">
    <w:name w:val="Заголовок 1 Знак"/>
    <w:link w:val="1"/>
    <w:rsid w:val="00E64CED"/>
    <w:rPr>
      <w:rFonts w:ascii="Arial" w:hAnsi="Arial"/>
      <w:b/>
      <w:bCs/>
      <w:color w:val="000080"/>
      <w:lang w:val="ru-RU" w:eastAsia="ru-RU" w:bidi="ar-SA"/>
    </w:rPr>
  </w:style>
  <w:style w:type="paragraph" w:customStyle="1" w:styleId="ConsPlusNonformat">
    <w:name w:val="ConsPlusNonformat"/>
    <w:rsid w:val="00F10BB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AC8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6">
    <w:name w:val="endnote text"/>
    <w:basedOn w:val="a0"/>
    <w:link w:val="af7"/>
    <w:uiPriority w:val="99"/>
    <w:rsid w:val="00CF1C83"/>
    <w:rPr>
      <w:rFonts w:eastAsia="Calibri"/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CF1C83"/>
    <w:rPr>
      <w:rFonts w:eastAsia="Calibri"/>
      <w:lang w:val="ru-RU" w:eastAsia="ru-RU" w:bidi="ar-SA"/>
    </w:rPr>
  </w:style>
  <w:style w:type="character" w:styleId="af8">
    <w:name w:val="endnote reference"/>
    <w:semiHidden/>
    <w:rsid w:val="00CF1C83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7F0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rsid w:val="007F036C"/>
    <w:pPr>
      <w:spacing w:after="120" w:line="480" w:lineRule="auto"/>
      <w:ind w:left="283"/>
    </w:pPr>
  </w:style>
  <w:style w:type="paragraph" w:customStyle="1" w:styleId="bl0">
    <w:name w:val="bl0"/>
    <w:basedOn w:val="a0"/>
    <w:rsid w:val="007F036C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af9">
    <w:name w:val="Hyperlink"/>
    <w:uiPriority w:val="99"/>
    <w:rsid w:val="007F036C"/>
    <w:rPr>
      <w:color w:val="0000FF"/>
      <w:u w:val="single"/>
    </w:rPr>
  </w:style>
  <w:style w:type="paragraph" w:styleId="a">
    <w:name w:val="List Bullet"/>
    <w:basedOn w:val="a0"/>
    <w:rsid w:val="007F036C"/>
    <w:pPr>
      <w:numPr>
        <w:numId w:val="1"/>
      </w:numPr>
    </w:pPr>
  </w:style>
  <w:style w:type="character" w:customStyle="1" w:styleId="apple-converted-space">
    <w:name w:val="apple-converted-space"/>
    <w:basedOn w:val="a1"/>
    <w:rsid w:val="007F036C"/>
  </w:style>
  <w:style w:type="character" w:customStyle="1" w:styleId="apple-style-span">
    <w:name w:val="apple-style-span"/>
    <w:basedOn w:val="a1"/>
    <w:rsid w:val="007F036C"/>
  </w:style>
  <w:style w:type="paragraph" w:styleId="afa">
    <w:name w:val="Normal (Web)"/>
    <w:basedOn w:val="a0"/>
    <w:unhideWhenUsed/>
    <w:rsid w:val="007F036C"/>
    <w:pPr>
      <w:spacing w:before="100" w:beforeAutospacing="1" w:after="100" w:afterAutospacing="1"/>
    </w:pPr>
  </w:style>
  <w:style w:type="character" w:customStyle="1" w:styleId="fc1297680559311-0">
    <w:name w:val="fc1297680559311-0"/>
    <w:basedOn w:val="a1"/>
    <w:rsid w:val="007F036C"/>
  </w:style>
  <w:style w:type="character" w:customStyle="1" w:styleId="fc1297681311229-0">
    <w:name w:val="fc1297681311229-0"/>
    <w:basedOn w:val="a1"/>
    <w:rsid w:val="007F036C"/>
  </w:style>
  <w:style w:type="character" w:customStyle="1" w:styleId="fc1297681645912-0">
    <w:name w:val="fc1297681645912-0"/>
    <w:basedOn w:val="a1"/>
    <w:rsid w:val="007F036C"/>
  </w:style>
  <w:style w:type="character" w:customStyle="1" w:styleId="fc1297840023609-0">
    <w:name w:val="fc1297840023609-0"/>
    <w:basedOn w:val="a1"/>
    <w:rsid w:val="007F036C"/>
  </w:style>
  <w:style w:type="character" w:customStyle="1" w:styleId="fc1297840023609-1">
    <w:name w:val="fc1297840023609-1"/>
    <w:basedOn w:val="a1"/>
    <w:rsid w:val="007F036C"/>
  </w:style>
  <w:style w:type="character" w:customStyle="1" w:styleId="afb">
    <w:name w:val="Цветовое выделение"/>
    <w:rsid w:val="007F036C"/>
    <w:rPr>
      <w:b/>
      <w:bCs/>
      <w:color w:val="000080"/>
    </w:rPr>
  </w:style>
  <w:style w:type="paragraph" w:customStyle="1" w:styleId="u">
    <w:name w:val="u"/>
    <w:basedOn w:val="a0"/>
    <w:rsid w:val="007F036C"/>
    <w:pPr>
      <w:spacing w:before="100" w:beforeAutospacing="1" w:after="100" w:afterAutospacing="1"/>
    </w:pPr>
  </w:style>
  <w:style w:type="character" w:styleId="afc">
    <w:name w:val="FollowedHyperlink"/>
    <w:rsid w:val="007F036C"/>
    <w:rPr>
      <w:color w:val="800080"/>
      <w:u w:val="single"/>
    </w:rPr>
  </w:style>
  <w:style w:type="paragraph" w:customStyle="1" w:styleId="afd">
    <w:name w:val="Информация об изменениях документа"/>
    <w:basedOn w:val="a8"/>
    <w:next w:val="a0"/>
    <w:rsid w:val="00A9651C"/>
    <w:pPr>
      <w:ind w:left="0"/>
    </w:pPr>
    <w:rPr>
      <w:sz w:val="24"/>
      <w:szCs w:val="24"/>
    </w:rPr>
  </w:style>
  <w:style w:type="character" w:customStyle="1" w:styleId="11">
    <w:name w:val="Основной текст Знак1"/>
    <w:aliases w:val="Основной текст Знак Знак,Òàáë òåêñò Знак, Знак Знак,Знак Знак"/>
    <w:link w:val="a5"/>
    <w:uiPriority w:val="99"/>
    <w:locked/>
    <w:rsid w:val="0095664C"/>
    <w:rPr>
      <w:sz w:val="24"/>
      <w:szCs w:val="24"/>
      <w:lang w:val="ru-RU" w:eastAsia="ru-RU" w:bidi="ar-SA"/>
    </w:rPr>
  </w:style>
  <w:style w:type="character" w:customStyle="1" w:styleId="af1">
    <w:name w:val="Текст сноски Знак"/>
    <w:link w:val="af0"/>
    <w:semiHidden/>
    <w:locked/>
    <w:rsid w:val="0095664C"/>
    <w:rPr>
      <w:lang w:val="ru-RU" w:eastAsia="ru-RU" w:bidi="ar-SA"/>
    </w:rPr>
  </w:style>
  <w:style w:type="character" w:customStyle="1" w:styleId="EndnoteTextChar">
    <w:name w:val="Endnote Text Char"/>
    <w:semiHidden/>
    <w:locked/>
    <w:rsid w:val="0095664C"/>
    <w:rPr>
      <w:rFonts w:eastAsia="Times New Roman" w:cs="Times New Roman"/>
      <w:lang w:val="ru-RU" w:eastAsia="ru-RU" w:bidi="ar-SA"/>
    </w:rPr>
  </w:style>
  <w:style w:type="paragraph" w:customStyle="1" w:styleId="afe">
    <w:name w:val="Текст информации об изменениях"/>
    <w:basedOn w:val="a0"/>
    <w:next w:val="a0"/>
    <w:rsid w:val="008859F9"/>
    <w:pPr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ParaAttribute2">
    <w:name w:val="ParaAttribute2"/>
    <w:rsid w:val="00074F0F"/>
    <w:pPr>
      <w:jc w:val="center"/>
    </w:pPr>
  </w:style>
  <w:style w:type="paragraph" w:customStyle="1" w:styleId="ParaAttribute7">
    <w:name w:val="ParaAttribute7"/>
    <w:rsid w:val="00074F0F"/>
    <w:pPr>
      <w:shd w:val="solid" w:color="FFFFFF" w:fill="auto"/>
      <w:ind w:right="168"/>
      <w:jc w:val="center"/>
    </w:pPr>
  </w:style>
  <w:style w:type="paragraph" w:customStyle="1" w:styleId="ParaAttribute19">
    <w:name w:val="ParaAttribute19"/>
    <w:rsid w:val="00074F0F"/>
    <w:pPr>
      <w:ind w:firstLine="539"/>
      <w:jc w:val="both"/>
    </w:pPr>
  </w:style>
  <w:style w:type="character" w:customStyle="1" w:styleId="CharAttribute5">
    <w:name w:val="CharAttribute5"/>
    <w:rsid w:val="00074F0F"/>
    <w:rPr>
      <w:rFonts w:ascii="Times New Roman" w:eastAsia="Times New Roman"/>
      <w:b/>
      <w:i/>
      <w:spacing w:val="14"/>
      <w:sz w:val="24"/>
    </w:rPr>
  </w:style>
  <w:style w:type="character" w:customStyle="1" w:styleId="CharAttribute6">
    <w:name w:val="CharAttribute6"/>
    <w:rsid w:val="00074F0F"/>
    <w:rPr>
      <w:rFonts w:ascii="Times New Roman" w:eastAsia="Times New Roman"/>
      <w:b/>
      <w:i/>
      <w:spacing w:val="-2"/>
      <w:sz w:val="24"/>
    </w:rPr>
  </w:style>
  <w:style w:type="character" w:customStyle="1" w:styleId="ae">
    <w:name w:val="Основной текст с отступом Знак"/>
    <w:basedOn w:val="a1"/>
    <w:link w:val="ad"/>
    <w:uiPriority w:val="99"/>
    <w:rsid w:val="00CE49B4"/>
    <w:rPr>
      <w:sz w:val="24"/>
      <w:szCs w:val="24"/>
    </w:rPr>
  </w:style>
  <w:style w:type="paragraph" w:styleId="aff">
    <w:name w:val="List Paragraph"/>
    <w:basedOn w:val="a0"/>
    <w:link w:val="aff0"/>
    <w:uiPriority w:val="99"/>
    <w:qFormat/>
    <w:rsid w:val="001B7560"/>
    <w:pPr>
      <w:ind w:left="720"/>
      <w:contextualSpacing/>
    </w:pPr>
  </w:style>
  <w:style w:type="paragraph" w:customStyle="1" w:styleId="ConsPlusCell">
    <w:name w:val="ConsPlusCell"/>
    <w:uiPriority w:val="99"/>
    <w:rsid w:val="00B7259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Название Знак"/>
    <w:link w:val="a6"/>
    <w:uiPriority w:val="99"/>
    <w:locked/>
    <w:rsid w:val="00A86BD6"/>
    <w:rPr>
      <w:b/>
      <w:sz w:val="24"/>
    </w:rPr>
  </w:style>
  <w:style w:type="character" w:customStyle="1" w:styleId="FontStyle18">
    <w:name w:val="Font Style18"/>
    <w:basedOn w:val="a1"/>
    <w:uiPriority w:val="99"/>
    <w:rsid w:val="00A86BD6"/>
    <w:rPr>
      <w:rFonts w:ascii="Times New Roman" w:hAnsi="Times New Roman" w:cs="Times New Roman"/>
      <w:b/>
      <w:bCs/>
      <w:sz w:val="22"/>
      <w:szCs w:val="22"/>
    </w:rPr>
  </w:style>
  <w:style w:type="character" w:customStyle="1" w:styleId="50">
    <w:name w:val="Заголовок 5 Знак"/>
    <w:basedOn w:val="a1"/>
    <w:link w:val="5"/>
    <w:semiHidden/>
    <w:rsid w:val="002746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1"/>
    <w:link w:val="2"/>
    <w:semiHidden/>
    <w:rsid w:val="001B5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B69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basedOn w:val="a1"/>
    <w:link w:val="ConsPlusNormal"/>
    <w:locked/>
    <w:rsid w:val="00542444"/>
    <w:rPr>
      <w:rFonts w:ascii="Arial" w:hAnsi="Arial" w:cs="Arial"/>
    </w:rPr>
  </w:style>
  <w:style w:type="paragraph" w:customStyle="1" w:styleId="13">
    <w:name w:val="Абзац списка1"/>
    <w:basedOn w:val="a0"/>
    <w:rsid w:val="005966AC"/>
    <w:pPr>
      <w:ind w:left="720"/>
    </w:pPr>
    <w:rPr>
      <w:rFonts w:eastAsia="Calibri"/>
    </w:rPr>
  </w:style>
  <w:style w:type="character" w:styleId="aff1">
    <w:name w:val="Placeholder Text"/>
    <w:basedOn w:val="a1"/>
    <w:uiPriority w:val="99"/>
    <w:semiHidden/>
    <w:rsid w:val="00AC2D00"/>
    <w:rPr>
      <w:color w:val="808080"/>
    </w:rPr>
  </w:style>
  <w:style w:type="character" w:customStyle="1" w:styleId="aff0">
    <w:name w:val="Абзац списка Знак"/>
    <w:link w:val="aff"/>
    <w:uiPriority w:val="34"/>
    <w:locked/>
    <w:rsid w:val="00BA33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2D0E7-1650-44E4-8F05-AE0757B1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5225</Words>
  <Characters>29788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исполнения расходов КУГИ за 2007 год в разрезе разделов и ‎подразделов областного бюджета приведены в таблице</vt:lpstr>
    </vt:vector>
  </TitlesOfParts>
  <Company>EMPOWERING EXPERIENCE WORLD</Company>
  <LinksUpToDate>false</LinksUpToDate>
  <CharactersWithSpaces>34944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  <vt:variant>
        <vt:i4>7274528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Settings\Жирков\Рабочий стол\минспорт (камералка)\Акт камералка Минпечать (2014 г.).docx</vt:lpwstr>
      </vt:variant>
      <vt:variant>
        <vt:lpwstr>sub_503160887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исполнения расходов КУГИ за 2007 год в разрезе разделов и ‎подразделов областного бюджета приведены в таблице</dc:title>
  <dc:creator>I_Panina</dc:creator>
  <cp:lastModifiedBy>Жирков</cp:lastModifiedBy>
  <cp:revision>4</cp:revision>
  <cp:lastPrinted>2018-05-07T10:34:00Z</cp:lastPrinted>
  <dcterms:created xsi:type="dcterms:W3CDTF">2018-05-07T10:28:00Z</dcterms:created>
  <dcterms:modified xsi:type="dcterms:W3CDTF">2018-05-07T10:36:00Z</dcterms:modified>
</cp:coreProperties>
</file>