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B3" w:rsidRDefault="000B4AB3" w:rsidP="00232B31">
      <w:pPr>
        <w:tabs>
          <w:tab w:val="left" w:pos="180"/>
          <w:tab w:val="left" w:pos="360"/>
        </w:tabs>
        <w:ind w:left="6379" w:firstLine="284"/>
        <w:rPr>
          <w:b/>
        </w:rPr>
      </w:pPr>
    </w:p>
    <w:p w:rsidR="00232B31" w:rsidRDefault="00232B31" w:rsidP="00232B31">
      <w:pPr>
        <w:tabs>
          <w:tab w:val="left" w:pos="180"/>
          <w:tab w:val="left" w:pos="360"/>
        </w:tabs>
        <w:ind w:left="6379" w:firstLine="284"/>
        <w:rPr>
          <w:b/>
        </w:rPr>
      </w:pPr>
      <w:r>
        <w:rPr>
          <w:b/>
        </w:rPr>
        <w:t>УТВЕРЖДАЮ</w:t>
      </w:r>
    </w:p>
    <w:p w:rsidR="00232B31" w:rsidRPr="00BF1FAB" w:rsidRDefault="00232B31" w:rsidP="00232B31">
      <w:pPr>
        <w:tabs>
          <w:tab w:val="left" w:pos="180"/>
          <w:tab w:val="left" w:pos="360"/>
        </w:tabs>
        <w:ind w:left="283"/>
      </w:pPr>
      <w:r>
        <w:tab/>
      </w:r>
      <w:r>
        <w:tab/>
      </w:r>
      <w:r>
        <w:tab/>
      </w:r>
      <w:r>
        <w:tab/>
      </w:r>
      <w:r>
        <w:tab/>
      </w:r>
      <w:r>
        <w:tab/>
      </w:r>
      <w:r>
        <w:tab/>
      </w:r>
      <w:r>
        <w:tab/>
      </w:r>
      <w:r>
        <w:tab/>
      </w:r>
      <w:r w:rsidRPr="00BF1FAB">
        <w:t>председатель контрольно - счётной</w:t>
      </w:r>
    </w:p>
    <w:p w:rsidR="00232B31" w:rsidRPr="00BF1FAB" w:rsidRDefault="00232B31" w:rsidP="00232B31">
      <w:pPr>
        <w:tabs>
          <w:tab w:val="left" w:pos="180"/>
          <w:tab w:val="left" w:pos="360"/>
        </w:tabs>
        <w:ind w:left="283"/>
      </w:pPr>
      <w:r w:rsidRPr="00BF1FAB">
        <w:tab/>
      </w:r>
      <w:r w:rsidRPr="00BF1FAB">
        <w:tab/>
      </w:r>
      <w:r w:rsidRPr="00BF1FAB">
        <w:tab/>
      </w:r>
      <w:r w:rsidRPr="00BF1FAB">
        <w:tab/>
      </w:r>
      <w:r w:rsidRPr="00BF1FAB">
        <w:tab/>
      </w:r>
      <w:r w:rsidRPr="00BF1FAB">
        <w:tab/>
      </w:r>
      <w:r w:rsidRPr="00BF1FAB">
        <w:tab/>
      </w:r>
      <w:r w:rsidRPr="00BF1FAB">
        <w:tab/>
      </w:r>
      <w:r w:rsidRPr="00BF1FAB">
        <w:tab/>
        <w:t>палаты Волгоградской области</w:t>
      </w:r>
    </w:p>
    <w:p w:rsidR="00232B31" w:rsidRPr="00BF1FAB" w:rsidRDefault="00232B31" w:rsidP="00232B31">
      <w:pPr>
        <w:tabs>
          <w:tab w:val="left" w:pos="180"/>
          <w:tab w:val="left" w:pos="360"/>
        </w:tabs>
        <w:ind w:left="283"/>
      </w:pPr>
      <w:r w:rsidRPr="00BF1FAB">
        <w:tab/>
      </w:r>
      <w:r w:rsidRPr="00BF1FAB">
        <w:tab/>
      </w:r>
      <w:r w:rsidRPr="00BF1FAB">
        <w:tab/>
      </w:r>
      <w:r w:rsidRPr="00BF1FAB">
        <w:tab/>
      </w:r>
      <w:r w:rsidRPr="00BF1FAB">
        <w:tab/>
      </w:r>
      <w:r w:rsidRPr="00BF1FAB">
        <w:tab/>
      </w:r>
      <w:r w:rsidRPr="00BF1FAB">
        <w:tab/>
      </w:r>
      <w:r w:rsidRPr="00BF1FAB">
        <w:tab/>
      </w:r>
    </w:p>
    <w:p w:rsidR="00232B31" w:rsidRPr="00BF1FAB" w:rsidRDefault="00232B31" w:rsidP="00232B31">
      <w:pPr>
        <w:tabs>
          <w:tab w:val="left" w:pos="180"/>
          <w:tab w:val="left" w:pos="360"/>
        </w:tabs>
        <w:ind w:left="283"/>
      </w:pPr>
      <w:r w:rsidRPr="00BF1FAB">
        <w:tab/>
      </w:r>
      <w:r w:rsidRPr="00BF1FAB">
        <w:tab/>
      </w:r>
      <w:r w:rsidRPr="00BF1FAB">
        <w:tab/>
      </w:r>
      <w:r w:rsidRPr="00BF1FAB">
        <w:tab/>
      </w:r>
      <w:r w:rsidRPr="00BF1FAB">
        <w:tab/>
      </w:r>
      <w:r w:rsidRPr="00BF1FAB">
        <w:tab/>
      </w:r>
      <w:r w:rsidRPr="00BF1FAB">
        <w:tab/>
      </w:r>
      <w:r w:rsidRPr="00BF1FAB">
        <w:tab/>
      </w:r>
      <w:r w:rsidRPr="00BF1FAB">
        <w:tab/>
        <w:t>_________________ И.А. Дьяченко</w:t>
      </w:r>
    </w:p>
    <w:p w:rsidR="00232B31" w:rsidRPr="00BF1FAB" w:rsidRDefault="00232B31" w:rsidP="00232B31">
      <w:pPr>
        <w:tabs>
          <w:tab w:val="left" w:pos="180"/>
          <w:tab w:val="left" w:pos="360"/>
        </w:tabs>
        <w:ind w:left="283"/>
      </w:pPr>
      <w:r w:rsidRPr="00BF1FAB">
        <w:tab/>
      </w:r>
      <w:r w:rsidRPr="00BF1FAB">
        <w:tab/>
      </w:r>
      <w:r w:rsidRPr="00BF1FAB">
        <w:tab/>
      </w:r>
      <w:r w:rsidRPr="00BF1FAB">
        <w:tab/>
      </w:r>
      <w:r w:rsidRPr="00BF1FAB">
        <w:tab/>
      </w:r>
      <w:r w:rsidRPr="00BF1FAB">
        <w:tab/>
      </w:r>
      <w:r w:rsidRPr="00BF1FAB">
        <w:tab/>
      </w:r>
      <w:r w:rsidRPr="00BF1FAB">
        <w:tab/>
      </w:r>
      <w:r w:rsidRPr="00BF1FAB">
        <w:tab/>
        <w:t xml:space="preserve">____ </w:t>
      </w:r>
      <w:r w:rsidR="00C50758" w:rsidRPr="00BF1FAB">
        <w:t>апреля</w:t>
      </w:r>
      <w:r w:rsidRPr="00BF1FAB">
        <w:t xml:space="preserve"> 2020 года </w:t>
      </w:r>
    </w:p>
    <w:p w:rsidR="00232B31" w:rsidRPr="00BF1FAB" w:rsidRDefault="00232B31" w:rsidP="00232B31">
      <w:pPr>
        <w:jc w:val="center"/>
        <w:rPr>
          <w:b/>
          <w:i/>
        </w:rPr>
      </w:pPr>
    </w:p>
    <w:p w:rsidR="00232B31" w:rsidRPr="00BF1FAB" w:rsidRDefault="00232B31" w:rsidP="00232B31">
      <w:pPr>
        <w:jc w:val="center"/>
        <w:rPr>
          <w:b/>
        </w:rPr>
      </w:pPr>
      <w:r w:rsidRPr="00BF1FAB">
        <w:rPr>
          <w:b/>
        </w:rPr>
        <w:t>ЗАКЛЮЧЕНИЕ</w:t>
      </w:r>
    </w:p>
    <w:p w:rsidR="00232B31" w:rsidRPr="00BF1FAB" w:rsidRDefault="00232B31" w:rsidP="00232B31">
      <w:pPr>
        <w:ind w:left="283"/>
        <w:jc w:val="center"/>
        <w:rPr>
          <w:b/>
        </w:rPr>
      </w:pPr>
      <w:r w:rsidRPr="00BF1FAB">
        <w:rPr>
          <w:b/>
          <w:color w:val="000000"/>
        </w:rPr>
        <w:t xml:space="preserve">по результатам </w:t>
      </w:r>
      <w:r w:rsidRPr="00BF1FAB">
        <w:rPr>
          <w:b/>
        </w:rPr>
        <w:t>внешней проверки бюджетной отчетности и</w:t>
      </w:r>
    </w:p>
    <w:p w:rsidR="00232B31" w:rsidRPr="00BF1FAB" w:rsidRDefault="00232B31" w:rsidP="00232B31">
      <w:pPr>
        <w:ind w:left="283"/>
        <w:jc w:val="center"/>
        <w:rPr>
          <w:b/>
        </w:rPr>
      </w:pPr>
      <w:r w:rsidRPr="00BF1FAB">
        <w:rPr>
          <w:b/>
        </w:rPr>
        <w:t>отдельных вопросов исполнения областного бюджета за 2019 год</w:t>
      </w:r>
    </w:p>
    <w:p w:rsidR="00232B31" w:rsidRPr="00BF1FAB" w:rsidRDefault="00232B31" w:rsidP="00232B31">
      <w:pPr>
        <w:ind w:left="283"/>
        <w:jc w:val="center"/>
        <w:rPr>
          <w:b/>
        </w:rPr>
      </w:pPr>
      <w:r w:rsidRPr="00BF1FAB">
        <w:rPr>
          <w:b/>
        </w:rPr>
        <w:t xml:space="preserve">главным администратором средств областного бюджета – </w:t>
      </w:r>
    </w:p>
    <w:p w:rsidR="00232B31" w:rsidRPr="00BF1FAB" w:rsidRDefault="00232B31" w:rsidP="00232B31">
      <w:pPr>
        <w:ind w:left="283"/>
        <w:jc w:val="center"/>
        <w:rPr>
          <w:b/>
        </w:rPr>
      </w:pPr>
      <w:r w:rsidRPr="00BF1FAB">
        <w:rPr>
          <w:b/>
        </w:rPr>
        <w:t>комитетом государственной охраны объектов культурного наследия Волгоградской области</w:t>
      </w:r>
    </w:p>
    <w:p w:rsidR="00232B31" w:rsidRPr="00BF1FAB" w:rsidRDefault="00232B31" w:rsidP="00232B31">
      <w:pPr>
        <w:ind w:left="283"/>
        <w:jc w:val="center"/>
        <w:rPr>
          <w:b/>
        </w:rPr>
      </w:pPr>
    </w:p>
    <w:p w:rsidR="00232B31" w:rsidRPr="00BF1FAB" w:rsidRDefault="00232B31" w:rsidP="00232B31">
      <w:pPr>
        <w:ind w:firstLine="720"/>
        <w:jc w:val="both"/>
      </w:pPr>
      <w:r w:rsidRPr="00BF1FAB">
        <w:t xml:space="preserve">В соответствии с п.3.1.26 </w:t>
      </w:r>
      <w:r w:rsidR="00B47978" w:rsidRPr="00BF1FAB">
        <w:t>П</w:t>
      </w:r>
      <w:r w:rsidRPr="00BF1FAB">
        <w:t>лана работы контрольно-счетной палаты Волгоградской области (далее – КСП), утвержденного постановлением коллегии КСП от 20.12.2019 №23/2, в целях подготовки заключения на годовой отчет об исполнении областного бюджета за 2019 год проведена внешняя камеральная проверка бюджетной отчетности и отдельных вопросов исполнения областного бюджета за 2019 год главным администратором средств областного бюджета – комитетом государственной охраны объектов культурного наследия Волгоградской области  (далее - Комитет).</w:t>
      </w:r>
    </w:p>
    <w:p w:rsidR="00F81F14" w:rsidRPr="00BF1FAB" w:rsidRDefault="000E078F" w:rsidP="00904609">
      <w:pPr>
        <w:autoSpaceDE w:val="0"/>
        <w:autoSpaceDN w:val="0"/>
        <w:adjustRightInd w:val="0"/>
        <w:ind w:firstLine="708"/>
        <w:jc w:val="both"/>
      </w:pPr>
      <w:r w:rsidRPr="00BF1FAB">
        <w:t xml:space="preserve">Комитет является органом исполнительной власти Волгоградской области, уполномоченным </w:t>
      </w:r>
      <w:r w:rsidRPr="00BF1FAB">
        <w:rPr>
          <w:rFonts w:eastAsiaTheme="minorHAnsi"/>
          <w:lang w:eastAsia="en-US"/>
        </w:rPr>
        <w:t>в сфере сохранения, использования, популяризации и государственной охраны объектов культурного наследия на территории Волгоградской области</w:t>
      </w:r>
      <w:r w:rsidR="00232B31" w:rsidRPr="00BF1FAB">
        <w:rPr>
          <w:rFonts w:eastAsiaTheme="minorHAnsi"/>
          <w:lang w:eastAsia="en-US"/>
        </w:rPr>
        <w:t>.</w:t>
      </w:r>
      <w:r w:rsidR="00904609" w:rsidRPr="00BF1FAB">
        <w:rPr>
          <w:rFonts w:eastAsiaTheme="minorHAnsi"/>
          <w:lang w:eastAsia="en-US"/>
        </w:rPr>
        <w:t xml:space="preserve"> </w:t>
      </w:r>
      <w:r w:rsidR="00EE7318" w:rsidRPr="00BF1FAB">
        <w:t xml:space="preserve">Штатная численность Комитета утверждена в количестве </w:t>
      </w:r>
      <w:r w:rsidR="006808D2" w:rsidRPr="00BF1FAB">
        <w:t>30</w:t>
      </w:r>
      <w:r w:rsidR="00EE7318" w:rsidRPr="00BF1FAB">
        <w:t xml:space="preserve"> единиц, в том числе </w:t>
      </w:r>
      <w:r w:rsidR="005811E2" w:rsidRPr="00BF1FAB">
        <w:t>25</w:t>
      </w:r>
      <w:r w:rsidR="00EE7318" w:rsidRPr="00BF1FAB">
        <w:t xml:space="preserve"> государственных гражданских служащих Волгоградской области</w:t>
      </w:r>
      <w:r w:rsidR="00223134" w:rsidRPr="00BF1FAB">
        <w:t>, н</w:t>
      </w:r>
      <w:r w:rsidR="00EE7318" w:rsidRPr="00BF1FAB">
        <w:t>а конец года вакантн</w:t>
      </w:r>
      <w:r w:rsidR="006808D2" w:rsidRPr="00BF1FAB">
        <w:t>а</w:t>
      </w:r>
      <w:r w:rsidR="00EE7318" w:rsidRPr="00BF1FAB">
        <w:t xml:space="preserve"> </w:t>
      </w:r>
      <w:r w:rsidR="006808D2" w:rsidRPr="00BF1FAB">
        <w:t>1</w:t>
      </w:r>
      <w:r w:rsidR="00EE7318" w:rsidRPr="00BF1FAB">
        <w:t xml:space="preserve"> должност</w:t>
      </w:r>
      <w:r w:rsidR="006808D2" w:rsidRPr="00BF1FAB">
        <w:t>ь</w:t>
      </w:r>
      <w:r w:rsidR="00EE7318" w:rsidRPr="00BF1FAB">
        <w:t>.</w:t>
      </w:r>
      <w:r w:rsidR="00CE4107" w:rsidRPr="00BF1FAB">
        <w:t xml:space="preserve"> </w:t>
      </w:r>
    </w:p>
    <w:p w:rsidR="00904609" w:rsidRPr="00BF1FAB" w:rsidRDefault="00904609" w:rsidP="00904609">
      <w:pPr>
        <w:ind w:firstLine="680"/>
        <w:jc w:val="both"/>
      </w:pPr>
      <w:r w:rsidRPr="00BF1FAB">
        <w:t xml:space="preserve">Законом Волгоградской области от 07.12.2018 № 134-ОД «Об областном бюджете на 2019 год и на плановый период 2020 и 2021 годов» (далее -  Закон об областном бюджете) Комитет включен в перечень главных администраторов доходов областного бюджета и главных распорядителей средств областного бюджета. </w:t>
      </w:r>
    </w:p>
    <w:p w:rsidR="00904609" w:rsidRPr="00BF1FAB" w:rsidRDefault="00904609" w:rsidP="00904609">
      <w:pPr>
        <w:spacing w:line="300" w:lineRule="exact"/>
        <w:ind w:firstLine="709"/>
        <w:jc w:val="both"/>
      </w:pPr>
      <w:r w:rsidRPr="00BF1FAB">
        <w:t xml:space="preserve">Комитет является учредителем </w:t>
      </w:r>
      <w:r w:rsidR="00CE4107" w:rsidRPr="00BF1FAB">
        <w:t>государственно</w:t>
      </w:r>
      <w:r w:rsidRPr="00BF1FAB">
        <w:t>го</w:t>
      </w:r>
      <w:r w:rsidR="00CE4107" w:rsidRPr="00BF1FAB">
        <w:t xml:space="preserve"> бюджетно</w:t>
      </w:r>
      <w:r w:rsidRPr="00BF1FAB">
        <w:t>го</w:t>
      </w:r>
      <w:r w:rsidR="00CE4107" w:rsidRPr="00BF1FAB">
        <w:t xml:space="preserve"> учреждени</w:t>
      </w:r>
      <w:r w:rsidRPr="00BF1FAB">
        <w:t>я</w:t>
      </w:r>
      <w:r w:rsidR="00CE4107" w:rsidRPr="00BF1FAB">
        <w:t xml:space="preserve"> "Волгоградский областной научно-производственный центр по охране памятников истории и культуры" (далее ГБУ ВО НПЦ), штатн</w:t>
      </w:r>
      <w:r w:rsidRPr="00BF1FAB">
        <w:t>ой</w:t>
      </w:r>
      <w:r w:rsidR="00CE4107" w:rsidRPr="00BF1FAB">
        <w:t xml:space="preserve"> численность</w:t>
      </w:r>
      <w:r w:rsidRPr="00BF1FAB">
        <w:t xml:space="preserve">ю </w:t>
      </w:r>
      <w:r w:rsidR="00CE4107" w:rsidRPr="00BF1FAB">
        <w:t>29 единиц</w:t>
      </w:r>
      <w:r w:rsidR="000B4AB3" w:rsidRPr="00BF1FAB">
        <w:t xml:space="preserve"> в течение отчетного периода</w:t>
      </w:r>
      <w:r w:rsidR="00CE4107" w:rsidRPr="00BF1FAB">
        <w:t>.</w:t>
      </w:r>
      <w:r w:rsidRPr="00BF1FAB">
        <w:t xml:space="preserve"> </w:t>
      </w:r>
    </w:p>
    <w:p w:rsidR="00904609" w:rsidRPr="00BF1FAB" w:rsidRDefault="00904609" w:rsidP="00904609">
      <w:pPr>
        <w:ind w:firstLine="708"/>
        <w:jc w:val="both"/>
      </w:pPr>
      <w:r w:rsidRPr="00BF1FAB">
        <w:t xml:space="preserve">Полномочия по ведению бюджетного учета и составлению отчётности Комитета осуществляет государственное казенное учреждение Волгоградской области «Центр бюджетного учета и отчетности». </w:t>
      </w:r>
    </w:p>
    <w:p w:rsidR="00904609" w:rsidRPr="00BF1FAB" w:rsidRDefault="00904609" w:rsidP="00904609">
      <w:pPr>
        <w:spacing w:before="120" w:after="120"/>
        <w:jc w:val="center"/>
        <w:rPr>
          <w:b/>
          <w:i/>
        </w:rPr>
      </w:pPr>
      <w:r w:rsidRPr="00BF1FAB">
        <w:rPr>
          <w:b/>
          <w:i/>
        </w:rPr>
        <w:t xml:space="preserve">Бюджетная (бухгалтерская) отчётность </w:t>
      </w:r>
    </w:p>
    <w:p w:rsidR="00F6070E" w:rsidRPr="00BF1FAB" w:rsidRDefault="00F6070E" w:rsidP="00F6070E">
      <w:pPr>
        <w:ind w:firstLine="709"/>
        <w:jc w:val="both"/>
      </w:pPr>
      <w:r w:rsidRPr="00BF1FAB">
        <w:t xml:space="preserve">Сводная бюджетная </w:t>
      </w:r>
      <w:r w:rsidRPr="00BF1FAB">
        <w:rPr>
          <w:bCs/>
        </w:rPr>
        <w:t xml:space="preserve">отчетность Комитета за 2019 год представлена к </w:t>
      </w:r>
      <w:r w:rsidRPr="00BF1FAB">
        <w:t>проверке в составе, определенном ст. 264.1 БК РФ и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p>
    <w:p w:rsidR="00EF094E" w:rsidRPr="00BF1FAB" w:rsidRDefault="00F6070E" w:rsidP="00F6070E">
      <w:pPr>
        <w:ind w:firstLine="709"/>
        <w:jc w:val="both"/>
        <w:rPr>
          <w:color w:val="000099"/>
        </w:rPr>
      </w:pPr>
      <w:r w:rsidRPr="00BF1FAB">
        <w:t xml:space="preserve">Проверкой достоверности </w:t>
      </w:r>
      <w:r w:rsidR="00B47978" w:rsidRPr="00BF1FAB">
        <w:t xml:space="preserve">сводной </w:t>
      </w:r>
      <w:r w:rsidRPr="00BF1FAB">
        <w:t>бюджетной отчетности нарушения</w:t>
      </w:r>
      <w:r w:rsidRPr="00BF1FAB">
        <w:rPr>
          <w:rFonts w:eastAsiaTheme="minorHAnsi"/>
          <w:lang w:eastAsia="en-US"/>
        </w:rPr>
        <w:t xml:space="preserve"> требований </w:t>
      </w:r>
      <w:r w:rsidR="00B47978" w:rsidRPr="00BF1FAB">
        <w:rPr>
          <w:rFonts w:eastAsiaTheme="minorHAnsi"/>
          <w:lang w:eastAsia="en-US"/>
        </w:rPr>
        <w:t xml:space="preserve">Инструкции №191н </w:t>
      </w:r>
      <w:r w:rsidRPr="00BF1FAB">
        <w:rPr>
          <w:rFonts w:eastAsiaTheme="minorHAnsi"/>
          <w:lang w:eastAsia="en-US"/>
        </w:rPr>
        <w:t>к бюджетному учету</w:t>
      </w:r>
      <w:r w:rsidRPr="00BF1FAB">
        <w:t xml:space="preserve"> не установлены</w:t>
      </w:r>
      <w:r w:rsidR="002B46D6" w:rsidRPr="00BF1FAB">
        <w:t xml:space="preserve"> </w:t>
      </w:r>
      <w:r w:rsidR="002B46D6" w:rsidRPr="00BF1FAB">
        <w:rPr>
          <w:color w:val="000099"/>
        </w:rPr>
        <w:t>(приложение №1)</w:t>
      </w:r>
      <w:r w:rsidRPr="00BF1FAB">
        <w:rPr>
          <w:color w:val="000099"/>
        </w:rPr>
        <w:t>.</w:t>
      </w:r>
      <w:r w:rsidR="005C3566" w:rsidRPr="00BF1FAB">
        <w:rPr>
          <w:color w:val="000099"/>
        </w:rPr>
        <w:t xml:space="preserve"> </w:t>
      </w:r>
    </w:p>
    <w:p w:rsidR="00F6070E" w:rsidRPr="00BF1FAB" w:rsidRDefault="00F6070E" w:rsidP="00F6070E">
      <w:pPr>
        <w:ind w:firstLine="709"/>
        <w:jc w:val="both"/>
      </w:pPr>
      <w:r w:rsidRPr="00BF1FAB">
        <w:t xml:space="preserve">Бухгалтерская </w:t>
      </w:r>
      <w:r w:rsidRPr="00BF1FAB">
        <w:rPr>
          <w:bCs/>
        </w:rPr>
        <w:t xml:space="preserve">отчетность </w:t>
      </w:r>
      <w:r w:rsidRPr="00BF1FAB">
        <w:t>ГБУ ВО НПЦ</w:t>
      </w:r>
      <w:r w:rsidRPr="00BF1FAB">
        <w:rPr>
          <w:bCs/>
        </w:rPr>
        <w:t xml:space="preserve"> за 2019 год представлена к </w:t>
      </w:r>
      <w:r w:rsidRPr="00BF1FAB">
        <w:t xml:space="preserve">проверке в составе, определенном </w:t>
      </w:r>
      <w:r w:rsidRPr="00BF1FAB">
        <w:rPr>
          <w:rFonts w:eastAsiaTheme="minorHAnsi"/>
          <w:lang w:eastAsia="en-US"/>
        </w:rPr>
        <w:t>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BF1FAB">
        <w:t xml:space="preserve">, утвержденной приказом Минфина РФ </w:t>
      </w:r>
      <w:r w:rsidRPr="00BF1FAB">
        <w:rPr>
          <w:rFonts w:eastAsiaTheme="minorHAnsi"/>
          <w:lang w:eastAsia="en-US"/>
        </w:rPr>
        <w:t>от 25.03.2011 № 33н</w:t>
      </w:r>
      <w:r w:rsidR="00B47978" w:rsidRPr="00BF1FAB">
        <w:rPr>
          <w:rFonts w:eastAsiaTheme="minorHAnsi"/>
          <w:lang w:eastAsia="en-US"/>
        </w:rPr>
        <w:t xml:space="preserve"> (далее Инструкция №33н)</w:t>
      </w:r>
      <w:r w:rsidRPr="00BF1FAB">
        <w:t>.</w:t>
      </w:r>
    </w:p>
    <w:p w:rsidR="00B47978" w:rsidRPr="00BF1FAB" w:rsidRDefault="00F6070E" w:rsidP="00161762">
      <w:pPr>
        <w:ind w:firstLine="709"/>
        <w:jc w:val="both"/>
        <w:rPr>
          <w:rFonts w:eastAsiaTheme="minorHAnsi"/>
          <w:lang w:eastAsia="en-US"/>
        </w:rPr>
      </w:pPr>
      <w:r w:rsidRPr="00BF1FAB">
        <w:t>Проверкой достоверности бухгалтерской отчетности ГБУ ВО НПЦ установлены нарушения</w:t>
      </w:r>
      <w:r w:rsidRPr="00BF1FAB">
        <w:rPr>
          <w:rFonts w:eastAsiaTheme="minorHAnsi"/>
          <w:lang w:eastAsia="en-US"/>
        </w:rPr>
        <w:t xml:space="preserve"> требований к бухгалтерскому учету, которые повлекли формирование и представление бухгалтерской отчетности, содержащей искаженные показатели, выраженные в денежном измерении, что привело к </w:t>
      </w:r>
      <w:r w:rsidR="000B4AB3" w:rsidRPr="00BF1FAB">
        <w:rPr>
          <w:rFonts w:eastAsiaTheme="minorHAnsi"/>
          <w:lang w:eastAsia="en-US"/>
        </w:rPr>
        <w:t xml:space="preserve">занижению </w:t>
      </w:r>
      <w:r w:rsidRPr="00BF1FAB">
        <w:rPr>
          <w:rFonts w:eastAsiaTheme="minorHAnsi"/>
          <w:lang w:eastAsia="en-US"/>
        </w:rPr>
        <w:t xml:space="preserve">информации о неисполненных обязательствах </w:t>
      </w:r>
      <w:r w:rsidR="003C4CFF" w:rsidRPr="00BF1FAB">
        <w:rPr>
          <w:rFonts w:eastAsiaTheme="minorHAnsi"/>
          <w:lang w:eastAsia="en-US"/>
        </w:rPr>
        <w:t>на 5655,7 тыс. руб</w:t>
      </w:r>
      <w:r w:rsidR="00B47978" w:rsidRPr="00BF1FAB">
        <w:rPr>
          <w:rFonts w:eastAsiaTheme="minorHAnsi"/>
          <w:lang w:eastAsia="en-US"/>
        </w:rPr>
        <w:t xml:space="preserve">лей. </w:t>
      </w:r>
    </w:p>
    <w:p w:rsidR="00F6070E" w:rsidRPr="00BF1FAB" w:rsidRDefault="00B47978" w:rsidP="00161762">
      <w:pPr>
        <w:ind w:firstLine="709"/>
        <w:jc w:val="both"/>
        <w:rPr>
          <w:rFonts w:eastAsiaTheme="minorHAnsi"/>
          <w:lang w:eastAsia="en-US"/>
        </w:rPr>
      </w:pPr>
      <w:r w:rsidRPr="00BF1FAB">
        <w:rPr>
          <w:rFonts w:eastAsiaTheme="minorHAnsi"/>
          <w:lang w:eastAsia="en-US"/>
        </w:rPr>
        <w:lastRenderedPageBreak/>
        <w:t>Так,</w:t>
      </w:r>
      <w:r w:rsidR="00161762" w:rsidRPr="00BF1FAB">
        <w:rPr>
          <w:rFonts w:eastAsiaTheme="minorHAnsi"/>
          <w:lang w:eastAsia="en-US"/>
        </w:rPr>
        <w:t xml:space="preserve"> в</w:t>
      </w:r>
      <w:r w:rsidR="00F6070E" w:rsidRPr="00BF1FAB">
        <w:t xml:space="preserve"> нарушение п.72.1 </w:t>
      </w:r>
      <w:r w:rsidR="00161762" w:rsidRPr="00BF1FAB">
        <w:t>Инструкции №33н</w:t>
      </w:r>
      <w:r w:rsidR="00F6070E" w:rsidRPr="00BF1FAB">
        <w:t xml:space="preserve"> общая сумма неисполненных обязательств, указанных в разделе 1 (2748,1 тыс.</w:t>
      </w:r>
      <w:r w:rsidR="003C4CFF" w:rsidRPr="00BF1FAB">
        <w:t xml:space="preserve"> </w:t>
      </w:r>
      <w:r w:rsidR="00F6070E" w:rsidRPr="00BF1FAB">
        <w:t xml:space="preserve">руб.) формы «Сведения о принятых и неисполненных обязательствах» (ф.0503775) не соответствует показателю по строке 200 в гр.10 формы «Отчет об обязательствах учреждения» (ф.0503738) по субсидиям на </w:t>
      </w:r>
      <w:proofErr w:type="spellStart"/>
      <w:r w:rsidR="00F6070E" w:rsidRPr="00BF1FAB">
        <w:t>госзадание</w:t>
      </w:r>
      <w:proofErr w:type="spellEnd"/>
      <w:r w:rsidR="00F6070E" w:rsidRPr="00BF1FAB">
        <w:t xml:space="preserve"> и на иные цели, а также по собственным доходам (8403,8 тыс.</w:t>
      </w:r>
      <w:r w:rsidR="003C4CFF" w:rsidRPr="00BF1FAB">
        <w:t xml:space="preserve"> </w:t>
      </w:r>
      <w:r w:rsidR="00F6070E" w:rsidRPr="00BF1FAB">
        <w:t xml:space="preserve">руб.), что привело к занижению ее данных на 5655,7 тыс.руб., </w:t>
      </w:r>
      <w:r w:rsidRPr="00BF1FAB">
        <w:t>т.е. к</w:t>
      </w:r>
      <w:r w:rsidR="00F6070E" w:rsidRPr="00BF1FAB">
        <w:t xml:space="preserve"> искажению более чем в </w:t>
      </w:r>
      <w:r w:rsidR="000B4AB3" w:rsidRPr="00BF1FAB">
        <w:t>3</w:t>
      </w:r>
      <w:r w:rsidR="00F6070E" w:rsidRPr="00BF1FAB">
        <w:t xml:space="preserve"> раза. </w:t>
      </w:r>
    </w:p>
    <w:p w:rsidR="005C3566" w:rsidRPr="00BF1FAB" w:rsidRDefault="00F6070E" w:rsidP="005C3566">
      <w:pPr>
        <w:ind w:firstLine="709"/>
        <w:jc w:val="both"/>
        <w:rPr>
          <w:rFonts w:eastAsiaTheme="minorHAnsi"/>
          <w:lang w:eastAsia="en-US"/>
        </w:rPr>
      </w:pPr>
      <w:r w:rsidRPr="00BF1FAB">
        <w:rPr>
          <w:rFonts w:eastAsiaTheme="minorHAnsi"/>
          <w:lang w:eastAsia="en-US"/>
        </w:rPr>
        <w:t xml:space="preserve">Кроме того, установлены нарушения </w:t>
      </w:r>
      <w:r w:rsidR="005C3566" w:rsidRPr="00BF1FAB">
        <w:rPr>
          <w:rFonts w:eastAsiaTheme="minorHAnsi"/>
          <w:lang w:eastAsia="en-US"/>
        </w:rPr>
        <w:t>положений Инструкции №33н в части оформления  2 форм, а также представления в составе бюджетной отчетности 12 форм, не имеющих числовых значений показателей</w:t>
      </w:r>
      <w:r w:rsidR="00B06123" w:rsidRPr="00BF1FAB">
        <w:rPr>
          <w:rFonts w:eastAsiaTheme="minorHAnsi"/>
          <w:lang w:eastAsia="en-US"/>
        </w:rPr>
        <w:t xml:space="preserve">, и </w:t>
      </w:r>
      <w:proofErr w:type="spellStart"/>
      <w:r w:rsidR="00B06123" w:rsidRPr="00BF1FAB">
        <w:rPr>
          <w:rFonts w:eastAsiaTheme="minorHAnsi"/>
          <w:lang w:eastAsia="en-US"/>
        </w:rPr>
        <w:t>непредоставления</w:t>
      </w:r>
      <w:proofErr w:type="spellEnd"/>
      <w:r w:rsidR="00B06123" w:rsidRPr="00BF1FAB">
        <w:rPr>
          <w:rFonts w:eastAsiaTheme="minorHAnsi"/>
          <w:lang w:eastAsia="en-US"/>
        </w:rPr>
        <w:t xml:space="preserve"> 1 формы</w:t>
      </w:r>
      <w:r w:rsidR="005C3566" w:rsidRPr="00BF1FAB">
        <w:rPr>
          <w:rFonts w:eastAsiaTheme="minorHAnsi"/>
          <w:lang w:eastAsia="en-US"/>
        </w:rPr>
        <w:t xml:space="preserve">. </w:t>
      </w:r>
    </w:p>
    <w:p w:rsidR="00A231D4" w:rsidRPr="00BF1FAB" w:rsidRDefault="00A231D4" w:rsidP="00A231D4">
      <w:pPr>
        <w:autoSpaceDE w:val="0"/>
        <w:autoSpaceDN w:val="0"/>
        <w:adjustRightInd w:val="0"/>
        <w:ind w:firstLine="540"/>
        <w:jc w:val="both"/>
        <w:rPr>
          <w:bCs/>
        </w:rPr>
      </w:pPr>
      <w:r w:rsidRPr="00BF1FAB">
        <w:rPr>
          <w:rFonts w:eastAsiaTheme="minorHAnsi"/>
          <w:lang w:eastAsia="en-US"/>
        </w:rPr>
        <w:t xml:space="preserve">В ходе проверки нарушения устранены, </w:t>
      </w:r>
      <w:r w:rsidR="00B06123" w:rsidRPr="00BF1FAB">
        <w:rPr>
          <w:rFonts w:eastAsiaTheme="minorHAnsi"/>
          <w:lang w:eastAsia="en-US"/>
        </w:rPr>
        <w:t xml:space="preserve">4 </w:t>
      </w:r>
      <w:r w:rsidRPr="00BF1FAB">
        <w:rPr>
          <w:rFonts w:eastAsiaTheme="minorHAnsi"/>
          <w:lang w:eastAsia="en-US"/>
        </w:rPr>
        <w:t>формы</w:t>
      </w:r>
      <w:r w:rsidR="009A7A2A" w:rsidRPr="00BF1FAB">
        <w:rPr>
          <w:rFonts w:eastAsiaTheme="minorHAnsi"/>
          <w:lang w:eastAsia="en-US"/>
        </w:rPr>
        <w:t>,</w:t>
      </w:r>
      <w:r w:rsidRPr="00BF1FAB">
        <w:rPr>
          <w:rFonts w:eastAsiaTheme="minorHAnsi"/>
          <w:lang w:eastAsia="en-US"/>
        </w:rPr>
        <w:t xml:space="preserve"> содержащие уточненные (исправленные) показатели, представлены </w:t>
      </w:r>
      <w:r w:rsidRPr="00BF1FAB">
        <w:t>ГБУ ВО НПЦ</w:t>
      </w:r>
      <w:r w:rsidRPr="00BF1FAB">
        <w:rPr>
          <w:bCs/>
        </w:rPr>
        <w:t xml:space="preserve"> в Комитет, </w:t>
      </w:r>
      <w:r w:rsidR="00B06123" w:rsidRPr="00BF1FAB">
        <w:rPr>
          <w:bCs/>
        </w:rPr>
        <w:t xml:space="preserve">информация о непредставлении 12 форм отражена в Пояснительной записке, </w:t>
      </w:r>
      <w:r w:rsidRPr="00BF1FAB">
        <w:rPr>
          <w:bCs/>
        </w:rPr>
        <w:t>сводные формы Комитетом направлены в комитет финансов Волгоградской области</w:t>
      </w:r>
      <w:r w:rsidR="00BE3434" w:rsidRPr="00BF1FAB">
        <w:rPr>
          <w:bCs/>
        </w:rPr>
        <w:t xml:space="preserve"> (далее </w:t>
      </w:r>
      <w:proofErr w:type="spellStart"/>
      <w:r w:rsidR="00BE3434" w:rsidRPr="00BF1FAB">
        <w:rPr>
          <w:bCs/>
        </w:rPr>
        <w:t>Облфин</w:t>
      </w:r>
      <w:proofErr w:type="spellEnd"/>
      <w:r w:rsidR="00BE3434" w:rsidRPr="00BF1FAB">
        <w:rPr>
          <w:bCs/>
        </w:rPr>
        <w:t>)</w:t>
      </w:r>
      <w:r w:rsidRPr="00BF1FAB">
        <w:rPr>
          <w:bCs/>
        </w:rPr>
        <w:t>.</w:t>
      </w:r>
    </w:p>
    <w:p w:rsidR="00A376AB" w:rsidRPr="00BF1FAB" w:rsidRDefault="00A376AB" w:rsidP="00A376AB">
      <w:pPr>
        <w:autoSpaceDE w:val="0"/>
        <w:autoSpaceDN w:val="0"/>
        <w:adjustRightInd w:val="0"/>
        <w:spacing w:before="120" w:after="120"/>
        <w:ind w:firstLine="357"/>
        <w:jc w:val="center"/>
        <w:rPr>
          <w:b/>
          <w:bCs/>
        </w:rPr>
      </w:pPr>
      <w:r w:rsidRPr="00BF1FAB">
        <w:rPr>
          <w:b/>
        </w:rPr>
        <w:t>Исполнение плановых назначений по закрепленным доходам</w:t>
      </w:r>
    </w:p>
    <w:p w:rsidR="00EE7318" w:rsidRPr="00BF1FAB" w:rsidRDefault="00F614AD" w:rsidP="00EE7318">
      <w:pPr>
        <w:autoSpaceDE w:val="0"/>
        <w:autoSpaceDN w:val="0"/>
        <w:adjustRightInd w:val="0"/>
        <w:ind w:firstLine="680"/>
        <w:jc w:val="both"/>
        <w:outlineLvl w:val="0"/>
        <w:rPr>
          <w:color w:val="000099"/>
        </w:rPr>
      </w:pPr>
      <w:r w:rsidRPr="00BF1FAB">
        <w:t>Д</w:t>
      </w:r>
      <w:r w:rsidR="00EE7318" w:rsidRPr="00BF1FAB">
        <w:t>оход</w:t>
      </w:r>
      <w:r w:rsidRPr="00BF1FAB">
        <w:t>ы</w:t>
      </w:r>
      <w:r w:rsidR="00EE7318" w:rsidRPr="00BF1FAB">
        <w:t xml:space="preserve"> за 201</w:t>
      </w:r>
      <w:r w:rsidR="001E5214" w:rsidRPr="00BF1FAB">
        <w:t>9</w:t>
      </w:r>
      <w:r w:rsidR="00EE7318" w:rsidRPr="00BF1FAB">
        <w:t xml:space="preserve"> год исполнены в сумме </w:t>
      </w:r>
      <w:r w:rsidR="001E5214" w:rsidRPr="00BF1FAB">
        <w:t xml:space="preserve">5916,8 </w:t>
      </w:r>
      <w:r w:rsidR="00EE7318" w:rsidRPr="00BF1FAB">
        <w:rPr>
          <w:rFonts w:eastAsiaTheme="minorHAnsi"/>
          <w:lang w:eastAsia="en-US"/>
        </w:rPr>
        <w:t xml:space="preserve">тыс. руб., или </w:t>
      </w:r>
      <w:r w:rsidR="005C7DD4" w:rsidRPr="00BF1FAB">
        <w:rPr>
          <w:rFonts w:eastAsiaTheme="minorHAnsi"/>
          <w:lang w:eastAsia="en-US"/>
        </w:rPr>
        <w:t>в 5,9 раз</w:t>
      </w:r>
      <w:r w:rsidRPr="00BF1FAB">
        <w:rPr>
          <w:rFonts w:eastAsiaTheme="minorHAnsi"/>
          <w:lang w:eastAsia="en-US"/>
        </w:rPr>
        <w:t xml:space="preserve"> превысили плановые назначения</w:t>
      </w:r>
      <w:r w:rsidR="005F431F" w:rsidRPr="00BF1FAB">
        <w:rPr>
          <w:rFonts w:eastAsiaTheme="minorHAnsi"/>
          <w:lang w:eastAsia="en-US"/>
        </w:rPr>
        <w:t xml:space="preserve"> </w:t>
      </w:r>
      <w:r w:rsidR="005F431F" w:rsidRPr="00BF1FAB">
        <w:rPr>
          <w:rFonts w:eastAsiaTheme="minorHAnsi"/>
          <w:color w:val="000099"/>
          <w:lang w:eastAsia="en-US"/>
        </w:rPr>
        <w:t>(таблица №</w:t>
      </w:r>
      <w:r w:rsidR="00593221" w:rsidRPr="00BF1FAB">
        <w:rPr>
          <w:rFonts w:eastAsiaTheme="minorHAnsi"/>
          <w:color w:val="000099"/>
          <w:lang w:eastAsia="en-US"/>
        </w:rPr>
        <w:t>1</w:t>
      </w:r>
      <w:r w:rsidR="005F431F" w:rsidRPr="00BF1FAB">
        <w:rPr>
          <w:rFonts w:eastAsiaTheme="minorHAnsi"/>
          <w:color w:val="000099"/>
          <w:lang w:eastAsia="en-US"/>
        </w:rPr>
        <w:t>)</w:t>
      </w:r>
      <w:r w:rsidR="005C7DD4" w:rsidRPr="00BF1FAB">
        <w:rPr>
          <w:rFonts w:eastAsiaTheme="minorHAnsi"/>
          <w:color w:val="000099"/>
          <w:lang w:eastAsia="en-US"/>
        </w:rPr>
        <w:t>.</w:t>
      </w:r>
      <w:r w:rsidR="00EE7318" w:rsidRPr="00BF1FAB">
        <w:rPr>
          <w:color w:val="000099"/>
        </w:rPr>
        <w:t xml:space="preserve"> </w:t>
      </w:r>
    </w:p>
    <w:p w:rsidR="003147BD" w:rsidRPr="00BF1FAB" w:rsidRDefault="005F431F" w:rsidP="005F431F">
      <w:pPr>
        <w:ind w:left="7788"/>
        <w:rPr>
          <w:color w:val="000099"/>
          <w:sz w:val="22"/>
          <w:szCs w:val="22"/>
        </w:rPr>
      </w:pPr>
      <w:r w:rsidRPr="00BF1FAB">
        <w:rPr>
          <w:color w:val="000099"/>
          <w:sz w:val="22"/>
          <w:szCs w:val="22"/>
        </w:rPr>
        <w:t>Таблица №</w:t>
      </w:r>
      <w:r w:rsidR="00593221" w:rsidRPr="00BF1FAB">
        <w:rPr>
          <w:color w:val="000099"/>
          <w:sz w:val="22"/>
          <w:szCs w:val="22"/>
        </w:rPr>
        <w:t>1</w:t>
      </w:r>
      <w:r w:rsidRPr="00BF1FAB">
        <w:rPr>
          <w:color w:val="000099"/>
          <w:sz w:val="22"/>
          <w:szCs w:val="22"/>
        </w:rPr>
        <w:t xml:space="preserve">, </w:t>
      </w:r>
      <w:r w:rsidR="003147BD" w:rsidRPr="00BF1FAB">
        <w:rPr>
          <w:color w:val="000099"/>
          <w:sz w:val="22"/>
          <w:szCs w:val="22"/>
        </w:rPr>
        <w:t>тыс.руб.</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417"/>
        <w:gridCol w:w="1276"/>
        <w:gridCol w:w="1261"/>
        <w:gridCol w:w="1291"/>
      </w:tblGrid>
      <w:tr w:rsidR="00C644BA" w:rsidRPr="00BF1FAB" w:rsidTr="00CE4107">
        <w:trPr>
          <w:trHeight w:val="307"/>
        </w:trPr>
        <w:tc>
          <w:tcPr>
            <w:tcW w:w="4678" w:type="dxa"/>
            <w:shd w:val="clear" w:color="auto" w:fill="auto"/>
            <w:vAlign w:val="center"/>
            <w:hideMark/>
          </w:tcPr>
          <w:p w:rsidR="00C644BA" w:rsidRPr="00BF1FAB" w:rsidRDefault="00C644BA" w:rsidP="00A536E3">
            <w:pPr>
              <w:jc w:val="center"/>
              <w:rPr>
                <w:bCs/>
                <w:color w:val="000000"/>
                <w:sz w:val="20"/>
                <w:szCs w:val="20"/>
              </w:rPr>
            </w:pPr>
            <w:r w:rsidRPr="00BF1FAB">
              <w:rPr>
                <w:bCs/>
                <w:color w:val="000000"/>
                <w:sz w:val="20"/>
                <w:szCs w:val="20"/>
              </w:rPr>
              <w:t>Наименование доходов</w:t>
            </w:r>
          </w:p>
        </w:tc>
        <w:tc>
          <w:tcPr>
            <w:tcW w:w="1417" w:type="dxa"/>
            <w:shd w:val="clear" w:color="auto" w:fill="auto"/>
            <w:vAlign w:val="center"/>
            <w:hideMark/>
          </w:tcPr>
          <w:p w:rsidR="00C644BA" w:rsidRPr="00BF1FAB" w:rsidRDefault="00C644BA" w:rsidP="00A536E3">
            <w:pPr>
              <w:jc w:val="center"/>
              <w:rPr>
                <w:bCs/>
                <w:color w:val="000000"/>
                <w:sz w:val="20"/>
                <w:szCs w:val="20"/>
              </w:rPr>
            </w:pPr>
            <w:r w:rsidRPr="00BF1FAB">
              <w:rPr>
                <w:bCs/>
                <w:color w:val="000000"/>
                <w:sz w:val="20"/>
                <w:szCs w:val="20"/>
              </w:rPr>
              <w:t>Утверждено</w:t>
            </w:r>
          </w:p>
        </w:tc>
        <w:tc>
          <w:tcPr>
            <w:tcW w:w="1276" w:type="dxa"/>
            <w:shd w:val="clear" w:color="auto" w:fill="auto"/>
            <w:vAlign w:val="center"/>
            <w:hideMark/>
          </w:tcPr>
          <w:p w:rsidR="00C644BA" w:rsidRPr="00BF1FAB" w:rsidRDefault="00C644BA" w:rsidP="00A536E3">
            <w:pPr>
              <w:jc w:val="center"/>
              <w:rPr>
                <w:bCs/>
                <w:color w:val="000000"/>
                <w:sz w:val="20"/>
                <w:szCs w:val="20"/>
              </w:rPr>
            </w:pPr>
            <w:r w:rsidRPr="00BF1FAB">
              <w:rPr>
                <w:bCs/>
                <w:color w:val="000000"/>
                <w:sz w:val="20"/>
                <w:szCs w:val="20"/>
              </w:rPr>
              <w:t>Исполнено</w:t>
            </w:r>
          </w:p>
        </w:tc>
        <w:tc>
          <w:tcPr>
            <w:tcW w:w="1261" w:type="dxa"/>
            <w:shd w:val="clear" w:color="auto" w:fill="auto"/>
            <w:vAlign w:val="center"/>
            <w:hideMark/>
          </w:tcPr>
          <w:p w:rsidR="00C644BA" w:rsidRPr="00BF1FAB" w:rsidRDefault="00C644BA" w:rsidP="005C7DD4">
            <w:pPr>
              <w:jc w:val="center"/>
              <w:rPr>
                <w:bCs/>
                <w:color w:val="000000"/>
                <w:sz w:val="20"/>
                <w:szCs w:val="20"/>
              </w:rPr>
            </w:pPr>
            <w:r w:rsidRPr="00BF1FAB">
              <w:rPr>
                <w:color w:val="000000"/>
                <w:sz w:val="20"/>
                <w:szCs w:val="20"/>
              </w:rPr>
              <w:t>Отклонение</w:t>
            </w:r>
            <w:r w:rsidR="001E5214" w:rsidRPr="00BF1FAB">
              <w:rPr>
                <w:color w:val="000000"/>
                <w:sz w:val="20"/>
                <w:szCs w:val="20"/>
              </w:rPr>
              <w:t xml:space="preserve"> </w:t>
            </w:r>
          </w:p>
        </w:tc>
        <w:tc>
          <w:tcPr>
            <w:tcW w:w="1291" w:type="dxa"/>
            <w:shd w:val="clear" w:color="auto" w:fill="auto"/>
            <w:vAlign w:val="center"/>
          </w:tcPr>
          <w:p w:rsidR="00C644BA" w:rsidRPr="00BF1FAB" w:rsidRDefault="005C7DD4" w:rsidP="005C7DD4">
            <w:pPr>
              <w:ind w:left="-104" w:right="-108"/>
              <w:jc w:val="center"/>
              <w:rPr>
                <w:bCs/>
                <w:color w:val="000000"/>
                <w:sz w:val="20"/>
                <w:szCs w:val="20"/>
              </w:rPr>
            </w:pPr>
            <w:r w:rsidRPr="00BF1FAB">
              <w:rPr>
                <w:color w:val="000000"/>
                <w:sz w:val="20"/>
                <w:szCs w:val="20"/>
              </w:rPr>
              <w:t>И</w:t>
            </w:r>
            <w:r w:rsidR="00C644BA" w:rsidRPr="00BF1FAB">
              <w:rPr>
                <w:color w:val="000000"/>
                <w:sz w:val="20"/>
                <w:szCs w:val="20"/>
              </w:rPr>
              <w:t>сп</w:t>
            </w:r>
            <w:r w:rsidR="001E5214" w:rsidRPr="00BF1FAB">
              <w:rPr>
                <w:color w:val="000000"/>
                <w:sz w:val="20"/>
                <w:szCs w:val="20"/>
              </w:rPr>
              <w:t>олнени</w:t>
            </w:r>
            <w:r w:rsidRPr="00BF1FAB">
              <w:rPr>
                <w:color w:val="000000"/>
                <w:sz w:val="20"/>
                <w:szCs w:val="20"/>
              </w:rPr>
              <w:t xml:space="preserve">е </w:t>
            </w:r>
          </w:p>
        </w:tc>
      </w:tr>
      <w:tr w:rsidR="005C7DD4" w:rsidRPr="00BF1FAB" w:rsidTr="00F47F2A">
        <w:trPr>
          <w:trHeight w:val="20"/>
        </w:trPr>
        <w:tc>
          <w:tcPr>
            <w:tcW w:w="4678" w:type="dxa"/>
            <w:shd w:val="clear" w:color="auto" w:fill="auto"/>
            <w:vAlign w:val="center"/>
            <w:hideMark/>
          </w:tcPr>
          <w:p w:rsidR="005C7DD4" w:rsidRPr="00BF1FAB" w:rsidRDefault="005C7DD4" w:rsidP="00A536E3">
            <w:pPr>
              <w:rPr>
                <w:b/>
                <w:sz w:val="20"/>
                <w:szCs w:val="20"/>
              </w:rPr>
            </w:pPr>
            <w:r w:rsidRPr="00BF1FAB">
              <w:rPr>
                <w:b/>
                <w:sz w:val="20"/>
                <w:szCs w:val="20"/>
              </w:rPr>
              <w:t>Всего по Комитету</w:t>
            </w:r>
          </w:p>
        </w:tc>
        <w:tc>
          <w:tcPr>
            <w:tcW w:w="1417" w:type="dxa"/>
            <w:shd w:val="clear" w:color="auto" w:fill="auto"/>
            <w:noWrap/>
            <w:vAlign w:val="bottom"/>
            <w:hideMark/>
          </w:tcPr>
          <w:p w:rsidR="005C7DD4" w:rsidRPr="00BF1FAB" w:rsidRDefault="005C7DD4" w:rsidP="00A376AB">
            <w:pPr>
              <w:jc w:val="center"/>
              <w:rPr>
                <w:b/>
                <w:color w:val="000000"/>
                <w:sz w:val="20"/>
                <w:szCs w:val="20"/>
              </w:rPr>
            </w:pPr>
            <w:r w:rsidRPr="00BF1FAB">
              <w:rPr>
                <w:b/>
                <w:color w:val="000000"/>
                <w:sz w:val="20"/>
                <w:szCs w:val="20"/>
              </w:rPr>
              <w:t>1005,5</w:t>
            </w:r>
          </w:p>
        </w:tc>
        <w:tc>
          <w:tcPr>
            <w:tcW w:w="1276" w:type="dxa"/>
            <w:shd w:val="clear" w:color="auto" w:fill="auto"/>
            <w:noWrap/>
            <w:vAlign w:val="bottom"/>
            <w:hideMark/>
          </w:tcPr>
          <w:p w:rsidR="005C7DD4" w:rsidRPr="00BF1FAB" w:rsidRDefault="005C7DD4" w:rsidP="00A376AB">
            <w:pPr>
              <w:jc w:val="center"/>
              <w:rPr>
                <w:b/>
                <w:color w:val="000000"/>
                <w:sz w:val="20"/>
                <w:szCs w:val="20"/>
              </w:rPr>
            </w:pPr>
            <w:r w:rsidRPr="00BF1FAB">
              <w:rPr>
                <w:b/>
                <w:color w:val="000000"/>
                <w:sz w:val="20"/>
                <w:szCs w:val="20"/>
              </w:rPr>
              <w:t>5916,8</w:t>
            </w:r>
          </w:p>
        </w:tc>
        <w:tc>
          <w:tcPr>
            <w:tcW w:w="1261" w:type="dxa"/>
            <w:shd w:val="clear" w:color="auto" w:fill="auto"/>
            <w:noWrap/>
            <w:vAlign w:val="bottom"/>
            <w:hideMark/>
          </w:tcPr>
          <w:p w:rsidR="005C7DD4" w:rsidRPr="00BF1FAB" w:rsidRDefault="005C7DD4" w:rsidP="00A376AB">
            <w:pPr>
              <w:jc w:val="center"/>
              <w:rPr>
                <w:b/>
                <w:color w:val="000000"/>
                <w:sz w:val="20"/>
                <w:szCs w:val="20"/>
              </w:rPr>
            </w:pPr>
            <w:r w:rsidRPr="00BF1FAB">
              <w:rPr>
                <w:b/>
                <w:color w:val="000000"/>
                <w:sz w:val="20"/>
                <w:szCs w:val="20"/>
              </w:rPr>
              <w:t>4911,3</w:t>
            </w:r>
          </w:p>
        </w:tc>
        <w:tc>
          <w:tcPr>
            <w:tcW w:w="1291" w:type="dxa"/>
            <w:shd w:val="clear" w:color="auto" w:fill="auto"/>
            <w:noWrap/>
            <w:vAlign w:val="bottom"/>
            <w:hideMark/>
          </w:tcPr>
          <w:p w:rsidR="005C7DD4" w:rsidRPr="00BF1FAB" w:rsidRDefault="005C7DD4" w:rsidP="00A376AB">
            <w:pPr>
              <w:jc w:val="center"/>
              <w:rPr>
                <w:b/>
                <w:color w:val="000000"/>
                <w:sz w:val="20"/>
                <w:szCs w:val="20"/>
              </w:rPr>
            </w:pPr>
            <w:r w:rsidRPr="00BF1FAB">
              <w:rPr>
                <w:b/>
                <w:color w:val="000000"/>
                <w:sz w:val="20"/>
                <w:szCs w:val="20"/>
              </w:rPr>
              <w:t>5,9 раз</w:t>
            </w:r>
          </w:p>
        </w:tc>
      </w:tr>
      <w:tr w:rsidR="005C7DD4" w:rsidRPr="00BF1FAB" w:rsidTr="00F47F2A">
        <w:trPr>
          <w:trHeight w:val="20"/>
        </w:trPr>
        <w:tc>
          <w:tcPr>
            <w:tcW w:w="4678" w:type="dxa"/>
            <w:shd w:val="clear" w:color="auto" w:fill="auto"/>
            <w:vAlign w:val="center"/>
          </w:tcPr>
          <w:p w:rsidR="005C7DD4" w:rsidRPr="00BF1FAB" w:rsidRDefault="005C7DD4" w:rsidP="00007B5D">
            <w:pPr>
              <w:rPr>
                <w:b/>
                <w:sz w:val="20"/>
                <w:szCs w:val="20"/>
              </w:rPr>
            </w:pPr>
            <w:r w:rsidRPr="00BF1FAB">
              <w:rPr>
                <w:rFonts w:eastAsiaTheme="minorHAnsi"/>
                <w:b/>
                <w:sz w:val="20"/>
                <w:szCs w:val="20"/>
                <w:lang w:eastAsia="en-US"/>
              </w:rPr>
              <w:t>Налоговые и неналоговые доходы</w:t>
            </w:r>
          </w:p>
        </w:tc>
        <w:tc>
          <w:tcPr>
            <w:tcW w:w="1417" w:type="dxa"/>
            <w:shd w:val="clear" w:color="auto" w:fill="auto"/>
            <w:noWrap/>
            <w:vAlign w:val="bottom"/>
          </w:tcPr>
          <w:p w:rsidR="005C7DD4" w:rsidRPr="00BF1FAB" w:rsidRDefault="005C7DD4" w:rsidP="00A376AB">
            <w:pPr>
              <w:jc w:val="center"/>
              <w:rPr>
                <w:b/>
                <w:color w:val="000000"/>
                <w:sz w:val="20"/>
                <w:szCs w:val="20"/>
              </w:rPr>
            </w:pPr>
            <w:r w:rsidRPr="00BF1FAB">
              <w:rPr>
                <w:b/>
                <w:color w:val="000000"/>
                <w:sz w:val="20"/>
                <w:szCs w:val="20"/>
              </w:rPr>
              <w:t>1005,5</w:t>
            </w:r>
          </w:p>
        </w:tc>
        <w:tc>
          <w:tcPr>
            <w:tcW w:w="1276" w:type="dxa"/>
            <w:shd w:val="clear" w:color="auto" w:fill="auto"/>
            <w:noWrap/>
            <w:vAlign w:val="bottom"/>
          </w:tcPr>
          <w:p w:rsidR="005C7DD4" w:rsidRPr="00BF1FAB" w:rsidRDefault="005C7DD4" w:rsidP="00A376AB">
            <w:pPr>
              <w:jc w:val="center"/>
              <w:rPr>
                <w:b/>
                <w:color w:val="000000"/>
                <w:sz w:val="20"/>
                <w:szCs w:val="20"/>
              </w:rPr>
            </w:pPr>
            <w:r w:rsidRPr="00BF1FAB">
              <w:rPr>
                <w:b/>
                <w:color w:val="000000"/>
                <w:sz w:val="20"/>
                <w:szCs w:val="20"/>
              </w:rPr>
              <w:t>1246,8</w:t>
            </w:r>
          </w:p>
        </w:tc>
        <w:tc>
          <w:tcPr>
            <w:tcW w:w="1261" w:type="dxa"/>
            <w:shd w:val="clear" w:color="auto" w:fill="auto"/>
            <w:noWrap/>
            <w:vAlign w:val="bottom"/>
          </w:tcPr>
          <w:p w:rsidR="005C7DD4" w:rsidRPr="00BF1FAB" w:rsidRDefault="005C7DD4" w:rsidP="00A376AB">
            <w:pPr>
              <w:jc w:val="center"/>
              <w:rPr>
                <w:b/>
                <w:color w:val="000000"/>
                <w:sz w:val="20"/>
                <w:szCs w:val="20"/>
              </w:rPr>
            </w:pPr>
            <w:r w:rsidRPr="00BF1FAB">
              <w:rPr>
                <w:b/>
                <w:color w:val="000000"/>
                <w:sz w:val="20"/>
                <w:szCs w:val="20"/>
              </w:rPr>
              <w:t>241,3</w:t>
            </w:r>
          </w:p>
        </w:tc>
        <w:tc>
          <w:tcPr>
            <w:tcW w:w="1291" w:type="dxa"/>
            <w:shd w:val="clear" w:color="auto" w:fill="auto"/>
            <w:noWrap/>
            <w:vAlign w:val="bottom"/>
          </w:tcPr>
          <w:p w:rsidR="005C7DD4" w:rsidRPr="00BF1FAB" w:rsidRDefault="005C7DD4" w:rsidP="00A376AB">
            <w:pPr>
              <w:jc w:val="center"/>
              <w:rPr>
                <w:b/>
                <w:color w:val="000000"/>
                <w:sz w:val="20"/>
                <w:szCs w:val="20"/>
              </w:rPr>
            </w:pPr>
            <w:r w:rsidRPr="00BF1FAB">
              <w:rPr>
                <w:b/>
                <w:color w:val="000000"/>
                <w:sz w:val="20"/>
                <w:szCs w:val="20"/>
              </w:rPr>
              <w:t>124 %</w:t>
            </w:r>
          </w:p>
        </w:tc>
      </w:tr>
      <w:tr w:rsidR="005C7DD4" w:rsidRPr="00BF1FAB" w:rsidTr="00F47F2A">
        <w:trPr>
          <w:trHeight w:val="20"/>
        </w:trPr>
        <w:tc>
          <w:tcPr>
            <w:tcW w:w="4678" w:type="dxa"/>
            <w:shd w:val="clear" w:color="auto" w:fill="auto"/>
            <w:vAlign w:val="center"/>
            <w:hideMark/>
          </w:tcPr>
          <w:p w:rsidR="005C7DD4" w:rsidRPr="00BF1FAB" w:rsidRDefault="005C7DD4" w:rsidP="00007B5D">
            <w:pPr>
              <w:jc w:val="both"/>
              <w:rPr>
                <w:color w:val="000000"/>
                <w:sz w:val="20"/>
                <w:szCs w:val="20"/>
              </w:rPr>
            </w:pPr>
            <w:r w:rsidRPr="00BF1FAB">
              <w:rPr>
                <w:color w:val="000000"/>
                <w:sz w:val="20"/>
                <w:szCs w:val="20"/>
              </w:rPr>
              <w:t>Доходы от оказания платных услуг и компенсации затрат…</w:t>
            </w:r>
          </w:p>
        </w:tc>
        <w:tc>
          <w:tcPr>
            <w:tcW w:w="1417" w:type="dxa"/>
            <w:shd w:val="clear" w:color="auto" w:fill="auto"/>
            <w:noWrap/>
            <w:vAlign w:val="bottom"/>
            <w:hideMark/>
          </w:tcPr>
          <w:p w:rsidR="005C7DD4" w:rsidRPr="00BF1FAB" w:rsidRDefault="005C7DD4" w:rsidP="00A376AB">
            <w:pPr>
              <w:jc w:val="center"/>
              <w:rPr>
                <w:color w:val="000000"/>
                <w:sz w:val="20"/>
                <w:szCs w:val="20"/>
              </w:rPr>
            </w:pPr>
            <w:r w:rsidRPr="00BF1FAB">
              <w:rPr>
                <w:color w:val="000000"/>
                <w:sz w:val="20"/>
                <w:szCs w:val="20"/>
              </w:rPr>
              <w:t>0</w:t>
            </w:r>
          </w:p>
        </w:tc>
        <w:tc>
          <w:tcPr>
            <w:tcW w:w="1276" w:type="dxa"/>
            <w:shd w:val="clear" w:color="auto" w:fill="auto"/>
            <w:noWrap/>
            <w:vAlign w:val="bottom"/>
            <w:hideMark/>
          </w:tcPr>
          <w:p w:rsidR="005C7DD4" w:rsidRPr="00BF1FAB" w:rsidRDefault="005C7DD4" w:rsidP="00A376AB">
            <w:pPr>
              <w:jc w:val="center"/>
              <w:rPr>
                <w:color w:val="000000"/>
                <w:sz w:val="20"/>
                <w:szCs w:val="20"/>
              </w:rPr>
            </w:pPr>
            <w:r w:rsidRPr="00BF1FAB">
              <w:rPr>
                <w:color w:val="000000"/>
                <w:sz w:val="20"/>
                <w:szCs w:val="20"/>
              </w:rPr>
              <w:t>32,8</w:t>
            </w:r>
          </w:p>
        </w:tc>
        <w:tc>
          <w:tcPr>
            <w:tcW w:w="1261" w:type="dxa"/>
            <w:shd w:val="clear" w:color="auto" w:fill="auto"/>
            <w:noWrap/>
            <w:vAlign w:val="bottom"/>
            <w:hideMark/>
          </w:tcPr>
          <w:p w:rsidR="005C7DD4" w:rsidRPr="00BF1FAB" w:rsidRDefault="005C7DD4" w:rsidP="00A376AB">
            <w:pPr>
              <w:jc w:val="center"/>
              <w:rPr>
                <w:color w:val="000000"/>
                <w:sz w:val="20"/>
                <w:szCs w:val="20"/>
              </w:rPr>
            </w:pPr>
            <w:r w:rsidRPr="00BF1FAB">
              <w:rPr>
                <w:color w:val="000000"/>
                <w:sz w:val="20"/>
                <w:szCs w:val="20"/>
              </w:rPr>
              <w:t>32,8</w:t>
            </w:r>
          </w:p>
        </w:tc>
        <w:tc>
          <w:tcPr>
            <w:tcW w:w="1291" w:type="dxa"/>
            <w:shd w:val="clear" w:color="auto" w:fill="auto"/>
            <w:noWrap/>
            <w:vAlign w:val="bottom"/>
            <w:hideMark/>
          </w:tcPr>
          <w:p w:rsidR="005C7DD4" w:rsidRPr="00BF1FAB" w:rsidRDefault="00F614AD" w:rsidP="00A376AB">
            <w:pPr>
              <w:jc w:val="center"/>
              <w:rPr>
                <w:color w:val="000000"/>
                <w:sz w:val="20"/>
                <w:szCs w:val="20"/>
              </w:rPr>
            </w:pPr>
            <w:r w:rsidRPr="00BF1FAB">
              <w:rPr>
                <w:color w:val="000000"/>
                <w:sz w:val="20"/>
                <w:szCs w:val="20"/>
              </w:rPr>
              <w:t>Х</w:t>
            </w:r>
          </w:p>
        </w:tc>
      </w:tr>
      <w:tr w:rsidR="005C7DD4" w:rsidRPr="00BF1FAB" w:rsidTr="00F47F2A">
        <w:trPr>
          <w:trHeight w:val="20"/>
        </w:trPr>
        <w:tc>
          <w:tcPr>
            <w:tcW w:w="4678" w:type="dxa"/>
            <w:shd w:val="clear" w:color="auto" w:fill="auto"/>
            <w:vAlign w:val="center"/>
            <w:hideMark/>
          </w:tcPr>
          <w:p w:rsidR="005C7DD4" w:rsidRPr="00BF1FAB" w:rsidRDefault="005C7DD4" w:rsidP="00007B5D">
            <w:pPr>
              <w:jc w:val="both"/>
              <w:rPr>
                <w:sz w:val="20"/>
                <w:szCs w:val="20"/>
              </w:rPr>
            </w:pPr>
            <w:r w:rsidRPr="00BF1FAB">
              <w:rPr>
                <w:sz w:val="20"/>
                <w:szCs w:val="20"/>
              </w:rPr>
              <w:t>Штрафы, санкции, возмещение ущерба</w:t>
            </w:r>
          </w:p>
        </w:tc>
        <w:tc>
          <w:tcPr>
            <w:tcW w:w="1417" w:type="dxa"/>
            <w:shd w:val="clear" w:color="auto" w:fill="auto"/>
            <w:noWrap/>
            <w:vAlign w:val="bottom"/>
            <w:hideMark/>
          </w:tcPr>
          <w:p w:rsidR="005C7DD4" w:rsidRPr="00BF1FAB" w:rsidRDefault="005C7DD4" w:rsidP="00A376AB">
            <w:pPr>
              <w:jc w:val="center"/>
              <w:rPr>
                <w:color w:val="000000"/>
                <w:sz w:val="20"/>
                <w:szCs w:val="20"/>
              </w:rPr>
            </w:pPr>
            <w:r w:rsidRPr="00BF1FAB">
              <w:rPr>
                <w:color w:val="000000"/>
                <w:sz w:val="20"/>
                <w:szCs w:val="20"/>
              </w:rPr>
              <w:t>1005,5</w:t>
            </w:r>
          </w:p>
        </w:tc>
        <w:tc>
          <w:tcPr>
            <w:tcW w:w="1276" w:type="dxa"/>
            <w:shd w:val="clear" w:color="auto" w:fill="auto"/>
            <w:noWrap/>
            <w:vAlign w:val="bottom"/>
            <w:hideMark/>
          </w:tcPr>
          <w:p w:rsidR="005C7DD4" w:rsidRPr="00BF1FAB" w:rsidRDefault="005C7DD4" w:rsidP="00A376AB">
            <w:pPr>
              <w:jc w:val="center"/>
              <w:rPr>
                <w:color w:val="000000"/>
                <w:sz w:val="20"/>
                <w:szCs w:val="20"/>
              </w:rPr>
            </w:pPr>
            <w:r w:rsidRPr="00BF1FAB">
              <w:rPr>
                <w:color w:val="000000"/>
                <w:sz w:val="20"/>
                <w:szCs w:val="20"/>
              </w:rPr>
              <w:t>1214,0</w:t>
            </w:r>
          </w:p>
        </w:tc>
        <w:tc>
          <w:tcPr>
            <w:tcW w:w="1261" w:type="dxa"/>
            <w:shd w:val="clear" w:color="auto" w:fill="auto"/>
            <w:noWrap/>
            <w:vAlign w:val="bottom"/>
            <w:hideMark/>
          </w:tcPr>
          <w:p w:rsidR="005C7DD4" w:rsidRPr="00BF1FAB" w:rsidRDefault="005C7DD4" w:rsidP="00A376AB">
            <w:pPr>
              <w:jc w:val="center"/>
              <w:rPr>
                <w:color w:val="000000"/>
                <w:sz w:val="20"/>
                <w:szCs w:val="20"/>
              </w:rPr>
            </w:pPr>
            <w:r w:rsidRPr="00BF1FAB">
              <w:rPr>
                <w:color w:val="000000"/>
                <w:sz w:val="20"/>
                <w:szCs w:val="20"/>
              </w:rPr>
              <w:t>208,5</w:t>
            </w:r>
          </w:p>
        </w:tc>
        <w:tc>
          <w:tcPr>
            <w:tcW w:w="1291" w:type="dxa"/>
            <w:shd w:val="clear" w:color="auto" w:fill="auto"/>
            <w:noWrap/>
            <w:vAlign w:val="bottom"/>
            <w:hideMark/>
          </w:tcPr>
          <w:p w:rsidR="005C7DD4" w:rsidRPr="00BF1FAB" w:rsidRDefault="005C7DD4" w:rsidP="00A376AB">
            <w:pPr>
              <w:jc w:val="center"/>
              <w:rPr>
                <w:color w:val="000000"/>
                <w:sz w:val="20"/>
                <w:szCs w:val="20"/>
              </w:rPr>
            </w:pPr>
            <w:r w:rsidRPr="00BF1FAB">
              <w:rPr>
                <w:color w:val="000000"/>
                <w:sz w:val="20"/>
                <w:szCs w:val="20"/>
              </w:rPr>
              <w:t>120,7 %</w:t>
            </w:r>
          </w:p>
        </w:tc>
      </w:tr>
      <w:tr w:rsidR="005C7DD4" w:rsidRPr="00BF1FAB" w:rsidTr="00F47F2A">
        <w:trPr>
          <w:trHeight w:val="20"/>
        </w:trPr>
        <w:tc>
          <w:tcPr>
            <w:tcW w:w="4678" w:type="dxa"/>
            <w:shd w:val="clear" w:color="auto" w:fill="auto"/>
            <w:vAlign w:val="center"/>
            <w:hideMark/>
          </w:tcPr>
          <w:p w:rsidR="005C7DD4" w:rsidRPr="00BF1FAB" w:rsidRDefault="005C7DD4" w:rsidP="00B9556F">
            <w:pPr>
              <w:jc w:val="both"/>
              <w:rPr>
                <w:b/>
                <w:color w:val="000000"/>
                <w:sz w:val="20"/>
                <w:szCs w:val="20"/>
              </w:rPr>
            </w:pPr>
            <w:r w:rsidRPr="00BF1FAB">
              <w:rPr>
                <w:b/>
                <w:color w:val="000000"/>
                <w:sz w:val="20"/>
                <w:szCs w:val="20"/>
              </w:rPr>
              <w:t>Безвозмездные поступления</w:t>
            </w:r>
          </w:p>
        </w:tc>
        <w:tc>
          <w:tcPr>
            <w:tcW w:w="1417" w:type="dxa"/>
            <w:shd w:val="clear" w:color="auto" w:fill="auto"/>
            <w:noWrap/>
            <w:vAlign w:val="bottom"/>
            <w:hideMark/>
          </w:tcPr>
          <w:p w:rsidR="005C7DD4" w:rsidRPr="00BF1FAB" w:rsidRDefault="005C7DD4" w:rsidP="00A376AB">
            <w:pPr>
              <w:jc w:val="center"/>
              <w:rPr>
                <w:b/>
                <w:color w:val="000000"/>
                <w:sz w:val="20"/>
                <w:szCs w:val="20"/>
              </w:rPr>
            </w:pPr>
            <w:r w:rsidRPr="00BF1FAB">
              <w:rPr>
                <w:b/>
                <w:color w:val="000000"/>
                <w:sz w:val="20"/>
                <w:szCs w:val="20"/>
              </w:rPr>
              <w:t>0</w:t>
            </w:r>
          </w:p>
        </w:tc>
        <w:tc>
          <w:tcPr>
            <w:tcW w:w="1276" w:type="dxa"/>
            <w:shd w:val="clear" w:color="auto" w:fill="auto"/>
            <w:noWrap/>
            <w:vAlign w:val="bottom"/>
            <w:hideMark/>
          </w:tcPr>
          <w:p w:rsidR="005C7DD4" w:rsidRPr="00BF1FAB" w:rsidRDefault="005C7DD4" w:rsidP="00A376AB">
            <w:pPr>
              <w:jc w:val="center"/>
              <w:rPr>
                <w:b/>
                <w:color w:val="000000"/>
                <w:sz w:val="20"/>
                <w:szCs w:val="20"/>
              </w:rPr>
            </w:pPr>
            <w:r w:rsidRPr="00BF1FAB">
              <w:rPr>
                <w:b/>
                <w:color w:val="000000"/>
                <w:sz w:val="20"/>
                <w:szCs w:val="20"/>
              </w:rPr>
              <w:t>4670,0</w:t>
            </w:r>
          </w:p>
        </w:tc>
        <w:tc>
          <w:tcPr>
            <w:tcW w:w="1261" w:type="dxa"/>
            <w:shd w:val="clear" w:color="auto" w:fill="auto"/>
            <w:noWrap/>
            <w:vAlign w:val="bottom"/>
            <w:hideMark/>
          </w:tcPr>
          <w:p w:rsidR="005C7DD4" w:rsidRPr="00BF1FAB" w:rsidRDefault="005C7DD4" w:rsidP="00A376AB">
            <w:pPr>
              <w:jc w:val="center"/>
              <w:rPr>
                <w:b/>
                <w:color w:val="000000"/>
                <w:sz w:val="20"/>
                <w:szCs w:val="20"/>
              </w:rPr>
            </w:pPr>
            <w:r w:rsidRPr="00BF1FAB">
              <w:rPr>
                <w:b/>
                <w:color w:val="000000"/>
                <w:sz w:val="20"/>
                <w:szCs w:val="20"/>
              </w:rPr>
              <w:t>4670,0</w:t>
            </w:r>
          </w:p>
        </w:tc>
        <w:tc>
          <w:tcPr>
            <w:tcW w:w="1291" w:type="dxa"/>
            <w:shd w:val="clear" w:color="auto" w:fill="auto"/>
            <w:noWrap/>
            <w:vAlign w:val="bottom"/>
            <w:hideMark/>
          </w:tcPr>
          <w:p w:rsidR="005C7DD4" w:rsidRPr="00BF1FAB" w:rsidRDefault="00F614AD" w:rsidP="00A376AB">
            <w:pPr>
              <w:jc w:val="center"/>
              <w:rPr>
                <w:b/>
                <w:color w:val="000000"/>
                <w:sz w:val="20"/>
                <w:szCs w:val="20"/>
              </w:rPr>
            </w:pPr>
            <w:r w:rsidRPr="00BF1FAB">
              <w:rPr>
                <w:b/>
                <w:color w:val="000000"/>
                <w:sz w:val="20"/>
                <w:szCs w:val="20"/>
              </w:rPr>
              <w:t>Х</w:t>
            </w:r>
          </w:p>
        </w:tc>
      </w:tr>
      <w:tr w:rsidR="005C7DD4" w:rsidRPr="00BF1FAB" w:rsidTr="00F47F2A">
        <w:trPr>
          <w:trHeight w:val="20"/>
        </w:trPr>
        <w:tc>
          <w:tcPr>
            <w:tcW w:w="4678" w:type="dxa"/>
            <w:shd w:val="clear" w:color="auto" w:fill="auto"/>
            <w:vAlign w:val="center"/>
            <w:hideMark/>
          </w:tcPr>
          <w:p w:rsidR="005C7DD4" w:rsidRPr="00BF1FAB" w:rsidRDefault="005C7DD4" w:rsidP="001E5214">
            <w:pPr>
              <w:jc w:val="both"/>
              <w:rPr>
                <w:iCs/>
                <w:color w:val="000000"/>
                <w:sz w:val="20"/>
                <w:szCs w:val="20"/>
              </w:rPr>
            </w:pPr>
            <w:r w:rsidRPr="00BF1FAB">
              <w:rPr>
                <w:iCs/>
                <w:color w:val="000000"/>
                <w:sz w:val="20"/>
                <w:szCs w:val="20"/>
              </w:rPr>
              <w:t xml:space="preserve">Субсидии бюджетам субъектов РФ </w:t>
            </w:r>
            <w:r w:rsidRPr="00BF1FAB">
              <w:rPr>
                <w:sz w:val="20"/>
                <w:szCs w:val="20"/>
              </w:rPr>
              <w:t xml:space="preserve">на </w:t>
            </w:r>
            <w:proofErr w:type="spellStart"/>
            <w:r w:rsidRPr="00BF1FAB">
              <w:rPr>
                <w:sz w:val="20"/>
                <w:szCs w:val="20"/>
              </w:rPr>
              <w:t>софинансирование</w:t>
            </w:r>
            <w:proofErr w:type="spellEnd"/>
            <w:r w:rsidRPr="00BF1FAB">
              <w:rPr>
                <w:sz w:val="20"/>
                <w:szCs w:val="20"/>
              </w:rPr>
              <w:t xml:space="preserve"> расходных обязательств субъектов РФ, связанных с реализацией федеральной целевой программы "Увековечение памяти погибших при защите Отечества на 2019 - 2024 годы</w:t>
            </w:r>
          </w:p>
        </w:tc>
        <w:tc>
          <w:tcPr>
            <w:tcW w:w="1417" w:type="dxa"/>
            <w:shd w:val="clear" w:color="auto" w:fill="auto"/>
            <w:noWrap/>
            <w:vAlign w:val="bottom"/>
            <w:hideMark/>
          </w:tcPr>
          <w:p w:rsidR="005C7DD4" w:rsidRPr="00BF1FAB" w:rsidRDefault="005C7DD4" w:rsidP="00A376AB">
            <w:pPr>
              <w:jc w:val="center"/>
              <w:rPr>
                <w:color w:val="000000"/>
                <w:sz w:val="20"/>
                <w:szCs w:val="20"/>
              </w:rPr>
            </w:pPr>
            <w:r w:rsidRPr="00BF1FAB">
              <w:rPr>
                <w:color w:val="000000"/>
                <w:sz w:val="20"/>
                <w:szCs w:val="20"/>
              </w:rPr>
              <w:t>0</w:t>
            </w:r>
          </w:p>
        </w:tc>
        <w:tc>
          <w:tcPr>
            <w:tcW w:w="1276" w:type="dxa"/>
            <w:shd w:val="clear" w:color="auto" w:fill="auto"/>
            <w:noWrap/>
            <w:vAlign w:val="bottom"/>
            <w:hideMark/>
          </w:tcPr>
          <w:p w:rsidR="005C7DD4" w:rsidRPr="00BF1FAB" w:rsidRDefault="005C7DD4" w:rsidP="00A376AB">
            <w:pPr>
              <w:jc w:val="center"/>
              <w:rPr>
                <w:color w:val="000000"/>
                <w:sz w:val="20"/>
                <w:szCs w:val="20"/>
              </w:rPr>
            </w:pPr>
            <w:r w:rsidRPr="00BF1FAB">
              <w:rPr>
                <w:color w:val="000000"/>
                <w:sz w:val="20"/>
                <w:szCs w:val="20"/>
              </w:rPr>
              <w:t>4670,0</w:t>
            </w:r>
          </w:p>
        </w:tc>
        <w:tc>
          <w:tcPr>
            <w:tcW w:w="1261" w:type="dxa"/>
            <w:shd w:val="clear" w:color="auto" w:fill="auto"/>
            <w:noWrap/>
            <w:vAlign w:val="bottom"/>
            <w:hideMark/>
          </w:tcPr>
          <w:p w:rsidR="005C7DD4" w:rsidRPr="00BF1FAB" w:rsidRDefault="005C7DD4" w:rsidP="00A376AB">
            <w:pPr>
              <w:jc w:val="center"/>
              <w:rPr>
                <w:color w:val="000000"/>
                <w:sz w:val="20"/>
                <w:szCs w:val="20"/>
              </w:rPr>
            </w:pPr>
            <w:r w:rsidRPr="00BF1FAB">
              <w:rPr>
                <w:color w:val="000000"/>
                <w:sz w:val="20"/>
                <w:szCs w:val="20"/>
              </w:rPr>
              <w:t>4670,0</w:t>
            </w:r>
          </w:p>
        </w:tc>
        <w:tc>
          <w:tcPr>
            <w:tcW w:w="1291" w:type="dxa"/>
            <w:shd w:val="clear" w:color="auto" w:fill="auto"/>
            <w:noWrap/>
            <w:vAlign w:val="bottom"/>
            <w:hideMark/>
          </w:tcPr>
          <w:p w:rsidR="005C7DD4" w:rsidRPr="00BF1FAB" w:rsidRDefault="00F614AD" w:rsidP="00A376AB">
            <w:pPr>
              <w:jc w:val="center"/>
              <w:rPr>
                <w:color w:val="000000"/>
                <w:sz w:val="20"/>
                <w:szCs w:val="20"/>
              </w:rPr>
            </w:pPr>
            <w:r w:rsidRPr="00BF1FAB">
              <w:rPr>
                <w:color w:val="000000"/>
                <w:sz w:val="20"/>
                <w:szCs w:val="20"/>
              </w:rPr>
              <w:t>Х</w:t>
            </w:r>
          </w:p>
        </w:tc>
      </w:tr>
    </w:tbl>
    <w:p w:rsidR="00C62538" w:rsidRPr="00BF1FAB" w:rsidRDefault="003147BD" w:rsidP="005C7DD4">
      <w:pPr>
        <w:spacing w:before="120"/>
        <w:ind w:firstLine="680"/>
        <w:jc w:val="both"/>
      </w:pPr>
      <w:r w:rsidRPr="00BF1FAB">
        <w:t xml:space="preserve">Отклонение суммы фактических поступлений от плановых назначений </w:t>
      </w:r>
      <w:r w:rsidR="00EF7DC5" w:rsidRPr="00BF1FAB">
        <w:t xml:space="preserve">на </w:t>
      </w:r>
      <w:r w:rsidR="005C7DD4" w:rsidRPr="00BF1FAB">
        <w:t>4911,3</w:t>
      </w:r>
      <w:r w:rsidRPr="00BF1FAB">
        <w:t xml:space="preserve"> тыс. руб. связано </w:t>
      </w:r>
      <w:r w:rsidR="00D67248" w:rsidRPr="00BF1FAB">
        <w:t xml:space="preserve">с </w:t>
      </w:r>
      <w:r w:rsidR="00F614AD" w:rsidRPr="00BF1FAB">
        <w:t>поступлением</w:t>
      </w:r>
      <w:r w:rsidR="00EA0F74" w:rsidRPr="00BF1FAB">
        <w:t xml:space="preserve"> </w:t>
      </w:r>
      <w:r w:rsidR="005F4DF6" w:rsidRPr="00BF1FAB">
        <w:t xml:space="preserve">в декабре 2019 года </w:t>
      </w:r>
      <w:r w:rsidR="00EA0F74" w:rsidRPr="00BF1FAB">
        <w:t xml:space="preserve">межбюджетного трансферта – субсидии на </w:t>
      </w:r>
      <w:proofErr w:type="spellStart"/>
      <w:r w:rsidR="00EA0F74" w:rsidRPr="00BF1FAB">
        <w:t>софинансирование</w:t>
      </w:r>
      <w:proofErr w:type="spellEnd"/>
      <w:r w:rsidR="00EA0F74" w:rsidRPr="00BF1FAB">
        <w:t xml:space="preserve"> расходных обязательств субъекта РФ, связанных</w:t>
      </w:r>
      <w:r w:rsidR="00A556BA" w:rsidRPr="00BF1FAB">
        <w:t xml:space="preserve"> с реализацией федеральной целевой программы "Увековечение памяти погибших при защите Отечества на 2019 - 2024 годы</w:t>
      </w:r>
      <w:r w:rsidR="00620D6E" w:rsidRPr="00BF1FAB">
        <w:t>"</w:t>
      </w:r>
      <w:r w:rsidR="00A556BA" w:rsidRPr="00BF1FAB">
        <w:t xml:space="preserve"> (4670,0 тыс.</w:t>
      </w:r>
      <w:r w:rsidR="00BE3434" w:rsidRPr="00BF1FAB">
        <w:t xml:space="preserve"> </w:t>
      </w:r>
      <w:r w:rsidR="00A556BA" w:rsidRPr="00BF1FAB">
        <w:t>руб.),</w:t>
      </w:r>
      <w:r w:rsidR="005F4DF6" w:rsidRPr="00BF1FAB">
        <w:t xml:space="preserve"> а также в связи с</w:t>
      </w:r>
      <w:r w:rsidR="00A556BA" w:rsidRPr="00BF1FAB">
        <w:t xml:space="preserve"> </w:t>
      </w:r>
      <w:r w:rsidR="00822911" w:rsidRPr="00BF1FAB">
        <w:t>пере</w:t>
      </w:r>
      <w:r w:rsidR="00D67248" w:rsidRPr="00BF1FAB">
        <w:t>выполн</w:t>
      </w:r>
      <w:r w:rsidR="00416E37" w:rsidRPr="00BF1FAB">
        <w:t>ением плановых</w:t>
      </w:r>
      <w:r w:rsidR="00822911" w:rsidRPr="00BF1FAB">
        <w:t xml:space="preserve"> </w:t>
      </w:r>
      <w:r w:rsidRPr="00BF1FAB">
        <w:t>назначений</w:t>
      </w:r>
      <w:r w:rsidR="00822911" w:rsidRPr="00BF1FAB">
        <w:t xml:space="preserve"> </w:t>
      </w:r>
      <w:r w:rsidRPr="00BF1FAB">
        <w:t>по</w:t>
      </w:r>
      <w:r w:rsidR="00822911" w:rsidRPr="00BF1FAB">
        <w:t xml:space="preserve"> </w:t>
      </w:r>
      <w:r w:rsidR="00D67248" w:rsidRPr="00BF1FAB">
        <w:t>доходам</w:t>
      </w:r>
      <w:r w:rsidRPr="00BF1FAB">
        <w:t xml:space="preserve"> от </w:t>
      </w:r>
      <w:r w:rsidR="00A556BA" w:rsidRPr="00BF1FAB">
        <w:t xml:space="preserve">штрафов, денежных взысканий в связи с выявлением большего количества административных нарушений, по которым составлены административные протоколы и вынесены постановления судов </w:t>
      </w:r>
      <w:r w:rsidR="00F01E78" w:rsidRPr="00BF1FAB">
        <w:t>(</w:t>
      </w:r>
      <w:r w:rsidR="00A556BA" w:rsidRPr="00BF1FAB">
        <w:t>208,5 тыс. руб.</w:t>
      </w:r>
      <w:r w:rsidR="00F01E78" w:rsidRPr="00BF1FAB">
        <w:t>)</w:t>
      </w:r>
      <w:r w:rsidR="005F4DF6" w:rsidRPr="00BF1FAB">
        <w:t xml:space="preserve"> и</w:t>
      </w:r>
      <w:r w:rsidR="00A556BA" w:rsidRPr="00BF1FAB">
        <w:t xml:space="preserve"> возмещением расходов от фонда социального страхования (32,8 тыс.</w:t>
      </w:r>
      <w:r w:rsidR="00BE3434" w:rsidRPr="00BF1FAB">
        <w:t xml:space="preserve"> </w:t>
      </w:r>
      <w:r w:rsidR="00A556BA" w:rsidRPr="00BF1FAB">
        <w:t>руб.)</w:t>
      </w:r>
      <w:r w:rsidR="001161CC" w:rsidRPr="00BF1FAB">
        <w:t>.</w:t>
      </w:r>
      <w:r w:rsidR="00531A1F" w:rsidRPr="00BF1FAB">
        <w:t xml:space="preserve"> </w:t>
      </w:r>
    </w:p>
    <w:p w:rsidR="00F47F2A" w:rsidRPr="00BF1FAB" w:rsidRDefault="00BE3434" w:rsidP="00BE3434">
      <w:pPr>
        <w:ind w:firstLine="709"/>
        <w:jc w:val="both"/>
      </w:pPr>
      <w:r w:rsidRPr="00BF1FAB">
        <w:t xml:space="preserve">Предложения Комитета по уточнению бюджетных назначений по доходам на 2019 год,  направленные в адрес </w:t>
      </w:r>
      <w:proofErr w:type="spellStart"/>
      <w:r w:rsidRPr="00BF1FAB">
        <w:t>Облфина</w:t>
      </w:r>
      <w:proofErr w:type="spellEnd"/>
      <w:r w:rsidRPr="00BF1FAB">
        <w:t xml:space="preserve"> с учетом поступлений за 9 месяцев 2019 года,  были учтены п</w:t>
      </w:r>
      <w:r w:rsidR="00F47F2A" w:rsidRPr="00BF1FAB">
        <w:t>ри внесении изменений в Закон об областном бюджете</w:t>
      </w:r>
      <w:r w:rsidRPr="00BF1FAB">
        <w:t xml:space="preserve"> (плановые назначения увеличены со 180,5 тыс. руб. до 1005,5 тыс. руб.). </w:t>
      </w:r>
    </w:p>
    <w:p w:rsidR="003147BD" w:rsidRPr="00BF1FAB" w:rsidRDefault="003147BD" w:rsidP="00A404CF">
      <w:pPr>
        <w:autoSpaceDE w:val="0"/>
        <w:autoSpaceDN w:val="0"/>
        <w:adjustRightInd w:val="0"/>
        <w:spacing w:before="120" w:after="120"/>
        <w:ind w:firstLine="539"/>
        <w:jc w:val="center"/>
        <w:rPr>
          <w:b/>
        </w:rPr>
      </w:pPr>
      <w:r w:rsidRPr="00BF1FAB">
        <w:rPr>
          <w:b/>
        </w:rPr>
        <w:t>Исполнение расходов</w:t>
      </w:r>
    </w:p>
    <w:p w:rsidR="008B2BEC" w:rsidRPr="00BF1FAB" w:rsidRDefault="00A404CF" w:rsidP="00377D0B">
      <w:pPr>
        <w:autoSpaceDE w:val="0"/>
        <w:autoSpaceDN w:val="0"/>
        <w:adjustRightInd w:val="0"/>
        <w:ind w:firstLine="709"/>
        <w:jc w:val="both"/>
      </w:pPr>
      <w:r w:rsidRPr="00BF1FAB">
        <w:t xml:space="preserve">Законом </w:t>
      </w:r>
      <w:r w:rsidR="00223134" w:rsidRPr="00BF1FAB">
        <w:t>о</w:t>
      </w:r>
      <w:r w:rsidRPr="00BF1FAB">
        <w:t xml:space="preserve">б областном бюджете </w:t>
      </w:r>
      <w:r w:rsidR="00531A1F" w:rsidRPr="00BF1FAB">
        <w:t xml:space="preserve">в окончательной редакции </w:t>
      </w:r>
      <w:r w:rsidR="003147BD" w:rsidRPr="00BF1FAB">
        <w:t xml:space="preserve">Комитету утверждены ассигнования в сумме </w:t>
      </w:r>
      <w:r w:rsidR="008B2BEC" w:rsidRPr="00BF1FAB">
        <w:t xml:space="preserve">в сумме </w:t>
      </w:r>
      <w:r w:rsidRPr="00BF1FAB">
        <w:t>1259</w:t>
      </w:r>
      <w:r w:rsidR="0068320B" w:rsidRPr="00BF1FAB">
        <w:t>2</w:t>
      </w:r>
      <w:r w:rsidRPr="00BF1FAB">
        <w:t>2,2</w:t>
      </w:r>
      <w:r w:rsidR="003147BD" w:rsidRPr="00BF1FAB">
        <w:t xml:space="preserve"> тыс. руб</w:t>
      </w:r>
      <w:r w:rsidR="008B2BEC" w:rsidRPr="00BF1FAB">
        <w:t>лей.</w:t>
      </w:r>
      <w:r w:rsidR="003147BD" w:rsidRPr="00BF1FAB">
        <w:t xml:space="preserve"> </w:t>
      </w:r>
      <w:r w:rsidR="00377D0B" w:rsidRPr="00BF1FAB">
        <w:t xml:space="preserve"> </w:t>
      </w:r>
      <w:r w:rsidR="008B2BEC" w:rsidRPr="00BF1FAB">
        <w:t>Б</w:t>
      </w:r>
      <w:r w:rsidR="003147BD" w:rsidRPr="00BF1FAB">
        <w:t>юджетные назначения в соответствии с бюджетной росписью</w:t>
      </w:r>
      <w:r w:rsidR="00822911" w:rsidRPr="00BF1FAB">
        <w:t xml:space="preserve"> </w:t>
      </w:r>
      <w:r w:rsidR="0009236D" w:rsidRPr="00BF1FAB">
        <w:t xml:space="preserve">составили </w:t>
      </w:r>
      <w:r w:rsidR="00A90B26" w:rsidRPr="00BF1FAB">
        <w:t>51555,6</w:t>
      </w:r>
      <w:r w:rsidR="003147BD" w:rsidRPr="00BF1FAB">
        <w:t xml:space="preserve"> тыс. руб., или на </w:t>
      </w:r>
      <w:r w:rsidR="00A90B26" w:rsidRPr="00BF1FAB">
        <w:t>74</w:t>
      </w:r>
      <w:r w:rsidR="0068320B" w:rsidRPr="00BF1FAB">
        <w:t>366</w:t>
      </w:r>
      <w:r w:rsidR="00A90B26" w:rsidRPr="00BF1FAB">
        <w:t>,6</w:t>
      </w:r>
      <w:r w:rsidR="003147BD" w:rsidRPr="00BF1FAB">
        <w:t xml:space="preserve"> тыс. руб.</w:t>
      </w:r>
      <w:r w:rsidR="00A90B26" w:rsidRPr="00BF1FAB">
        <w:t xml:space="preserve"> </w:t>
      </w:r>
      <w:r w:rsidR="003147BD" w:rsidRPr="00BF1FAB">
        <w:t>(</w:t>
      </w:r>
      <w:r w:rsidR="0009236D" w:rsidRPr="00BF1FAB">
        <w:t xml:space="preserve">- </w:t>
      </w:r>
      <w:r w:rsidR="00A90B26" w:rsidRPr="00BF1FAB">
        <w:t>59,1</w:t>
      </w:r>
      <w:r w:rsidR="003147BD" w:rsidRPr="00BF1FAB">
        <w:t xml:space="preserve"> %) </w:t>
      </w:r>
      <w:r w:rsidR="0009236D" w:rsidRPr="00BF1FAB">
        <w:t xml:space="preserve">меньше </w:t>
      </w:r>
      <w:r w:rsidR="003147BD" w:rsidRPr="00BF1FAB">
        <w:t xml:space="preserve">утвержденного </w:t>
      </w:r>
      <w:r w:rsidR="0031712E" w:rsidRPr="00BF1FAB">
        <w:t>объёма ассигнований</w:t>
      </w:r>
      <w:r w:rsidR="008B2BEC" w:rsidRPr="00BF1FAB">
        <w:t xml:space="preserve"> Законом об областном бюджете</w:t>
      </w:r>
      <w:r w:rsidR="0031712E" w:rsidRPr="00BF1FAB">
        <w:t>.</w:t>
      </w:r>
      <w:r w:rsidR="00887864" w:rsidRPr="00BF1FAB">
        <w:t xml:space="preserve"> </w:t>
      </w:r>
    </w:p>
    <w:p w:rsidR="001F41EB" w:rsidRPr="00BF1FAB" w:rsidRDefault="008B2BEC" w:rsidP="008B2BEC">
      <w:pPr>
        <w:ind w:firstLine="709"/>
        <w:jc w:val="both"/>
      </w:pPr>
      <w:r w:rsidRPr="00BF1FAB">
        <w:t xml:space="preserve">Согласно данным ф.0305163 «Сведения об изменениях бюджетной росписи главного распорядителя бюджетных средств» расхождение сложилось в связи с внесением изменений в бюджетную роспись в соответствии со </w:t>
      </w:r>
      <w:r w:rsidR="002A3D38" w:rsidRPr="00BF1FAB">
        <w:t xml:space="preserve">ст.217 Бюджетного кодекса РФ и </w:t>
      </w:r>
      <w:r w:rsidRPr="00BF1FAB">
        <w:t>ст.48 Закона об областном бюджете</w:t>
      </w:r>
      <w:r w:rsidR="001F41EB" w:rsidRPr="00BF1FAB">
        <w:t>:</w:t>
      </w:r>
      <w:r w:rsidRPr="00BF1FAB">
        <w:t xml:space="preserve"> </w:t>
      </w:r>
    </w:p>
    <w:p w:rsidR="00F66A0D" w:rsidRPr="00BF1FAB" w:rsidRDefault="001F41EB" w:rsidP="001F41EB">
      <w:pPr>
        <w:autoSpaceDE w:val="0"/>
        <w:autoSpaceDN w:val="0"/>
        <w:adjustRightInd w:val="0"/>
        <w:ind w:firstLine="709"/>
        <w:jc w:val="both"/>
      </w:pPr>
      <w:r w:rsidRPr="00BF1FAB">
        <w:t>-</w:t>
      </w:r>
      <w:r w:rsidR="00A376AB" w:rsidRPr="00BF1FAB">
        <w:t>уменьшены</w:t>
      </w:r>
      <w:r w:rsidRPr="00BF1FAB">
        <w:t xml:space="preserve"> ассигновани</w:t>
      </w:r>
      <w:r w:rsidR="00D50D1F" w:rsidRPr="00BF1FAB">
        <w:t>я</w:t>
      </w:r>
      <w:r w:rsidRPr="00BF1FAB">
        <w:t xml:space="preserve"> на субсидии</w:t>
      </w:r>
      <w:r w:rsidR="002A3D38" w:rsidRPr="00BF1FAB">
        <w:t xml:space="preserve"> </w:t>
      </w:r>
      <w:r w:rsidRPr="00BF1FAB">
        <w:t xml:space="preserve">ГБУ ВО НПЦ на 75061,0 тыс. </w:t>
      </w:r>
      <w:r w:rsidR="00032A64" w:rsidRPr="00BF1FAB">
        <w:t xml:space="preserve">руб., или на 80,1% </w:t>
      </w:r>
      <w:r w:rsidRPr="00BF1FAB">
        <w:t xml:space="preserve">в связи </w:t>
      </w:r>
      <w:r w:rsidR="00032A64" w:rsidRPr="00BF1FAB">
        <w:t>с переносом проведения отдельных мероприятий на 2020 год</w:t>
      </w:r>
      <w:r w:rsidR="00F66A0D" w:rsidRPr="00BF1FAB">
        <w:t>. А</w:t>
      </w:r>
      <w:r w:rsidR="00032A64" w:rsidRPr="00BF1FAB">
        <w:t xml:space="preserve">ссигнования </w:t>
      </w:r>
      <w:r w:rsidR="00F66A0D" w:rsidRPr="00BF1FAB">
        <w:t xml:space="preserve">(53599,0 </w:t>
      </w:r>
      <w:r w:rsidR="00F66A0D" w:rsidRPr="00BF1FAB">
        <w:lastRenderedPageBreak/>
        <w:t xml:space="preserve">тыс.руб.) </w:t>
      </w:r>
      <w:r w:rsidR="00032A64" w:rsidRPr="00BF1FAB">
        <w:t>перераспределены</w:t>
      </w:r>
      <w:r w:rsidR="00F66A0D" w:rsidRPr="00BF1FAB">
        <w:t xml:space="preserve"> между текущим финансовым годом и плановым периодом</w:t>
      </w:r>
      <w:r w:rsidR="00032A64" w:rsidRPr="00BF1FAB">
        <w:t xml:space="preserve">, </w:t>
      </w:r>
      <w:r w:rsidR="00F66A0D" w:rsidRPr="00BF1FAB">
        <w:t>остальная сумма ассигнований перераспределена комитету физической культуры и спорта Волгоградской области на выплату заработной платы</w:t>
      </w:r>
      <w:r w:rsidR="00531A1F" w:rsidRPr="00BF1FAB">
        <w:t xml:space="preserve"> (21462,0 тыс.руб.)</w:t>
      </w:r>
      <w:r w:rsidR="00F66A0D" w:rsidRPr="00BF1FAB">
        <w:t>;</w:t>
      </w:r>
    </w:p>
    <w:p w:rsidR="001F41EB" w:rsidRPr="00BF1FAB" w:rsidRDefault="00F66A0D" w:rsidP="001F41EB">
      <w:pPr>
        <w:autoSpaceDE w:val="0"/>
        <w:autoSpaceDN w:val="0"/>
        <w:adjustRightInd w:val="0"/>
        <w:ind w:firstLine="709"/>
        <w:jc w:val="both"/>
      </w:pPr>
      <w:r w:rsidRPr="00BF1FAB">
        <w:t>-</w:t>
      </w:r>
      <w:r w:rsidR="00A376AB" w:rsidRPr="00BF1FAB">
        <w:t>уменьшены</w:t>
      </w:r>
      <w:r w:rsidRPr="00BF1FAB">
        <w:t xml:space="preserve"> ассигнования </w:t>
      </w:r>
      <w:r w:rsidR="001F41EB" w:rsidRPr="00BF1FAB">
        <w:t>на обеспечение деятельности государственных</w:t>
      </w:r>
      <w:r w:rsidR="002A3D38" w:rsidRPr="00BF1FAB">
        <w:t xml:space="preserve"> органов Волгоградской области </w:t>
      </w:r>
      <w:r w:rsidR="001F41EB" w:rsidRPr="00BF1FAB">
        <w:t>на 4735,9 тыс.</w:t>
      </w:r>
      <w:r w:rsidRPr="00BF1FAB">
        <w:t xml:space="preserve"> </w:t>
      </w:r>
      <w:r w:rsidR="001F41EB" w:rsidRPr="00BF1FAB">
        <w:t>руб.</w:t>
      </w:r>
      <w:r w:rsidRPr="00BF1FAB">
        <w:t>, или на 18,8%</w:t>
      </w:r>
      <w:r w:rsidR="00F614AD" w:rsidRPr="00BF1FAB">
        <w:t>,</w:t>
      </w:r>
      <w:r w:rsidRPr="00BF1FAB">
        <w:t xml:space="preserve">  за счет средств областного бюджета в связи с проведением организационно-штатных мероприятий. </w:t>
      </w:r>
      <w:r w:rsidR="005F4DF6" w:rsidRPr="00BF1FAB">
        <w:t>С учетом изменений с 2019 года в</w:t>
      </w:r>
      <w:r w:rsidRPr="00BF1FAB">
        <w:t xml:space="preserve"> </w:t>
      </w:r>
      <w:r w:rsidR="005F4DF6" w:rsidRPr="00BF1FAB">
        <w:t>М</w:t>
      </w:r>
      <w:r w:rsidRPr="00BF1FAB">
        <w:t>етодик</w:t>
      </w:r>
      <w:r w:rsidR="005F4DF6" w:rsidRPr="00BF1FAB">
        <w:t>у</w:t>
      </w:r>
      <w:r w:rsidRPr="00BF1FAB">
        <w:t xml:space="preserve"> </w:t>
      </w:r>
      <w:r w:rsidR="006426A1" w:rsidRPr="00BF1FAB">
        <w:t xml:space="preserve">распределения субвенций, предоставляемых из федерального бюджета бюджетам субъектов РФ на осуществление переданных органам государственной власти субъектов РФ полномочий Российской Федерации по государственной охране объектов культурного наследия федерального значения, утвержденную постановлением Правительства РФ от 31.12.2009 №1183 </w:t>
      </w:r>
      <w:r w:rsidR="006426A1" w:rsidRPr="00BF1FAB">
        <w:rPr>
          <w:rFonts w:eastAsiaTheme="minorHAnsi"/>
          <w:lang w:eastAsia="en-US"/>
        </w:rPr>
        <w:t xml:space="preserve">(далее </w:t>
      </w:r>
      <w:r w:rsidR="00377D0B" w:rsidRPr="00BF1FAB">
        <w:rPr>
          <w:rFonts w:eastAsiaTheme="minorHAnsi"/>
          <w:lang w:eastAsia="en-US"/>
        </w:rPr>
        <w:t xml:space="preserve">- </w:t>
      </w:r>
      <w:r w:rsidR="006426A1" w:rsidRPr="00BF1FAB">
        <w:rPr>
          <w:rFonts w:eastAsiaTheme="minorHAnsi"/>
          <w:lang w:eastAsia="en-US"/>
        </w:rPr>
        <w:t>переданные полномочия РФ</w:t>
      </w:r>
      <w:r w:rsidR="008157B2" w:rsidRPr="00BF1FAB">
        <w:rPr>
          <w:rFonts w:eastAsiaTheme="minorHAnsi"/>
          <w:lang w:eastAsia="en-US"/>
        </w:rPr>
        <w:t>, Постановление №1183</w:t>
      </w:r>
      <w:r w:rsidR="006426A1" w:rsidRPr="00BF1FAB">
        <w:rPr>
          <w:rFonts w:eastAsiaTheme="minorHAnsi"/>
          <w:lang w:eastAsia="en-US"/>
        </w:rPr>
        <w:t>)</w:t>
      </w:r>
      <w:r w:rsidR="00F614AD" w:rsidRPr="00BF1FAB">
        <w:rPr>
          <w:rFonts w:eastAsiaTheme="minorHAnsi"/>
          <w:lang w:eastAsia="en-US"/>
        </w:rPr>
        <w:t>,</w:t>
      </w:r>
      <w:r w:rsidR="006426A1" w:rsidRPr="00BF1FAB">
        <w:rPr>
          <w:rFonts w:eastAsiaTheme="minorHAnsi"/>
          <w:lang w:eastAsia="en-US"/>
        </w:rPr>
        <w:t xml:space="preserve"> </w:t>
      </w:r>
      <w:r w:rsidRPr="00BF1FAB">
        <w:t>штатная численность сотрудников, обеспечение которых осуществляется за счет средств федерального бюджета, увеличена с 3 до 10,7 ед., соответственно сокращена штатная численность сотрудников</w:t>
      </w:r>
      <w:r w:rsidR="00223134" w:rsidRPr="00BF1FAB">
        <w:t>,</w:t>
      </w:r>
      <w:r w:rsidRPr="00BF1FAB">
        <w:t xml:space="preserve"> </w:t>
      </w:r>
      <w:r w:rsidR="00223134" w:rsidRPr="00BF1FAB">
        <w:t xml:space="preserve">обеспечение которых осуществляется за счет </w:t>
      </w:r>
      <w:r w:rsidRPr="00BF1FAB">
        <w:t>средств областного бюджета;</w:t>
      </w:r>
    </w:p>
    <w:p w:rsidR="002457A1" w:rsidRPr="00BF1FAB" w:rsidRDefault="001F41EB" w:rsidP="00A404CF">
      <w:pPr>
        <w:autoSpaceDE w:val="0"/>
        <w:autoSpaceDN w:val="0"/>
        <w:adjustRightInd w:val="0"/>
        <w:ind w:firstLine="709"/>
        <w:jc w:val="both"/>
      </w:pPr>
      <w:r w:rsidRPr="00BF1FAB">
        <w:t>-выделен</w:t>
      </w:r>
      <w:r w:rsidR="00D50D1F" w:rsidRPr="00BF1FAB">
        <w:t>ы</w:t>
      </w:r>
      <w:r w:rsidRPr="00BF1FAB">
        <w:t xml:space="preserve"> </w:t>
      </w:r>
      <w:r w:rsidR="00531A1F" w:rsidRPr="00BF1FAB">
        <w:t xml:space="preserve">средства на реализацию мероприятий </w:t>
      </w:r>
      <w:r w:rsidR="00531A1F" w:rsidRPr="00BF1FAB">
        <w:rPr>
          <w:rFonts w:eastAsiaTheme="minorHAnsi"/>
          <w:lang w:eastAsia="en-US"/>
        </w:rPr>
        <w:t>Федеральной целевой программ</w:t>
      </w:r>
      <w:r w:rsidR="00F614AD" w:rsidRPr="00BF1FAB">
        <w:rPr>
          <w:rFonts w:eastAsiaTheme="minorHAnsi"/>
          <w:lang w:eastAsia="en-US"/>
        </w:rPr>
        <w:t xml:space="preserve">ы </w:t>
      </w:r>
      <w:r w:rsidR="00531A1F" w:rsidRPr="00BF1FAB">
        <w:rPr>
          <w:rFonts w:eastAsiaTheme="minorHAnsi"/>
          <w:lang w:eastAsia="en-US"/>
        </w:rPr>
        <w:t xml:space="preserve">"Увековечение памяти погибших при защите </w:t>
      </w:r>
      <w:r w:rsidR="00F614AD" w:rsidRPr="00BF1FAB">
        <w:rPr>
          <w:rFonts w:eastAsiaTheme="minorHAnsi"/>
          <w:lang w:eastAsia="en-US"/>
        </w:rPr>
        <w:t>О</w:t>
      </w:r>
      <w:r w:rsidR="00531A1F" w:rsidRPr="00BF1FAB">
        <w:rPr>
          <w:rFonts w:eastAsiaTheme="minorHAnsi"/>
          <w:lang w:eastAsia="en-US"/>
        </w:rPr>
        <w:t xml:space="preserve">течества на 2019 - 2024 годы, утвержденной постановлением Правительства РФ от 10.08.2019 №1036 (далее Постановление №1036, ФЦП Увековечение памяти погибших) в сумме 5430,2 тыс. руб., в том числе </w:t>
      </w:r>
      <w:r w:rsidR="00531A1F" w:rsidRPr="00BF1FAB">
        <w:t xml:space="preserve">субсидии </w:t>
      </w:r>
      <w:r w:rsidRPr="00BF1FAB">
        <w:t>из федерального бюджета</w:t>
      </w:r>
      <w:r w:rsidR="00531A1F" w:rsidRPr="00BF1FAB">
        <w:t xml:space="preserve"> </w:t>
      </w:r>
      <w:r w:rsidR="00D50D1F" w:rsidRPr="00BF1FAB">
        <w:t>4670,0</w:t>
      </w:r>
      <w:r w:rsidR="00167F2C" w:rsidRPr="00BF1FAB">
        <w:t xml:space="preserve"> </w:t>
      </w:r>
      <w:r w:rsidRPr="00BF1FAB">
        <w:t>тыс.</w:t>
      </w:r>
      <w:r w:rsidR="00531A1F" w:rsidRPr="00BF1FAB">
        <w:t xml:space="preserve"> </w:t>
      </w:r>
      <w:r w:rsidRPr="00BF1FAB">
        <w:t>руб</w:t>
      </w:r>
      <w:r w:rsidR="00D50D1F" w:rsidRPr="00BF1FAB">
        <w:t>., из областного бюджета в сумме 760,2 тыс.</w:t>
      </w:r>
      <w:r w:rsidR="00531A1F" w:rsidRPr="00BF1FAB">
        <w:t xml:space="preserve"> </w:t>
      </w:r>
      <w:r w:rsidR="00D50D1F" w:rsidRPr="00BF1FAB">
        <w:t>руб</w:t>
      </w:r>
      <w:r w:rsidR="00A376AB" w:rsidRPr="00BF1FAB">
        <w:t>лей</w:t>
      </w:r>
      <w:r w:rsidR="00D50D1F" w:rsidRPr="00BF1FAB">
        <w:t xml:space="preserve">. </w:t>
      </w:r>
    </w:p>
    <w:p w:rsidR="00223134" w:rsidRPr="00BF1FAB" w:rsidRDefault="003147BD" w:rsidP="00531A1F">
      <w:pPr>
        <w:autoSpaceDE w:val="0"/>
        <w:autoSpaceDN w:val="0"/>
        <w:adjustRightInd w:val="0"/>
        <w:ind w:firstLine="709"/>
        <w:jc w:val="both"/>
      </w:pPr>
      <w:r w:rsidRPr="00BF1FAB">
        <w:t xml:space="preserve">Анализ исполнения бюджетных назначений Комитета представлен </w:t>
      </w:r>
      <w:r w:rsidRPr="00BF1FAB">
        <w:rPr>
          <w:color w:val="000099"/>
        </w:rPr>
        <w:t xml:space="preserve">в </w:t>
      </w:r>
      <w:r w:rsidR="00EE4B8A" w:rsidRPr="00BF1FAB">
        <w:rPr>
          <w:color w:val="000099"/>
        </w:rPr>
        <w:t>п</w:t>
      </w:r>
      <w:r w:rsidR="00167F2C" w:rsidRPr="00BF1FAB">
        <w:rPr>
          <w:color w:val="000099"/>
        </w:rPr>
        <w:t>риложении №</w:t>
      </w:r>
      <w:r w:rsidR="002B46D6" w:rsidRPr="00BF1FAB">
        <w:rPr>
          <w:color w:val="000099"/>
        </w:rPr>
        <w:t>2</w:t>
      </w:r>
      <w:r w:rsidRPr="00BF1FAB">
        <w:rPr>
          <w:color w:val="000099"/>
        </w:rPr>
        <w:t>.</w:t>
      </w:r>
      <w:r w:rsidR="00531A1F" w:rsidRPr="00BF1FAB">
        <w:rPr>
          <w:color w:val="000099"/>
        </w:rPr>
        <w:t xml:space="preserve"> </w:t>
      </w:r>
      <w:r w:rsidRPr="00BF1FAB">
        <w:t>Исполнение кассо</w:t>
      </w:r>
      <w:r w:rsidR="00CE29C6" w:rsidRPr="00BF1FAB">
        <w:t xml:space="preserve">вых расходов составило </w:t>
      </w:r>
      <w:r w:rsidR="00BC0FF3" w:rsidRPr="00BF1FAB">
        <w:t>49531,2</w:t>
      </w:r>
      <w:r w:rsidR="00CE29C6" w:rsidRPr="00BF1FAB">
        <w:t xml:space="preserve"> тыс. руб., или </w:t>
      </w:r>
      <w:r w:rsidR="00BC0FF3" w:rsidRPr="00BF1FAB">
        <w:t>96,1</w:t>
      </w:r>
      <w:r w:rsidRPr="00BF1FAB">
        <w:t xml:space="preserve">% от утвержденных </w:t>
      </w:r>
      <w:r w:rsidR="002457A1" w:rsidRPr="00BF1FAB">
        <w:t>показателей сводной бюджетной росписи</w:t>
      </w:r>
      <w:r w:rsidR="00BC0FF3" w:rsidRPr="00BF1FAB">
        <w:t xml:space="preserve"> (51555,6 тыс.</w:t>
      </w:r>
      <w:r w:rsidR="00FB6524" w:rsidRPr="00BF1FAB">
        <w:t xml:space="preserve"> </w:t>
      </w:r>
      <w:r w:rsidR="00BC0FF3" w:rsidRPr="00BF1FAB">
        <w:t>руб.)</w:t>
      </w:r>
      <w:r w:rsidR="00223134" w:rsidRPr="00BF1FAB">
        <w:t>. В рамках программных мероприятий расходы Комитета исполнены в сумме 24021,7 (48,5%).</w:t>
      </w:r>
    </w:p>
    <w:p w:rsidR="00223134" w:rsidRPr="00BF1FAB" w:rsidRDefault="00223134" w:rsidP="00223134">
      <w:pPr>
        <w:autoSpaceDE w:val="0"/>
        <w:autoSpaceDN w:val="0"/>
        <w:adjustRightInd w:val="0"/>
        <w:ind w:firstLine="708"/>
        <w:jc w:val="both"/>
        <w:outlineLvl w:val="0"/>
      </w:pPr>
      <w:r w:rsidRPr="00BF1FAB">
        <w:t>О</w:t>
      </w:r>
      <w:r w:rsidR="003147BD" w:rsidRPr="00BF1FAB">
        <w:t>бщая сумма неиспо</w:t>
      </w:r>
      <w:r w:rsidR="00CE29C6" w:rsidRPr="00BF1FAB">
        <w:t>лненных назначений со</w:t>
      </w:r>
      <w:r w:rsidR="00370E61" w:rsidRPr="00BF1FAB">
        <w:t>с</w:t>
      </w:r>
      <w:r w:rsidR="00CE29C6" w:rsidRPr="00BF1FAB">
        <w:t xml:space="preserve">тавила </w:t>
      </w:r>
      <w:r w:rsidR="00BC0FF3" w:rsidRPr="00BF1FAB">
        <w:t>2024,4</w:t>
      </w:r>
      <w:r w:rsidR="008D57F7" w:rsidRPr="00BF1FAB">
        <w:t xml:space="preserve"> тыс. руб</w:t>
      </w:r>
      <w:r w:rsidR="005A67F1" w:rsidRPr="00BF1FAB">
        <w:t>.</w:t>
      </w:r>
      <w:r w:rsidR="00FB6524" w:rsidRPr="00BF1FAB">
        <w:t xml:space="preserve">, или 3,9% </w:t>
      </w:r>
      <w:r w:rsidR="003147BD" w:rsidRPr="00BF1FAB">
        <w:t>и сложилась</w:t>
      </w:r>
      <w:r w:rsidR="00746B74" w:rsidRPr="00BF1FAB">
        <w:t xml:space="preserve"> </w:t>
      </w:r>
      <w:r w:rsidR="00FB6524" w:rsidRPr="00BF1FAB">
        <w:t>в объеме более 5 % по подразделу 0804 "Другие вопросы в области культуры, кинематографии " в связи с экономией средств</w:t>
      </w:r>
      <w:r w:rsidR="008C4E65" w:rsidRPr="00BF1FAB">
        <w:t xml:space="preserve"> на оплату труда сотрудников Комитета</w:t>
      </w:r>
      <w:r w:rsidRPr="00BF1FAB">
        <w:t>:</w:t>
      </w:r>
    </w:p>
    <w:p w:rsidR="00223134" w:rsidRPr="00BF1FAB" w:rsidRDefault="00223134" w:rsidP="00223134">
      <w:pPr>
        <w:autoSpaceDE w:val="0"/>
        <w:autoSpaceDN w:val="0"/>
        <w:adjustRightInd w:val="0"/>
        <w:ind w:firstLine="539"/>
        <w:jc w:val="both"/>
        <w:outlineLvl w:val="0"/>
      </w:pPr>
      <w:r w:rsidRPr="00BF1FAB">
        <w:t>-</w:t>
      </w:r>
      <w:r w:rsidR="00FB6524" w:rsidRPr="00BF1FAB">
        <w:t xml:space="preserve">за счет средств областного бюджета в связи </w:t>
      </w:r>
      <w:r w:rsidRPr="00BF1FAB">
        <w:t>проведенными вышеуказанными организационно-штатными мероприятиями;</w:t>
      </w:r>
    </w:p>
    <w:p w:rsidR="008C4E65" w:rsidRPr="00BF1FAB" w:rsidRDefault="00223134" w:rsidP="00223134">
      <w:pPr>
        <w:autoSpaceDE w:val="0"/>
        <w:autoSpaceDN w:val="0"/>
        <w:adjustRightInd w:val="0"/>
        <w:ind w:firstLine="539"/>
        <w:jc w:val="both"/>
        <w:outlineLvl w:val="0"/>
        <w:rPr>
          <w:rFonts w:eastAsiaTheme="minorHAnsi"/>
          <w:i/>
          <w:lang w:eastAsia="en-US"/>
        </w:rPr>
      </w:pPr>
      <w:r w:rsidRPr="00BF1FAB">
        <w:t>-</w:t>
      </w:r>
      <w:r w:rsidR="008C4E65" w:rsidRPr="00BF1FAB">
        <w:t>за счет средств федерального бюджета</w:t>
      </w:r>
      <w:r w:rsidR="00FB6524" w:rsidRPr="00BF1FAB">
        <w:t xml:space="preserve"> </w:t>
      </w:r>
      <w:r w:rsidRPr="00BF1FAB">
        <w:t>в связи тем, что Методика расчета субвенции, утвержденная Постановлением №1183, не учитывает положения законодательства субъектов РФ в части организационной структуры органа</w:t>
      </w:r>
      <w:r w:rsidRPr="00BF1FAB">
        <w:rPr>
          <w:rFonts w:eastAsiaTheme="minorHAnsi"/>
        </w:rPr>
        <w:t xml:space="preserve"> исполнительной власти, включая утвержденную штатную численность, и уровень оплаты труда государственных гражданских служащих (</w:t>
      </w:r>
      <w:r w:rsidR="00453C46" w:rsidRPr="00BF1FAB">
        <w:rPr>
          <w:rFonts w:eastAsiaTheme="minorHAnsi"/>
          <w:i/>
          <w:lang w:eastAsia="en-US"/>
        </w:rPr>
        <w:t>отражено подробнее далее)</w:t>
      </w:r>
      <w:r w:rsidR="008C4E65" w:rsidRPr="00BF1FAB">
        <w:rPr>
          <w:rFonts w:eastAsiaTheme="minorHAnsi"/>
          <w:i/>
          <w:lang w:eastAsia="en-US"/>
        </w:rPr>
        <w:t>.</w:t>
      </w:r>
    </w:p>
    <w:p w:rsidR="001C391D" w:rsidRPr="00BF1FAB" w:rsidRDefault="003147BD" w:rsidP="00377D0B">
      <w:pPr>
        <w:spacing w:before="120"/>
        <w:ind w:firstLine="709"/>
        <w:jc w:val="both"/>
        <w:rPr>
          <w:color w:val="000099"/>
        </w:rPr>
      </w:pPr>
      <w:r w:rsidRPr="00BF1FAB">
        <w:rPr>
          <w:b/>
        </w:rPr>
        <w:t>Сравнительный анализ показателей исполнения расходов Комитета за отчетный и предыдущий год</w:t>
      </w:r>
      <w:r w:rsidR="00377D0B" w:rsidRPr="00BF1FAB">
        <w:t xml:space="preserve"> представлен в </w:t>
      </w:r>
      <w:r w:rsidRPr="00BF1FAB">
        <w:t xml:space="preserve"> </w:t>
      </w:r>
      <w:r w:rsidRPr="00BF1FAB">
        <w:rPr>
          <w:color w:val="000099"/>
        </w:rPr>
        <w:t>таблице</w:t>
      </w:r>
      <w:r w:rsidR="005F431F" w:rsidRPr="00BF1FAB">
        <w:rPr>
          <w:color w:val="000099"/>
        </w:rPr>
        <w:t xml:space="preserve"> №</w:t>
      </w:r>
      <w:r w:rsidR="00593221" w:rsidRPr="00BF1FAB">
        <w:rPr>
          <w:color w:val="000099"/>
        </w:rPr>
        <w:t>2</w:t>
      </w:r>
      <w:r w:rsidRPr="00BF1FAB">
        <w:rPr>
          <w:color w:val="000099"/>
        </w:rPr>
        <w:t>.</w:t>
      </w:r>
    </w:p>
    <w:p w:rsidR="003147BD" w:rsidRPr="00BF1FAB" w:rsidRDefault="005F431F" w:rsidP="003147BD">
      <w:pPr>
        <w:tabs>
          <w:tab w:val="left" w:pos="0"/>
        </w:tabs>
        <w:ind w:firstLine="709"/>
        <w:jc w:val="right"/>
        <w:rPr>
          <w:color w:val="000099"/>
          <w:sz w:val="20"/>
          <w:szCs w:val="20"/>
        </w:rPr>
      </w:pPr>
      <w:r w:rsidRPr="00BF1FAB">
        <w:rPr>
          <w:color w:val="000099"/>
          <w:sz w:val="20"/>
          <w:szCs w:val="20"/>
        </w:rPr>
        <w:t>Таблица №</w:t>
      </w:r>
      <w:r w:rsidR="00593221" w:rsidRPr="00BF1FAB">
        <w:rPr>
          <w:color w:val="000099"/>
          <w:sz w:val="20"/>
          <w:szCs w:val="20"/>
        </w:rPr>
        <w:t>2</w:t>
      </w:r>
      <w:r w:rsidRPr="00BF1FAB">
        <w:rPr>
          <w:color w:val="000099"/>
          <w:sz w:val="20"/>
          <w:szCs w:val="20"/>
        </w:rPr>
        <w:t xml:space="preserve">, </w:t>
      </w:r>
      <w:r w:rsidR="003147BD" w:rsidRPr="00BF1FAB">
        <w:rPr>
          <w:color w:val="000099"/>
          <w:sz w:val="20"/>
          <w:szCs w:val="20"/>
        </w:rPr>
        <w:t>тыс. руб.</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9"/>
        <w:gridCol w:w="1144"/>
        <w:gridCol w:w="1134"/>
        <w:gridCol w:w="1134"/>
        <w:gridCol w:w="1134"/>
        <w:gridCol w:w="850"/>
      </w:tblGrid>
      <w:tr w:rsidR="00CE433E" w:rsidRPr="00BF1FAB" w:rsidTr="00CE4107">
        <w:trPr>
          <w:trHeight w:val="270"/>
          <w:tblHeader/>
          <w:jc w:val="center"/>
        </w:trPr>
        <w:tc>
          <w:tcPr>
            <w:tcW w:w="3839" w:type="dxa"/>
            <w:vMerge w:val="restart"/>
            <w:shd w:val="clear" w:color="auto" w:fill="auto"/>
            <w:vAlign w:val="center"/>
            <w:hideMark/>
          </w:tcPr>
          <w:p w:rsidR="00CE433E" w:rsidRPr="00BF1FAB" w:rsidRDefault="00CE433E" w:rsidP="00A536E3">
            <w:pPr>
              <w:jc w:val="center"/>
              <w:rPr>
                <w:b/>
                <w:bCs/>
                <w:color w:val="000000"/>
                <w:sz w:val="18"/>
                <w:szCs w:val="18"/>
              </w:rPr>
            </w:pPr>
            <w:r w:rsidRPr="00BF1FAB">
              <w:rPr>
                <w:b/>
                <w:bCs/>
                <w:color w:val="000000"/>
                <w:sz w:val="18"/>
                <w:szCs w:val="18"/>
              </w:rPr>
              <w:t>Наименование показателя</w:t>
            </w:r>
          </w:p>
        </w:tc>
        <w:tc>
          <w:tcPr>
            <w:tcW w:w="1144" w:type="dxa"/>
            <w:vMerge w:val="restart"/>
            <w:shd w:val="clear" w:color="auto" w:fill="auto"/>
            <w:vAlign w:val="center"/>
            <w:hideMark/>
          </w:tcPr>
          <w:p w:rsidR="00CE433E" w:rsidRPr="00BF1FAB" w:rsidRDefault="00CE433E" w:rsidP="00A536E3">
            <w:pPr>
              <w:jc w:val="center"/>
              <w:rPr>
                <w:b/>
                <w:bCs/>
                <w:color w:val="000000"/>
                <w:sz w:val="18"/>
                <w:szCs w:val="18"/>
              </w:rPr>
            </w:pPr>
            <w:r w:rsidRPr="00BF1FAB">
              <w:rPr>
                <w:b/>
                <w:bCs/>
                <w:color w:val="000000"/>
                <w:sz w:val="18"/>
                <w:szCs w:val="18"/>
              </w:rPr>
              <w:t>Подраздел</w:t>
            </w:r>
          </w:p>
        </w:tc>
        <w:tc>
          <w:tcPr>
            <w:tcW w:w="2268" w:type="dxa"/>
            <w:gridSpan w:val="2"/>
            <w:shd w:val="clear" w:color="auto" w:fill="auto"/>
            <w:noWrap/>
            <w:vAlign w:val="bottom"/>
            <w:hideMark/>
          </w:tcPr>
          <w:p w:rsidR="00CE433E" w:rsidRPr="00BF1FAB" w:rsidRDefault="00CE433E" w:rsidP="00A536E3">
            <w:pPr>
              <w:jc w:val="center"/>
              <w:rPr>
                <w:b/>
                <w:bCs/>
                <w:color w:val="000000"/>
                <w:sz w:val="18"/>
                <w:szCs w:val="18"/>
              </w:rPr>
            </w:pPr>
            <w:r w:rsidRPr="00BF1FAB">
              <w:rPr>
                <w:b/>
                <w:bCs/>
                <w:color w:val="000000"/>
                <w:sz w:val="18"/>
                <w:szCs w:val="18"/>
              </w:rPr>
              <w:t>Исполнено</w:t>
            </w:r>
          </w:p>
        </w:tc>
        <w:tc>
          <w:tcPr>
            <w:tcW w:w="1984" w:type="dxa"/>
            <w:gridSpan w:val="2"/>
            <w:shd w:val="clear" w:color="auto" w:fill="auto"/>
            <w:noWrap/>
            <w:vAlign w:val="bottom"/>
            <w:hideMark/>
          </w:tcPr>
          <w:p w:rsidR="00CE433E" w:rsidRPr="00BF1FAB" w:rsidRDefault="00CE433E" w:rsidP="00A536E3">
            <w:pPr>
              <w:jc w:val="center"/>
              <w:rPr>
                <w:b/>
                <w:bCs/>
                <w:color w:val="000000"/>
                <w:sz w:val="18"/>
                <w:szCs w:val="18"/>
              </w:rPr>
            </w:pPr>
            <w:r w:rsidRPr="00BF1FAB">
              <w:rPr>
                <w:b/>
                <w:bCs/>
                <w:color w:val="000000"/>
                <w:sz w:val="18"/>
                <w:szCs w:val="18"/>
              </w:rPr>
              <w:t>Отклонение</w:t>
            </w:r>
          </w:p>
        </w:tc>
      </w:tr>
      <w:tr w:rsidR="00CE433E" w:rsidRPr="00BF1FAB" w:rsidTr="00CE4107">
        <w:trPr>
          <w:trHeight w:val="270"/>
          <w:tblHeader/>
          <w:jc w:val="center"/>
        </w:trPr>
        <w:tc>
          <w:tcPr>
            <w:tcW w:w="3839" w:type="dxa"/>
            <w:vMerge/>
            <w:shd w:val="clear" w:color="auto" w:fill="auto"/>
            <w:vAlign w:val="center"/>
            <w:hideMark/>
          </w:tcPr>
          <w:p w:rsidR="00CE433E" w:rsidRPr="00BF1FAB" w:rsidRDefault="00CE433E" w:rsidP="00A536E3">
            <w:pPr>
              <w:rPr>
                <w:b/>
                <w:bCs/>
                <w:color w:val="000000"/>
                <w:sz w:val="18"/>
                <w:szCs w:val="18"/>
              </w:rPr>
            </w:pPr>
          </w:p>
        </w:tc>
        <w:tc>
          <w:tcPr>
            <w:tcW w:w="1144" w:type="dxa"/>
            <w:vMerge/>
            <w:shd w:val="clear" w:color="auto" w:fill="auto"/>
            <w:vAlign w:val="bottom"/>
            <w:hideMark/>
          </w:tcPr>
          <w:p w:rsidR="00CE433E" w:rsidRPr="00BF1FAB" w:rsidRDefault="00CE433E" w:rsidP="00A536E3">
            <w:pPr>
              <w:jc w:val="center"/>
              <w:rPr>
                <w:b/>
                <w:bCs/>
                <w:color w:val="000000"/>
                <w:sz w:val="18"/>
                <w:szCs w:val="18"/>
              </w:rPr>
            </w:pPr>
          </w:p>
        </w:tc>
        <w:tc>
          <w:tcPr>
            <w:tcW w:w="1134" w:type="dxa"/>
            <w:shd w:val="clear" w:color="auto" w:fill="auto"/>
            <w:noWrap/>
            <w:vAlign w:val="bottom"/>
            <w:hideMark/>
          </w:tcPr>
          <w:p w:rsidR="00CE433E" w:rsidRPr="00BF1FAB" w:rsidRDefault="00CE433E" w:rsidP="00FC578A">
            <w:pPr>
              <w:jc w:val="center"/>
              <w:rPr>
                <w:b/>
                <w:bCs/>
                <w:color w:val="000000"/>
                <w:sz w:val="18"/>
                <w:szCs w:val="18"/>
              </w:rPr>
            </w:pPr>
            <w:r w:rsidRPr="00BF1FAB">
              <w:rPr>
                <w:b/>
                <w:bCs/>
                <w:color w:val="000000"/>
                <w:sz w:val="18"/>
                <w:szCs w:val="18"/>
              </w:rPr>
              <w:t>201</w:t>
            </w:r>
            <w:r w:rsidR="00FC578A" w:rsidRPr="00BF1FAB">
              <w:rPr>
                <w:b/>
                <w:bCs/>
                <w:color w:val="000000"/>
                <w:sz w:val="18"/>
                <w:szCs w:val="18"/>
              </w:rPr>
              <w:t>8</w:t>
            </w:r>
          </w:p>
        </w:tc>
        <w:tc>
          <w:tcPr>
            <w:tcW w:w="1134" w:type="dxa"/>
            <w:shd w:val="clear" w:color="auto" w:fill="auto"/>
            <w:noWrap/>
            <w:vAlign w:val="bottom"/>
            <w:hideMark/>
          </w:tcPr>
          <w:p w:rsidR="00CE433E" w:rsidRPr="00BF1FAB" w:rsidRDefault="00CE433E" w:rsidP="00FC578A">
            <w:pPr>
              <w:jc w:val="center"/>
              <w:rPr>
                <w:b/>
                <w:bCs/>
                <w:color w:val="000000"/>
                <w:sz w:val="18"/>
                <w:szCs w:val="18"/>
              </w:rPr>
            </w:pPr>
            <w:r w:rsidRPr="00BF1FAB">
              <w:rPr>
                <w:b/>
                <w:bCs/>
                <w:color w:val="000000"/>
                <w:sz w:val="18"/>
                <w:szCs w:val="18"/>
              </w:rPr>
              <w:t>201</w:t>
            </w:r>
            <w:r w:rsidR="00FC578A" w:rsidRPr="00BF1FAB">
              <w:rPr>
                <w:b/>
                <w:bCs/>
                <w:color w:val="000000"/>
                <w:sz w:val="18"/>
                <w:szCs w:val="18"/>
              </w:rPr>
              <w:t>9</w:t>
            </w:r>
          </w:p>
        </w:tc>
        <w:tc>
          <w:tcPr>
            <w:tcW w:w="1134" w:type="dxa"/>
            <w:shd w:val="clear" w:color="auto" w:fill="auto"/>
            <w:noWrap/>
            <w:vAlign w:val="bottom"/>
            <w:hideMark/>
          </w:tcPr>
          <w:p w:rsidR="00CE433E" w:rsidRPr="00BF1FAB" w:rsidRDefault="00CE433E" w:rsidP="00A536E3">
            <w:pPr>
              <w:rPr>
                <w:b/>
                <w:bCs/>
                <w:color w:val="000000"/>
                <w:sz w:val="18"/>
                <w:szCs w:val="18"/>
              </w:rPr>
            </w:pPr>
            <w:r w:rsidRPr="00BF1FAB">
              <w:rPr>
                <w:b/>
                <w:bCs/>
                <w:color w:val="000000"/>
                <w:sz w:val="18"/>
                <w:szCs w:val="18"/>
              </w:rPr>
              <w:t>тыс. руб.</w:t>
            </w:r>
          </w:p>
        </w:tc>
        <w:tc>
          <w:tcPr>
            <w:tcW w:w="850" w:type="dxa"/>
            <w:shd w:val="clear" w:color="auto" w:fill="auto"/>
            <w:noWrap/>
            <w:vAlign w:val="bottom"/>
            <w:hideMark/>
          </w:tcPr>
          <w:p w:rsidR="00CE433E" w:rsidRPr="00BF1FAB" w:rsidRDefault="00CE433E" w:rsidP="00A536E3">
            <w:pPr>
              <w:jc w:val="center"/>
              <w:rPr>
                <w:b/>
                <w:bCs/>
                <w:color w:val="000000"/>
                <w:sz w:val="18"/>
                <w:szCs w:val="18"/>
              </w:rPr>
            </w:pPr>
            <w:r w:rsidRPr="00BF1FAB">
              <w:rPr>
                <w:b/>
                <w:bCs/>
                <w:color w:val="000000"/>
                <w:sz w:val="18"/>
                <w:szCs w:val="18"/>
              </w:rPr>
              <w:t>%</w:t>
            </w:r>
          </w:p>
        </w:tc>
      </w:tr>
      <w:tr w:rsidR="002A3D38" w:rsidRPr="00BF1FAB" w:rsidTr="00CE4107">
        <w:trPr>
          <w:trHeight w:val="163"/>
          <w:jc w:val="center"/>
        </w:trPr>
        <w:tc>
          <w:tcPr>
            <w:tcW w:w="3839" w:type="dxa"/>
            <w:shd w:val="clear" w:color="auto" w:fill="auto"/>
            <w:vAlign w:val="bottom"/>
            <w:hideMark/>
          </w:tcPr>
          <w:p w:rsidR="002A3D38" w:rsidRPr="00BF1FAB" w:rsidRDefault="002A3D38" w:rsidP="00A536E3">
            <w:pPr>
              <w:jc w:val="both"/>
              <w:rPr>
                <w:b/>
                <w:bCs/>
                <w:color w:val="000000"/>
                <w:sz w:val="18"/>
                <w:szCs w:val="18"/>
              </w:rPr>
            </w:pPr>
            <w:r w:rsidRPr="00BF1FAB">
              <w:rPr>
                <w:b/>
                <w:bCs/>
                <w:color w:val="000000"/>
                <w:sz w:val="18"/>
                <w:szCs w:val="18"/>
              </w:rPr>
              <w:t>Расходы бюджета - всего</w:t>
            </w:r>
          </w:p>
        </w:tc>
        <w:tc>
          <w:tcPr>
            <w:tcW w:w="1144" w:type="dxa"/>
            <w:shd w:val="clear" w:color="auto" w:fill="auto"/>
            <w:noWrap/>
            <w:vAlign w:val="center"/>
            <w:hideMark/>
          </w:tcPr>
          <w:p w:rsidR="002A3D38" w:rsidRPr="00BF1FAB" w:rsidRDefault="002A3D38" w:rsidP="002A3D38">
            <w:pPr>
              <w:jc w:val="center"/>
              <w:rPr>
                <w:b/>
                <w:bCs/>
                <w:color w:val="000000"/>
                <w:sz w:val="18"/>
                <w:szCs w:val="18"/>
              </w:rPr>
            </w:pPr>
          </w:p>
        </w:tc>
        <w:tc>
          <w:tcPr>
            <w:tcW w:w="1134" w:type="dxa"/>
            <w:shd w:val="clear" w:color="auto" w:fill="auto"/>
            <w:noWrap/>
            <w:vAlign w:val="center"/>
            <w:hideMark/>
          </w:tcPr>
          <w:p w:rsidR="002A3D38" w:rsidRPr="00BF1FAB" w:rsidRDefault="002A3D38" w:rsidP="002A3D38">
            <w:pPr>
              <w:jc w:val="center"/>
              <w:rPr>
                <w:b/>
                <w:bCs/>
                <w:sz w:val="18"/>
                <w:szCs w:val="18"/>
              </w:rPr>
            </w:pPr>
            <w:r w:rsidRPr="00BF1FAB">
              <w:rPr>
                <w:b/>
                <w:bCs/>
                <w:sz w:val="18"/>
                <w:szCs w:val="18"/>
              </w:rPr>
              <w:t>39102,4</w:t>
            </w:r>
          </w:p>
        </w:tc>
        <w:tc>
          <w:tcPr>
            <w:tcW w:w="1134" w:type="dxa"/>
            <w:shd w:val="clear" w:color="auto" w:fill="auto"/>
            <w:noWrap/>
            <w:vAlign w:val="center"/>
            <w:hideMark/>
          </w:tcPr>
          <w:p w:rsidR="002A3D38" w:rsidRPr="00BF1FAB" w:rsidRDefault="002A3D38" w:rsidP="002A3D38">
            <w:pPr>
              <w:jc w:val="center"/>
              <w:rPr>
                <w:b/>
                <w:bCs/>
                <w:sz w:val="18"/>
                <w:szCs w:val="18"/>
              </w:rPr>
            </w:pPr>
            <w:r w:rsidRPr="00BF1FAB">
              <w:rPr>
                <w:b/>
                <w:bCs/>
                <w:sz w:val="18"/>
                <w:szCs w:val="18"/>
              </w:rPr>
              <w:t>49531,2</w:t>
            </w:r>
          </w:p>
        </w:tc>
        <w:tc>
          <w:tcPr>
            <w:tcW w:w="1134" w:type="dxa"/>
            <w:shd w:val="clear" w:color="auto" w:fill="auto"/>
            <w:noWrap/>
            <w:vAlign w:val="center"/>
            <w:hideMark/>
          </w:tcPr>
          <w:p w:rsidR="002A3D38" w:rsidRPr="00BF1FAB" w:rsidRDefault="002A3D38" w:rsidP="002A3D38">
            <w:pPr>
              <w:jc w:val="center"/>
              <w:rPr>
                <w:b/>
                <w:bCs/>
                <w:iCs/>
                <w:sz w:val="18"/>
                <w:szCs w:val="18"/>
              </w:rPr>
            </w:pPr>
            <w:r w:rsidRPr="00BF1FAB">
              <w:rPr>
                <w:b/>
                <w:bCs/>
                <w:iCs/>
                <w:sz w:val="18"/>
                <w:szCs w:val="18"/>
              </w:rPr>
              <w:t>10428,8</w:t>
            </w:r>
          </w:p>
        </w:tc>
        <w:tc>
          <w:tcPr>
            <w:tcW w:w="850" w:type="dxa"/>
            <w:shd w:val="clear" w:color="auto" w:fill="auto"/>
            <w:noWrap/>
            <w:vAlign w:val="center"/>
            <w:hideMark/>
          </w:tcPr>
          <w:p w:rsidR="002A3D38" w:rsidRPr="00BF1FAB" w:rsidRDefault="002A3D38" w:rsidP="002A3D38">
            <w:pPr>
              <w:jc w:val="center"/>
              <w:rPr>
                <w:b/>
                <w:bCs/>
                <w:iCs/>
                <w:sz w:val="18"/>
                <w:szCs w:val="18"/>
              </w:rPr>
            </w:pPr>
            <w:r w:rsidRPr="00BF1FAB">
              <w:rPr>
                <w:b/>
                <w:bCs/>
                <w:iCs/>
                <w:sz w:val="18"/>
                <w:szCs w:val="18"/>
              </w:rPr>
              <w:t>26,7</w:t>
            </w:r>
          </w:p>
        </w:tc>
      </w:tr>
      <w:tr w:rsidR="002A3D38" w:rsidRPr="00BF1FAB" w:rsidTr="00CE4107">
        <w:trPr>
          <w:trHeight w:val="199"/>
          <w:jc w:val="center"/>
        </w:trPr>
        <w:tc>
          <w:tcPr>
            <w:tcW w:w="3839" w:type="dxa"/>
            <w:shd w:val="clear" w:color="auto" w:fill="auto"/>
            <w:vAlign w:val="bottom"/>
            <w:hideMark/>
          </w:tcPr>
          <w:p w:rsidR="002A3D38" w:rsidRPr="00BF1FAB" w:rsidRDefault="002A3D38" w:rsidP="00A536E3">
            <w:pPr>
              <w:jc w:val="both"/>
              <w:rPr>
                <w:b/>
                <w:bCs/>
                <w:color w:val="000000"/>
                <w:sz w:val="18"/>
                <w:szCs w:val="18"/>
              </w:rPr>
            </w:pPr>
            <w:r w:rsidRPr="00BF1FAB">
              <w:rPr>
                <w:b/>
                <w:bCs/>
                <w:color w:val="000000"/>
                <w:sz w:val="18"/>
                <w:szCs w:val="18"/>
              </w:rPr>
              <w:t>Общегосударственные вопросы</w:t>
            </w:r>
          </w:p>
        </w:tc>
        <w:tc>
          <w:tcPr>
            <w:tcW w:w="1144" w:type="dxa"/>
            <w:shd w:val="clear" w:color="auto" w:fill="auto"/>
            <w:noWrap/>
            <w:vAlign w:val="center"/>
            <w:hideMark/>
          </w:tcPr>
          <w:p w:rsidR="002A3D38" w:rsidRPr="00BF1FAB" w:rsidRDefault="002A3D38" w:rsidP="002A3D38">
            <w:pPr>
              <w:jc w:val="center"/>
              <w:rPr>
                <w:sz w:val="18"/>
                <w:szCs w:val="18"/>
              </w:rPr>
            </w:pPr>
            <w:r w:rsidRPr="00BF1FAB">
              <w:rPr>
                <w:sz w:val="18"/>
                <w:szCs w:val="18"/>
              </w:rPr>
              <w:t>0800</w:t>
            </w:r>
          </w:p>
        </w:tc>
        <w:tc>
          <w:tcPr>
            <w:tcW w:w="1134" w:type="dxa"/>
            <w:shd w:val="clear" w:color="auto" w:fill="auto"/>
            <w:noWrap/>
            <w:vAlign w:val="center"/>
            <w:hideMark/>
          </w:tcPr>
          <w:p w:rsidR="002A3D38" w:rsidRPr="00BF1FAB" w:rsidRDefault="002A3D38" w:rsidP="002A3D38">
            <w:pPr>
              <w:jc w:val="center"/>
              <w:rPr>
                <w:b/>
                <w:bCs/>
                <w:sz w:val="18"/>
                <w:szCs w:val="18"/>
              </w:rPr>
            </w:pPr>
            <w:r w:rsidRPr="00BF1FAB">
              <w:rPr>
                <w:b/>
                <w:bCs/>
                <w:sz w:val="18"/>
                <w:szCs w:val="18"/>
              </w:rPr>
              <w:t>39102,4</w:t>
            </w:r>
          </w:p>
        </w:tc>
        <w:tc>
          <w:tcPr>
            <w:tcW w:w="1134" w:type="dxa"/>
            <w:shd w:val="clear" w:color="auto" w:fill="auto"/>
            <w:noWrap/>
            <w:vAlign w:val="center"/>
            <w:hideMark/>
          </w:tcPr>
          <w:p w:rsidR="002A3D38" w:rsidRPr="00BF1FAB" w:rsidRDefault="002A3D38" w:rsidP="002A3D38">
            <w:pPr>
              <w:jc w:val="center"/>
              <w:rPr>
                <w:b/>
                <w:bCs/>
                <w:sz w:val="18"/>
                <w:szCs w:val="18"/>
              </w:rPr>
            </w:pPr>
            <w:r w:rsidRPr="00BF1FAB">
              <w:rPr>
                <w:b/>
                <w:bCs/>
                <w:sz w:val="18"/>
                <w:szCs w:val="18"/>
              </w:rPr>
              <w:t>49531,2</w:t>
            </w:r>
          </w:p>
        </w:tc>
        <w:tc>
          <w:tcPr>
            <w:tcW w:w="1134" w:type="dxa"/>
            <w:shd w:val="clear" w:color="auto" w:fill="auto"/>
            <w:noWrap/>
            <w:vAlign w:val="center"/>
            <w:hideMark/>
          </w:tcPr>
          <w:p w:rsidR="002A3D38" w:rsidRPr="00BF1FAB" w:rsidRDefault="002A3D38" w:rsidP="002A3D38">
            <w:pPr>
              <w:jc w:val="center"/>
              <w:rPr>
                <w:b/>
                <w:bCs/>
                <w:iCs/>
                <w:sz w:val="18"/>
                <w:szCs w:val="18"/>
              </w:rPr>
            </w:pPr>
            <w:r w:rsidRPr="00BF1FAB">
              <w:rPr>
                <w:b/>
                <w:bCs/>
                <w:iCs/>
                <w:sz w:val="18"/>
                <w:szCs w:val="18"/>
              </w:rPr>
              <w:t>10428,8</w:t>
            </w:r>
          </w:p>
        </w:tc>
        <w:tc>
          <w:tcPr>
            <w:tcW w:w="850" w:type="dxa"/>
            <w:shd w:val="clear" w:color="000000" w:fill="FFFFFF"/>
            <w:noWrap/>
            <w:vAlign w:val="center"/>
            <w:hideMark/>
          </w:tcPr>
          <w:p w:rsidR="002A3D38" w:rsidRPr="00BF1FAB" w:rsidRDefault="002A3D38" w:rsidP="002A3D38">
            <w:pPr>
              <w:jc w:val="center"/>
              <w:rPr>
                <w:b/>
                <w:bCs/>
                <w:iCs/>
                <w:sz w:val="18"/>
                <w:szCs w:val="18"/>
              </w:rPr>
            </w:pPr>
            <w:r w:rsidRPr="00BF1FAB">
              <w:rPr>
                <w:b/>
                <w:bCs/>
                <w:iCs/>
                <w:sz w:val="18"/>
                <w:szCs w:val="18"/>
              </w:rPr>
              <w:t>26,7</w:t>
            </w:r>
          </w:p>
        </w:tc>
      </w:tr>
      <w:tr w:rsidR="002A3D38" w:rsidRPr="00BF1FAB" w:rsidTr="00CE4107">
        <w:trPr>
          <w:trHeight w:val="285"/>
          <w:jc w:val="center"/>
        </w:trPr>
        <w:tc>
          <w:tcPr>
            <w:tcW w:w="3839" w:type="dxa"/>
            <w:shd w:val="clear" w:color="auto" w:fill="auto"/>
            <w:vAlign w:val="bottom"/>
            <w:hideMark/>
          </w:tcPr>
          <w:p w:rsidR="002A3D38" w:rsidRPr="00BF1FAB" w:rsidRDefault="002A3D38" w:rsidP="00A536E3">
            <w:pPr>
              <w:rPr>
                <w:bCs/>
                <w:iCs/>
                <w:sz w:val="18"/>
                <w:szCs w:val="18"/>
              </w:rPr>
            </w:pPr>
            <w:r w:rsidRPr="00BF1FAB">
              <w:rPr>
                <w:bCs/>
                <w:iCs/>
                <w:sz w:val="18"/>
                <w:szCs w:val="18"/>
              </w:rPr>
              <w:t>Прикладные научные исследования в области общегосударственных вопросов</w:t>
            </w:r>
          </w:p>
        </w:tc>
        <w:tc>
          <w:tcPr>
            <w:tcW w:w="1144" w:type="dxa"/>
            <w:shd w:val="clear" w:color="auto" w:fill="auto"/>
            <w:noWrap/>
            <w:vAlign w:val="center"/>
            <w:hideMark/>
          </w:tcPr>
          <w:p w:rsidR="002A3D38" w:rsidRPr="00BF1FAB" w:rsidRDefault="002A3D38" w:rsidP="002A3D38">
            <w:pPr>
              <w:jc w:val="center"/>
              <w:rPr>
                <w:sz w:val="18"/>
                <w:szCs w:val="18"/>
              </w:rPr>
            </w:pPr>
            <w:r w:rsidRPr="00BF1FAB">
              <w:rPr>
                <w:sz w:val="18"/>
                <w:szCs w:val="18"/>
              </w:rPr>
              <w:t>0801</w:t>
            </w:r>
          </w:p>
        </w:tc>
        <w:tc>
          <w:tcPr>
            <w:tcW w:w="1134" w:type="dxa"/>
            <w:shd w:val="clear" w:color="auto" w:fill="auto"/>
            <w:noWrap/>
            <w:vAlign w:val="center"/>
            <w:hideMark/>
          </w:tcPr>
          <w:p w:rsidR="002A3D38" w:rsidRPr="00BF1FAB" w:rsidRDefault="002A3D38" w:rsidP="002A3D38">
            <w:pPr>
              <w:jc w:val="center"/>
              <w:rPr>
                <w:bCs/>
                <w:iCs/>
                <w:sz w:val="18"/>
                <w:szCs w:val="18"/>
              </w:rPr>
            </w:pPr>
            <w:r w:rsidRPr="00BF1FAB">
              <w:rPr>
                <w:bCs/>
                <w:iCs/>
                <w:sz w:val="18"/>
                <w:szCs w:val="18"/>
              </w:rPr>
              <w:t>13032,1</w:t>
            </w:r>
          </w:p>
        </w:tc>
        <w:tc>
          <w:tcPr>
            <w:tcW w:w="1134" w:type="dxa"/>
            <w:shd w:val="clear" w:color="auto" w:fill="auto"/>
            <w:noWrap/>
            <w:vAlign w:val="center"/>
            <w:hideMark/>
          </w:tcPr>
          <w:p w:rsidR="002A3D38" w:rsidRPr="00BF1FAB" w:rsidRDefault="002A3D38" w:rsidP="002A3D38">
            <w:pPr>
              <w:jc w:val="center"/>
              <w:rPr>
                <w:bCs/>
                <w:iCs/>
                <w:sz w:val="18"/>
                <w:szCs w:val="18"/>
              </w:rPr>
            </w:pPr>
            <w:r w:rsidRPr="00BF1FAB">
              <w:rPr>
                <w:bCs/>
                <w:iCs/>
                <w:sz w:val="18"/>
                <w:szCs w:val="18"/>
              </w:rPr>
              <w:t>18122,1</w:t>
            </w:r>
          </w:p>
        </w:tc>
        <w:tc>
          <w:tcPr>
            <w:tcW w:w="1134" w:type="dxa"/>
            <w:shd w:val="clear" w:color="auto" w:fill="auto"/>
            <w:noWrap/>
            <w:vAlign w:val="center"/>
            <w:hideMark/>
          </w:tcPr>
          <w:p w:rsidR="002A3D38" w:rsidRPr="00BF1FAB" w:rsidRDefault="002A3D38" w:rsidP="002A3D38">
            <w:pPr>
              <w:jc w:val="center"/>
              <w:rPr>
                <w:bCs/>
                <w:iCs/>
                <w:sz w:val="18"/>
                <w:szCs w:val="18"/>
              </w:rPr>
            </w:pPr>
            <w:r w:rsidRPr="00BF1FAB">
              <w:rPr>
                <w:bCs/>
                <w:iCs/>
                <w:sz w:val="18"/>
                <w:szCs w:val="18"/>
              </w:rPr>
              <w:t>5090,0</w:t>
            </w:r>
          </w:p>
        </w:tc>
        <w:tc>
          <w:tcPr>
            <w:tcW w:w="850" w:type="dxa"/>
            <w:shd w:val="clear" w:color="000000" w:fill="FFFFFF"/>
            <w:noWrap/>
            <w:vAlign w:val="center"/>
            <w:hideMark/>
          </w:tcPr>
          <w:p w:rsidR="002A3D38" w:rsidRPr="00BF1FAB" w:rsidRDefault="002A3D38" w:rsidP="002A3D38">
            <w:pPr>
              <w:jc w:val="center"/>
              <w:rPr>
                <w:bCs/>
                <w:iCs/>
                <w:sz w:val="18"/>
                <w:szCs w:val="18"/>
              </w:rPr>
            </w:pPr>
            <w:r w:rsidRPr="00BF1FAB">
              <w:rPr>
                <w:bCs/>
                <w:iCs/>
                <w:sz w:val="18"/>
                <w:szCs w:val="18"/>
              </w:rPr>
              <w:t>39,1</w:t>
            </w:r>
          </w:p>
        </w:tc>
      </w:tr>
      <w:tr w:rsidR="002A3D38" w:rsidRPr="00BF1FAB" w:rsidTr="00CE4107">
        <w:trPr>
          <w:trHeight w:val="132"/>
          <w:jc w:val="center"/>
        </w:trPr>
        <w:tc>
          <w:tcPr>
            <w:tcW w:w="3839" w:type="dxa"/>
            <w:shd w:val="clear" w:color="auto" w:fill="auto"/>
            <w:vAlign w:val="bottom"/>
            <w:hideMark/>
          </w:tcPr>
          <w:p w:rsidR="002A3D38" w:rsidRPr="00BF1FAB" w:rsidRDefault="002A3D38" w:rsidP="00A536E3">
            <w:pPr>
              <w:rPr>
                <w:bCs/>
                <w:iCs/>
                <w:sz w:val="18"/>
                <w:szCs w:val="18"/>
              </w:rPr>
            </w:pPr>
            <w:r w:rsidRPr="00BF1FAB">
              <w:rPr>
                <w:bCs/>
                <w:iCs/>
                <w:sz w:val="18"/>
                <w:szCs w:val="18"/>
              </w:rPr>
              <w:t>Другие общегосударственные вопросы</w:t>
            </w:r>
          </w:p>
        </w:tc>
        <w:tc>
          <w:tcPr>
            <w:tcW w:w="1144" w:type="dxa"/>
            <w:shd w:val="clear" w:color="auto" w:fill="auto"/>
            <w:noWrap/>
            <w:vAlign w:val="center"/>
            <w:hideMark/>
          </w:tcPr>
          <w:p w:rsidR="002A3D38" w:rsidRPr="00BF1FAB" w:rsidRDefault="002A3D38" w:rsidP="002A3D38">
            <w:pPr>
              <w:jc w:val="center"/>
              <w:rPr>
                <w:sz w:val="18"/>
                <w:szCs w:val="18"/>
              </w:rPr>
            </w:pPr>
            <w:r w:rsidRPr="00BF1FAB">
              <w:rPr>
                <w:sz w:val="18"/>
                <w:szCs w:val="18"/>
              </w:rPr>
              <w:t>0804</w:t>
            </w:r>
          </w:p>
        </w:tc>
        <w:tc>
          <w:tcPr>
            <w:tcW w:w="1134" w:type="dxa"/>
            <w:shd w:val="clear" w:color="auto" w:fill="auto"/>
            <w:noWrap/>
            <w:vAlign w:val="center"/>
            <w:hideMark/>
          </w:tcPr>
          <w:p w:rsidR="002A3D38" w:rsidRPr="00BF1FAB" w:rsidRDefault="00E22B55" w:rsidP="002A3D38">
            <w:pPr>
              <w:jc w:val="center"/>
              <w:rPr>
                <w:bCs/>
                <w:iCs/>
                <w:sz w:val="18"/>
                <w:szCs w:val="18"/>
              </w:rPr>
            </w:pPr>
            <w:r w:rsidRPr="00BF1FAB">
              <w:rPr>
                <w:bCs/>
                <w:iCs/>
                <w:sz w:val="18"/>
                <w:szCs w:val="18"/>
              </w:rPr>
              <w:t>26071,3</w:t>
            </w:r>
          </w:p>
        </w:tc>
        <w:tc>
          <w:tcPr>
            <w:tcW w:w="1134" w:type="dxa"/>
            <w:shd w:val="clear" w:color="auto" w:fill="auto"/>
            <w:noWrap/>
            <w:vAlign w:val="center"/>
            <w:hideMark/>
          </w:tcPr>
          <w:p w:rsidR="002A3D38" w:rsidRPr="00BF1FAB" w:rsidRDefault="002A3D38" w:rsidP="002A3D38">
            <w:pPr>
              <w:jc w:val="center"/>
              <w:rPr>
                <w:bCs/>
                <w:iCs/>
                <w:sz w:val="18"/>
                <w:szCs w:val="18"/>
              </w:rPr>
            </w:pPr>
            <w:r w:rsidRPr="00BF1FAB">
              <w:rPr>
                <w:bCs/>
                <w:iCs/>
                <w:sz w:val="18"/>
                <w:szCs w:val="18"/>
              </w:rPr>
              <w:t>31409,1</w:t>
            </w:r>
          </w:p>
        </w:tc>
        <w:tc>
          <w:tcPr>
            <w:tcW w:w="1134" w:type="dxa"/>
            <w:shd w:val="clear" w:color="auto" w:fill="auto"/>
            <w:noWrap/>
            <w:vAlign w:val="center"/>
            <w:hideMark/>
          </w:tcPr>
          <w:p w:rsidR="002A3D38" w:rsidRPr="00BF1FAB" w:rsidRDefault="002A3D38" w:rsidP="002A3D38">
            <w:pPr>
              <w:jc w:val="center"/>
              <w:rPr>
                <w:bCs/>
                <w:iCs/>
                <w:sz w:val="18"/>
                <w:szCs w:val="18"/>
              </w:rPr>
            </w:pPr>
            <w:r w:rsidRPr="00BF1FAB">
              <w:rPr>
                <w:bCs/>
                <w:iCs/>
                <w:sz w:val="18"/>
                <w:szCs w:val="18"/>
              </w:rPr>
              <w:t>5337,8</w:t>
            </w:r>
          </w:p>
        </w:tc>
        <w:tc>
          <w:tcPr>
            <w:tcW w:w="850" w:type="dxa"/>
            <w:shd w:val="clear" w:color="000000" w:fill="FFFFFF"/>
            <w:noWrap/>
            <w:vAlign w:val="center"/>
            <w:hideMark/>
          </w:tcPr>
          <w:p w:rsidR="002A3D38" w:rsidRPr="00BF1FAB" w:rsidRDefault="002A3D38" w:rsidP="002A3D38">
            <w:pPr>
              <w:jc w:val="center"/>
              <w:rPr>
                <w:bCs/>
                <w:iCs/>
                <w:sz w:val="18"/>
                <w:szCs w:val="18"/>
              </w:rPr>
            </w:pPr>
            <w:r w:rsidRPr="00BF1FAB">
              <w:rPr>
                <w:bCs/>
                <w:iCs/>
                <w:sz w:val="18"/>
                <w:szCs w:val="18"/>
              </w:rPr>
              <w:t>20,5</w:t>
            </w:r>
          </w:p>
        </w:tc>
      </w:tr>
    </w:tbl>
    <w:p w:rsidR="003147BD" w:rsidRPr="00BF1FAB" w:rsidRDefault="00887864" w:rsidP="006426A1">
      <w:pPr>
        <w:tabs>
          <w:tab w:val="left" w:pos="0"/>
        </w:tabs>
        <w:spacing w:before="120"/>
        <w:jc w:val="both"/>
      </w:pPr>
      <w:r w:rsidRPr="00BF1FAB">
        <w:rPr>
          <w:i/>
          <w:color w:val="76923C" w:themeColor="accent3" w:themeShade="BF"/>
        </w:rPr>
        <w:tab/>
      </w:r>
      <w:r w:rsidR="00370E61" w:rsidRPr="00BF1FAB">
        <w:t>В</w:t>
      </w:r>
      <w:r w:rsidR="003147BD" w:rsidRPr="00BF1FAB">
        <w:t xml:space="preserve"> 201</w:t>
      </w:r>
      <w:r w:rsidR="002A3D38" w:rsidRPr="00BF1FAB">
        <w:t>9</w:t>
      </w:r>
      <w:r w:rsidR="003147BD" w:rsidRPr="00BF1FAB">
        <w:t xml:space="preserve"> год</w:t>
      </w:r>
      <w:r w:rsidR="00C5550C" w:rsidRPr="00BF1FAB">
        <w:t>у</w:t>
      </w:r>
      <w:r w:rsidR="003147BD" w:rsidRPr="00BF1FAB">
        <w:t xml:space="preserve"> расходы Комитета относительно показателя 201</w:t>
      </w:r>
      <w:r w:rsidR="002A3D38" w:rsidRPr="00BF1FAB">
        <w:t>8</w:t>
      </w:r>
      <w:r w:rsidR="003147BD" w:rsidRPr="00BF1FAB">
        <w:t xml:space="preserve"> года увеличились на </w:t>
      </w:r>
      <w:r w:rsidR="002A3D38" w:rsidRPr="00BF1FAB">
        <w:t>10428,8</w:t>
      </w:r>
      <w:r w:rsidR="0039662F" w:rsidRPr="00BF1FAB">
        <w:t xml:space="preserve"> тыс. руб. (+</w:t>
      </w:r>
      <w:r w:rsidR="002A3D38" w:rsidRPr="00BF1FAB">
        <w:t>26,7</w:t>
      </w:r>
      <w:r w:rsidR="0090274D" w:rsidRPr="00BF1FAB">
        <w:t xml:space="preserve">%) </w:t>
      </w:r>
      <w:r w:rsidR="00531A1F" w:rsidRPr="00BF1FAB">
        <w:t>в основном</w:t>
      </w:r>
      <w:r w:rsidR="0090274D" w:rsidRPr="00BF1FAB">
        <w:t>:</w:t>
      </w:r>
    </w:p>
    <w:p w:rsidR="00EC1346" w:rsidRPr="00BF1FAB" w:rsidRDefault="00C84626" w:rsidP="00EC1346">
      <w:pPr>
        <w:tabs>
          <w:tab w:val="left" w:pos="0"/>
        </w:tabs>
        <w:jc w:val="both"/>
      </w:pPr>
      <w:r w:rsidRPr="00BF1FAB">
        <w:tab/>
      </w:r>
      <w:r w:rsidR="0090274D" w:rsidRPr="00BF1FAB">
        <w:t>-</w:t>
      </w:r>
      <w:r w:rsidR="004959E3" w:rsidRPr="00BF1FAB">
        <w:t xml:space="preserve">по подразделу </w:t>
      </w:r>
      <w:r w:rsidR="002202A7" w:rsidRPr="00BF1FAB">
        <w:t xml:space="preserve">0801 "Прикладные научные исследования в области общегосударственных вопросов" в связи с увеличением расходов </w:t>
      </w:r>
      <w:r w:rsidR="00C12E9A" w:rsidRPr="00BF1FAB">
        <w:t xml:space="preserve">на </w:t>
      </w:r>
      <w:r w:rsidR="002A3D38" w:rsidRPr="00BF1FAB">
        <w:t>5090,0</w:t>
      </w:r>
      <w:r w:rsidR="0039662F" w:rsidRPr="00BF1FAB">
        <w:t xml:space="preserve"> тыс. руб. (+</w:t>
      </w:r>
      <w:r w:rsidR="002A3D38" w:rsidRPr="00BF1FAB">
        <w:t>39,1</w:t>
      </w:r>
      <w:r w:rsidR="003147BD" w:rsidRPr="00BF1FAB">
        <w:t xml:space="preserve">%) на </w:t>
      </w:r>
      <w:r w:rsidRPr="00BF1FAB">
        <w:t xml:space="preserve">предоставление субсидий подведомственному учреждению ГБУ ВО НПЦ на выполнение государственного задания </w:t>
      </w:r>
      <w:r w:rsidR="00EC1346" w:rsidRPr="00BF1FAB">
        <w:t>(928,9 тыс.</w:t>
      </w:r>
      <w:r w:rsidR="006E0E9B" w:rsidRPr="00BF1FAB">
        <w:t xml:space="preserve"> </w:t>
      </w:r>
      <w:r w:rsidR="00EC1346" w:rsidRPr="00BF1FAB">
        <w:t xml:space="preserve">руб., или 7,6%) </w:t>
      </w:r>
      <w:r w:rsidRPr="00BF1FAB">
        <w:t>и на иные цели</w:t>
      </w:r>
      <w:r w:rsidR="00EC1346" w:rsidRPr="00BF1FAB">
        <w:t xml:space="preserve"> (4161,1 тыс.руб., или в 5 раз)</w:t>
      </w:r>
      <w:r w:rsidR="0090274D" w:rsidRPr="00BF1FAB">
        <w:t>;</w:t>
      </w:r>
      <w:r w:rsidR="00EC1346" w:rsidRPr="00BF1FAB">
        <w:t xml:space="preserve"> </w:t>
      </w:r>
    </w:p>
    <w:p w:rsidR="002202A7" w:rsidRPr="00BF1FAB" w:rsidRDefault="002202A7" w:rsidP="00531A1F">
      <w:pPr>
        <w:autoSpaceDE w:val="0"/>
        <w:autoSpaceDN w:val="0"/>
        <w:adjustRightInd w:val="0"/>
        <w:ind w:firstLine="709"/>
        <w:jc w:val="both"/>
      </w:pPr>
      <w:r w:rsidRPr="00BF1FAB">
        <w:t>-</w:t>
      </w:r>
      <w:r w:rsidR="004959E3" w:rsidRPr="00BF1FAB">
        <w:t xml:space="preserve">по подразделу </w:t>
      </w:r>
      <w:r w:rsidRPr="00BF1FAB">
        <w:t xml:space="preserve">0804 "Другие общегосударственные вопросы" в связи с </w:t>
      </w:r>
      <w:r w:rsidR="00531A1F" w:rsidRPr="00BF1FAB">
        <w:t xml:space="preserve">выделением средств на реализацию мероприятий </w:t>
      </w:r>
      <w:r w:rsidR="00531A1F" w:rsidRPr="00BF1FAB">
        <w:rPr>
          <w:rFonts w:eastAsiaTheme="minorHAnsi"/>
          <w:lang w:eastAsia="en-US"/>
        </w:rPr>
        <w:t xml:space="preserve">ФЦП Увековечение памяти погибших в сумме 5430,2 тыс. руб., в том числе </w:t>
      </w:r>
      <w:r w:rsidR="00531A1F" w:rsidRPr="00BF1FAB">
        <w:t>субсидии из федерального бюджета 4670,0 тыс. руб., из областного бюджета в сумме 760,2 тыс. руб.</w:t>
      </w:r>
      <w:r w:rsidRPr="00BF1FAB">
        <w:t xml:space="preserve"> (+100,0%), </w:t>
      </w:r>
      <w:r w:rsidR="00531A1F" w:rsidRPr="00BF1FAB">
        <w:t xml:space="preserve">а также </w:t>
      </w:r>
      <w:r w:rsidRPr="00BF1FAB">
        <w:t>увеличени</w:t>
      </w:r>
      <w:r w:rsidR="000A6D31" w:rsidRPr="00BF1FAB">
        <w:t>ем</w:t>
      </w:r>
      <w:r w:rsidRPr="00BF1FAB">
        <w:t xml:space="preserve"> субвенции из федерального бюджета на осуществление переданных полномочий РФ в отношении </w:t>
      </w:r>
      <w:r w:rsidR="00531A1F" w:rsidRPr="00BF1FAB">
        <w:t xml:space="preserve">объектов культурного наследия </w:t>
      </w:r>
      <w:r w:rsidR="00EE4B8A" w:rsidRPr="00BF1FAB">
        <w:t xml:space="preserve">(далее </w:t>
      </w:r>
      <w:r w:rsidR="00EE4B8A" w:rsidRPr="00BF1FAB">
        <w:lastRenderedPageBreak/>
        <w:t>ОКН)</w:t>
      </w:r>
      <w:r w:rsidRPr="00BF1FAB">
        <w:t xml:space="preserve"> на 5373,0 тыс.руб. (в 9,6 раз)</w:t>
      </w:r>
      <w:r w:rsidR="00531A1F" w:rsidRPr="00BF1FAB">
        <w:t xml:space="preserve"> </w:t>
      </w:r>
      <w:r w:rsidRPr="00BF1FAB">
        <w:t xml:space="preserve">в связи </w:t>
      </w:r>
      <w:r w:rsidR="006426A1" w:rsidRPr="00BF1FAB">
        <w:t xml:space="preserve">с </w:t>
      </w:r>
      <w:r w:rsidR="000A6D31" w:rsidRPr="00BF1FAB">
        <w:t xml:space="preserve">изменением </w:t>
      </w:r>
      <w:r w:rsidR="006426A1" w:rsidRPr="00BF1FAB">
        <w:t>Методик</w:t>
      </w:r>
      <w:r w:rsidR="000A6D31" w:rsidRPr="00BF1FAB">
        <w:t xml:space="preserve">и расчета </w:t>
      </w:r>
      <w:r w:rsidR="006426A1" w:rsidRPr="00BF1FAB">
        <w:t>субвенций</w:t>
      </w:r>
      <w:r w:rsidR="00377D0B" w:rsidRPr="00BF1FAB">
        <w:t>, утвержденной Постановлением №1183</w:t>
      </w:r>
      <w:r w:rsidR="006426A1" w:rsidRPr="00BF1FAB">
        <w:t>.</w:t>
      </w:r>
    </w:p>
    <w:p w:rsidR="003147BD" w:rsidRPr="00BF1FAB" w:rsidRDefault="003147BD" w:rsidP="005F431F">
      <w:pPr>
        <w:tabs>
          <w:tab w:val="left" w:pos="0"/>
        </w:tabs>
        <w:spacing w:before="120" w:after="120"/>
        <w:jc w:val="center"/>
        <w:rPr>
          <w:b/>
        </w:rPr>
      </w:pPr>
      <w:r w:rsidRPr="00BF1FAB">
        <w:rPr>
          <w:b/>
        </w:rPr>
        <w:t>Состояние дебиторской и кредиторской задолженностей</w:t>
      </w:r>
    </w:p>
    <w:p w:rsidR="006C3394" w:rsidRPr="00BF1FAB" w:rsidRDefault="003147BD" w:rsidP="00D31F80">
      <w:pPr>
        <w:ind w:firstLine="709"/>
        <w:jc w:val="both"/>
        <w:rPr>
          <w:color w:val="000099"/>
        </w:rPr>
      </w:pPr>
      <w:r w:rsidRPr="00BF1FAB">
        <w:t xml:space="preserve">Информация о динамике дебиторской и кредиторской задолженностей Комитета </w:t>
      </w:r>
      <w:r w:rsidR="00CE433E" w:rsidRPr="00BF1FAB">
        <w:t xml:space="preserve">и подведомственных ему учреждений </w:t>
      </w:r>
      <w:r w:rsidRPr="00BF1FAB">
        <w:t xml:space="preserve">представлена </w:t>
      </w:r>
      <w:r w:rsidRPr="00BF1FAB">
        <w:rPr>
          <w:color w:val="000099"/>
        </w:rPr>
        <w:t>в таблице</w:t>
      </w:r>
      <w:r w:rsidR="005F431F" w:rsidRPr="00BF1FAB">
        <w:rPr>
          <w:color w:val="000099"/>
        </w:rPr>
        <w:t xml:space="preserve"> №</w:t>
      </w:r>
      <w:r w:rsidR="00593221" w:rsidRPr="00BF1FAB">
        <w:rPr>
          <w:color w:val="000099"/>
        </w:rPr>
        <w:t>3</w:t>
      </w:r>
      <w:r w:rsidRPr="00BF1FAB">
        <w:rPr>
          <w:color w:val="000099"/>
        </w:rPr>
        <w:t>.</w:t>
      </w:r>
    </w:p>
    <w:p w:rsidR="003147BD" w:rsidRPr="00BF1FAB" w:rsidRDefault="005F431F" w:rsidP="003147BD">
      <w:pPr>
        <w:ind w:firstLine="709"/>
        <w:jc w:val="right"/>
        <w:rPr>
          <w:color w:val="000099"/>
          <w:sz w:val="20"/>
          <w:szCs w:val="20"/>
        </w:rPr>
      </w:pPr>
      <w:r w:rsidRPr="00BF1FAB">
        <w:rPr>
          <w:color w:val="000099"/>
          <w:sz w:val="20"/>
          <w:szCs w:val="20"/>
        </w:rPr>
        <w:t>Таблица №</w:t>
      </w:r>
      <w:r w:rsidR="00593221" w:rsidRPr="00BF1FAB">
        <w:rPr>
          <w:color w:val="000099"/>
          <w:sz w:val="20"/>
          <w:szCs w:val="20"/>
        </w:rPr>
        <w:t>3</w:t>
      </w:r>
      <w:r w:rsidRPr="00BF1FAB">
        <w:rPr>
          <w:color w:val="000099"/>
          <w:sz w:val="20"/>
          <w:szCs w:val="20"/>
        </w:rPr>
        <w:t xml:space="preserve">, </w:t>
      </w:r>
      <w:r w:rsidR="003147BD" w:rsidRPr="00BF1FAB">
        <w:rPr>
          <w:color w:val="000099"/>
          <w:sz w:val="20"/>
          <w:szCs w:val="20"/>
        </w:rPr>
        <w:t>тыс. руб.</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6"/>
        <w:gridCol w:w="1140"/>
        <w:gridCol w:w="1140"/>
        <w:gridCol w:w="1122"/>
        <w:gridCol w:w="1829"/>
      </w:tblGrid>
      <w:tr w:rsidR="003147BD" w:rsidRPr="00BF1FAB" w:rsidTr="00CE4107">
        <w:trPr>
          <w:jc w:val="center"/>
        </w:trPr>
        <w:tc>
          <w:tcPr>
            <w:tcW w:w="4426" w:type="dxa"/>
            <w:vMerge w:val="restart"/>
            <w:shd w:val="clear" w:color="auto" w:fill="auto"/>
            <w:vAlign w:val="center"/>
            <w:hideMark/>
          </w:tcPr>
          <w:p w:rsidR="003147BD" w:rsidRPr="00BF1FAB" w:rsidRDefault="003147BD" w:rsidP="00A536E3">
            <w:pPr>
              <w:spacing w:line="276" w:lineRule="auto"/>
              <w:jc w:val="center"/>
              <w:rPr>
                <w:b/>
                <w:bCs/>
                <w:sz w:val="20"/>
                <w:szCs w:val="20"/>
              </w:rPr>
            </w:pPr>
            <w:r w:rsidRPr="00BF1FAB">
              <w:rPr>
                <w:b/>
                <w:bCs/>
                <w:sz w:val="20"/>
                <w:szCs w:val="20"/>
              </w:rPr>
              <w:t>Наименование показателя</w:t>
            </w:r>
          </w:p>
        </w:tc>
        <w:tc>
          <w:tcPr>
            <w:tcW w:w="1140" w:type="dxa"/>
            <w:vMerge w:val="restart"/>
            <w:shd w:val="clear" w:color="auto" w:fill="auto"/>
            <w:vAlign w:val="center"/>
            <w:hideMark/>
          </w:tcPr>
          <w:p w:rsidR="003147BD" w:rsidRPr="00BF1FAB" w:rsidRDefault="00DD1C7F" w:rsidP="00DD45CE">
            <w:pPr>
              <w:spacing w:line="276" w:lineRule="auto"/>
              <w:jc w:val="center"/>
              <w:rPr>
                <w:b/>
                <w:bCs/>
                <w:sz w:val="20"/>
                <w:szCs w:val="20"/>
              </w:rPr>
            </w:pPr>
            <w:r w:rsidRPr="00BF1FAB">
              <w:rPr>
                <w:b/>
                <w:bCs/>
                <w:sz w:val="20"/>
                <w:szCs w:val="20"/>
              </w:rPr>
              <w:t>на 01.01.201</w:t>
            </w:r>
            <w:r w:rsidR="00DD45CE" w:rsidRPr="00BF1FAB">
              <w:rPr>
                <w:b/>
                <w:bCs/>
                <w:sz w:val="20"/>
                <w:szCs w:val="20"/>
              </w:rPr>
              <w:t>9</w:t>
            </w:r>
          </w:p>
        </w:tc>
        <w:tc>
          <w:tcPr>
            <w:tcW w:w="1140" w:type="dxa"/>
            <w:vMerge w:val="restart"/>
            <w:shd w:val="clear" w:color="auto" w:fill="auto"/>
            <w:vAlign w:val="center"/>
            <w:hideMark/>
          </w:tcPr>
          <w:p w:rsidR="003147BD" w:rsidRPr="00BF1FAB" w:rsidRDefault="003147BD" w:rsidP="00DD45CE">
            <w:pPr>
              <w:spacing w:line="276" w:lineRule="auto"/>
              <w:jc w:val="center"/>
              <w:rPr>
                <w:b/>
                <w:bCs/>
                <w:sz w:val="20"/>
                <w:szCs w:val="20"/>
              </w:rPr>
            </w:pPr>
            <w:r w:rsidRPr="00BF1FAB">
              <w:rPr>
                <w:b/>
                <w:bCs/>
                <w:sz w:val="20"/>
                <w:szCs w:val="20"/>
              </w:rPr>
              <w:t>на 01.01.20</w:t>
            </w:r>
            <w:r w:rsidR="00DD45CE" w:rsidRPr="00BF1FAB">
              <w:rPr>
                <w:b/>
                <w:bCs/>
                <w:sz w:val="20"/>
                <w:szCs w:val="20"/>
              </w:rPr>
              <w:t>20</w:t>
            </w:r>
          </w:p>
        </w:tc>
        <w:tc>
          <w:tcPr>
            <w:tcW w:w="2951" w:type="dxa"/>
            <w:gridSpan w:val="2"/>
            <w:shd w:val="clear" w:color="auto" w:fill="auto"/>
            <w:vAlign w:val="center"/>
            <w:hideMark/>
          </w:tcPr>
          <w:p w:rsidR="003147BD" w:rsidRPr="00BF1FAB" w:rsidRDefault="003147BD" w:rsidP="00A536E3">
            <w:pPr>
              <w:spacing w:line="276" w:lineRule="auto"/>
              <w:jc w:val="center"/>
              <w:rPr>
                <w:b/>
                <w:bCs/>
                <w:sz w:val="20"/>
                <w:szCs w:val="20"/>
              </w:rPr>
            </w:pPr>
            <w:r w:rsidRPr="00BF1FAB">
              <w:rPr>
                <w:b/>
                <w:bCs/>
                <w:sz w:val="20"/>
                <w:szCs w:val="20"/>
              </w:rPr>
              <w:t>Отклонение</w:t>
            </w:r>
          </w:p>
        </w:tc>
      </w:tr>
      <w:tr w:rsidR="003147BD" w:rsidRPr="00BF1FAB" w:rsidTr="00CE4107">
        <w:trPr>
          <w:jc w:val="center"/>
        </w:trPr>
        <w:tc>
          <w:tcPr>
            <w:tcW w:w="4426" w:type="dxa"/>
            <w:vMerge/>
            <w:shd w:val="clear" w:color="auto" w:fill="auto"/>
            <w:vAlign w:val="center"/>
            <w:hideMark/>
          </w:tcPr>
          <w:p w:rsidR="003147BD" w:rsidRPr="00BF1FAB" w:rsidRDefault="003147BD" w:rsidP="00A536E3">
            <w:pPr>
              <w:rPr>
                <w:b/>
                <w:bCs/>
                <w:sz w:val="20"/>
                <w:szCs w:val="20"/>
              </w:rPr>
            </w:pPr>
          </w:p>
        </w:tc>
        <w:tc>
          <w:tcPr>
            <w:tcW w:w="1140" w:type="dxa"/>
            <w:vMerge/>
            <w:shd w:val="clear" w:color="auto" w:fill="auto"/>
            <w:vAlign w:val="center"/>
            <w:hideMark/>
          </w:tcPr>
          <w:p w:rsidR="003147BD" w:rsidRPr="00BF1FAB" w:rsidRDefault="003147BD" w:rsidP="00A536E3">
            <w:pPr>
              <w:rPr>
                <w:b/>
                <w:bCs/>
                <w:sz w:val="20"/>
                <w:szCs w:val="20"/>
              </w:rPr>
            </w:pPr>
          </w:p>
        </w:tc>
        <w:tc>
          <w:tcPr>
            <w:tcW w:w="1140" w:type="dxa"/>
            <w:vMerge/>
            <w:shd w:val="clear" w:color="auto" w:fill="auto"/>
            <w:vAlign w:val="center"/>
            <w:hideMark/>
          </w:tcPr>
          <w:p w:rsidR="003147BD" w:rsidRPr="00BF1FAB" w:rsidRDefault="003147BD" w:rsidP="00A536E3">
            <w:pPr>
              <w:rPr>
                <w:b/>
                <w:bCs/>
                <w:sz w:val="20"/>
                <w:szCs w:val="20"/>
              </w:rPr>
            </w:pPr>
          </w:p>
        </w:tc>
        <w:tc>
          <w:tcPr>
            <w:tcW w:w="1122" w:type="dxa"/>
            <w:shd w:val="clear" w:color="auto" w:fill="auto"/>
            <w:vAlign w:val="center"/>
            <w:hideMark/>
          </w:tcPr>
          <w:p w:rsidR="003147BD" w:rsidRPr="00BF1FAB" w:rsidRDefault="003147BD" w:rsidP="00A536E3">
            <w:pPr>
              <w:spacing w:line="276" w:lineRule="auto"/>
              <w:jc w:val="center"/>
              <w:rPr>
                <w:b/>
                <w:bCs/>
                <w:sz w:val="20"/>
                <w:szCs w:val="20"/>
              </w:rPr>
            </w:pPr>
            <w:r w:rsidRPr="00BF1FAB">
              <w:rPr>
                <w:b/>
                <w:bCs/>
                <w:sz w:val="20"/>
                <w:szCs w:val="20"/>
              </w:rPr>
              <w:t>тыс. руб.</w:t>
            </w:r>
          </w:p>
        </w:tc>
        <w:tc>
          <w:tcPr>
            <w:tcW w:w="1829" w:type="dxa"/>
            <w:shd w:val="clear" w:color="auto" w:fill="auto"/>
            <w:vAlign w:val="center"/>
            <w:hideMark/>
          </w:tcPr>
          <w:p w:rsidR="003147BD" w:rsidRPr="00BF1FAB" w:rsidRDefault="003147BD" w:rsidP="00A26DC0">
            <w:pPr>
              <w:spacing w:line="276" w:lineRule="auto"/>
              <w:jc w:val="center"/>
              <w:rPr>
                <w:b/>
                <w:bCs/>
                <w:sz w:val="20"/>
                <w:szCs w:val="20"/>
              </w:rPr>
            </w:pPr>
            <w:r w:rsidRPr="00BF1FAB">
              <w:rPr>
                <w:b/>
                <w:bCs/>
                <w:sz w:val="20"/>
                <w:szCs w:val="20"/>
              </w:rPr>
              <w:t>%</w:t>
            </w:r>
            <w:r w:rsidR="00A26DC0" w:rsidRPr="00BF1FAB">
              <w:rPr>
                <w:b/>
                <w:bCs/>
                <w:sz w:val="20"/>
                <w:szCs w:val="20"/>
              </w:rPr>
              <w:t>, раз</w:t>
            </w:r>
          </w:p>
        </w:tc>
      </w:tr>
      <w:tr w:rsidR="00DD1C7F" w:rsidRPr="00BF1FAB" w:rsidTr="00CE4107">
        <w:trPr>
          <w:jc w:val="center"/>
        </w:trPr>
        <w:tc>
          <w:tcPr>
            <w:tcW w:w="4426" w:type="dxa"/>
            <w:shd w:val="clear" w:color="auto" w:fill="auto"/>
            <w:vAlign w:val="center"/>
            <w:hideMark/>
          </w:tcPr>
          <w:p w:rsidR="00DD1C7F" w:rsidRPr="00BF1FAB" w:rsidRDefault="00DD1C7F" w:rsidP="00A536E3">
            <w:pPr>
              <w:spacing w:line="276" w:lineRule="auto"/>
              <w:rPr>
                <w:b/>
                <w:bCs/>
                <w:i/>
                <w:iCs/>
                <w:sz w:val="20"/>
                <w:szCs w:val="20"/>
              </w:rPr>
            </w:pPr>
            <w:r w:rsidRPr="00BF1FAB">
              <w:rPr>
                <w:b/>
                <w:bCs/>
                <w:iCs/>
                <w:sz w:val="20"/>
                <w:szCs w:val="20"/>
              </w:rPr>
              <w:t xml:space="preserve">Дебит. задолженность ИТОГО: </w:t>
            </w:r>
            <w:r w:rsidRPr="00BF1FAB">
              <w:rPr>
                <w:b/>
                <w:sz w:val="20"/>
                <w:szCs w:val="20"/>
              </w:rPr>
              <w:t>в том числе</w:t>
            </w:r>
            <w:r w:rsidRPr="00BF1FAB">
              <w:rPr>
                <w:sz w:val="20"/>
                <w:szCs w:val="20"/>
              </w:rPr>
              <w:t>:</w:t>
            </w:r>
          </w:p>
        </w:tc>
        <w:tc>
          <w:tcPr>
            <w:tcW w:w="1140" w:type="dxa"/>
            <w:shd w:val="clear" w:color="auto" w:fill="auto"/>
            <w:vAlign w:val="center"/>
            <w:hideMark/>
          </w:tcPr>
          <w:p w:rsidR="00DD1C7F" w:rsidRPr="00BF1FAB" w:rsidRDefault="00DD45CE" w:rsidP="00CE4107">
            <w:pPr>
              <w:spacing w:line="276" w:lineRule="auto"/>
              <w:jc w:val="center"/>
              <w:rPr>
                <w:b/>
                <w:sz w:val="20"/>
                <w:szCs w:val="20"/>
              </w:rPr>
            </w:pPr>
            <w:r w:rsidRPr="00BF1FAB">
              <w:rPr>
                <w:b/>
                <w:sz w:val="20"/>
                <w:szCs w:val="20"/>
              </w:rPr>
              <w:t>1218,2</w:t>
            </w:r>
          </w:p>
        </w:tc>
        <w:tc>
          <w:tcPr>
            <w:tcW w:w="1140" w:type="dxa"/>
            <w:shd w:val="clear" w:color="auto" w:fill="auto"/>
            <w:vAlign w:val="center"/>
            <w:hideMark/>
          </w:tcPr>
          <w:p w:rsidR="00DD1C7F" w:rsidRPr="00BF1FAB" w:rsidRDefault="00DD45CE" w:rsidP="00CE4107">
            <w:pPr>
              <w:spacing w:line="276" w:lineRule="auto"/>
              <w:jc w:val="center"/>
              <w:rPr>
                <w:b/>
                <w:sz w:val="20"/>
                <w:szCs w:val="20"/>
              </w:rPr>
            </w:pPr>
            <w:r w:rsidRPr="00BF1FAB">
              <w:rPr>
                <w:b/>
                <w:sz w:val="20"/>
                <w:szCs w:val="20"/>
              </w:rPr>
              <w:t>3752,0</w:t>
            </w:r>
          </w:p>
        </w:tc>
        <w:tc>
          <w:tcPr>
            <w:tcW w:w="1122" w:type="dxa"/>
            <w:shd w:val="clear" w:color="auto" w:fill="auto"/>
            <w:vAlign w:val="center"/>
            <w:hideMark/>
          </w:tcPr>
          <w:p w:rsidR="00DD1C7F" w:rsidRPr="00BF1FAB" w:rsidRDefault="00DD45CE" w:rsidP="00CE4107">
            <w:pPr>
              <w:spacing w:line="276" w:lineRule="auto"/>
              <w:jc w:val="center"/>
              <w:rPr>
                <w:b/>
                <w:sz w:val="20"/>
                <w:szCs w:val="20"/>
              </w:rPr>
            </w:pPr>
            <w:r w:rsidRPr="00BF1FAB">
              <w:rPr>
                <w:b/>
                <w:sz w:val="20"/>
                <w:szCs w:val="20"/>
              </w:rPr>
              <w:t>+2533,8</w:t>
            </w:r>
          </w:p>
        </w:tc>
        <w:tc>
          <w:tcPr>
            <w:tcW w:w="1829" w:type="dxa"/>
            <w:shd w:val="clear" w:color="auto" w:fill="auto"/>
            <w:vAlign w:val="center"/>
            <w:hideMark/>
          </w:tcPr>
          <w:p w:rsidR="00DD1C7F" w:rsidRPr="00BF1FAB" w:rsidRDefault="00DD45CE" w:rsidP="00CE4107">
            <w:pPr>
              <w:spacing w:line="276" w:lineRule="auto"/>
              <w:jc w:val="center"/>
              <w:rPr>
                <w:b/>
                <w:sz w:val="20"/>
                <w:szCs w:val="20"/>
              </w:rPr>
            </w:pPr>
            <w:r w:rsidRPr="00BF1FAB">
              <w:rPr>
                <w:b/>
                <w:sz w:val="20"/>
                <w:szCs w:val="20"/>
              </w:rPr>
              <w:t>в 3 раза</w:t>
            </w:r>
          </w:p>
        </w:tc>
      </w:tr>
      <w:tr w:rsidR="00DD1C7F" w:rsidRPr="00BF1FAB" w:rsidTr="00CE4107">
        <w:trPr>
          <w:jc w:val="center"/>
        </w:trPr>
        <w:tc>
          <w:tcPr>
            <w:tcW w:w="4426" w:type="dxa"/>
            <w:vAlign w:val="center"/>
            <w:hideMark/>
          </w:tcPr>
          <w:p w:rsidR="00DD1C7F" w:rsidRPr="00BF1FAB" w:rsidRDefault="00DD1C7F" w:rsidP="00A536E3">
            <w:pPr>
              <w:spacing w:line="276" w:lineRule="auto"/>
              <w:rPr>
                <w:sz w:val="20"/>
                <w:szCs w:val="20"/>
              </w:rPr>
            </w:pPr>
            <w:r w:rsidRPr="00BF1FAB">
              <w:rPr>
                <w:sz w:val="20"/>
                <w:szCs w:val="20"/>
              </w:rPr>
              <w:t>расчеты по доходам</w:t>
            </w:r>
          </w:p>
        </w:tc>
        <w:tc>
          <w:tcPr>
            <w:tcW w:w="1140" w:type="dxa"/>
            <w:vAlign w:val="center"/>
            <w:hideMark/>
          </w:tcPr>
          <w:p w:rsidR="00DD1C7F" w:rsidRPr="00BF1FAB" w:rsidRDefault="00DD45CE" w:rsidP="00DD45CE">
            <w:pPr>
              <w:spacing w:line="276" w:lineRule="auto"/>
              <w:jc w:val="center"/>
              <w:rPr>
                <w:sz w:val="18"/>
                <w:szCs w:val="18"/>
              </w:rPr>
            </w:pPr>
            <w:r w:rsidRPr="00BF1FAB">
              <w:rPr>
                <w:sz w:val="18"/>
                <w:szCs w:val="18"/>
              </w:rPr>
              <w:t>1185,4</w:t>
            </w:r>
          </w:p>
        </w:tc>
        <w:tc>
          <w:tcPr>
            <w:tcW w:w="1140" w:type="dxa"/>
            <w:vAlign w:val="center"/>
            <w:hideMark/>
          </w:tcPr>
          <w:p w:rsidR="00DD1C7F" w:rsidRPr="00BF1FAB" w:rsidRDefault="00DD45CE" w:rsidP="00DD45CE">
            <w:pPr>
              <w:spacing w:line="276" w:lineRule="auto"/>
              <w:jc w:val="center"/>
              <w:rPr>
                <w:sz w:val="18"/>
                <w:szCs w:val="18"/>
              </w:rPr>
            </w:pPr>
            <w:r w:rsidRPr="00BF1FAB">
              <w:rPr>
                <w:sz w:val="18"/>
                <w:szCs w:val="18"/>
              </w:rPr>
              <w:t>3707,7</w:t>
            </w:r>
          </w:p>
        </w:tc>
        <w:tc>
          <w:tcPr>
            <w:tcW w:w="1122" w:type="dxa"/>
            <w:vAlign w:val="center"/>
            <w:hideMark/>
          </w:tcPr>
          <w:p w:rsidR="00DD1C7F" w:rsidRPr="00BF1FAB" w:rsidRDefault="00DD45CE" w:rsidP="00DD45CE">
            <w:pPr>
              <w:spacing w:line="276" w:lineRule="auto"/>
              <w:jc w:val="center"/>
              <w:rPr>
                <w:sz w:val="18"/>
                <w:szCs w:val="18"/>
              </w:rPr>
            </w:pPr>
            <w:r w:rsidRPr="00BF1FAB">
              <w:rPr>
                <w:sz w:val="18"/>
                <w:szCs w:val="18"/>
              </w:rPr>
              <w:t>+2522,3</w:t>
            </w:r>
          </w:p>
        </w:tc>
        <w:tc>
          <w:tcPr>
            <w:tcW w:w="1829" w:type="dxa"/>
            <w:vAlign w:val="center"/>
            <w:hideMark/>
          </w:tcPr>
          <w:p w:rsidR="00DD1C7F" w:rsidRPr="00BF1FAB" w:rsidRDefault="00DD45CE" w:rsidP="00DD45CE">
            <w:pPr>
              <w:spacing w:line="276" w:lineRule="auto"/>
              <w:jc w:val="center"/>
              <w:rPr>
                <w:sz w:val="18"/>
                <w:szCs w:val="18"/>
              </w:rPr>
            </w:pPr>
            <w:r w:rsidRPr="00BF1FAB">
              <w:rPr>
                <w:sz w:val="18"/>
                <w:szCs w:val="18"/>
              </w:rPr>
              <w:t>в 3,1 раза</w:t>
            </w:r>
          </w:p>
        </w:tc>
      </w:tr>
      <w:tr w:rsidR="00DD1C7F" w:rsidRPr="00BF1FAB" w:rsidTr="00CE4107">
        <w:trPr>
          <w:jc w:val="center"/>
        </w:trPr>
        <w:tc>
          <w:tcPr>
            <w:tcW w:w="4426" w:type="dxa"/>
            <w:vAlign w:val="center"/>
            <w:hideMark/>
          </w:tcPr>
          <w:p w:rsidR="00DD1C7F" w:rsidRPr="00BF1FAB" w:rsidRDefault="00DD1C7F" w:rsidP="00A536E3">
            <w:pPr>
              <w:spacing w:line="276" w:lineRule="auto"/>
              <w:rPr>
                <w:sz w:val="20"/>
                <w:szCs w:val="20"/>
              </w:rPr>
            </w:pPr>
            <w:r w:rsidRPr="00BF1FAB">
              <w:rPr>
                <w:sz w:val="20"/>
                <w:szCs w:val="20"/>
              </w:rPr>
              <w:t>расчеты по выданным авансам</w:t>
            </w:r>
          </w:p>
        </w:tc>
        <w:tc>
          <w:tcPr>
            <w:tcW w:w="1140" w:type="dxa"/>
            <w:vAlign w:val="center"/>
            <w:hideMark/>
          </w:tcPr>
          <w:p w:rsidR="00DD1C7F" w:rsidRPr="00BF1FAB" w:rsidRDefault="00DD45CE" w:rsidP="00DD45CE">
            <w:pPr>
              <w:spacing w:line="276" w:lineRule="auto"/>
              <w:jc w:val="center"/>
              <w:rPr>
                <w:sz w:val="18"/>
                <w:szCs w:val="18"/>
              </w:rPr>
            </w:pPr>
            <w:r w:rsidRPr="00BF1FAB">
              <w:rPr>
                <w:sz w:val="18"/>
                <w:szCs w:val="18"/>
              </w:rPr>
              <w:t>0</w:t>
            </w:r>
          </w:p>
        </w:tc>
        <w:tc>
          <w:tcPr>
            <w:tcW w:w="1140" w:type="dxa"/>
            <w:vAlign w:val="center"/>
            <w:hideMark/>
          </w:tcPr>
          <w:p w:rsidR="00DD1C7F" w:rsidRPr="00BF1FAB" w:rsidRDefault="00DD45CE" w:rsidP="00DD45CE">
            <w:pPr>
              <w:spacing w:line="276" w:lineRule="auto"/>
              <w:jc w:val="center"/>
              <w:rPr>
                <w:sz w:val="18"/>
                <w:szCs w:val="18"/>
              </w:rPr>
            </w:pPr>
            <w:r w:rsidRPr="00BF1FAB">
              <w:rPr>
                <w:sz w:val="18"/>
                <w:szCs w:val="18"/>
              </w:rPr>
              <w:t>9,3</w:t>
            </w:r>
          </w:p>
        </w:tc>
        <w:tc>
          <w:tcPr>
            <w:tcW w:w="1122" w:type="dxa"/>
            <w:vAlign w:val="center"/>
            <w:hideMark/>
          </w:tcPr>
          <w:p w:rsidR="00DD1C7F" w:rsidRPr="00BF1FAB" w:rsidRDefault="00DD45CE" w:rsidP="00DD45CE">
            <w:pPr>
              <w:spacing w:line="276" w:lineRule="auto"/>
              <w:jc w:val="center"/>
              <w:rPr>
                <w:sz w:val="18"/>
                <w:szCs w:val="18"/>
              </w:rPr>
            </w:pPr>
            <w:r w:rsidRPr="00BF1FAB">
              <w:rPr>
                <w:sz w:val="18"/>
                <w:szCs w:val="18"/>
              </w:rPr>
              <w:t>+9,3</w:t>
            </w:r>
          </w:p>
        </w:tc>
        <w:tc>
          <w:tcPr>
            <w:tcW w:w="1829" w:type="dxa"/>
            <w:vAlign w:val="center"/>
            <w:hideMark/>
          </w:tcPr>
          <w:p w:rsidR="00DD1C7F" w:rsidRPr="00BF1FAB" w:rsidRDefault="00F614AD" w:rsidP="00DD45CE">
            <w:pPr>
              <w:spacing w:line="276" w:lineRule="auto"/>
              <w:jc w:val="center"/>
              <w:rPr>
                <w:sz w:val="18"/>
                <w:szCs w:val="18"/>
              </w:rPr>
            </w:pPr>
            <w:r w:rsidRPr="00BF1FAB">
              <w:rPr>
                <w:sz w:val="18"/>
                <w:szCs w:val="18"/>
              </w:rPr>
              <w:t>Х</w:t>
            </w:r>
          </w:p>
        </w:tc>
      </w:tr>
      <w:tr w:rsidR="00DD1C7F" w:rsidRPr="00BF1FAB" w:rsidTr="00CE4107">
        <w:trPr>
          <w:jc w:val="center"/>
        </w:trPr>
        <w:tc>
          <w:tcPr>
            <w:tcW w:w="4426" w:type="dxa"/>
            <w:vAlign w:val="center"/>
            <w:hideMark/>
          </w:tcPr>
          <w:p w:rsidR="00DD1C7F" w:rsidRPr="00BF1FAB" w:rsidRDefault="00DD1C7F" w:rsidP="00A536E3">
            <w:pPr>
              <w:spacing w:line="276" w:lineRule="auto"/>
              <w:rPr>
                <w:sz w:val="20"/>
                <w:szCs w:val="20"/>
              </w:rPr>
            </w:pPr>
            <w:r w:rsidRPr="00BF1FAB">
              <w:rPr>
                <w:sz w:val="20"/>
                <w:szCs w:val="20"/>
              </w:rPr>
              <w:t>расчеты по платежам в бюджеты</w:t>
            </w:r>
          </w:p>
        </w:tc>
        <w:tc>
          <w:tcPr>
            <w:tcW w:w="1140" w:type="dxa"/>
            <w:vAlign w:val="center"/>
            <w:hideMark/>
          </w:tcPr>
          <w:p w:rsidR="00DD1C7F" w:rsidRPr="00BF1FAB" w:rsidRDefault="00DD45CE" w:rsidP="00DD45CE">
            <w:pPr>
              <w:spacing w:line="276" w:lineRule="auto"/>
              <w:jc w:val="center"/>
              <w:rPr>
                <w:sz w:val="18"/>
                <w:szCs w:val="18"/>
              </w:rPr>
            </w:pPr>
            <w:r w:rsidRPr="00BF1FAB">
              <w:rPr>
                <w:sz w:val="18"/>
                <w:szCs w:val="18"/>
              </w:rPr>
              <w:t>32</w:t>
            </w:r>
            <w:r w:rsidR="00DD1C7F" w:rsidRPr="00BF1FAB">
              <w:rPr>
                <w:sz w:val="18"/>
                <w:szCs w:val="18"/>
              </w:rPr>
              <w:t>,8</w:t>
            </w:r>
          </w:p>
        </w:tc>
        <w:tc>
          <w:tcPr>
            <w:tcW w:w="1140" w:type="dxa"/>
            <w:vAlign w:val="center"/>
            <w:hideMark/>
          </w:tcPr>
          <w:p w:rsidR="00DD1C7F" w:rsidRPr="00BF1FAB" w:rsidRDefault="00DD45CE" w:rsidP="00DD45CE">
            <w:pPr>
              <w:spacing w:line="276" w:lineRule="auto"/>
              <w:jc w:val="center"/>
              <w:rPr>
                <w:sz w:val="18"/>
                <w:szCs w:val="18"/>
              </w:rPr>
            </w:pPr>
            <w:r w:rsidRPr="00BF1FAB">
              <w:rPr>
                <w:sz w:val="18"/>
                <w:szCs w:val="18"/>
              </w:rPr>
              <w:t>35,0</w:t>
            </w:r>
          </w:p>
        </w:tc>
        <w:tc>
          <w:tcPr>
            <w:tcW w:w="1122" w:type="dxa"/>
            <w:vAlign w:val="center"/>
            <w:hideMark/>
          </w:tcPr>
          <w:p w:rsidR="00DD1C7F" w:rsidRPr="00BF1FAB" w:rsidRDefault="00DD45CE" w:rsidP="00DD45CE">
            <w:pPr>
              <w:spacing w:line="276" w:lineRule="auto"/>
              <w:jc w:val="center"/>
              <w:rPr>
                <w:sz w:val="18"/>
                <w:szCs w:val="18"/>
              </w:rPr>
            </w:pPr>
            <w:r w:rsidRPr="00BF1FAB">
              <w:rPr>
                <w:sz w:val="18"/>
                <w:szCs w:val="18"/>
              </w:rPr>
              <w:t>+2,2</w:t>
            </w:r>
          </w:p>
        </w:tc>
        <w:tc>
          <w:tcPr>
            <w:tcW w:w="1829" w:type="dxa"/>
            <w:vAlign w:val="center"/>
            <w:hideMark/>
          </w:tcPr>
          <w:p w:rsidR="00DD1C7F" w:rsidRPr="00BF1FAB" w:rsidRDefault="00DD45CE" w:rsidP="00DD45CE">
            <w:pPr>
              <w:spacing w:line="276" w:lineRule="auto"/>
              <w:jc w:val="center"/>
              <w:rPr>
                <w:sz w:val="18"/>
                <w:szCs w:val="18"/>
              </w:rPr>
            </w:pPr>
            <w:r w:rsidRPr="00BF1FAB">
              <w:rPr>
                <w:sz w:val="18"/>
                <w:szCs w:val="18"/>
              </w:rPr>
              <w:t>6,7%</w:t>
            </w:r>
          </w:p>
        </w:tc>
      </w:tr>
      <w:tr w:rsidR="00DD1C7F" w:rsidRPr="00BF1FAB" w:rsidTr="00CE4107">
        <w:trPr>
          <w:jc w:val="center"/>
        </w:trPr>
        <w:tc>
          <w:tcPr>
            <w:tcW w:w="4426" w:type="dxa"/>
            <w:vAlign w:val="center"/>
            <w:hideMark/>
          </w:tcPr>
          <w:p w:rsidR="00DD1C7F" w:rsidRPr="00BF1FAB" w:rsidRDefault="00DD1C7F" w:rsidP="00A536E3">
            <w:pPr>
              <w:spacing w:line="276" w:lineRule="auto"/>
              <w:rPr>
                <w:b/>
                <w:bCs/>
                <w:iCs/>
                <w:sz w:val="20"/>
                <w:szCs w:val="20"/>
              </w:rPr>
            </w:pPr>
            <w:r w:rsidRPr="00BF1FAB">
              <w:rPr>
                <w:b/>
                <w:bCs/>
                <w:iCs/>
                <w:sz w:val="20"/>
                <w:szCs w:val="20"/>
              </w:rPr>
              <w:t xml:space="preserve">Кредит. задолженность ИТОГО: </w:t>
            </w:r>
            <w:r w:rsidRPr="00BF1FAB">
              <w:rPr>
                <w:b/>
                <w:sz w:val="20"/>
                <w:szCs w:val="20"/>
              </w:rPr>
              <w:t>в том числе:</w:t>
            </w:r>
          </w:p>
        </w:tc>
        <w:tc>
          <w:tcPr>
            <w:tcW w:w="1140" w:type="dxa"/>
            <w:vAlign w:val="center"/>
            <w:hideMark/>
          </w:tcPr>
          <w:p w:rsidR="00DD1C7F" w:rsidRPr="00BF1FAB" w:rsidRDefault="00DE6AFF" w:rsidP="00CE4107">
            <w:pPr>
              <w:spacing w:line="276" w:lineRule="auto"/>
              <w:jc w:val="center"/>
              <w:rPr>
                <w:b/>
                <w:bCs/>
                <w:iCs/>
                <w:sz w:val="20"/>
                <w:szCs w:val="20"/>
              </w:rPr>
            </w:pPr>
            <w:r w:rsidRPr="00BF1FAB">
              <w:rPr>
                <w:b/>
                <w:bCs/>
                <w:iCs/>
                <w:sz w:val="20"/>
                <w:szCs w:val="20"/>
              </w:rPr>
              <w:t>0</w:t>
            </w:r>
          </w:p>
        </w:tc>
        <w:tc>
          <w:tcPr>
            <w:tcW w:w="1140" w:type="dxa"/>
            <w:vAlign w:val="center"/>
            <w:hideMark/>
          </w:tcPr>
          <w:p w:rsidR="00DD1C7F" w:rsidRPr="00BF1FAB" w:rsidRDefault="00DE6AFF" w:rsidP="00CE4107">
            <w:pPr>
              <w:spacing w:line="276" w:lineRule="auto"/>
              <w:jc w:val="center"/>
              <w:rPr>
                <w:b/>
                <w:bCs/>
                <w:iCs/>
                <w:sz w:val="20"/>
                <w:szCs w:val="20"/>
              </w:rPr>
            </w:pPr>
            <w:r w:rsidRPr="00BF1FAB">
              <w:rPr>
                <w:b/>
                <w:bCs/>
                <w:iCs/>
                <w:sz w:val="20"/>
                <w:szCs w:val="20"/>
              </w:rPr>
              <w:t>31,1</w:t>
            </w:r>
          </w:p>
        </w:tc>
        <w:tc>
          <w:tcPr>
            <w:tcW w:w="1122" w:type="dxa"/>
            <w:vAlign w:val="center"/>
            <w:hideMark/>
          </w:tcPr>
          <w:p w:rsidR="00DD1C7F" w:rsidRPr="00BF1FAB" w:rsidRDefault="00DE6AFF" w:rsidP="00CE4107">
            <w:pPr>
              <w:spacing w:line="276" w:lineRule="auto"/>
              <w:jc w:val="center"/>
              <w:rPr>
                <w:b/>
                <w:bCs/>
                <w:iCs/>
                <w:sz w:val="20"/>
                <w:szCs w:val="20"/>
              </w:rPr>
            </w:pPr>
            <w:r w:rsidRPr="00BF1FAB">
              <w:rPr>
                <w:b/>
                <w:bCs/>
                <w:iCs/>
                <w:sz w:val="20"/>
                <w:szCs w:val="20"/>
              </w:rPr>
              <w:t>+31,1</w:t>
            </w:r>
          </w:p>
        </w:tc>
        <w:tc>
          <w:tcPr>
            <w:tcW w:w="1829" w:type="dxa"/>
            <w:vAlign w:val="center"/>
            <w:hideMark/>
          </w:tcPr>
          <w:p w:rsidR="00DD1C7F" w:rsidRPr="00BF1FAB" w:rsidRDefault="00F614AD" w:rsidP="00CE4107">
            <w:pPr>
              <w:spacing w:line="276" w:lineRule="auto"/>
              <w:jc w:val="center"/>
              <w:rPr>
                <w:b/>
                <w:bCs/>
                <w:iCs/>
                <w:sz w:val="20"/>
                <w:szCs w:val="20"/>
              </w:rPr>
            </w:pPr>
            <w:r w:rsidRPr="00BF1FAB">
              <w:rPr>
                <w:b/>
                <w:bCs/>
                <w:iCs/>
                <w:sz w:val="20"/>
                <w:szCs w:val="20"/>
              </w:rPr>
              <w:t>Х</w:t>
            </w:r>
          </w:p>
        </w:tc>
      </w:tr>
      <w:tr w:rsidR="00DD1C7F" w:rsidRPr="00BF1FAB" w:rsidTr="00CE4107">
        <w:trPr>
          <w:jc w:val="center"/>
        </w:trPr>
        <w:tc>
          <w:tcPr>
            <w:tcW w:w="4426" w:type="dxa"/>
            <w:vAlign w:val="center"/>
            <w:hideMark/>
          </w:tcPr>
          <w:p w:rsidR="00DD1C7F" w:rsidRPr="00BF1FAB" w:rsidRDefault="00DD1C7F" w:rsidP="00A536E3">
            <w:pPr>
              <w:spacing w:line="276" w:lineRule="auto"/>
              <w:rPr>
                <w:sz w:val="20"/>
                <w:szCs w:val="20"/>
              </w:rPr>
            </w:pPr>
            <w:r w:rsidRPr="00BF1FAB">
              <w:rPr>
                <w:sz w:val="20"/>
                <w:szCs w:val="20"/>
              </w:rPr>
              <w:t>расчеты по принятым обязательствам</w:t>
            </w:r>
          </w:p>
        </w:tc>
        <w:tc>
          <w:tcPr>
            <w:tcW w:w="1140" w:type="dxa"/>
            <w:vAlign w:val="center"/>
            <w:hideMark/>
          </w:tcPr>
          <w:p w:rsidR="00DD1C7F" w:rsidRPr="00BF1FAB" w:rsidRDefault="00DE6AFF" w:rsidP="00DE6AFF">
            <w:pPr>
              <w:spacing w:line="276" w:lineRule="auto"/>
              <w:jc w:val="center"/>
              <w:rPr>
                <w:sz w:val="18"/>
                <w:szCs w:val="18"/>
              </w:rPr>
            </w:pPr>
            <w:r w:rsidRPr="00BF1FAB">
              <w:rPr>
                <w:sz w:val="18"/>
                <w:szCs w:val="18"/>
              </w:rPr>
              <w:t>0</w:t>
            </w:r>
          </w:p>
        </w:tc>
        <w:tc>
          <w:tcPr>
            <w:tcW w:w="1140" w:type="dxa"/>
            <w:vAlign w:val="center"/>
            <w:hideMark/>
          </w:tcPr>
          <w:p w:rsidR="00DD1C7F" w:rsidRPr="00BF1FAB" w:rsidRDefault="00DE6AFF" w:rsidP="00DE6AFF">
            <w:pPr>
              <w:spacing w:line="276" w:lineRule="auto"/>
              <w:jc w:val="center"/>
              <w:rPr>
                <w:sz w:val="18"/>
                <w:szCs w:val="18"/>
              </w:rPr>
            </w:pPr>
            <w:r w:rsidRPr="00BF1FAB">
              <w:rPr>
                <w:sz w:val="18"/>
                <w:szCs w:val="18"/>
              </w:rPr>
              <w:t>31,1</w:t>
            </w:r>
          </w:p>
        </w:tc>
        <w:tc>
          <w:tcPr>
            <w:tcW w:w="1122" w:type="dxa"/>
            <w:vAlign w:val="center"/>
            <w:hideMark/>
          </w:tcPr>
          <w:p w:rsidR="00DD1C7F" w:rsidRPr="00BF1FAB" w:rsidRDefault="00DE6AFF" w:rsidP="00DE6AFF">
            <w:pPr>
              <w:spacing w:line="276" w:lineRule="auto"/>
              <w:jc w:val="center"/>
              <w:rPr>
                <w:sz w:val="18"/>
                <w:szCs w:val="18"/>
              </w:rPr>
            </w:pPr>
            <w:r w:rsidRPr="00BF1FAB">
              <w:rPr>
                <w:sz w:val="18"/>
                <w:szCs w:val="18"/>
              </w:rPr>
              <w:t>+31,1</w:t>
            </w:r>
          </w:p>
        </w:tc>
        <w:tc>
          <w:tcPr>
            <w:tcW w:w="1829" w:type="dxa"/>
            <w:vAlign w:val="center"/>
            <w:hideMark/>
          </w:tcPr>
          <w:p w:rsidR="00DD1C7F" w:rsidRPr="00BF1FAB" w:rsidRDefault="00F614AD" w:rsidP="00DE6AFF">
            <w:pPr>
              <w:spacing w:line="276" w:lineRule="auto"/>
              <w:jc w:val="center"/>
              <w:rPr>
                <w:sz w:val="18"/>
                <w:szCs w:val="18"/>
              </w:rPr>
            </w:pPr>
            <w:r w:rsidRPr="00BF1FAB">
              <w:rPr>
                <w:sz w:val="18"/>
                <w:szCs w:val="18"/>
              </w:rPr>
              <w:t>Х</w:t>
            </w:r>
          </w:p>
        </w:tc>
      </w:tr>
    </w:tbl>
    <w:p w:rsidR="00654D3F" w:rsidRPr="00BF1FAB" w:rsidRDefault="003147BD" w:rsidP="00A8358A">
      <w:pPr>
        <w:spacing w:before="120"/>
        <w:ind w:firstLine="720"/>
        <w:jc w:val="both"/>
      </w:pPr>
      <w:r w:rsidRPr="00BF1FAB">
        <w:t>Дебиторс</w:t>
      </w:r>
      <w:r w:rsidR="00DD1C7F" w:rsidRPr="00BF1FAB">
        <w:t>кая задолженность в течение 201</w:t>
      </w:r>
      <w:r w:rsidR="00DD45CE" w:rsidRPr="00BF1FAB">
        <w:t>9</w:t>
      </w:r>
      <w:r w:rsidRPr="00BF1FAB">
        <w:t xml:space="preserve"> года</w:t>
      </w:r>
      <w:r w:rsidR="00FA67FA" w:rsidRPr="00BF1FAB">
        <w:t xml:space="preserve"> </w:t>
      </w:r>
      <w:r w:rsidR="00DD45CE" w:rsidRPr="00BF1FAB">
        <w:t xml:space="preserve">увеличилась на </w:t>
      </w:r>
      <w:r w:rsidR="00DE6AFF" w:rsidRPr="00BF1FAB">
        <w:t>2533,8</w:t>
      </w:r>
      <w:r w:rsidR="00DD45CE" w:rsidRPr="00BF1FAB">
        <w:t xml:space="preserve"> тыс. руб., или </w:t>
      </w:r>
      <w:r w:rsidR="006D3E82" w:rsidRPr="00BF1FAB">
        <w:t xml:space="preserve"> </w:t>
      </w:r>
      <w:r w:rsidR="00DD45CE" w:rsidRPr="00BF1FAB">
        <w:t>в 3 раза</w:t>
      </w:r>
      <w:r w:rsidR="006D3E82" w:rsidRPr="00BF1FAB">
        <w:t>, в о</w:t>
      </w:r>
      <w:r w:rsidRPr="00BF1FAB">
        <w:t>снов</w:t>
      </w:r>
      <w:r w:rsidR="006D3E82" w:rsidRPr="00BF1FAB">
        <w:t xml:space="preserve">ном за счет </w:t>
      </w:r>
      <w:r w:rsidR="00DD45CE" w:rsidRPr="00BF1FAB">
        <w:t>увеличения</w:t>
      </w:r>
      <w:r w:rsidRPr="00BF1FAB">
        <w:t xml:space="preserve"> задолженности </w:t>
      </w:r>
      <w:r w:rsidR="006D3E82" w:rsidRPr="00BF1FAB">
        <w:t xml:space="preserve">по </w:t>
      </w:r>
      <w:r w:rsidR="00DD45CE" w:rsidRPr="00BF1FAB">
        <w:t xml:space="preserve">доходам в связи с </w:t>
      </w:r>
      <w:proofErr w:type="spellStart"/>
      <w:r w:rsidR="00DD45CE" w:rsidRPr="00BF1FAB">
        <w:t>неперечислением</w:t>
      </w:r>
      <w:proofErr w:type="spellEnd"/>
      <w:r w:rsidR="00DD45CE" w:rsidRPr="00BF1FAB">
        <w:t xml:space="preserve"> </w:t>
      </w:r>
      <w:r w:rsidR="00DE6AFF" w:rsidRPr="00BF1FAB">
        <w:t xml:space="preserve">в добровольном порядке </w:t>
      </w:r>
      <w:r w:rsidR="00DD45CE" w:rsidRPr="00BF1FAB">
        <w:t>административных штрафов</w:t>
      </w:r>
      <w:r w:rsidR="00DE6AFF" w:rsidRPr="00BF1FAB">
        <w:t xml:space="preserve"> на 2522,3 тыс.рублей</w:t>
      </w:r>
      <w:r w:rsidR="002B1E7F" w:rsidRPr="00BF1FAB">
        <w:t>.</w:t>
      </w:r>
    </w:p>
    <w:p w:rsidR="00CE4107" w:rsidRPr="00BF1FAB" w:rsidRDefault="00317032" w:rsidP="00C9174D">
      <w:pPr>
        <w:ind w:firstLine="720"/>
        <w:jc w:val="both"/>
      </w:pPr>
      <w:r w:rsidRPr="00BF1FAB">
        <w:t>На конец 201</w:t>
      </w:r>
      <w:r w:rsidR="00DE6AFF" w:rsidRPr="00BF1FAB">
        <w:t>9</w:t>
      </w:r>
      <w:r w:rsidRPr="00BF1FAB">
        <w:t xml:space="preserve"> года просроченная дебиторская задолженность </w:t>
      </w:r>
      <w:r w:rsidR="00DE6AFF" w:rsidRPr="00BF1FAB">
        <w:t xml:space="preserve">в связи </w:t>
      </w:r>
      <w:proofErr w:type="spellStart"/>
      <w:r w:rsidR="00DE6AFF" w:rsidRPr="00BF1FAB">
        <w:t>неперечислением</w:t>
      </w:r>
      <w:proofErr w:type="spellEnd"/>
      <w:r w:rsidR="00DE6AFF" w:rsidRPr="00BF1FAB">
        <w:t xml:space="preserve"> в добровольном порядке административных штрафов составляет</w:t>
      </w:r>
      <w:r w:rsidRPr="00BF1FAB">
        <w:t xml:space="preserve"> </w:t>
      </w:r>
      <w:r w:rsidR="00DE6AFF" w:rsidRPr="00BF1FAB">
        <w:t>1159,1</w:t>
      </w:r>
      <w:r w:rsidR="007D1DDA" w:rsidRPr="00BF1FAB">
        <w:t xml:space="preserve"> тыс. руб</w:t>
      </w:r>
      <w:r w:rsidR="00CE4107" w:rsidRPr="00BF1FAB">
        <w:t xml:space="preserve">., </w:t>
      </w:r>
      <w:r w:rsidR="00DE6AFF" w:rsidRPr="00BF1FAB">
        <w:t>Комитетом проводится работа по ее взысканию</w:t>
      </w:r>
      <w:r w:rsidR="00CE4107" w:rsidRPr="00BF1FAB">
        <w:t>.</w:t>
      </w:r>
    </w:p>
    <w:p w:rsidR="004959E3" w:rsidRPr="00BF1FAB" w:rsidRDefault="004959E3" w:rsidP="004959E3">
      <w:pPr>
        <w:ind w:firstLine="720"/>
        <w:jc w:val="both"/>
      </w:pPr>
      <w:r w:rsidRPr="00BF1FAB">
        <w:t>При этом дебиторская задолженность по доходам на 31.12.2019 в 3 раза превышает кассовое исполнение по доходам в отчетном году (без учета доходов будущих периодов) (</w:t>
      </w:r>
      <w:r w:rsidRPr="00BF1FAB">
        <w:rPr>
          <w:color w:val="000000"/>
        </w:rPr>
        <w:t>3707,7 </w:t>
      </w:r>
      <w:r w:rsidRPr="00BF1FAB">
        <w:t xml:space="preserve">тыс. руб./1246,8 тыс. руб.), что в соответствии со Стандартом финансового контроля </w:t>
      </w:r>
      <w:r w:rsidR="00F614AD" w:rsidRPr="00BF1FAB">
        <w:t xml:space="preserve">КСП </w:t>
      </w:r>
      <w:r w:rsidRPr="00BF1FAB">
        <w:t>свидетельствует о неудовлетворительной работе Комитета по администрированию доходов.</w:t>
      </w:r>
    </w:p>
    <w:p w:rsidR="00C9174D" w:rsidRPr="00BF1FAB" w:rsidRDefault="00CE4107" w:rsidP="00C9174D">
      <w:pPr>
        <w:ind w:firstLine="720"/>
        <w:jc w:val="both"/>
      </w:pPr>
      <w:r w:rsidRPr="00BF1FAB">
        <w:t>П</w:t>
      </w:r>
      <w:r w:rsidR="00DE6AFF" w:rsidRPr="00BF1FAB">
        <w:t>о состоянию на 31.12.2019 задолженность в сумме 15,0 тыс. руб. по административным штрафам в связи вынесением Красноармейским районным отделом судебных приставов постановления об отказе исполнительного производства признана нереальной к взысканию.</w:t>
      </w:r>
    </w:p>
    <w:p w:rsidR="00DE6AFF" w:rsidRPr="00BF1FAB" w:rsidRDefault="003147BD" w:rsidP="003C4CFF">
      <w:pPr>
        <w:ind w:firstLine="720"/>
        <w:jc w:val="both"/>
      </w:pPr>
      <w:r w:rsidRPr="00BF1FAB">
        <w:t>Кр</w:t>
      </w:r>
      <w:r w:rsidR="00DD1C7F" w:rsidRPr="00BF1FAB">
        <w:t>едиторская задолженность за 201</w:t>
      </w:r>
      <w:r w:rsidR="00DE6AFF" w:rsidRPr="00BF1FAB">
        <w:t>9</w:t>
      </w:r>
      <w:r w:rsidRPr="00BF1FAB">
        <w:t xml:space="preserve"> год </w:t>
      </w:r>
      <w:r w:rsidR="00DE6AFF" w:rsidRPr="00BF1FAB">
        <w:t>увеличилась на 31,1 тыс.</w:t>
      </w:r>
      <w:r w:rsidR="00CE4107" w:rsidRPr="00BF1FAB">
        <w:t xml:space="preserve"> </w:t>
      </w:r>
      <w:r w:rsidR="00DE6AFF" w:rsidRPr="00BF1FAB">
        <w:t>руб. по субсидии подведомственному учреждению ГБУ ВО НПЦ.</w:t>
      </w:r>
      <w:r w:rsidR="00CE4107" w:rsidRPr="00BF1FAB">
        <w:t xml:space="preserve"> </w:t>
      </w:r>
      <w:r w:rsidR="00DE6AFF" w:rsidRPr="00BF1FAB">
        <w:t xml:space="preserve">Данная задолженность не является просроченной. Заявки на выделение средств субсидии от ГБУ ВО НПЦ в Комитет не направлялись. </w:t>
      </w:r>
      <w:r w:rsidR="00620D6E" w:rsidRPr="00BF1FAB">
        <w:t>Учитывая, что п</w:t>
      </w:r>
      <w:r w:rsidR="00DE6AFF" w:rsidRPr="00BF1FAB">
        <w:t>ринятие денежных обязательств ГБУ ВО НПЦ документально не подтверждено</w:t>
      </w:r>
      <w:r w:rsidR="00620D6E" w:rsidRPr="00BF1FAB">
        <w:t xml:space="preserve"> (п</w:t>
      </w:r>
      <w:r w:rsidR="00DE6AFF" w:rsidRPr="00BF1FAB">
        <w:t>о данным бюджетной отчетности ГБУ ВО НПЦ средства субсидии не использованы в связи с экономией по оплате труда и страховым взносам</w:t>
      </w:r>
      <w:r w:rsidR="00620D6E" w:rsidRPr="00BF1FAB">
        <w:t>), необходимо проведение работы по списанию кредиторской задолженности</w:t>
      </w:r>
      <w:r w:rsidR="00DE6AFF" w:rsidRPr="00BF1FAB">
        <w:t>.</w:t>
      </w:r>
    </w:p>
    <w:p w:rsidR="003147BD" w:rsidRPr="00BF1FAB" w:rsidRDefault="003147BD" w:rsidP="00456000">
      <w:pPr>
        <w:spacing w:before="120" w:after="120"/>
        <w:jc w:val="center"/>
        <w:rPr>
          <w:b/>
        </w:rPr>
      </w:pPr>
      <w:r w:rsidRPr="00BF1FAB">
        <w:rPr>
          <w:b/>
        </w:rPr>
        <w:t>Анализ достижения поставленных целей и ожидаемых результатов</w:t>
      </w:r>
    </w:p>
    <w:p w:rsidR="0012100E" w:rsidRPr="00BF1FAB" w:rsidRDefault="00620D6E" w:rsidP="00456000">
      <w:pPr>
        <w:spacing w:before="120" w:after="120"/>
        <w:jc w:val="center"/>
        <w:rPr>
          <w:b/>
          <w:i/>
        </w:rPr>
      </w:pPr>
      <w:r w:rsidRPr="00BF1FAB">
        <w:rPr>
          <w:b/>
          <w:i/>
        </w:rPr>
        <w:t>Г</w:t>
      </w:r>
      <w:r w:rsidR="0012100E" w:rsidRPr="00BF1FAB">
        <w:rPr>
          <w:b/>
          <w:i/>
        </w:rPr>
        <w:t>осударственн</w:t>
      </w:r>
      <w:r w:rsidR="008D0BC1" w:rsidRPr="00BF1FAB">
        <w:rPr>
          <w:b/>
          <w:i/>
        </w:rPr>
        <w:t>ая</w:t>
      </w:r>
      <w:r w:rsidR="0012100E" w:rsidRPr="00BF1FAB">
        <w:rPr>
          <w:b/>
          <w:i/>
        </w:rPr>
        <w:t xml:space="preserve"> программ</w:t>
      </w:r>
      <w:r w:rsidR="008D0BC1" w:rsidRPr="00BF1FAB">
        <w:rPr>
          <w:b/>
          <w:i/>
        </w:rPr>
        <w:t>а</w:t>
      </w:r>
    </w:p>
    <w:p w:rsidR="00456000" w:rsidRPr="00BF1FAB" w:rsidRDefault="00F2714C" w:rsidP="00DB4D2B">
      <w:pPr>
        <w:autoSpaceDE w:val="0"/>
        <w:autoSpaceDN w:val="0"/>
        <w:adjustRightInd w:val="0"/>
        <w:ind w:firstLine="709"/>
        <w:jc w:val="both"/>
        <w:rPr>
          <w:rFonts w:eastAsiaTheme="minorHAnsi"/>
          <w:lang w:eastAsia="en-US"/>
        </w:rPr>
      </w:pPr>
      <w:r w:rsidRPr="00BF1FAB">
        <w:rPr>
          <w:rFonts w:eastAsiaTheme="minorHAnsi"/>
          <w:lang w:eastAsia="en-US"/>
        </w:rPr>
        <w:t xml:space="preserve">Комитет </w:t>
      </w:r>
      <w:r w:rsidR="00456000" w:rsidRPr="00BF1FAB">
        <w:rPr>
          <w:rFonts w:eastAsiaTheme="minorHAnsi"/>
          <w:lang w:eastAsia="en-US"/>
        </w:rPr>
        <w:t>в 2019 году являлся</w:t>
      </w:r>
      <w:r w:rsidRPr="00BF1FAB">
        <w:rPr>
          <w:rFonts w:eastAsiaTheme="minorHAnsi"/>
          <w:lang w:eastAsia="en-US"/>
        </w:rPr>
        <w:t xml:space="preserve"> </w:t>
      </w:r>
      <w:r w:rsidR="00456000" w:rsidRPr="00BF1FAB">
        <w:rPr>
          <w:rFonts w:eastAsiaTheme="minorHAnsi"/>
          <w:lang w:eastAsia="en-US"/>
        </w:rPr>
        <w:t xml:space="preserve">соисполнителем </w:t>
      </w:r>
      <w:r w:rsidR="00456000" w:rsidRPr="00BF1FAB">
        <w:t xml:space="preserve">государственной программы Волгоградской области «Развитие культуры </w:t>
      </w:r>
      <w:r w:rsidR="00456000" w:rsidRPr="00BF1FAB">
        <w:rPr>
          <w:rFonts w:eastAsiaTheme="minorHAnsi"/>
          <w:lang w:eastAsia="en-US"/>
        </w:rPr>
        <w:t xml:space="preserve">в </w:t>
      </w:r>
      <w:r w:rsidR="00456000" w:rsidRPr="00BF1FAB">
        <w:t>Волгоградской области», утвержденной постановлением Администрации Волгоградской области от 08.05.2015 №217-п (далее Госпрограмма)</w:t>
      </w:r>
      <w:r w:rsidRPr="00BF1FAB">
        <w:rPr>
          <w:rFonts w:eastAsiaTheme="minorHAnsi"/>
          <w:lang w:eastAsia="en-US"/>
        </w:rPr>
        <w:t xml:space="preserve">. </w:t>
      </w:r>
    </w:p>
    <w:p w:rsidR="00A8358A" w:rsidRPr="00BF1FAB" w:rsidRDefault="003147BD" w:rsidP="00674713">
      <w:pPr>
        <w:autoSpaceDE w:val="0"/>
        <w:autoSpaceDN w:val="0"/>
        <w:adjustRightInd w:val="0"/>
        <w:ind w:firstLine="708"/>
        <w:jc w:val="both"/>
      </w:pPr>
      <w:r w:rsidRPr="00BF1FAB">
        <w:t>Законом об областном бюджете</w:t>
      </w:r>
      <w:r w:rsidR="00A8358A" w:rsidRPr="00BF1FAB">
        <w:t xml:space="preserve"> и Госпрограммой </w:t>
      </w:r>
      <w:r w:rsidR="00185B7A" w:rsidRPr="00BF1FAB">
        <w:t xml:space="preserve">Комитету </w:t>
      </w:r>
      <w:r w:rsidRPr="00BF1FAB">
        <w:t xml:space="preserve">предусмотрено финансирование </w:t>
      </w:r>
      <w:r w:rsidR="00A8358A" w:rsidRPr="00BF1FAB">
        <w:rPr>
          <w:rFonts w:eastAsiaTheme="minorHAnsi"/>
          <w:lang w:eastAsia="en-US"/>
        </w:rPr>
        <w:t>по подпрограмме "Сохранение объектов культурного и исторического наследия, обеспечение доступа населения к культурным ценностям и информации"</w:t>
      </w:r>
      <w:r w:rsidRPr="00BF1FAB">
        <w:t xml:space="preserve"> в </w:t>
      </w:r>
      <w:r w:rsidR="00185B7A" w:rsidRPr="00BF1FAB">
        <w:t>сумме</w:t>
      </w:r>
      <w:r w:rsidR="00082D75" w:rsidRPr="00BF1FAB">
        <w:t xml:space="preserve"> </w:t>
      </w:r>
      <w:r w:rsidR="00456000" w:rsidRPr="00BF1FAB">
        <w:t>93652,5</w:t>
      </w:r>
      <w:r w:rsidR="00185B7A" w:rsidRPr="00BF1FAB">
        <w:t xml:space="preserve"> </w:t>
      </w:r>
      <w:r w:rsidRPr="00BF1FAB">
        <w:t>тыс. руб</w:t>
      </w:r>
      <w:r w:rsidR="00A8358A" w:rsidRPr="00BF1FAB">
        <w:t>лей. Б</w:t>
      </w:r>
      <w:r w:rsidRPr="00BF1FAB">
        <w:t>юджетные назначе</w:t>
      </w:r>
      <w:r w:rsidR="00082D75" w:rsidRPr="00BF1FAB">
        <w:t xml:space="preserve">ния утверждены в </w:t>
      </w:r>
      <w:r w:rsidR="00185B7A" w:rsidRPr="00BF1FAB">
        <w:t>размере</w:t>
      </w:r>
      <w:r w:rsidR="00082D75" w:rsidRPr="00BF1FAB">
        <w:t xml:space="preserve"> </w:t>
      </w:r>
      <w:r w:rsidR="00456000" w:rsidRPr="00BF1FAB">
        <w:t>18591,5</w:t>
      </w:r>
      <w:r w:rsidRPr="00BF1FAB">
        <w:t xml:space="preserve"> тыс. руб., </w:t>
      </w:r>
      <w:r w:rsidR="00A8358A" w:rsidRPr="00BF1FAB">
        <w:t>или на 75061,0 тыс.руб. (4 раза) меньше</w:t>
      </w:r>
      <w:r w:rsidR="000E5C17" w:rsidRPr="00BF1FAB">
        <w:t>,</w:t>
      </w:r>
      <w:r w:rsidR="00A8358A" w:rsidRPr="00BF1FAB">
        <w:t xml:space="preserve"> чем предусмотрено Законом об областном бюджете и Госпрограммой, что обусловлено переносом реализации отдельных мероприятий  на 2020 год.</w:t>
      </w:r>
    </w:p>
    <w:p w:rsidR="00A8358A" w:rsidRPr="00BF1FAB" w:rsidRDefault="00A8358A" w:rsidP="00150C64">
      <w:pPr>
        <w:autoSpaceDE w:val="0"/>
        <w:autoSpaceDN w:val="0"/>
        <w:adjustRightInd w:val="0"/>
        <w:ind w:firstLine="708"/>
        <w:jc w:val="both"/>
      </w:pPr>
      <w:r w:rsidRPr="00BF1FAB">
        <w:t>И</w:t>
      </w:r>
      <w:r w:rsidR="003147BD" w:rsidRPr="00BF1FAB">
        <w:t>сполнение кассо</w:t>
      </w:r>
      <w:r w:rsidR="00082D75" w:rsidRPr="00BF1FAB">
        <w:t xml:space="preserve">вых расходов составило </w:t>
      </w:r>
      <w:r w:rsidR="00456000" w:rsidRPr="00BF1FAB">
        <w:t>18122,1</w:t>
      </w:r>
      <w:r w:rsidR="00082D75" w:rsidRPr="00BF1FAB">
        <w:t xml:space="preserve"> тыс. руб., или </w:t>
      </w:r>
      <w:r w:rsidR="00456000" w:rsidRPr="00BF1FAB">
        <w:t>97,5</w:t>
      </w:r>
      <w:r w:rsidR="003147BD" w:rsidRPr="00BF1FAB">
        <w:t>% от бюджетных назначений</w:t>
      </w:r>
      <w:r w:rsidR="00185B7A" w:rsidRPr="00BF1FAB">
        <w:t xml:space="preserve">, </w:t>
      </w:r>
      <w:r w:rsidR="00150C64" w:rsidRPr="00BF1FAB">
        <w:t xml:space="preserve">неисполнение </w:t>
      </w:r>
      <w:r w:rsidR="000E5C17" w:rsidRPr="00BF1FAB">
        <w:t>-</w:t>
      </w:r>
      <w:r w:rsidR="00150C64" w:rsidRPr="00BF1FAB">
        <w:t xml:space="preserve"> 469,4 тыс.руб., </w:t>
      </w:r>
      <w:r w:rsidR="00185B7A" w:rsidRPr="00BF1FAB">
        <w:t>что обусловлено</w:t>
      </w:r>
      <w:r w:rsidR="004E0CAE" w:rsidRPr="00BF1FAB">
        <w:t xml:space="preserve"> </w:t>
      </w:r>
      <w:r w:rsidR="00150C64" w:rsidRPr="00BF1FAB">
        <w:t xml:space="preserve">отсутствием лимитов бюджетных обязательств на 438,4 тыс.руб., </w:t>
      </w:r>
      <w:r w:rsidR="0040486C" w:rsidRPr="00BF1FAB">
        <w:t xml:space="preserve">а также </w:t>
      </w:r>
      <w:proofErr w:type="spellStart"/>
      <w:r w:rsidR="0040486C" w:rsidRPr="00BF1FAB">
        <w:t>неперечислением</w:t>
      </w:r>
      <w:proofErr w:type="spellEnd"/>
      <w:r w:rsidR="0040486C" w:rsidRPr="00BF1FAB">
        <w:t xml:space="preserve"> субсидии ГБУ ВО НПЦ в сумме </w:t>
      </w:r>
      <w:r w:rsidR="00150C64" w:rsidRPr="00BF1FAB">
        <w:t xml:space="preserve">31,1 тыс.руб. </w:t>
      </w:r>
      <w:r w:rsidR="0040486C" w:rsidRPr="00BF1FAB">
        <w:t xml:space="preserve">в связи с отсутствием </w:t>
      </w:r>
      <w:r w:rsidR="0015485F" w:rsidRPr="00BF1FAB">
        <w:t xml:space="preserve">документального подтверждения от учреждения </w:t>
      </w:r>
      <w:r w:rsidR="0040486C" w:rsidRPr="00BF1FAB">
        <w:t>принят</w:t>
      </w:r>
      <w:r w:rsidR="0015485F" w:rsidRPr="00BF1FAB">
        <w:t>ия</w:t>
      </w:r>
      <w:r w:rsidR="0040486C" w:rsidRPr="00BF1FAB">
        <w:t xml:space="preserve"> денежных обязательств</w:t>
      </w:r>
      <w:r w:rsidR="00150C64" w:rsidRPr="00BF1FAB">
        <w:t xml:space="preserve">. </w:t>
      </w:r>
    </w:p>
    <w:p w:rsidR="00EE4B8A" w:rsidRPr="00BF1FAB" w:rsidRDefault="00AC1B77" w:rsidP="00EE4B8A">
      <w:pPr>
        <w:autoSpaceDE w:val="0"/>
        <w:autoSpaceDN w:val="0"/>
        <w:adjustRightInd w:val="0"/>
        <w:ind w:firstLine="708"/>
        <w:jc w:val="both"/>
        <w:rPr>
          <w:color w:val="0000CC"/>
        </w:rPr>
      </w:pPr>
      <w:r w:rsidRPr="00BF1FAB">
        <w:lastRenderedPageBreak/>
        <w:t xml:space="preserve">В рамках подпрограммы осуществлялась реализация  1 мероприятия </w:t>
      </w:r>
      <w:r w:rsidR="000E5C17" w:rsidRPr="00BF1FAB">
        <w:t xml:space="preserve">- </w:t>
      </w:r>
      <w:r w:rsidRPr="00BF1FAB">
        <w:t xml:space="preserve">субсидирование на финансовое обеспечение государственного задания на оказание государственных услуг (выполнение работ) и на иные цели ГБУ ВО НПЦ. </w:t>
      </w:r>
      <w:r w:rsidR="00EC149E" w:rsidRPr="00BF1FAB">
        <w:t xml:space="preserve"> </w:t>
      </w:r>
      <w:r w:rsidR="006F114D" w:rsidRPr="00BF1FAB">
        <w:t xml:space="preserve">Достижение непосредственных результатов реализации мероприятия при выполнении показателей государственного задания и использования субсидии на иные цели отражено </w:t>
      </w:r>
      <w:r w:rsidR="006F114D" w:rsidRPr="00BF1FAB">
        <w:rPr>
          <w:color w:val="0000CC"/>
        </w:rPr>
        <w:t xml:space="preserve">в </w:t>
      </w:r>
      <w:r w:rsidR="00EE4B8A" w:rsidRPr="00BF1FAB">
        <w:rPr>
          <w:color w:val="0000CC"/>
        </w:rPr>
        <w:t xml:space="preserve">приложении </w:t>
      </w:r>
      <w:r w:rsidR="006F114D" w:rsidRPr="00BF1FAB">
        <w:rPr>
          <w:color w:val="0000CC"/>
        </w:rPr>
        <w:t>№</w:t>
      </w:r>
      <w:r w:rsidR="00EE4B8A" w:rsidRPr="00BF1FAB">
        <w:rPr>
          <w:color w:val="0000CC"/>
        </w:rPr>
        <w:t xml:space="preserve">3 </w:t>
      </w:r>
    </w:p>
    <w:p w:rsidR="006F114D" w:rsidRPr="00BF1FAB" w:rsidRDefault="006F114D" w:rsidP="00EE4B8A">
      <w:pPr>
        <w:autoSpaceDE w:val="0"/>
        <w:autoSpaceDN w:val="0"/>
        <w:adjustRightInd w:val="0"/>
        <w:ind w:firstLine="708"/>
        <w:jc w:val="both"/>
        <w:rPr>
          <w:rFonts w:eastAsiaTheme="minorHAnsi"/>
          <w:lang w:eastAsia="en-US"/>
        </w:rPr>
      </w:pPr>
      <w:r w:rsidRPr="00BF1FAB">
        <w:t xml:space="preserve">По пояснениям Комитета неисполнение 1 </w:t>
      </w:r>
      <w:r w:rsidR="00150C64" w:rsidRPr="00BF1FAB">
        <w:t>показателя</w:t>
      </w:r>
      <w:r w:rsidRPr="00BF1FAB">
        <w:t xml:space="preserve"> "количество актов обследования и </w:t>
      </w:r>
      <w:proofErr w:type="spellStart"/>
      <w:r w:rsidRPr="00BF1FAB">
        <w:t>фотофиксации</w:t>
      </w:r>
      <w:proofErr w:type="spellEnd"/>
      <w:r w:rsidRPr="00BF1FAB">
        <w:t xml:space="preserve"> </w:t>
      </w:r>
      <w:proofErr w:type="spellStart"/>
      <w:r w:rsidR="000E5C17" w:rsidRPr="00BF1FAB">
        <w:t>оъектов</w:t>
      </w:r>
      <w:proofErr w:type="spellEnd"/>
      <w:r w:rsidR="000E5C17" w:rsidRPr="00BF1FAB">
        <w:t xml:space="preserve"> культурного наследия (далее ОКН)</w:t>
      </w:r>
      <w:r w:rsidRPr="00BF1FAB">
        <w:t>" в рамках выполнения государственного задания связано с неблагоприятными погодными условиями в конце 2019 года и, как следствие, транспортной недоступностью ОКН. Неисполнение государственного задания сложилось в пределах допустимого отклонения (не более 5 процентов) в соответствии с п.3 П</w:t>
      </w:r>
      <w:r w:rsidRPr="00BF1FAB">
        <w:rPr>
          <w:rFonts w:eastAsiaTheme="minorHAnsi"/>
          <w:lang w:eastAsia="en-US"/>
        </w:rPr>
        <w:t>оложения о формировании государственного задания на оказание государственных услуг (выполнение работ) в отношении государственных учреждений Волгоградской области и финансовом обеспечении выполнения государственного задания, утвержденного постановлением Администрация Волгоградской области от 30.12.2015 №818-п.</w:t>
      </w:r>
    </w:p>
    <w:p w:rsidR="006F114D" w:rsidRPr="00BF1FAB" w:rsidRDefault="006F114D" w:rsidP="006F114D">
      <w:pPr>
        <w:autoSpaceDE w:val="0"/>
        <w:autoSpaceDN w:val="0"/>
        <w:adjustRightInd w:val="0"/>
        <w:ind w:firstLine="680"/>
        <w:jc w:val="both"/>
        <w:rPr>
          <w:rFonts w:eastAsiaTheme="minorHAnsi"/>
          <w:lang w:eastAsia="en-US"/>
        </w:rPr>
      </w:pPr>
      <w:r w:rsidRPr="00BF1FAB">
        <w:rPr>
          <w:rFonts w:eastAsiaTheme="minorHAnsi"/>
          <w:lang w:eastAsia="en-US"/>
        </w:rPr>
        <w:t xml:space="preserve">Как указано </w:t>
      </w:r>
      <w:r w:rsidR="00150C64" w:rsidRPr="00BF1FAB">
        <w:rPr>
          <w:rFonts w:eastAsiaTheme="minorHAnsi"/>
          <w:lang w:eastAsia="en-US"/>
        </w:rPr>
        <w:t>ранее</w:t>
      </w:r>
      <w:r w:rsidR="000E5C17" w:rsidRPr="00BF1FAB">
        <w:rPr>
          <w:rFonts w:eastAsiaTheme="minorHAnsi"/>
          <w:lang w:eastAsia="en-US"/>
        </w:rPr>
        <w:t>,</w:t>
      </w:r>
      <w:r w:rsidRPr="00BF1FAB">
        <w:rPr>
          <w:rFonts w:eastAsiaTheme="minorHAnsi"/>
          <w:lang w:eastAsia="en-US"/>
        </w:rPr>
        <w:t xml:space="preserve"> в 2019 году расходы за счет средств субсидии на иные цели </w:t>
      </w:r>
      <w:r w:rsidRPr="00BF1FAB">
        <w:t>на реализацию мероприятий в отношении ОКН уменьшены</w:t>
      </w:r>
      <w:r w:rsidRPr="00BF1FAB">
        <w:rPr>
          <w:rFonts w:eastAsiaTheme="minorHAnsi"/>
          <w:lang w:eastAsia="en-US"/>
        </w:rPr>
        <w:t xml:space="preserve"> </w:t>
      </w:r>
      <w:r w:rsidRPr="00BF1FAB">
        <w:t xml:space="preserve">на 75061,0 тыс.руб., </w:t>
      </w:r>
      <w:r w:rsidR="0040486C" w:rsidRPr="00BF1FAB">
        <w:t>или в 4 раза</w:t>
      </w:r>
      <w:r w:rsidR="000E5C17" w:rsidRPr="00BF1FAB">
        <w:t>. В</w:t>
      </w:r>
      <w:r w:rsidRPr="00BF1FAB">
        <w:t>месте с тем непосредственные показатели реализации мероприятий за счет средств субсидии на иные цели, установленные Госпрограммой</w:t>
      </w:r>
      <w:r w:rsidR="000E5C17" w:rsidRPr="00BF1FAB">
        <w:t>,</w:t>
      </w:r>
      <w:r w:rsidRPr="00BF1FAB">
        <w:t xml:space="preserve"> выполнены в полном объеме (</w:t>
      </w:r>
      <w:r w:rsidR="00620D6E" w:rsidRPr="00BF1FAB">
        <w:t>приложение №3</w:t>
      </w:r>
      <w:r w:rsidRPr="00BF1FAB">
        <w:t xml:space="preserve">), что свидетельствует об отсутствии взаимосвязи непосредственных результатов и объемов финансирования мероприятия и </w:t>
      </w:r>
      <w:r w:rsidR="00150C64" w:rsidRPr="00BF1FAB">
        <w:t>противоречит</w:t>
      </w:r>
      <w:r w:rsidRPr="00BF1FAB">
        <w:t xml:space="preserve"> п.1.3 </w:t>
      </w:r>
      <w:r w:rsidRPr="00BF1FAB">
        <w:rPr>
          <w:rFonts w:eastAsiaTheme="minorHAnsi"/>
          <w:lang w:eastAsia="en-US"/>
        </w:rPr>
        <w:t>Порядка разработки, реализации и оценки эффективности реализации государственных программ Волгоградской области, утвержденно</w:t>
      </w:r>
      <w:r w:rsidR="000E5C17" w:rsidRPr="00BF1FAB">
        <w:rPr>
          <w:rFonts w:eastAsiaTheme="minorHAnsi"/>
          <w:lang w:eastAsia="en-US"/>
        </w:rPr>
        <w:t>го</w:t>
      </w:r>
      <w:r w:rsidRPr="00BF1FAB">
        <w:rPr>
          <w:rFonts w:eastAsiaTheme="minorHAnsi"/>
          <w:lang w:eastAsia="en-US"/>
        </w:rPr>
        <w:t xml:space="preserve"> постановлением Правительства Волгоградской области от 27.08.2013 № 423-п (далее Порядок №423-п), котор</w:t>
      </w:r>
      <w:r w:rsidR="00EC149E" w:rsidRPr="00BF1FAB">
        <w:rPr>
          <w:rFonts w:eastAsiaTheme="minorHAnsi"/>
          <w:lang w:eastAsia="en-US"/>
        </w:rPr>
        <w:t>ы</w:t>
      </w:r>
      <w:r w:rsidRPr="00BF1FAB">
        <w:rPr>
          <w:rFonts w:eastAsiaTheme="minorHAnsi"/>
          <w:lang w:eastAsia="en-US"/>
        </w:rPr>
        <w:t xml:space="preserve">м установлено, что программа это комплекс взаимоувязанных по целям, срокам, ресурсам и исполнителям мероприятий, выделенный исходя из масштаба и сложности задач, решаемых в рамках государственной программы. </w:t>
      </w:r>
    </w:p>
    <w:p w:rsidR="0040486C" w:rsidRPr="00BF1FAB" w:rsidRDefault="0040486C" w:rsidP="0040486C">
      <w:pPr>
        <w:ind w:firstLine="680"/>
        <w:jc w:val="both"/>
        <w:rPr>
          <w:color w:val="000099"/>
        </w:rPr>
      </w:pPr>
      <w:r w:rsidRPr="00BF1FAB">
        <w:t xml:space="preserve">Информация о достижении значений целевых показателей Госпрограммы в 2019 году представлена </w:t>
      </w:r>
      <w:r w:rsidRPr="00BF1FAB">
        <w:rPr>
          <w:color w:val="000099"/>
        </w:rPr>
        <w:t>в таблице №</w:t>
      </w:r>
      <w:r w:rsidR="00EE4B8A" w:rsidRPr="00BF1FAB">
        <w:rPr>
          <w:color w:val="000099"/>
        </w:rPr>
        <w:t>4</w:t>
      </w:r>
      <w:r w:rsidRPr="00BF1FAB">
        <w:rPr>
          <w:color w:val="000099"/>
        </w:rPr>
        <w:t>.</w:t>
      </w:r>
    </w:p>
    <w:p w:rsidR="0040486C" w:rsidRPr="00BF1FAB" w:rsidRDefault="0040486C" w:rsidP="0040486C">
      <w:pPr>
        <w:ind w:firstLine="680"/>
        <w:jc w:val="right"/>
        <w:rPr>
          <w:color w:val="000099"/>
        </w:rPr>
      </w:pPr>
      <w:r w:rsidRPr="00BF1FAB">
        <w:rPr>
          <w:color w:val="000099"/>
        </w:rPr>
        <w:t>Таблица №</w:t>
      </w:r>
      <w:r w:rsidR="00EE4B8A" w:rsidRPr="00BF1FAB">
        <w:rPr>
          <w:color w:val="000099"/>
        </w:rPr>
        <w:t>4</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567"/>
        <w:gridCol w:w="709"/>
        <w:gridCol w:w="709"/>
        <w:gridCol w:w="709"/>
        <w:gridCol w:w="2126"/>
      </w:tblGrid>
      <w:tr w:rsidR="0040486C" w:rsidRPr="00BF1FAB" w:rsidTr="00EC1346">
        <w:trPr>
          <w:trHeight w:val="20"/>
          <w:tblHeader/>
        </w:trPr>
        <w:tc>
          <w:tcPr>
            <w:tcW w:w="567" w:type="dxa"/>
            <w:vMerge w:val="restart"/>
            <w:shd w:val="clear" w:color="auto" w:fill="auto"/>
            <w:vAlign w:val="center"/>
            <w:hideMark/>
          </w:tcPr>
          <w:p w:rsidR="0040486C" w:rsidRPr="00BF1FAB" w:rsidRDefault="0040486C" w:rsidP="00EC1346">
            <w:pPr>
              <w:jc w:val="center"/>
              <w:rPr>
                <w:sz w:val="16"/>
                <w:szCs w:val="16"/>
              </w:rPr>
            </w:pPr>
            <w:r w:rsidRPr="00BF1FAB">
              <w:rPr>
                <w:sz w:val="16"/>
                <w:szCs w:val="16"/>
              </w:rPr>
              <w:t xml:space="preserve">№ </w:t>
            </w:r>
            <w:r w:rsidRPr="00BF1FAB">
              <w:rPr>
                <w:sz w:val="16"/>
                <w:szCs w:val="16"/>
              </w:rPr>
              <w:br/>
            </w:r>
            <w:proofErr w:type="spellStart"/>
            <w:r w:rsidRPr="00BF1FAB">
              <w:rPr>
                <w:sz w:val="16"/>
                <w:szCs w:val="16"/>
              </w:rPr>
              <w:t>п</w:t>
            </w:r>
            <w:proofErr w:type="spellEnd"/>
            <w:r w:rsidRPr="00BF1FAB">
              <w:rPr>
                <w:sz w:val="16"/>
                <w:szCs w:val="16"/>
              </w:rPr>
              <w:t>/</w:t>
            </w:r>
            <w:proofErr w:type="spellStart"/>
            <w:r w:rsidRPr="00BF1FAB">
              <w:rPr>
                <w:sz w:val="16"/>
                <w:szCs w:val="16"/>
              </w:rPr>
              <w:t>п</w:t>
            </w:r>
            <w:proofErr w:type="spellEnd"/>
          </w:p>
        </w:tc>
        <w:tc>
          <w:tcPr>
            <w:tcW w:w="5103" w:type="dxa"/>
            <w:vMerge w:val="restart"/>
            <w:shd w:val="clear" w:color="auto" w:fill="auto"/>
            <w:vAlign w:val="center"/>
            <w:hideMark/>
          </w:tcPr>
          <w:p w:rsidR="0040486C" w:rsidRPr="00BF1FAB" w:rsidRDefault="0040486C" w:rsidP="00EC1346">
            <w:pPr>
              <w:jc w:val="center"/>
              <w:rPr>
                <w:sz w:val="16"/>
                <w:szCs w:val="16"/>
              </w:rPr>
            </w:pPr>
            <w:r w:rsidRPr="00BF1FAB">
              <w:rPr>
                <w:sz w:val="16"/>
                <w:szCs w:val="16"/>
              </w:rPr>
              <w:t>Целевой показатель</w:t>
            </w:r>
          </w:p>
        </w:tc>
        <w:tc>
          <w:tcPr>
            <w:tcW w:w="567" w:type="dxa"/>
            <w:vMerge w:val="restart"/>
            <w:shd w:val="clear" w:color="auto" w:fill="auto"/>
            <w:vAlign w:val="center"/>
            <w:hideMark/>
          </w:tcPr>
          <w:p w:rsidR="0040486C" w:rsidRPr="00BF1FAB" w:rsidRDefault="0040486C" w:rsidP="00EC1346">
            <w:pPr>
              <w:jc w:val="center"/>
              <w:rPr>
                <w:sz w:val="16"/>
                <w:szCs w:val="16"/>
              </w:rPr>
            </w:pPr>
            <w:r w:rsidRPr="00BF1FAB">
              <w:rPr>
                <w:sz w:val="16"/>
                <w:szCs w:val="16"/>
              </w:rPr>
              <w:t xml:space="preserve">Ед. </w:t>
            </w:r>
            <w:proofErr w:type="spellStart"/>
            <w:r w:rsidRPr="00BF1FAB">
              <w:rPr>
                <w:sz w:val="16"/>
                <w:szCs w:val="16"/>
              </w:rPr>
              <w:t>изм</w:t>
            </w:r>
            <w:proofErr w:type="spellEnd"/>
            <w:r w:rsidRPr="00BF1FAB">
              <w:rPr>
                <w:sz w:val="16"/>
                <w:szCs w:val="16"/>
              </w:rPr>
              <w:t>.</w:t>
            </w:r>
          </w:p>
        </w:tc>
        <w:tc>
          <w:tcPr>
            <w:tcW w:w="2127" w:type="dxa"/>
            <w:gridSpan w:val="3"/>
            <w:shd w:val="clear" w:color="auto" w:fill="auto"/>
            <w:vAlign w:val="center"/>
            <w:hideMark/>
          </w:tcPr>
          <w:p w:rsidR="0040486C" w:rsidRPr="00BF1FAB" w:rsidRDefault="0040486C" w:rsidP="00EC1346">
            <w:pPr>
              <w:jc w:val="center"/>
              <w:rPr>
                <w:sz w:val="16"/>
                <w:szCs w:val="16"/>
              </w:rPr>
            </w:pPr>
            <w:r w:rsidRPr="00BF1FAB">
              <w:rPr>
                <w:sz w:val="16"/>
                <w:szCs w:val="16"/>
              </w:rPr>
              <w:t xml:space="preserve">Значения целевых показателей </w:t>
            </w:r>
          </w:p>
        </w:tc>
        <w:tc>
          <w:tcPr>
            <w:tcW w:w="2126" w:type="dxa"/>
            <w:vMerge w:val="restart"/>
            <w:shd w:val="clear" w:color="auto" w:fill="auto"/>
          </w:tcPr>
          <w:p w:rsidR="0040486C" w:rsidRPr="00BF1FAB" w:rsidRDefault="0040486C" w:rsidP="00EC1346">
            <w:pPr>
              <w:jc w:val="center"/>
              <w:rPr>
                <w:sz w:val="16"/>
                <w:szCs w:val="16"/>
              </w:rPr>
            </w:pPr>
            <w:r w:rsidRPr="00BF1FAB">
              <w:rPr>
                <w:sz w:val="16"/>
                <w:szCs w:val="16"/>
              </w:rPr>
              <w:t xml:space="preserve">Расчет показателя </w:t>
            </w:r>
          </w:p>
        </w:tc>
      </w:tr>
      <w:tr w:rsidR="0040486C" w:rsidRPr="00BF1FAB" w:rsidTr="00EC1346">
        <w:trPr>
          <w:trHeight w:val="20"/>
          <w:tblHeader/>
        </w:trPr>
        <w:tc>
          <w:tcPr>
            <w:tcW w:w="567" w:type="dxa"/>
            <w:vMerge/>
            <w:shd w:val="clear" w:color="auto" w:fill="auto"/>
            <w:vAlign w:val="center"/>
            <w:hideMark/>
          </w:tcPr>
          <w:p w:rsidR="0040486C" w:rsidRPr="00BF1FAB" w:rsidRDefault="0040486C" w:rsidP="00EC1346">
            <w:pPr>
              <w:rPr>
                <w:sz w:val="16"/>
                <w:szCs w:val="16"/>
              </w:rPr>
            </w:pPr>
          </w:p>
        </w:tc>
        <w:tc>
          <w:tcPr>
            <w:tcW w:w="5103" w:type="dxa"/>
            <w:vMerge/>
            <w:shd w:val="clear" w:color="auto" w:fill="auto"/>
            <w:vAlign w:val="center"/>
            <w:hideMark/>
          </w:tcPr>
          <w:p w:rsidR="0040486C" w:rsidRPr="00BF1FAB" w:rsidRDefault="0040486C" w:rsidP="00EC1346">
            <w:pPr>
              <w:rPr>
                <w:sz w:val="16"/>
                <w:szCs w:val="16"/>
              </w:rPr>
            </w:pPr>
          </w:p>
        </w:tc>
        <w:tc>
          <w:tcPr>
            <w:tcW w:w="567" w:type="dxa"/>
            <w:vMerge/>
            <w:shd w:val="clear" w:color="auto" w:fill="auto"/>
            <w:vAlign w:val="center"/>
            <w:hideMark/>
          </w:tcPr>
          <w:p w:rsidR="0040486C" w:rsidRPr="00BF1FAB" w:rsidRDefault="0040486C" w:rsidP="00EC1346">
            <w:pPr>
              <w:rPr>
                <w:sz w:val="16"/>
                <w:szCs w:val="16"/>
              </w:rPr>
            </w:pPr>
          </w:p>
        </w:tc>
        <w:tc>
          <w:tcPr>
            <w:tcW w:w="709" w:type="dxa"/>
            <w:vMerge w:val="restart"/>
            <w:shd w:val="clear" w:color="auto" w:fill="auto"/>
            <w:vAlign w:val="center"/>
            <w:hideMark/>
          </w:tcPr>
          <w:p w:rsidR="0040486C" w:rsidRPr="00BF1FAB" w:rsidRDefault="0040486C" w:rsidP="00EC1346">
            <w:pPr>
              <w:jc w:val="center"/>
              <w:rPr>
                <w:sz w:val="16"/>
                <w:szCs w:val="16"/>
              </w:rPr>
            </w:pPr>
            <w:r w:rsidRPr="00BF1FAB">
              <w:rPr>
                <w:sz w:val="16"/>
                <w:szCs w:val="16"/>
              </w:rPr>
              <w:t>2018</w:t>
            </w:r>
          </w:p>
        </w:tc>
        <w:tc>
          <w:tcPr>
            <w:tcW w:w="1418" w:type="dxa"/>
            <w:gridSpan w:val="2"/>
            <w:shd w:val="clear" w:color="auto" w:fill="auto"/>
            <w:noWrap/>
            <w:vAlign w:val="center"/>
            <w:hideMark/>
          </w:tcPr>
          <w:p w:rsidR="0040486C" w:rsidRPr="00BF1FAB" w:rsidRDefault="0040486C" w:rsidP="00EC1346">
            <w:pPr>
              <w:jc w:val="center"/>
              <w:rPr>
                <w:sz w:val="16"/>
                <w:szCs w:val="16"/>
              </w:rPr>
            </w:pPr>
            <w:r w:rsidRPr="00BF1FAB">
              <w:rPr>
                <w:sz w:val="16"/>
                <w:szCs w:val="16"/>
              </w:rPr>
              <w:t xml:space="preserve">2019 </w:t>
            </w:r>
          </w:p>
        </w:tc>
        <w:tc>
          <w:tcPr>
            <w:tcW w:w="2126" w:type="dxa"/>
            <w:vMerge/>
            <w:shd w:val="clear" w:color="auto" w:fill="auto"/>
          </w:tcPr>
          <w:p w:rsidR="0040486C" w:rsidRPr="00BF1FAB" w:rsidRDefault="0040486C" w:rsidP="00EC1346">
            <w:pPr>
              <w:jc w:val="center"/>
              <w:rPr>
                <w:sz w:val="16"/>
                <w:szCs w:val="16"/>
              </w:rPr>
            </w:pPr>
          </w:p>
        </w:tc>
      </w:tr>
      <w:tr w:rsidR="0040486C" w:rsidRPr="00BF1FAB" w:rsidTr="00EC1346">
        <w:trPr>
          <w:trHeight w:val="20"/>
          <w:tblHeader/>
        </w:trPr>
        <w:tc>
          <w:tcPr>
            <w:tcW w:w="567" w:type="dxa"/>
            <w:vMerge/>
            <w:shd w:val="clear" w:color="auto" w:fill="auto"/>
            <w:vAlign w:val="center"/>
            <w:hideMark/>
          </w:tcPr>
          <w:p w:rsidR="0040486C" w:rsidRPr="00BF1FAB" w:rsidRDefault="0040486C" w:rsidP="00EC1346">
            <w:pPr>
              <w:rPr>
                <w:sz w:val="16"/>
                <w:szCs w:val="16"/>
              </w:rPr>
            </w:pPr>
          </w:p>
        </w:tc>
        <w:tc>
          <w:tcPr>
            <w:tcW w:w="5103" w:type="dxa"/>
            <w:vMerge/>
            <w:shd w:val="clear" w:color="auto" w:fill="auto"/>
            <w:vAlign w:val="center"/>
            <w:hideMark/>
          </w:tcPr>
          <w:p w:rsidR="0040486C" w:rsidRPr="00BF1FAB" w:rsidRDefault="0040486C" w:rsidP="00EC1346">
            <w:pPr>
              <w:rPr>
                <w:sz w:val="16"/>
                <w:szCs w:val="16"/>
              </w:rPr>
            </w:pPr>
          </w:p>
        </w:tc>
        <w:tc>
          <w:tcPr>
            <w:tcW w:w="567" w:type="dxa"/>
            <w:vMerge/>
            <w:shd w:val="clear" w:color="auto" w:fill="auto"/>
            <w:vAlign w:val="center"/>
            <w:hideMark/>
          </w:tcPr>
          <w:p w:rsidR="0040486C" w:rsidRPr="00BF1FAB" w:rsidRDefault="0040486C" w:rsidP="00EC1346">
            <w:pPr>
              <w:rPr>
                <w:sz w:val="16"/>
                <w:szCs w:val="16"/>
              </w:rPr>
            </w:pPr>
          </w:p>
        </w:tc>
        <w:tc>
          <w:tcPr>
            <w:tcW w:w="709" w:type="dxa"/>
            <w:vMerge/>
            <w:shd w:val="clear" w:color="auto" w:fill="auto"/>
            <w:vAlign w:val="center"/>
            <w:hideMark/>
          </w:tcPr>
          <w:p w:rsidR="0040486C" w:rsidRPr="00BF1FAB" w:rsidRDefault="0040486C" w:rsidP="00EC1346">
            <w:pPr>
              <w:rPr>
                <w:sz w:val="16"/>
                <w:szCs w:val="16"/>
              </w:rPr>
            </w:pPr>
          </w:p>
        </w:tc>
        <w:tc>
          <w:tcPr>
            <w:tcW w:w="709" w:type="dxa"/>
            <w:shd w:val="clear" w:color="auto" w:fill="auto"/>
            <w:vAlign w:val="center"/>
            <w:hideMark/>
          </w:tcPr>
          <w:p w:rsidR="0040486C" w:rsidRPr="00BF1FAB" w:rsidRDefault="0040486C" w:rsidP="00EC1346">
            <w:pPr>
              <w:jc w:val="center"/>
              <w:rPr>
                <w:sz w:val="16"/>
                <w:szCs w:val="16"/>
              </w:rPr>
            </w:pPr>
            <w:r w:rsidRPr="00BF1FAB">
              <w:rPr>
                <w:sz w:val="16"/>
                <w:szCs w:val="16"/>
              </w:rPr>
              <w:t>План</w:t>
            </w:r>
          </w:p>
        </w:tc>
        <w:tc>
          <w:tcPr>
            <w:tcW w:w="709" w:type="dxa"/>
            <w:shd w:val="clear" w:color="auto" w:fill="auto"/>
            <w:vAlign w:val="center"/>
            <w:hideMark/>
          </w:tcPr>
          <w:p w:rsidR="0040486C" w:rsidRPr="00BF1FAB" w:rsidRDefault="0040486C" w:rsidP="00EC1346">
            <w:pPr>
              <w:jc w:val="center"/>
              <w:rPr>
                <w:sz w:val="16"/>
                <w:szCs w:val="16"/>
              </w:rPr>
            </w:pPr>
            <w:r w:rsidRPr="00BF1FAB">
              <w:rPr>
                <w:sz w:val="16"/>
                <w:szCs w:val="16"/>
              </w:rPr>
              <w:t>Отчёт</w:t>
            </w:r>
          </w:p>
        </w:tc>
        <w:tc>
          <w:tcPr>
            <w:tcW w:w="2126" w:type="dxa"/>
            <w:vMerge/>
            <w:shd w:val="clear" w:color="auto" w:fill="auto"/>
          </w:tcPr>
          <w:p w:rsidR="0040486C" w:rsidRPr="00BF1FAB" w:rsidRDefault="0040486C" w:rsidP="00EC1346">
            <w:pPr>
              <w:jc w:val="center"/>
              <w:rPr>
                <w:sz w:val="16"/>
                <w:szCs w:val="16"/>
              </w:rPr>
            </w:pPr>
          </w:p>
        </w:tc>
      </w:tr>
      <w:tr w:rsidR="0040486C" w:rsidRPr="00BF1FAB" w:rsidTr="00EC1346">
        <w:trPr>
          <w:trHeight w:val="20"/>
        </w:trPr>
        <w:tc>
          <w:tcPr>
            <w:tcW w:w="567"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1</w:t>
            </w:r>
          </w:p>
        </w:tc>
        <w:tc>
          <w:tcPr>
            <w:tcW w:w="5103" w:type="dxa"/>
            <w:shd w:val="clear" w:color="auto" w:fill="auto"/>
            <w:vAlign w:val="center"/>
            <w:hideMark/>
          </w:tcPr>
          <w:p w:rsidR="0040486C" w:rsidRPr="00BF1FAB" w:rsidRDefault="0040486C" w:rsidP="00EC1346">
            <w:pPr>
              <w:autoSpaceDE w:val="0"/>
              <w:autoSpaceDN w:val="0"/>
              <w:adjustRightInd w:val="0"/>
              <w:rPr>
                <w:rFonts w:eastAsia="Calibri"/>
                <w:sz w:val="20"/>
                <w:szCs w:val="20"/>
              </w:rPr>
            </w:pPr>
            <w:r w:rsidRPr="00BF1FAB">
              <w:rPr>
                <w:rFonts w:eastAsiaTheme="minorHAnsi"/>
                <w:sz w:val="20"/>
                <w:szCs w:val="20"/>
              </w:rPr>
              <w:t xml:space="preserve">Доля объектов культурного наследия (памятников истории и культуры) </w:t>
            </w:r>
            <w:r w:rsidRPr="00BF1FAB">
              <w:rPr>
                <w:rFonts w:eastAsiaTheme="minorHAnsi"/>
                <w:sz w:val="20"/>
                <w:szCs w:val="20"/>
                <w:u w:val="single"/>
              </w:rPr>
              <w:t>с утвержденным предметом</w:t>
            </w:r>
            <w:r w:rsidRPr="00BF1FAB">
              <w:rPr>
                <w:rFonts w:eastAsiaTheme="minorHAnsi"/>
                <w:sz w:val="20"/>
                <w:szCs w:val="20"/>
              </w:rPr>
              <w:t xml:space="preserve"> охраны от общего количества объектов культурного наследия, расположенных на территории Волгоградской области</w:t>
            </w:r>
          </w:p>
        </w:tc>
        <w:tc>
          <w:tcPr>
            <w:tcW w:w="567" w:type="dxa"/>
            <w:shd w:val="clear" w:color="auto" w:fill="auto"/>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w:t>
            </w:r>
          </w:p>
        </w:tc>
        <w:tc>
          <w:tcPr>
            <w:tcW w:w="709"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40,1</w:t>
            </w:r>
          </w:p>
        </w:tc>
        <w:tc>
          <w:tcPr>
            <w:tcW w:w="709"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42,9</w:t>
            </w:r>
          </w:p>
        </w:tc>
        <w:tc>
          <w:tcPr>
            <w:tcW w:w="709"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40,8</w:t>
            </w:r>
          </w:p>
        </w:tc>
        <w:tc>
          <w:tcPr>
            <w:tcW w:w="2126" w:type="dxa"/>
            <w:shd w:val="clear" w:color="auto" w:fill="auto"/>
            <w:vAlign w:val="center"/>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1098 ед./2687 ед.*100%</w:t>
            </w:r>
          </w:p>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(7 ед.  в 2019 году)</w:t>
            </w:r>
          </w:p>
        </w:tc>
      </w:tr>
      <w:tr w:rsidR="0040486C" w:rsidRPr="00BF1FAB" w:rsidTr="00EC1346">
        <w:trPr>
          <w:trHeight w:val="20"/>
        </w:trPr>
        <w:tc>
          <w:tcPr>
            <w:tcW w:w="567"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2</w:t>
            </w:r>
          </w:p>
        </w:tc>
        <w:tc>
          <w:tcPr>
            <w:tcW w:w="5103" w:type="dxa"/>
            <w:shd w:val="clear" w:color="auto" w:fill="auto"/>
            <w:vAlign w:val="center"/>
            <w:hideMark/>
          </w:tcPr>
          <w:p w:rsidR="0040486C" w:rsidRPr="00BF1FAB" w:rsidRDefault="0040486C" w:rsidP="00EC1346">
            <w:pPr>
              <w:autoSpaceDE w:val="0"/>
              <w:autoSpaceDN w:val="0"/>
              <w:adjustRightInd w:val="0"/>
              <w:rPr>
                <w:rFonts w:eastAsia="Calibri"/>
                <w:sz w:val="20"/>
                <w:szCs w:val="20"/>
              </w:rPr>
            </w:pPr>
            <w:r w:rsidRPr="00BF1FAB">
              <w:rPr>
                <w:rFonts w:eastAsiaTheme="minorHAnsi"/>
                <w:sz w:val="20"/>
                <w:szCs w:val="20"/>
              </w:rPr>
              <w:t xml:space="preserve">Доля объектов культурного наследия (памятников истории и культуры) </w:t>
            </w:r>
            <w:r w:rsidRPr="00BF1FAB">
              <w:rPr>
                <w:rFonts w:eastAsiaTheme="minorHAnsi"/>
                <w:sz w:val="20"/>
                <w:szCs w:val="20"/>
                <w:u w:val="single"/>
              </w:rPr>
              <w:t>с установленными границами</w:t>
            </w:r>
            <w:r w:rsidRPr="00BF1FAB">
              <w:rPr>
                <w:rFonts w:eastAsiaTheme="minorHAnsi"/>
                <w:sz w:val="20"/>
                <w:szCs w:val="20"/>
              </w:rPr>
              <w:t xml:space="preserve"> территории от общего количества объектов культурного наследия, расположенных на территории Волгоградской области</w:t>
            </w:r>
          </w:p>
        </w:tc>
        <w:tc>
          <w:tcPr>
            <w:tcW w:w="567" w:type="dxa"/>
            <w:shd w:val="clear" w:color="auto" w:fill="auto"/>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w:t>
            </w:r>
          </w:p>
        </w:tc>
        <w:tc>
          <w:tcPr>
            <w:tcW w:w="709"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19,8</w:t>
            </w:r>
          </w:p>
        </w:tc>
        <w:tc>
          <w:tcPr>
            <w:tcW w:w="709"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22</w:t>
            </w:r>
          </w:p>
        </w:tc>
        <w:tc>
          <w:tcPr>
            <w:tcW w:w="709"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21,4</w:t>
            </w:r>
          </w:p>
        </w:tc>
        <w:tc>
          <w:tcPr>
            <w:tcW w:w="2126" w:type="dxa"/>
            <w:shd w:val="clear" w:color="auto" w:fill="auto"/>
            <w:vAlign w:val="center"/>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576 ед./2687 ед.*100% (55 ед. - в 2019 году)</w:t>
            </w:r>
          </w:p>
        </w:tc>
      </w:tr>
      <w:tr w:rsidR="0040486C" w:rsidRPr="00BF1FAB" w:rsidTr="00EC1346">
        <w:trPr>
          <w:trHeight w:val="20"/>
        </w:trPr>
        <w:tc>
          <w:tcPr>
            <w:tcW w:w="567"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3</w:t>
            </w:r>
          </w:p>
        </w:tc>
        <w:tc>
          <w:tcPr>
            <w:tcW w:w="5103" w:type="dxa"/>
            <w:shd w:val="clear" w:color="auto" w:fill="auto"/>
            <w:vAlign w:val="center"/>
            <w:hideMark/>
          </w:tcPr>
          <w:p w:rsidR="0040486C" w:rsidRPr="00BF1FAB" w:rsidRDefault="0040486C" w:rsidP="00EC1346">
            <w:pPr>
              <w:autoSpaceDE w:val="0"/>
              <w:autoSpaceDN w:val="0"/>
              <w:adjustRightInd w:val="0"/>
              <w:rPr>
                <w:rFonts w:eastAsia="Calibri"/>
                <w:sz w:val="20"/>
                <w:szCs w:val="20"/>
              </w:rPr>
            </w:pPr>
            <w:r w:rsidRPr="00BF1FAB">
              <w:rPr>
                <w:rFonts w:eastAsiaTheme="minorHAnsi"/>
                <w:sz w:val="20"/>
                <w:szCs w:val="20"/>
              </w:rPr>
              <w:t xml:space="preserve">Доля объектов культурного наследия (памятников истории и культуры) </w:t>
            </w:r>
            <w:r w:rsidRPr="00BF1FAB">
              <w:rPr>
                <w:rFonts w:eastAsiaTheme="minorHAnsi"/>
                <w:sz w:val="20"/>
                <w:szCs w:val="20"/>
                <w:u w:val="single"/>
              </w:rPr>
              <w:t>с утвержденными охранными</w:t>
            </w:r>
            <w:r w:rsidRPr="00BF1FAB">
              <w:rPr>
                <w:rFonts w:eastAsiaTheme="minorHAnsi"/>
                <w:sz w:val="20"/>
                <w:szCs w:val="20"/>
              </w:rPr>
              <w:t xml:space="preserve"> обязательствами от общего количества объектов культурного наследия, расположенных на территории Волгоградской области, требующих обеспечения охранными обязательствами</w:t>
            </w:r>
          </w:p>
        </w:tc>
        <w:tc>
          <w:tcPr>
            <w:tcW w:w="567" w:type="dxa"/>
            <w:shd w:val="clear" w:color="auto" w:fill="auto"/>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w:t>
            </w:r>
          </w:p>
        </w:tc>
        <w:tc>
          <w:tcPr>
            <w:tcW w:w="709"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1,4</w:t>
            </w:r>
          </w:p>
        </w:tc>
        <w:tc>
          <w:tcPr>
            <w:tcW w:w="709"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3,7</w:t>
            </w:r>
          </w:p>
        </w:tc>
        <w:tc>
          <w:tcPr>
            <w:tcW w:w="709" w:type="dxa"/>
            <w:shd w:val="clear" w:color="auto" w:fill="auto"/>
            <w:noWrap/>
            <w:vAlign w:val="center"/>
            <w:hideMark/>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1,7</w:t>
            </w:r>
          </w:p>
        </w:tc>
        <w:tc>
          <w:tcPr>
            <w:tcW w:w="2126" w:type="dxa"/>
            <w:shd w:val="clear" w:color="auto" w:fill="auto"/>
            <w:vAlign w:val="center"/>
          </w:tcPr>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 xml:space="preserve">44 ед./2589 ед. (за минусом 98 ед. достопримечательные места)*100 </w:t>
            </w:r>
          </w:p>
          <w:p w:rsidR="0040486C" w:rsidRPr="00BF1FAB" w:rsidRDefault="0040486C" w:rsidP="00EC1346">
            <w:pPr>
              <w:autoSpaceDE w:val="0"/>
              <w:autoSpaceDN w:val="0"/>
              <w:adjustRightInd w:val="0"/>
              <w:jc w:val="center"/>
              <w:rPr>
                <w:rFonts w:eastAsiaTheme="minorHAnsi"/>
                <w:sz w:val="20"/>
                <w:szCs w:val="20"/>
              </w:rPr>
            </w:pPr>
            <w:r w:rsidRPr="00BF1FAB">
              <w:rPr>
                <w:rFonts w:eastAsiaTheme="minorHAnsi"/>
                <w:sz w:val="20"/>
                <w:szCs w:val="20"/>
              </w:rPr>
              <w:t xml:space="preserve">(7 ед. в 2019 году)  </w:t>
            </w:r>
          </w:p>
        </w:tc>
      </w:tr>
    </w:tbl>
    <w:p w:rsidR="00620D6E" w:rsidRPr="00BF1FAB" w:rsidRDefault="00620D6E" w:rsidP="00620D6E">
      <w:pPr>
        <w:spacing w:before="120"/>
        <w:ind w:firstLine="539"/>
        <w:jc w:val="both"/>
      </w:pPr>
      <w:r w:rsidRPr="00BF1FAB">
        <w:rPr>
          <w:rFonts w:eastAsiaTheme="minorHAnsi"/>
          <w:lang w:eastAsia="en-US"/>
        </w:rPr>
        <w:t xml:space="preserve">Вместе с тем при реализации </w:t>
      </w:r>
      <w:r w:rsidR="000E5C17" w:rsidRPr="00BF1FAB">
        <w:rPr>
          <w:rFonts w:eastAsiaTheme="minorHAnsi"/>
          <w:lang w:eastAsia="en-US"/>
        </w:rPr>
        <w:t xml:space="preserve">в рамках </w:t>
      </w:r>
      <w:r w:rsidR="000E5C17" w:rsidRPr="00BF1FAB">
        <w:t xml:space="preserve">Госпрограммы 1 мероприятия </w:t>
      </w:r>
      <w:r w:rsidRPr="00BF1FAB">
        <w:t>(</w:t>
      </w:r>
      <w:r w:rsidR="000E5C17" w:rsidRPr="00BF1FAB">
        <w:t>субсидирование на финансовое обеспечение государственного задания ГБУ ВО НПЦ</w:t>
      </w:r>
      <w:r w:rsidRPr="00BF1FAB">
        <w:t>) отсутствует взаимосвязь финансового обеспечения, непосредственных результатов реализации мероприятия и достигаемых значений целевых показателей Госпрограммы, что не соответствует п.1.</w:t>
      </w:r>
      <w:r w:rsidR="002224FF" w:rsidRPr="00BF1FAB">
        <w:t>3</w:t>
      </w:r>
      <w:r w:rsidRPr="00BF1FAB">
        <w:t xml:space="preserve"> Порядка №423-п. </w:t>
      </w:r>
    </w:p>
    <w:p w:rsidR="00620D6E" w:rsidRPr="00BF1FAB" w:rsidRDefault="00620D6E" w:rsidP="00620D6E">
      <w:pPr>
        <w:ind w:firstLine="539"/>
        <w:jc w:val="both"/>
      </w:pPr>
      <w:r w:rsidRPr="00BF1FAB">
        <w:t>Так, целевые показатели Госпрограммы сформированы с учетом значений по итогам работы проводимой только Комитетом (ОКН, по которым утверждены предмет охраны, охранные обязательства, установлены границы территории)</w:t>
      </w:r>
      <w:r w:rsidR="002224FF" w:rsidRPr="00BF1FAB">
        <w:t>. Использованные для расчета значения</w:t>
      </w:r>
      <w:r w:rsidRPr="00BF1FAB">
        <w:t xml:space="preserve"> не учитывают достигнутые непосредственные результаты ГБУ ВО НПЦ </w:t>
      </w:r>
      <w:r w:rsidRPr="00BF1FAB">
        <w:lastRenderedPageBreak/>
        <w:t xml:space="preserve">(разработанные проекты предметов охраны, проекты охранных обязательств, проекты границ территории), на </w:t>
      </w:r>
      <w:r w:rsidR="002224FF" w:rsidRPr="00BF1FAB">
        <w:t xml:space="preserve">достижение </w:t>
      </w:r>
      <w:r w:rsidRPr="00BF1FAB">
        <w:t>которы</w:t>
      </w:r>
      <w:r w:rsidR="002224FF" w:rsidRPr="00BF1FAB">
        <w:t xml:space="preserve">х фактически были направлены средства в рамках реализации 1 мероприятия Госпрограммы. </w:t>
      </w:r>
      <w:r w:rsidRPr="00BF1FAB">
        <w:t>Так, например, ГБУ ВО НПЦ в рамках реализации мероприятия разработаны 24 ед. проектов предмета охраны ОКН, тогда как Комитетом утвержден предмет охраны только по 7 ОКН, которые и учтены при расчете целевого показателя эффективности реализации Госпрограммы.</w:t>
      </w:r>
    </w:p>
    <w:p w:rsidR="00E21EB5" w:rsidRPr="00BF1FAB" w:rsidRDefault="00150C64" w:rsidP="00E21EB5">
      <w:pPr>
        <w:ind w:firstLine="680"/>
        <w:jc w:val="both"/>
      </w:pPr>
      <w:r w:rsidRPr="00BF1FAB">
        <w:t>Согласно письму</w:t>
      </w:r>
      <w:r w:rsidR="0040486C" w:rsidRPr="00BF1FAB">
        <w:t xml:space="preserve"> Комитета</w:t>
      </w:r>
      <w:r w:rsidRPr="00BF1FAB">
        <w:t xml:space="preserve">, направленному в адрес ответственного исполнителя Госпрограммы о достижении значений целевых показателей государственной программы за 2019 год, не достигнуто плановое значение всех целевых показателей, что обусловлено </w:t>
      </w:r>
      <w:r w:rsidRPr="00BF1FAB">
        <w:rPr>
          <w:i/>
        </w:rPr>
        <w:t>"отсутствием достаточных трудовых ресурсов в Комитете".</w:t>
      </w:r>
      <w:r w:rsidR="00E21EB5" w:rsidRPr="00BF1FAB">
        <w:t xml:space="preserve"> </w:t>
      </w:r>
      <w:r w:rsidR="00377D0B" w:rsidRPr="00BF1FAB">
        <w:t>Ч</w:t>
      </w:r>
      <w:r w:rsidR="00E21EB5" w:rsidRPr="00BF1FAB">
        <w:t xml:space="preserve">исленность сотрудников Комитета, необходимая для выполнения мероприятий по государственной охране ОКН, рассчитанная в соответствии с Методикой, утвержденной Постановлением № 1183, должна составлять 36,2 ед., из них 10,7 ед. по ОКН федерального значения,  тогда как  полномочия по государственной охране ОКН </w:t>
      </w:r>
      <w:r w:rsidR="002224FF" w:rsidRPr="00BF1FAB">
        <w:t xml:space="preserve">осуществляют </w:t>
      </w:r>
      <w:r w:rsidR="00E21EB5" w:rsidRPr="00BF1FAB">
        <w:t xml:space="preserve">14 человек. </w:t>
      </w:r>
    </w:p>
    <w:p w:rsidR="008842AD" w:rsidRPr="00BF1FAB" w:rsidRDefault="008842AD" w:rsidP="00377D0B">
      <w:pPr>
        <w:spacing w:before="120"/>
        <w:ind w:firstLine="680"/>
        <w:jc w:val="both"/>
      </w:pPr>
      <w:r w:rsidRPr="00BF1FAB">
        <w:rPr>
          <w:rFonts w:eastAsiaTheme="minorHAnsi"/>
          <w:lang w:eastAsia="en-US"/>
        </w:rPr>
        <w:t xml:space="preserve">Кроме того, следует отметить, что </w:t>
      </w:r>
      <w:r w:rsidRPr="00BF1FAB">
        <w:rPr>
          <w:rFonts w:eastAsia="Calibri"/>
        </w:rPr>
        <w:t xml:space="preserve">в соответствии с распоряжениями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 </w:t>
      </w:r>
      <w:r w:rsidRPr="00BF1FAB">
        <w:t>(далее Распоряжение №147-р) и от 17.01.2019 №20-р «Об утверждении плана «Трансформация делового климата» и признании утратившими силу актов Правительства РФ» (далее Распоряжение №20) органами охраны объектов культурного наследия субъектов РФ до 01.01.2021 года должно быть обеспечено  достижение целевого показателя "</w:t>
      </w:r>
      <w:r w:rsidR="00E21EB5" w:rsidRPr="00BF1FAB">
        <w:rPr>
          <w:i/>
        </w:rPr>
        <w:t>д</w:t>
      </w:r>
      <w:r w:rsidRPr="00BF1FAB">
        <w:rPr>
          <w:i/>
        </w:rPr>
        <w:t xml:space="preserve">оля территорий объектов культурного наследия федерального значения, включенных в единый государственный реестр объектов культурного наследия (памятников истории и культуры) народов </w:t>
      </w:r>
      <w:r w:rsidR="000445B6" w:rsidRPr="00BF1FAB">
        <w:rPr>
          <w:i/>
        </w:rPr>
        <w:t>РФ</w:t>
      </w:r>
      <w:r w:rsidRPr="00BF1FAB">
        <w:rPr>
          <w:i/>
        </w:rPr>
        <w:t xml:space="preserve">, и границ зон охраны таких объектов, внесенных в единый государственный реестр объектов культурного наследия (памятников истории и культуры) народов </w:t>
      </w:r>
      <w:r w:rsidR="000445B6" w:rsidRPr="00BF1FAB">
        <w:rPr>
          <w:i/>
        </w:rPr>
        <w:t>РФ</w:t>
      </w:r>
      <w:r w:rsidRPr="00BF1FAB">
        <w:rPr>
          <w:i/>
        </w:rPr>
        <w:t xml:space="preserve"> и Единый государственный реестр недвижимости, в общем количестве установленных границ зон охраны таких объектов</w:t>
      </w:r>
      <w:r w:rsidR="000445B6" w:rsidRPr="00BF1FAB">
        <w:rPr>
          <w:i/>
        </w:rPr>
        <w:t>"</w:t>
      </w:r>
      <w:r w:rsidR="000445B6" w:rsidRPr="00BF1FAB">
        <w:t xml:space="preserve"> – 100 процентов.</w:t>
      </w:r>
    </w:p>
    <w:p w:rsidR="008842AD" w:rsidRPr="00BF1FAB" w:rsidRDefault="000445B6" w:rsidP="008842AD">
      <w:pPr>
        <w:ind w:firstLine="709"/>
        <w:jc w:val="both"/>
        <w:rPr>
          <w:rFonts w:eastAsia="Calibri"/>
        </w:rPr>
      </w:pPr>
      <w:r w:rsidRPr="00BF1FAB">
        <w:rPr>
          <w:rFonts w:eastAsia="Calibri"/>
        </w:rPr>
        <w:t>В</w:t>
      </w:r>
      <w:r w:rsidR="008842AD" w:rsidRPr="00BF1FAB">
        <w:rPr>
          <w:rFonts w:eastAsia="Calibri"/>
        </w:rPr>
        <w:t>о исполнени</w:t>
      </w:r>
      <w:r w:rsidR="00594390" w:rsidRPr="00BF1FAB">
        <w:rPr>
          <w:rFonts w:eastAsia="Calibri"/>
        </w:rPr>
        <w:t>е</w:t>
      </w:r>
      <w:r w:rsidR="008842AD" w:rsidRPr="00BF1FAB">
        <w:rPr>
          <w:rFonts w:eastAsia="Calibri"/>
        </w:rPr>
        <w:t xml:space="preserve"> указанн</w:t>
      </w:r>
      <w:r w:rsidRPr="00BF1FAB">
        <w:rPr>
          <w:rFonts w:eastAsia="Calibri"/>
        </w:rPr>
        <w:t>ых</w:t>
      </w:r>
      <w:r w:rsidR="008842AD" w:rsidRPr="00BF1FAB">
        <w:rPr>
          <w:rFonts w:eastAsia="Calibri"/>
        </w:rPr>
        <w:t xml:space="preserve"> распоряжени</w:t>
      </w:r>
      <w:r w:rsidRPr="00BF1FAB">
        <w:rPr>
          <w:rFonts w:eastAsia="Calibri"/>
        </w:rPr>
        <w:t>й</w:t>
      </w:r>
      <w:r w:rsidR="008842AD" w:rsidRPr="00BF1FAB">
        <w:rPr>
          <w:rFonts w:eastAsia="Calibri"/>
        </w:rPr>
        <w:t xml:space="preserve"> Дорожной картой по внедрению в Волгоградской области целевой модели «Постановка на кадастровый учет земельных участков и объектов недвижимого имущества» (утверждена на заседании Совета по улучшению инвестиционного климата Волгоградской области при Губернаторе Волгоградской области 15.06.2018) Комитет определен ответственным за проведение работ по определению границ территорий объектов культурного наследия, границ зон охраны таких объектов и включение в Единый государственный реестр недвижимости таких сведений, а также актуализацию сведений об объектах культурного наследия в части определения их статуса принадлежности к объектам культурного наследия. </w:t>
      </w:r>
    </w:p>
    <w:p w:rsidR="000445B6" w:rsidRPr="00BF1FAB" w:rsidRDefault="00594390" w:rsidP="008842AD">
      <w:pPr>
        <w:ind w:firstLine="709"/>
        <w:jc w:val="both"/>
        <w:rPr>
          <w:rFonts w:eastAsia="Calibri"/>
        </w:rPr>
      </w:pPr>
      <w:r w:rsidRPr="00BF1FAB">
        <w:rPr>
          <w:rFonts w:eastAsia="Calibri"/>
        </w:rPr>
        <w:t>В</w:t>
      </w:r>
      <w:r w:rsidR="000445B6" w:rsidRPr="00BF1FAB">
        <w:rPr>
          <w:rFonts w:eastAsia="Calibri"/>
        </w:rPr>
        <w:t xml:space="preserve"> рамках Госпрограммы запланировано достижение целевых показателей, которые влияют на достижение указанного показателя. </w:t>
      </w:r>
      <w:r w:rsidR="004E44F7" w:rsidRPr="00BF1FAB">
        <w:rPr>
          <w:rFonts w:eastAsia="Calibri"/>
        </w:rPr>
        <w:t>Однако</w:t>
      </w:r>
      <w:r w:rsidR="000445B6" w:rsidRPr="00BF1FAB">
        <w:rPr>
          <w:rFonts w:eastAsia="Calibri"/>
        </w:rPr>
        <w:t xml:space="preserve"> достижение </w:t>
      </w:r>
      <w:r w:rsidR="004E44F7" w:rsidRPr="00BF1FAB">
        <w:rPr>
          <w:rFonts w:eastAsia="Calibri"/>
        </w:rPr>
        <w:t xml:space="preserve">по состоянию на 01.01.2021 года </w:t>
      </w:r>
      <w:r w:rsidR="002224FF" w:rsidRPr="00BF1FAB">
        <w:rPr>
          <w:rFonts w:eastAsia="Calibri"/>
        </w:rPr>
        <w:t xml:space="preserve">(дата достижения по Распоряжению №20) </w:t>
      </w:r>
      <w:r w:rsidR="000445B6" w:rsidRPr="00BF1FAB">
        <w:rPr>
          <w:rFonts w:eastAsia="Calibri"/>
        </w:rPr>
        <w:t>до уровня 100% не предусмотрено, что ставит под сомнение успешное внедрение в Волгоградской области целевой модели «Постановка на кадастровый учет земельных участков и объектов недвижимого имущества».</w:t>
      </w:r>
    </w:p>
    <w:p w:rsidR="0012100E" w:rsidRPr="00BF1FAB" w:rsidRDefault="00EC149E" w:rsidP="0012100E">
      <w:pPr>
        <w:autoSpaceDE w:val="0"/>
        <w:autoSpaceDN w:val="0"/>
        <w:adjustRightInd w:val="0"/>
        <w:spacing w:before="120" w:after="120"/>
        <w:ind w:firstLine="709"/>
        <w:jc w:val="center"/>
        <w:rPr>
          <w:b/>
          <w:i/>
        </w:rPr>
      </w:pPr>
      <w:r w:rsidRPr="00BF1FAB">
        <w:rPr>
          <w:b/>
          <w:i/>
        </w:rPr>
        <w:t>В</w:t>
      </w:r>
      <w:r w:rsidR="0012100E" w:rsidRPr="00BF1FAB">
        <w:rPr>
          <w:b/>
          <w:i/>
        </w:rPr>
        <w:t>едомственн</w:t>
      </w:r>
      <w:r w:rsidRPr="00BF1FAB">
        <w:rPr>
          <w:b/>
          <w:i/>
        </w:rPr>
        <w:t xml:space="preserve">ая целевая </w:t>
      </w:r>
      <w:r w:rsidR="0012100E" w:rsidRPr="00BF1FAB">
        <w:rPr>
          <w:b/>
          <w:i/>
        </w:rPr>
        <w:t>программ</w:t>
      </w:r>
      <w:r w:rsidRPr="00BF1FAB">
        <w:rPr>
          <w:b/>
          <w:i/>
        </w:rPr>
        <w:t>а</w:t>
      </w:r>
    </w:p>
    <w:p w:rsidR="0012100E" w:rsidRPr="00BF1FAB" w:rsidRDefault="0012100E" w:rsidP="0012100E">
      <w:pPr>
        <w:autoSpaceDE w:val="0"/>
        <w:autoSpaceDN w:val="0"/>
        <w:adjustRightInd w:val="0"/>
        <w:ind w:firstLine="709"/>
        <w:jc w:val="both"/>
        <w:rPr>
          <w:rFonts w:eastAsiaTheme="minorHAnsi"/>
          <w:color w:val="000099"/>
          <w:lang w:eastAsia="en-US"/>
        </w:rPr>
      </w:pPr>
      <w:r w:rsidRPr="00BF1FAB">
        <w:rPr>
          <w:rFonts w:eastAsiaTheme="minorHAnsi"/>
          <w:lang w:eastAsia="en-US"/>
        </w:rPr>
        <w:t>Комитет в 2019 году являлся исполнителем ведомственной</w:t>
      </w:r>
      <w:r w:rsidRPr="00BF1FAB">
        <w:t xml:space="preserve"> целевой программы "Увековечение памяти погибших при защите Отечества", утвержденной приказом Комитета от 17.12.2019 №275 (далее ВЦП)</w:t>
      </w:r>
      <w:r w:rsidRPr="00BF1FAB">
        <w:rPr>
          <w:rFonts w:eastAsiaTheme="minorHAnsi"/>
          <w:lang w:eastAsia="en-US"/>
        </w:rPr>
        <w:t xml:space="preserve">. </w:t>
      </w:r>
      <w:r w:rsidR="00736AAB" w:rsidRPr="00BF1FAB">
        <w:rPr>
          <w:rFonts w:eastAsiaTheme="minorHAnsi"/>
          <w:lang w:eastAsia="en-US"/>
        </w:rPr>
        <w:t xml:space="preserve">Целевые показатели результативности ВЦП </w:t>
      </w:r>
      <w:r w:rsidR="00144C19" w:rsidRPr="00BF1FAB">
        <w:rPr>
          <w:rFonts w:eastAsiaTheme="minorHAnsi"/>
          <w:lang w:eastAsia="en-US"/>
        </w:rPr>
        <w:t xml:space="preserve">и их исполнение </w:t>
      </w:r>
      <w:r w:rsidR="00736AAB" w:rsidRPr="00BF1FAB">
        <w:rPr>
          <w:rFonts w:eastAsiaTheme="minorHAnsi"/>
          <w:lang w:eastAsia="en-US"/>
        </w:rPr>
        <w:t xml:space="preserve">отражены </w:t>
      </w:r>
      <w:r w:rsidR="00736AAB" w:rsidRPr="00BF1FAB">
        <w:rPr>
          <w:rFonts w:eastAsiaTheme="minorHAnsi"/>
          <w:color w:val="000099"/>
          <w:lang w:eastAsia="en-US"/>
        </w:rPr>
        <w:t>в таблице №</w:t>
      </w:r>
      <w:r w:rsidR="00EE4B8A" w:rsidRPr="00BF1FAB">
        <w:rPr>
          <w:rFonts w:eastAsiaTheme="minorHAnsi"/>
          <w:color w:val="000099"/>
          <w:lang w:eastAsia="en-US"/>
        </w:rPr>
        <w:t>5</w:t>
      </w:r>
    </w:p>
    <w:p w:rsidR="00736AAB" w:rsidRPr="00BF1FAB" w:rsidRDefault="00736AAB" w:rsidP="00736AAB">
      <w:pPr>
        <w:autoSpaceDE w:val="0"/>
        <w:autoSpaceDN w:val="0"/>
        <w:adjustRightInd w:val="0"/>
        <w:ind w:firstLine="709"/>
        <w:jc w:val="right"/>
        <w:rPr>
          <w:rFonts w:eastAsiaTheme="minorHAnsi"/>
          <w:color w:val="000099"/>
          <w:lang w:eastAsia="en-US"/>
        </w:rPr>
      </w:pPr>
      <w:r w:rsidRPr="00BF1FAB">
        <w:rPr>
          <w:rFonts w:eastAsiaTheme="minorHAnsi"/>
          <w:color w:val="000099"/>
          <w:lang w:eastAsia="en-US"/>
        </w:rPr>
        <w:t>Таблица №</w:t>
      </w:r>
      <w:r w:rsidR="00EE4B8A" w:rsidRPr="00BF1FAB">
        <w:rPr>
          <w:rFonts w:eastAsiaTheme="minorHAnsi"/>
          <w:color w:val="000099"/>
          <w:lang w:eastAsia="en-US"/>
        </w:rPr>
        <w:t>5</w:t>
      </w:r>
    </w:p>
    <w:tbl>
      <w:tblPr>
        <w:tblStyle w:val="a6"/>
        <w:tblW w:w="0" w:type="auto"/>
        <w:tblLook w:val="04A0"/>
      </w:tblPr>
      <w:tblGrid>
        <w:gridCol w:w="5211"/>
        <w:gridCol w:w="1134"/>
        <w:gridCol w:w="993"/>
        <w:gridCol w:w="1417"/>
        <w:gridCol w:w="1382"/>
      </w:tblGrid>
      <w:tr w:rsidR="00732FE7" w:rsidRPr="00BF1FAB" w:rsidTr="004E44F7">
        <w:trPr>
          <w:tblHeader/>
        </w:trPr>
        <w:tc>
          <w:tcPr>
            <w:tcW w:w="5211"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Наименование целевого индикатора</w:t>
            </w:r>
          </w:p>
        </w:tc>
        <w:tc>
          <w:tcPr>
            <w:tcW w:w="1134"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Ед. измерения</w:t>
            </w:r>
          </w:p>
        </w:tc>
        <w:tc>
          <w:tcPr>
            <w:tcW w:w="993"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Базовое значение</w:t>
            </w:r>
          </w:p>
        </w:tc>
        <w:tc>
          <w:tcPr>
            <w:tcW w:w="1417"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Плановое значение на 2019 год</w:t>
            </w:r>
          </w:p>
        </w:tc>
        <w:tc>
          <w:tcPr>
            <w:tcW w:w="1382"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Фактическое значение за 2019 год</w:t>
            </w:r>
          </w:p>
        </w:tc>
      </w:tr>
      <w:tr w:rsidR="00732FE7" w:rsidRPr="00BF1FAB" w:rsidTr="00732FE7">
        <w:tc>
          <w:tcPr>
            <w:tcW w:w="5211" w:type="dxa"/>
          </w:tcPr>
          <w:p w:rsidR="00732FE7" w:rsidRPr="00BF1FAB" w:rsidRDefault="00732FE7" w:rsidP="00732FE7">
            <w:pPr>
              <w:autoSpaceDE w:val="0"/>
              <w:autoSpaceDN w:val="0"/>
              <w:adjustRightInd w:val="0"/>
              <w:jc w:val="both"/>
              <w:rPr>
                <w:rFonts w:eastAsiaTheme="minorHAnsi"/>
                <w:sz w:val="20"/>
                <w:szCs w:val="20"/>
                <w:lang w:eastAsia="en-US"/>
              </w:rPr>
            </w:pPr>
            <w:r w:rsidRPr="00BF1FAB">
              <w:rPr>
                <w:rFonts w:eastAsiaTheme="minorHAnsi"/>
                <w:sz w:val="20"/>
                <w:szCs w:val="20"/>
                <w:lang w:eastAsia="en-US"/>
              </w:rPr>
              <w:t>Количество  восстановленных воинских захоронений (ежегодно)</w:t>
            </w:r>
          </w:p>
        </w:tc>
        <w:tc>
          <w:tcPr>
            <w:tcW w:w="1134"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Ед.</w:t>
            </w:r>
          </w:p>
        </w:tc>
        <w:tc>
          <w:tcPr>
            <w:tcW w:w="993"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w:t>
            </w:r>
          </w:p>
        </w:tc>
        <w:tc>
          <w:tcPr>
            <w:tcW w:w="1417"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41</w:t>
            </w:r>
          </w:p>
        </w:tc>
        <w:tc>
          <w:tcPr>
            <w:tcW w:w="1382" w:type="dxa"/>
          </w:tcPr>
          <w:p w:rsidR="00732FE7" w:rsidRPr="00BF1FAB" w:rsidRDefault="00144C19"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0</w:t>
            </w:r>
          </w:p>
        </w:tc>
      </w:tr>
      <w:tr w:rsidR="00732FE7" w:rsidRPr="00BF1FAB" w:rsidTr="00732FE7">
        <w:tc>
          <w:tcPr>
            <w:tcW w:w="5211" w:type="dxa"/>
          </w:tcPr>
          <w:p w:rsidR="00732FE7" w:rsidRPr="00BF1FAB" w:rsidRDefault="00732FE7" w:rsidP="00732FE7">
            <w:pPr>
              <w:autoSpaceDE w:val="0"/>
              <w:autoSpaceDN w:val="0"/>
              <w:adjustRightInd w:val="0"/>
              <w:jc w:val="both"/>
              <w:rPr>
                <w:rFonts w:eastAsiaTheme="minorHAnsi"/>
                <w:sz w:val="20"/>
                <w:szCs w:val="20"/>
                <w:lang w:eastAsia="en-US"/>
              </w:rPr>
            </w:pPr>
            <w:r w:rsidRPr="00BF1FAB">
              <w:rPr>
                <w:rFonts w:eastAsiaTheme="minorHAnsi"/>
                <w:sz w:val="20"/>
                <w:szCs w:val="20"/>
                <w:lang w:eastAsia="en-US"/>
              </w:rPr>
              <w:t xml:space="preserve">Количество  </w:t>
            </w:r>
            <w:proofErr w:type="spellStart"/>
            <w:r w:rsidRPr="00BF1FAB">
              <w:rPr>
                <w:rFonts w:eastAsiaTheme="minorHAnsi"/>
                <w:sz w:val="20"/>
                <w:szCs w:val="20"/>
                <w:lang w:eastAsia="en-US"/>
              </w:rPr>
              <w:t>невосстановленных</w:t>
            </w:r>
            <w:proofErr w:type="spellEnd"/>
            <w:r w:rsidRPr="00BF1FAB">
              <w:rPr>
                <w:rFonts w:eastAsiaTheme="minorHAnsi"/>
                <w:sz w:val="20"/>
                <w:szCs w:val="20"/>
                <w:lang w:eastAsia="en-US"/>
              </w:rPr>
              <w:t xml:space="preserve"> воинских захоронений</w:t>
            </w:r>
          </w:p>
        </w:tc>
        <w:tc>
          <w:tcPr>
            <w:tcW w:w="1134" w:type="dxa"/>
          </w:tcPr>
          <w:p w:rsidR="00732FE7" w:rsidRPr="00BF1FAB" w:rsidRDefault="00732FE7" w:rsidP="00732FE7">
            <w:pPr>
              <w:jc w:val="center"/>
            </w:pPr>
            <w:r w:rsidRPr="00BF1FAB">
              <w:rPr>
                <w:rFonts w:eastAsiaTheme="minorHAnsi"/>
                <w:sz w:val="20"/>
                <w:szCs w:val="20"/>
                <w:lang w:eastAsia="en-US"/>
              </w:rPr>
              <w:t>Ед.</w:t>
            </w:r>
          </w:p>
        </w:tc>
        <w:tc>
          <w:tcPr>
            <w:tcW w:w="993"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133</w:t>
            </w:r>
          </w:p>
        </w:tc>
        <w:tc>
          <w:tcPr>
            <w:tcW w:w="1417"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92</w:t>
            </w:r>
          </w:p>
        </w:tc>
        <w:tc>
          <w:tcPr>
            <w:tcW w:w="1382" w:type="dxa"/>
          </w:tcPr>
          <w:p w:rsidR="00732FE7" w:rsidRPr="00BF1FAB" w:rsidRDefault="00144C19"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0</w:t>
            </w:r>
          </w:p>
        </w:tc>
      </w:tr>
      <w:tr w:rsidR="00732FE7" w:rsidRPr="00BF1FAB" w:rsidTr="00732FE7">
        <w:tc>
          <w:tcPr>
            <w:tcW w:w="5211" w:type="dxa"/>
          </w:tcPr>
          <w:p w:rsidR="00732FE7" w:rsidRPr="00BF1FAB" w:rsidRDefault="00732FE7" w:rsidP="00732FE7">
            <w:pPr>
              <w:autoSpaceDE w:val="0"/>
              <w:autoSpaceDN w:val="0"/>
              <w:adjustRightInd w:val="0"/>
              <w:jc w:val="both"/>
              <w:rPr>
                <w:rFonts w:eastAsiaTheme="minorHAnsi"/>
                <w:sz w:val="20"/>
                <w:szCs w:val="20"/>
                <w:lang w:eastAsia="en-US"/>
              </w:rPr>
            </w:pPr>
            <w:r w:rsidRPr="00BF1FAB">
              <w:rPr>
                <w:rFonts w:eastAsiaTheme="minorHAnsi"/>
                <w:sz w:val="20"/>
                <w:szCs w:val="20"/>
                <w:lang w:eastAsia="en-US"/>
              </w:rPr>
              <w:t>Количество установленных мемориальных знаков на воинских захоронениях (ежегодно)</w:t>
            </w:r>
          </w:p>
        </w:tc>
        <w:tc>
          <w:tcPr>
            <w:tcW w:w="1134" w:type="dxa"/>
          </w:tcPr>
          <w:p w:rsidR="00732FE7" w:rsidRPr="00BF1FAB" w:rsidRDefault="00732FE7" w:rsidP="00732FE7">
            <w:pPr>
              <w:jc w:val="center"/>
            </w:pPr>
            <w:r w:rsidRPr="00BF1FAB">
              <w:rPr>
                <w:rFonts w:eastAsiaTheme="minorHAnsi"/>
                <w:sz w:val="20"/>
                <w:szCs w:val="20"/>
                <w:lang w:eastAsia="en-US"/>
              </w:rPr>
              <w:t>Ед.</w:t>
            </w:r>
          </w:p>
        </w:tc>
        <w:tc>
          <w:tcPr>
            <w:tcW w:w="993"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w:t>
            </w:r>
          </w:p>
        </w:tc>
        <w:tc>
          <w:tcPr>
            <w:tcW w:w="1417"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0</w:t>
            </w:r>
          </w:p>
        </w:tc>
        <w:tc>
          <w:tcPr>
            <w:tcW w:w="1382" w:type="dxa"/>
          </w:tcPr>
          <w:p w:rsidR="00732FE7" w:rsidRPr="00BF1FAB" w:rsidRDefault="00144C19"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0</w:t>
            </w:r>
          </w:p>
        </w:tc>
      </w:tr>
      <w:tr w:rsidR="00732FE7" w:rsidRPr="00BF1FAB" w:rsidTr="00732FE7">
        <w:tc>
          <w:tcPr>
            <w:tcW w:w="5211" w:type="dxa"/>
          </w:tcPr>
          <w:p w:rsidR="00732FE7" w:rsidRPr="00BF1FAB" w:rsidRDefault="00732FE7" w:rsidP="00732FE7">
            <w:pPr>
              <w:autoSpaceDE w:val="0"/>
              <w:autoSpaceDN w:val="0"/>
              <w:adjustRightInd w:val="0"/>
              <w:jc w:val="both"/>
              <w:rPr>
                <w:rFonts w:eastAsiaTheme="minorHAnsi"/>
                <w:sz w:val="20"/>
                <w:szCs w:val="20"/>
                <w:lang w:eastAsia="en-US"/>
              </w:rPr>
            </w:pPr>
            <w:r w:rsidRPr="00BF1FAB">
              <w:rPr>
                <w:rFonts w:eastAsiaTheme="minorHAnsi"/>
                <w:sz w:val="20"/>
                <w:szCs w:val="20"/>
                <w:lang w:eastAsia="en-US"/>
              </w:rPr>
              <w:lastRenderedPageBreak/>
              <w:t xml:space="preserve">Количество имен погибших при защите Отечества, нанесенных на мемориальные сооружения </w:t>
            </w:r>
            <w:proofErr w:type="spellStart"/>
            <w:r w:rsidRPr="00BF1FAB">
              <w:rPr>
                <w:rFonts w:eastAsiaTheme="minorHAnsi"/>
                <w:sz w:val="20"/>
                <w:szCs w:val="20"/>
                <w:lang w:eastAsia="en-US"/>
              </w:rPr>
              <w:t>винских</w:t>
            </w:r>
            <w:proofErr w:type="spellEnd"/>
            <w:r w:rsidRPr="00BF1FAB">
              <w:rPr>
                <w:rFonts w:eastAsiaTheme="minorHAnsi"/>
                <w:sz w:val="20"/>
                <w:szCs w:val="20"/>
                <w:lang w:eastAsia="en-US"/>
              </w:rPr>
              <w:t xml:space="preserve"> захоронений по месту захоронения (нарастающим итогом)</w:t>
            </w:r>
          </w:p>
        </w:tc>
        <w:tc>
          <w:tcPr>
            <w:tcW w:w="1134" w:type="dxa"/>
          </w:tcPr>
          <w:p w:rsidR="00732FE7" w:rsidRPr="00BF1FAB" w:rsidRDefault="00732FE7" w:rsidP="00732FE7">
            <w:pPr>
              <w:jc w:val="center"/>
            </w:pPr>
            <w:r w:rsidRPr="00BF1FAB">
              <w:rPr>
                <w:rFonts w:eastAsiaTheme="minorHAnsi"/>
                <w:sz w:val="20"/>
                <w:szCs w:val="20"/>
                <w:lang w:eastAsia="en-US"/>
              </w:rPr>
              <w:t>Ед.</w:t>
            </w:r>
          </w:p>
        </w:tc>
        <w:tc>
          <w:tcPr>
            <w:tcW w:w="993"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w:t>
            </w:r>
          </w:p>
        </w:tc>
        <w:tc>
          <w:tcPr>
            <w:tcW w:w="1417" w:type="dxa"/>
          </w:tcPr>
          <w:p w:rsidR="00732FE7" w:rsidRPr="00BF1FAB" w:rsidRDefault="00732FE7"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145</w:t>
            </w:r>
          </w:p>
        </w:tc>
        <w:tc>
          <w:tcPr>
            <w:tcW w:w="1382" w:type="dxa"/>
          </w:tcPr>
          <w:p w:rsidR="00732FE7" w:rsidRPr="00BF1FAB" w:rsidRDefault="00144C19" w:rsidP="00732FE7">
            <w:pPr>
              <w:autoSpaceDE w:val="0"/>
              <w:autoSpaceDN w:val="0"/>
              <w:adjustRightInd w:val="0"/>
              <w:jc w:val="center"/>
              <w:rPr>
                <w:rFonts w:eastAsiaTheme="minorHAnsi"/>
                <w:sz w:val="20"/>
                <w:szCs w:val="20"/>
                <w:lang w:eastAsia="en-US"/>
              </w:rPr>
            </w:pPr>
            <w:r w:rsidRPr="00BF1FAB">
              <w:rPr>
                <w:rFonts w:eastAsiaTheme="minorHAnsi"/>
                <w:sz w:val="20"/>
                <w:szCs w:val="20"/>
                <w:lang w:eastAsia="en-US"/>
              </w:rPr>
              <w:t>0</w:t>
            </w:r>
          </w:p>
        </w:tc>
      </w:tr>
    </w:tbl>
    <w:p w:rsidR="00736AAB" w:rsidRPr="00BF1FAB" w:rsidRDefault="0020093E" w:rsidP="00F207D5">
      <w:pPr>
        <w:autoSpaceDE w:val="0"/>
        <w:autoSpaceDN w:val="0"/>
        <w:adjustRightInd w:val="0"/>
        <w:spacing w:before="120"/>
        <w:ind w:firstLine="709"/>
        <w:jc w:val="both"/>
        <w:rPr>
          <w:rFonts w:eastAsiaTheme="minorHAnsi"/>
          <w:lang w:eastAsia="en-US"/>
        </w:rPr>
      </w:pPr>
      <w:r w:rsidRPr="00BF1FAB">
        <w:rPr>
          <w:rFonts w:eastAsiaTheme="minorHAnsi"/>
          <w:lang w:eastAsia="en-US"/>
        </w:rPr>
        <w:t>В рамках реализации ВЦП предусмотрена реализация трех мероприятий</w:t>
      </w:r>
      <w:r w:rsidR="00594390" w:rsidRPr="00BF1FAB">
        <w:rPr>
          <w:rFonts w:eastAsiaTheme="minorHAnsi"/>
          <w:lang w:eastAsia="en-US"/>
        </w:rPr>
        <w:t>:</w:t>
      </w:r>
      <w:r w:rsidRPr="00BF1FAB">
        <w:rPr>
          <w:rFonts w:eastAsiaTheme="minorHAnsi"/>
          <w:lang w:eastAsia="en-US"/>
        </w:rPr>
        <w:t xml:space="preserve"> проведение восстановительных работ, установка мемориальных знаков на воинских захоронениях,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 с общим объемом финансирования 5430,8 тыс.руб., из них за счет средств федерального бюджета 4670,0 тыс.руб., средств областного бюджета – 760,2 тыс.руб., средств местных бюджетов – 0,5 тыс.</w:t>
      </w:r>
      <w:r w:rsidR="00F207D5" w:rsidRPr="00BF1FAB">
        <w:rPr>
          <w:rFonts w:eastAsiaTheme="minorHAnsi"/>
          <w:lang w:eastAsia="en-US"/>
        </w:rPr>
        <w:t xml:space="preserve"> </w:t>
      </w:r>
      <w:r w:rsidRPr="00BF1FAB">
        <w:rPr>
          <w:rFonts w:eastAsiaTheme="minorHAnsi"/>
          <w:lang w:eastAsia="en-US"/>
        </w:rPr>
        <w:t xml:space="preserve">рублей. </w:t>
      </w:r>
    </w:p>
    <w:p w:rsidR="00086520" w:rsidRPr="00BF1FAB" w:rsidRDefault="00DF7A3F" w:rsidP="00144C19">
      <w:pPr>
        <w:autoSpaceDE w:val="0"/>
        <w:autoSpaceDN w:val="0"/>
        <w:adjustRightInd w:val="0"/>
        <w:ind w:firstLine="709"/>
        <w:jc w:val="both"/>
        <w:rPr>
          <w:rFonts w:eastAsiaTheme="minorHAnsi"/>
          <w:lang w:eastAsia="en-US"/>
        </w:rPr>
      </w:pPr>
      <w:r w:rsidRPr="00BF1FAB">
        <w:rPr>
          <w:rFonts w:eastAsiaTheme="minorHAnsi"/>
          <w:lang w:eastAsia="en-US"/>
        </w:rPr>
        <w:t>Волгоградской областью в 2019 году заключено Соглашение о предоставлении субсидии из федерального бюджета за счет средств резервного фонда Правительства РФ от 20.12.2019 №187-09-2019-035, предметом которого является предоставление субсидии</w:t>
      </w:r>
      <w:r w:rsidR="00931837" w:rsidRPr="00BF1FAB">
        <w:rPr>
          <w:rFonts w:eastAsiaTheme="minorHAnsi"/>
          <w:lang w:eastAsia="en-US"/>
        </w:rPr>
        <w:t xml:space="preserve"> в сумме 4670,0 тыс.руб. </w:t>
      </w:r>
      <w:r w:rsidRPr="00BF1FAB">
        <w:rPr>
          <w:rFonts w:eastAsiaTheme="minorHAnsi"/>
          <w:lang w:eastAsia="en-US"/>
        </w:rPr>
        <w:t xml:space="preserve">на </w:t>
      </w:r>
      <w:proofErr w:type="spellStart"/>
      <w:r w:rsidRPr="00BF1FAB">
        <w:rPr>
          <w:rFonts w:eastAsiaTheme="minorHAnsi"/>
          <w:lang w:eastAsia="en-US"/>
        </w:rPr>
        <w:t>софинансирование</w:t>
      </w:r>
      <w:proofErr w:type="spellEnd"/>
      <w:r w:rsidRPr="00BF1FAB">
        <w:rPr>
          <w:rFonts w:eastAsiaTheme="minorHAnsi"/>
          <w:lang w:eastAsia="en-US"/>
        </w:rPr>
        <w:t xml:space="preserve"> расходных обязательств субъектов РФ, связанных с реализацией </w:t>
      </w:r>
      <w:r w:rsidR="00086520" w:rsidRPr="00BF1FAB">
        <w:rPr>
          <w:rFonts w:eastAsiaTheme="minorHAnsi"/>
          <w:lang w:eastAsia="en-US"/>
        </w:rPr>
        <w:t xml:space="preserve">ФЦП </w:t>
      </w:r>
      <w:r w:rsidR="00EF57EE" w:rsidRPr="00BF1FAB">
        <w:rPr>
          <w:rFonts w:eastAsiaTheme="minorHAnsi"/>
          <w:lang w:eastAsia="en-US"/>
        </w:rPr>
        <w:t xml:space="preserve">Увековечение памяти погибших. </w:t>
      </w:r>
    </w:p>
    <w:p w:rsidR="00144C19" w:rsidRPr="00BF1FAB" w:rsidRDefault="00EF57EE" w:rsidP="00144C19">
      <w:pPr>
        <w:autoSpaceDE w:val="0"/>
        <w:autoSpaceDN w:val="0"/>
        <w:adjustRightInd w:val="0"/>
        <w:ind w:firstLine="709"/>
        <w:jc w:val="both"/>
        <w:rPr>
          <w:rFonts w:eastAsiaTheme="minorHAnsi"/>
          <w:lang w:eastAsia="en-US"/>
        </w:rPr>
      </w:pPr>
      <w:r w:rsidRPr="00BF1FAB">
        <w:rPr>
          <w:rFonts w:eastAsiaTheme="minorHAnsi"/>
          <w:lang w:eastAsia="en-US"/>
        </w:rPr>
        <w:t xml:space="preserve">Соглашением </w:t>
      </w:r>
      <w:r w:rsidR="00931837" w:rsidRPr="00BF1FAB">
        <w:rPr>
          <w:rFonts w:eastAsiaTheme="minorHAnsi"/>
          <w:lang w:eastAsia="en-US"/>
        </w:rPr>
        <w:t xml:space="preserve">установлены целевые показатели </w:t>
      </w:r>
      <w:r w:rsidR="00144C19" w:rsidRPr="00BF1FAB">
        <w:rPr>
          <w:rFonts w:eastAsiaTheme="minorHAnsi"/>
          <w:lang w:eastAsia="en-US"/>
        </w:rPr>
        <w:t>результативности использования субсидии "количество восстановленных воинских захоронений (ежегодно)" –</w:t>
      </w:r>
      <w:r w:rsidR="00A059CB" w:rsidRPr="00BF1FAB">
        <w:rPr>
          <w:rFonts w:eastAsiaTheme="minorHAnsi"/>
          <w:lang w:eastAsia="en-US"/>
        </w:rPr>
        <w:t xml:space="preserve"> 41 </w:t>
      </w:r>
      <w:r w:rsidR="00144C19" w:rsidRPr="00BF1FAB">
        <w:rPr>
          <w:rFonts w:eastAsiaTheme="minorHAnsi"/>
          <w:lang w:eastAsia="en-US"/>
        </w:rPr>
        <w:t xml:space="preserve">ед., "количество имен погибших при защите Отечества, нанесенных на мемориальные сооружения воинских захоронений по месту захоронения" – 145 ед. </w:t>
      </w:r>
    </w:p>
    <w:p w:rsidR="00640A67" w:rsidRPr="00BF1FAB" w:rsidRDefault="00640A67" w:rsidP="00086520">
      <w:pPr>
        <w:autoSpaceDE w:val="0"/>
        <w:autoSpaceDN w:val="0"/>
        <w:adjustRightInd w:val="0"/>
        <w:ind w:firstLine="709"/>
        <w:jc w:val="both"/>
        <w:rPr>
          <w:rFonts w:eastAsiaTheme="minorHAnsi"/>
          <w:lang w:eastAsia="en-US"/>
        </w:rPr>
      </w:pPr>
      <w:r w:rsidRPr="00BF1FAB">
        <w:rPr>
          <w:rFonts w:eastAsiaTheme="minorHAnsi"/>
          <w:lang w:eastAsia="en-US"/>
        </w:rPr>
        <w:t xml:space="preserve">Согласно п.6 </w:t>
      </w:r>
      <w:hyperlink r:id="rId8" w:history="1">
        <w:r w:rsidR="00EC149E" w:rsidRPr="00BF1FAB">
          <w:rPr>
            <w:rFonts w:eastAsiaTheme="minorHAnsi"/>
            <w:lang w:eastAsia="en-US"/>
          </w:rPr>
          <w:t>Порядка</w:t>
        </w:r>
      </w:hyperlink>
      <w:r w:rsidR="00EC149E" w:rsidRPr="00BF1FAB">
        <w:rPr>
          <w:rFonts w:eastAsiaTheme="minorHAnsi"/>
          <w:lang w:eastAsia="en-US"/>
        </w:rPr>
        <w:t xml:space="preserve"> предоставления и распределения в 2019 году субсидии из областного бюджета бюджетам муниципальных образований Волгоградской области на </w:t>
      </w:r>
      <w:proofErr w:type="spellStart"/>
      <w:r w:rsidR="00EC149E" w:rsidRPr="00BF1FAB">
        <w:rPr>
          <w:rFonts w:eastAsiaTheme="minorHAnsi"/>
          <w:lang w:eastAsia="en-US"/>
        </w:rPr>
        <w:t>софинансирование</w:t>
      </w:r>
      <w:proofErr w:type="spellEnd"/>
      <w:r w:rsidR="00EC149E" w:rsidRPr="00BF1FAB">
        <w:rPr>
          <w:rFonts w:eastAsiaTheme="minorHAnsi"/>
          <w:lang w:eastAsia="en-US"/>
        </w:rPr>
        <w:t xml:space="preserve"> расходных обязательств, связанных с реализацией ФЦП Увековечение памяти погибших, утвержден</w:t>
      </w:r>
      <w:r w:rsidR="009946CB" w:rsidRPr="00BF1FAB">
        <w:rPr>
          <w:rFonts w:eastAsiaTheme="minorHAnsi"/>
          <w:lang w:eastAsia="en-US"/>
        </w:rPr>
        <w:t>ного</w:t>
      </w:r>
      <w:r w:rsidR="00EC149E" w:rsidRPr="00BF1FAB">
        <w:rPr>
          <w:rFonts w:eastAsiaTheme="minorHAnsi"/>
          <w:lang w:eastAsia="en-US"/>
        </w:rPr>
        <w:t xml:space="preserve"> постановлением Администрации Волгоградской области от 24.12.2019 №677-п (далее Порядок №677-п)</w:t>
      </w:r>
      <w:r w:rsidR="009946CB" w:rsidRPr="00BF1FAB">
        <w:rPr>
          <w:rFonts w:eastAsiaTheme="minorHAnsi"/>
          <w:lang w:eastAsia="en-US"/>
        </w:rPr>
        <w:t>,</w:t>
      </w:r>
      <w:r w:rsidRPr="00BF1FAB">
        <w:rPr>
          <w:rFonts w:eastAsiaTheme="minorHAnsi"/>
          <w:lang w:eastAsia="en-US"/>
        </w:rPr>
        <w:t xml:space="preserve"> субсидия предоставляется муниципальным образованиям, соответствующим одновременно следующим критериям:</w:t>
      </w:r>
      <w:r w:rsidR="00086520" w:rsidRPr="00BF1FAB">
        <w:rPr>
          <w:rFonts w:eastAsiaTheme="minorHAnsi"/>
          <w:lang w:eastAsia="en-US"/>
        </w:rPr>
        <w:t xml:space="preserve"> </w:t>
      </w:r>
      <w:r w:rsidRPr="00BF1FAB">
        <w:rPr>
          <w:rFonts w:eastAsiaTheme="minorHAnsi"/>
          <w:lang w:eastAsia="en-US"/>
        </w:rPr>
        <w:t>средняя численность постоянного населения муниципального образования по состоянию на 01 января 2019 г. - не менее 65987 человек</w:t>
      </w:r>
      <w:r w:rsidR="00086520" w:rsidRPr="00BF1FAB">
        <w:rPr>
          <w:rFonts w:eastAsiaTheme="minorHAnsi"/>
          <w:lang w:eastAsia="en-US"/>
        </w:rPr>
        <w:t xml:space="preserve">  и </w:t>
      </w:r>
      <w:r w:rsidRPr="00BF1FAB">
        <w:rPr>
          <w:rFonts w:eastAsiaTheme="minorHAnsi"/>
          <w:lang w:eastAsia="en-US"/>
        </w:rPr>
        <w:t xml:space="preserve">численность защитников Отечества, погребенных на территории муниципального образования согласно данным централизованного учета Министерства обороны </w:t>
      </w:r>
      <w:r w:rsidR="00F207D5" w:rsidRPr="00BF1FAB">
        <w:rPr>
          <w:rFonts w:eastAsiaTheme="minorHAnsi"/>
          <w:lang w:eastAsia="en-US"/>
        </w:rPr>
        <w:t>РФ</w:t>
      </w:r>
      <w:r w:rsidRPr="00BF1FAB">
        <w:rPr>
          <w:rFonts w:eastAsiaTheme="minorHAnsi"/>
          <w:lang w:eastAsia="en-US"/>
        </w:rPr>
        <w:t xml:space="preserve"> - не менее 4595 человек.</w:t>
      </w:r>
    </w:p>
    <w:p w:rsidR="00144C19" w:rsidRPr="00BF1FAB" w:rsidRDefault="00640A67" w:rsidP="00640A67">
      <w:pPr>
        <w:autoSpaceDE w:val="0"/>
        <w:autoSpaceDN w:val="0"/>
        <w:adjustRightInd w:val="0"/>
        <w:ind w:firstLine="540"/>
        <w:jc w:val="both"/>
        <w:rPr>
          <w:rFonts w:eastAsiaTheme="minorHAnsi"/>
          <w:lang w:eastAsia="en-US"/>
        </w:rPr>
      </w:pPr>
      <w:r w:rsidRPr="00BF1FAB">
        <w:rPr>
          <w:rFonts w:eastAsiaTheme="minorHAnsi"/>
          <w:lang w:eastAsia="en-US"/>
        </w:rPr>
        <w:t>Фактически указанным критери</w:t>
      </w:r>
      <w:r w:rsidR="009946CB" w:rsidRPr="00BF1FAB">
        <w:rPr>
          <w:rFonts w:eastAsiaTheme="minorHAnsi"/>
          <w:lang w:eastAsia="en-US"/>
        </w:rPr>
        <w:t>я</w:t>
      </w:r>
      <w:r w:rsidRPr="00BF1FAB">
        <w:rPr>
          <w:rFonts w:eastAsiaTheme="minorHAnsi"/>
          <w:lang w:eastAsia="en-US"/>
        </w:rPr>
        <w:t xml:space="preserve">м </w:t>
      </w:r>
      <w:r w:rsidR="00EC149E" w:rsidRPr="00BF1FAB">
        <w:rPr>
          <w:rFonts w:eastAsiaTheme="minorHAnsi"/>
          <w:lang w:eastAsia="en-US"/>
        </w:rPr>
        <w:t xml:space="preserve">в Волгоградской области </w:t>
      </w:r>
      <w:r w:rsidRPr="00BF1FAB">
        <w:rPr>
          <w:rFonts w:eastAsiaTheme="minorHAnsi"/>
          <w:lang w:eastAsia="en-US"/>
        </w:rPr>
        <w:t>соответствует только городской округ город Волгоград</w:t>
      </w:r>
      <w:r w:rsidR="00EC149E" w:rsidRPr="00BF1FAB">
        <w:rPr>
          <w:rFonts w:eastAsiaTheme="minorHAnsi"/>
          <w:lang w:eastAsia="en-US"/>
        </w:rPr>
        <w:t xml:space="preserve">, с </w:t>
      </w:r>
      <w:r w:rsidR="0040486C" w:rsidRPr="00BF1FAB">
        <w:rPr>
          <w:rFonts w:eastAsiaTheme="minorHAnsi"/>
          <w:lang w:eastAsia="en-US"/>
        </w:rPr>
        <w:t>а</w:t>
      </w:r>
      <w:r w:rsidR="00EC149E" w:rsidRPr="00BF1FAB">
        <w:rPr>
          <w:rFonts w:eastAsiaTheme="minorHAnsi"/>
          <w:lang w:eastAsia="en-US"/>
        </w:rPr>
        <w:t xml:space="preserve">дминистрацией которого </w:t>
      </w:r>
      <w:r w:rsidRPr="00BF1FAB">
        <w:rPr>
          <w:rFonts w:eastAsiaTheme="minorHAnsi"/>
          <w:lang w:eastAsia="en-US"/>
        </w:rPr>
        <w:t xml:space="preserve">Комитетом </w:t>
      </w:r>
      <w:r w:rsidR="00086520" w:rsidRPr="00BF1FAB">
        <w:rPr>
          <w:rFonts w:eastAsiaTheme="minorHAnsi"/>
          <w:lang w:eastAsia="en-US"/>
        </w:rPr>
        <w:t xml:space="preserve">в 2019 году </w:t>
      </w:r>
      <w:r w:rsidR="00EC149E" w:rsidRPr="00BF1FAB">
        <w:rPr>
          <w:rFonts w:eastAsiaTheme="minorHAnsi"/>
          <w:lang w:eastAsia="en-US"/>
        </w:rPr>
        <w:t>и</w:t>
      </w:r>
      <w:r w:rsidRPr="00BF1FAB">
        <w:rPr>
          <w:rFonts w:eastAsiaTheme="minorHAnsi"/>
          <w:lang w:eastAsia="en-US"/>
        </w:rPr>
        <w:t xml:space="preserve"> было </w:t>
      </w:r>
      <w:r w:rsidR="00144C19" w:rsidRPr="00BF1FAB">
        <w:rPr>
          <w:rFonts w:eastAsiaTheme="minorHAnsi"/>
          <w:lang w:eastAsia="en-US"/>
        </w:rPr>
        <w:t xml:space="preserve">заключено </w:t>
      </w:r>
      <w:r w:rsidR="00EC149E" w:rsidRPr="00BF1FAB">
        <w:rPr>
          <w:rFonts w:eastAsiaTheme="minorHAnsi"/>
          <w:lang w:eastAsia="en-US"/>
        </w:rPr>
        <w:t xml:space="preserve">соглашение о предоставлении субсидии </w:t>
      </w:r>
      <w:r w:rsidR="00144C19" w:rsidRPr="00BF1FAB">
        <w:rPr>
          <w:rFonts w:eastAsiaTheme="minorHAnsi"/>
          <w:lang w:eastAsia="en-US"/>
        </w:rPr>
        <w:t>от 26.12.2019 №18701000-1-2019-020</w:t>
      </w:r>
      <w:r w:rsidR="0040486C" w:rsidRPr="00BF1FAB">
        <w:rPr>
          <w:rFonts w:eastAsiaTheme="minorHAnsi"/>
          <w:lang w:eastAsia="en-US"/>
        </w:rPr>
        <w:t>, которым предусмотрено достижение по состоянию на 31.12.2019 целевых показателей аналогичных целевым показателям Соглашения, заключенного с Министерством обороны</w:t>
      </w:r>
      <w:r w:rsidR="009946CB" w:rsidRPr="00BF1FAB">
        <w:rPr>
          <w:rFonts w:eastAsiaTheme="minorHAnsi"/>
          <w:lang w:eastAsia="en-US"/>
        </w:rPr>
        <w:t xml:space="preserve"> РФ</w:t>
      </w:r>
      <w:r w:rsidR="0040486C" w:rsidRPr="00BF1FAB">
        <w:rPr>
          <w:rFonts w:eastAsiaTheme="minorHAnsi"/>
          <w:lang w:eastAsia="en-US"/>
        </w:rPr>
        <w:t>, и ВЦП</w:t>
      </w:r>
      <w:r w:rsidR="00144C19" w:rsidRPr="00BF1FAB">
        <w:rPr>
          <w:rFonts w:eastAsiaTheme="minorHAnsi"/>
          <w:lang w:eastAsia="en-US"/>
        </w:rPr>
        <w:t>.</w:t>
      </w:r>
    </w:p>
    <w:p w:rsidR="00144C19" w:rsidRPr="00BF1FAB" w:rsidRDefault="00EC149E" w:rsidP="00086520">
      <w:pPr>
        <w:autoSpaceDE w:val="0"/>
        <w:autoSpaceDN w:val="0"/>
        <w:adjustRightInd w:val="0"/>
        <w:ind w:firstLine="540"/>
        <w:jc w:val="both"/>
        <w:rPr>
          <w:rFonts w:eastAsiaTheme="minorHAnsi"/>
          <w:lang w:eastAsia="en-US"/>
        </w:rPr>
      </w:pPr>
      <w:r w:rsidRPr="00BF1FAB">
        <w:rPr>
          <w:rFonts w:eastAsiaTheme="minorHAnsi"/>
          <w:lang w:eastAsia="en-US"/>
        </w:rPr>
        <w:t xml:space="preserve">Главным распорядителем средств в городском округе город Волгоград определен </w:t>
      </w:r>
      <w:r w:rsidR="009946CB" w:rsidRPr="00BF1FAB">
        <w:rPr>
          <w:rFonts w:eastAsiaTheme="minorHAnsi"/>
          <w:lang w:eastAsia="en-US"/>
        </w:rPr>
        <w:t>к</w:t>
      </w:r>
      <w:r w:rsidRPr="00BF1FAB">
        <w:rPr>
          <w:rFonts w:eastAsiaTheme="minorHAnsi"/>
          <w:lang w:eastAsia="en-US"/>
        </w:rPr>
        <w:t xml:space="preserve">омитет культуры </w:t>
      </w:r>
      <w:r w:rsidR="009946CB" w:rsidRPr="00BF1FAB">
        <w:rPr>
          <w:rFonts w:eastAsiaTheme="minorHAnsi"/>
          <w:lang w:eastAsia="en-US"/>
        </w:rPr>
        <w:t>а</w:t>
      </w:r>
      <w:r w:rsidRPr="00BF1FAB">
        <w:rPr>
          <w:rFonts w:eastAsiaTheme="minorHAnsi"/>
          <w:lang w:eastAsia="en-US"/>
        </w:rPr>
        <w:t>дминистрации Волгограда</w:t>
      </w:r>
      <w:r w:rsidR="00086520" w:rsidRPr="00BF1FAB">
        <w:rPr>
          <w:rFonts w:eastAsiaTheme="minorHAnsi"/>
          <w:lang w:eastAsia="en-US"/>
        </w:rPr>
        <w:t>, с</w:t>
      </w:r>
      <w:r w:rsidR="00144C19" w:rsidRPr="00BF1FAB">
        <w:rPr>
          <w:rFonts w:eastAsiaTheme="minorHAnsi"/>
          <w:lang w:eastAsia="en-US"/>
        </w:rPr>
        <w:t xml:space="preserve">огласно данным отчета </w:t>
      </w:r>
      <w:r w:rsidR="00086520" w:rsidRPr="00BF1FAB">
        <w:rPr>
          <w:rFonts w:eastAsiaTheme="minorHAnsi"/>
          <w:lang w:eastAsia="en-US"/>
        </w:rPr>
        <w:t xml:space="preserve">которого </w:t>
      </w:r>
      <w:r w:rsidR="00640A67" w:rsidRPr="00BF1FAB">
        <w:rPr>
          <w:rFonts w:eastAsiaTheme="minorHAnsi"/>
          <w:lang w:eastAsia="en-US"/>
        </w:rPr>
        <w:t xml:space="preserve"> </w:t>
      </w:r>
      <w:r w:rsidR="00144C19" w:rsidRPr="00BF1FAB">
        <w:rPr>
          <w:rFonts w:eastAsiaTheme="minorHAnsi"/>
          <w:lang w:eastAsia="en-US"/>
        </w:rPr>
        <w:t xml:space="preserve">субсидии </w:t>
      </w:r>
      <w:r w:rsidR="00640A67" w:rsidRPr="00BF1FAB">
        <w:rPr>
          <w:rFonts w:eastAsiaTheme="minorHAnsi"/>
          <w:lang w:eastAsia="en-US"/>
        </w:rPr>
        <w:t xml:space="preserve">на иные цели </w:t>
      </w:r>
      <w:r w:rsidR="00086520" w:rsidRPr="00BF1FAB">
        <w:rPr>
          <w:rFonts w:eastAsiaTheme="minorHAnsi"/>
          <w:lang w:eastAsia="en-US"/>
        </w:rPr>
        <w:t xml:space="preserve">в декабре 2019 года </w:t>
      </w:r>
      <w:r w:rsidR="00144C19" w:rsidRPr="00BF1FAB">
        <w:rPr>
          <w:rFonts w:eastAsiaTheme="minorHAnsi"/>
          <w:lang w:eastAsia="en-US"/>
        </w:rPr>
        <w:t xml:space="preserve">перечислены </w:t>
      </w:r>
      <w:r w:rsidR="00640A67" w:rsidRPr="00BF1FAB">
        <w:rPr>
          <w:rFonts w:eastAsiaTheme="minorHAnsi"/>
          <w:lang w:eastAsia="en-US"/>
        </w:rPr>
        <w:t>МБУ</w:t>
      </w:r>
      <w:r w:rsidR="00144C19" w:rsidRPr="00BF1FAB">
        <w:rPr>
          <w:rFonts w:eastAsiaTheme="minorHAnsi"/>
          <w:lang w:eastAsia="en-US"/>
        </w:rPr>
        <w:t xml:space="preserve"> </w:t>
      </w:r>
      <w:r w:rsidR="00640A67" w:rsidRPr="00BF1FAB">
        <w:rPr>
          <w:rFonts w:eastAsiaTheme="minorHAnsi"/>
          <w:lang w:eastAsia="en-US"/>
        </w:rPr>
        <w:t xml:space="preserve">"ЖКХ Советского района г.Волгограда" </w:t>
      </w:r>
      <w:r w:rsidR="00144C19" w:rsidRPr="00BF1FAB">
        <w:rPr>
          <w:rFonts w:eastAsiaTheme="minorHAnsi"/>
          <w:lang w:eastAsia="en-US"/>
        </w:rPr>
        <w:t>на проведение мероприятий на объекте культурного наследия "Братская могила советских воинов, погибших в период Сталинградской битвы" в п. Майском Советского района г.Волгограда</w:t>
      </w:r>
      <w:r w:rsidR="00640A67" w:rsidRPr="00BF1FAB">
        <w:rPr>
          <w:rFonts w:eastAsiaTheme="minorHAnsi"/>
          <w:lang w:eastAsia="en-US"/>
        </w:rPr>
        <w:t xml:space="preserve"> (1 ед.)</w:t>
      </w:r>
      <w:r w:rsidR="00086520" w:rsidRPr="00BF1FAB">
        <w:rPr>
          <w:rFonts w:eastAsiaTheme="minorHAnsi"/>
          <w:lang w:eastAsia="en-US"/>
        </w:rPr>
        <w:t>. П</w:t>
      </w:r>
      <w:r w:rsidR="00640A67" w:rsidRPr="00BF1FAB">
        <w:rPr>
          <w:rFonts w:eastAsiaTheme="minorHAnsi"/>
          <w:lang w:eastAsia="en-US"/>
        </w:rPr>
        <w:t>о состоянию на 31.12.2019 года работы на объекте и ц</w:t>
      </w:r>
      <w:r w:rsidR="00252F83" w:rsidRPr="00BF1FAB">
        <w:rPr>
          <w:rFonts w:eastAsiaTheme="minorHAnsi"/>
          <w:lang w:eastAsia="en-US"/>
        </w:rPr>
        <w:t>е</w:t>
      </w:r>
      <w:r w:rsidR="00144C19" w:rsidRPr="00BF1FAB">
        <w:rPr>
          <w:rFonts w:eastAsiaTheme="minorHAnsi"/>
          <w:lang w:eastAsia="en-US"/>
        </w:rPr>
        <w:t>левые показатели не выполнены</w:t>
      </w:r>
      <w:r w:rsidR="00144C19" w:rsidRPr="00BF1FAB">
        <w:rPr>
          <w:rFonts w:eastAsiaTheme="minorHAnsi"/>
          <w:i/>
          <w:lang w:eastAsia="en-US"/>
        </w:rPr>
        <w:t xml:space="preserve"> </w:t>
      </w:r>
      <w:r w:rsidR="00640A67" w:rsidRPr="00BF1FAB">
        <w:rPr>
          <w:rFonts w:eastAsiaTheme="minorHAnsi"/>
          <w:i/>
          <w:lang w:eastAsia="en-US"/>
        </w:rPr>
        <w:t>"</w:t>
      </w:r>
      <w:r w:rsidR="00144C19" w:rsidRPr="00BF1FAB">
        <w:rPr>
          <w:rFonts w:eastAsiaTheme="minorHAnsi"/>
          <w:i/>
          <w:lang w:eastAsia="en-US"/>
        </w:rPr>
        <w:t>в связи с неблагоприятными погодными условиями в виде устойчивых отрицательных температур, воспрепятство</w:t>
      </w:r>
      <w:r w:rsidR="00252F83" w:rsidRPr="00BF1FAB">
        <w:rPr>
          <w:rFonts w:eastAsiaTheme="minorHAnsi"/>
          <w:i/>
          <w:lang w:eastAsia="en-US"/>
        </w:rPr>
        <w:t>вавших проведению ремонтных работ</w:t>
      </w:r>
      <w:r w:rsidR="00640A67" w:rsidRPr="00BF1FAB">
        <w:rPr>
          <w:rFonts w:eastAsiaTheme="minorHAnsi"/>
          <w:i/>
          <w:lang w:eastAsia="en-US"/>
        </w:rPr>
        <w:t>"</w:t>
      </w:r>
      <w:r w:rsidR="00252F83" w:rsidRPr="00BF1FAB">
        <w:rPr>
          <w:rFonts w:eastAsiaTheme="minorHAnsi"/>
          <w:lang w:eastAsia="en-US"/>
        </w:rPr>
        <w:t>.</w:t>
      </w:r>
    </w:p>
    <w:p w:rsidR="00640A67" w:rsidRPr="00BF1FAB" w:rsidRDefault="0040486C" w:rsidP="00144C19">
      <w:pPr>
        <w:autoSpaceDE w:val="0"/>
        <w:autoSpaceDN w:val="0"/>
        <w:adjustRightInd w:val="0"/>
        <w:ind w:firstLine="709"/>
        <w:jc w:val="both"/>
        <w:rPr>
          <w:rFonts w:eastAsiaTheme="minorHAnsi"/>
          <w:lang w:eastAsia="en-US"/>
        </w:rPr>
      </w:pPr>
      <w:r w:rsidRPr="00BF1FAB">
        <w:rPr>
          <w:rFonts w:eastAsiaTheme="minorHAnsi"/>
          <w:lang w:eastAsia="en-US"/>
        </w:rPr>
        <w:t>По условиям</w:t>
      </w:r>
      <w:r w:rsidR="00086520" w:rsidRPr="00BF1FAB">
        <w:rPr>
          <w:rFonts w:eastAsiaTheme="minorHAnsi"/>
          <w:lang w:eastAsia="en-US"/>
        </w:rPr>
        <w:t xml:space="preserve"> соглашения, заключенного </w:t>
      </w:r>
      <w:r w:rsidR="009946CB" w:rsidRPr="00BF1FAB">
        <w:rPr>
          <w:rFonts w:eastAsiaTheme="minorHAnsi"/>
          <w:lang w:eastAsia="en-US"/>
        </w:rPr>
        <w:t>к</w:t>
      </w:r>
      <w:r w:rsidR="00086520" w:rsidRPr="00BF1FAB">
        <w:rPr>
          <w:rFonts w:eastAsiaTheme="minorHAnsi"/>
          <w:lang w:eastAsia="en-US"/>
        </w:rPr>
        <w:t xml:space="preserve">омитет культуры </w:t>
      </w:r>
      <w:r w:rsidR="009946CB" w:rsidRPr="00BF1FAB">
        <w:rPr>
          <w:rFonts w:eastAsiaTheme="minorHAnsi"/>
          <w:lang w:eastAsia="en-US"/>
        </w:rPr>
        <w:t>а</w:t>
      </w:r>
      <w:r w:rsidR="00086520" w:rsidRPr="00BF1FAB">
        <w:rPr>
          <w:rFonts w:eastAsiaTheme="minorHAnsi"/>
          <w:lang w:eastAsia="en-US"/>
        </w:rPr>
        <w:t>дминистрации Волгограда с бюджетным учреждением, п</w:t>
      </w:r>
      <w:r w:rsidR="00640A67" w:rsidRPr="00BF1FAB">
        <w:rPr>
          <w:rFonts w:eastAsiaTheme="minorHAnsi"/>
          <w:lang w:eastAsia="en-US"/>
        </w:rPr>
        <w:t xml:space="preserve">ри выполнении работ на объекте </w:t>
      </w:r>
      <w:r w:rsidR="00EC149E" w:rsidRPr="00BF1FAB">
        <w:rPr>
          <w:rFonts w:eastAsiaTheme="minorHAnsi"/>
          <w:lang w:eastAsia="en-US"/>
        </w:rPr>
        <w:t xml:space="preserve">в 2020 году </w:t>
      </w:r>
      <w:r w:rsidR="00640A67" w:rsidRPr="00BF1FAB">
        <w:rPr>
          <w:rFonts w:eastAsiaTheme="minorHAnsi"/>
          <w:lang w:eastAsia="en-US"/>
        </w:rPr>
        <w:t xml:space="preserve">показатель результативности использования субсидии "количество восстановленных воинских захоронений (ежегодно)" фактически </w:t>
      </w:r>
      <w:r w:rsidR="00EF57EE" w:rsidRPr="00BF1FAB">
        <w:rPr>
          <w:rFonts w:eastAsiaTheme="minorHAnsi"/>
          <w:lang w:eastAsia="en-US"/>
        </w:rPr>
        <w:t xml:space="preserve">может </w:t>
      </w:r>
      <w:r w:rsidR="00640A67" w:rsidRPr="00BF1FAB">
        <w:rPr>
          <w:rFonts w:eastAsiaTheme="minorHAnsi"/>
          <w:lang w:eastAsia="en-US"/>
        </w:rPr>
        <w:t>составит</w:t>
      </w:r>
      <w:r w:rsidR="00EF57EE" w:rsidRPr="00BF1FAB">
        <w:rPr>
          <w:rFonts w:eastAsiaTheme="minorHAnsi"/>
          <w:lang w:eastAsia="en-US"/>
        </w:rPr>
        <w:t>ь</w:t>
      </w:r>
      <w:r w:rsidR="00640A67" w:rsidRPr="00BF1FAB">
        <w:rPr>
          <w:rFonts w:eastAsiaTheme="minorHAnsi"/>
          <w:lang w:eastAsia="en-US"/>
        </w:rPr>
        <w:t xml:space="preserve"> только 1 ед., или 2,4% от планового значения</w:t>
      </w:r>
      <w:r w:rsidR="00EF57EE" w:rsidRPr="00BF1FAB">
        <w:rPr>
          <w:rFonts w:eastAsiaTheme="minorHAnsi"/>
          <w:lang w:eastAsia="en-US"/>
        </w:rPr>
        <w:t xml:space="preserve"> (41 ед.)</w:t>
      </w:r>
      <w:r w:rsidR="00640A67" w:rsidRPr="00BF1FAB">
        <w:rPr>
          <w:rFonts w:eastAsiaTheme="minorHAnsi"/>
          <w:lang w:eastAsia="en-US"/>
        </w:rPr>
        <w:t>.</w:t>
      </w:r>
    </w:p>
    <w:p w:rsidR="00640A67" w:rsidRPr="00BF1FAB" w:rsidRDefault="008B2F67" w:rsidP="008B2F67">
      <w:pPr>
        <w:autoSpaceDE w:val="0"/>
        <w:autoSpaceDN w:val="0"/>
        <w:adjustRightInd w:val="0"/>
        <w:ind w:firstLine="680"/>
        <w:jc w:val="both"/>
        <w:rPr>
          <w:rFonts w:eastAsiaTheme="minorHAnsi"/>
          <w:lang w:eastAsia="en-US"/>
        </w:rPr>
      </w:pPr>
      <w:r w:rsidRPr="00BF1FAB">
        <w:rPr>
          <w:rFonts w:eastAsiaTheme="minorHAnsi"/>
          <w:lang w:eastAsia="en-US"/>
        </w:rPr>
        <w:t xml:space="preserve">Согласно п. 4.1.4 Соглашения от 20.12.2019 №187-09-2019-035 при невыполнении по состоянию на 31.12.2019 обязательств (достижение 2 целевых показателей) Волгоградской области должно быть направлено требование о возврате части средств субсидии в соответствии с  п.п. 16-19 Правил формирования, предоставления и распределения </w:t>
      </w:r>
      <w:hyperlink r:id="rId9" w:history="1">
        <w:r w:rsidRPr="00BF1FAB">
          <w:rPr>
            <w:rFonts w:eastAsiaTheme="minorHAnsi"/>
            <w:lang w:eastAsia="en-US"/>
          </w:rPr>
          <w:t>субсидий</w:t>
        </w:r>
      </w:hyperlink>
      <w:r w:rsidRPr="00BF1FAB">
        <w:rPr>
          <w:rFonts w:eastAsiaTheme="minorHAnsi"/>
          <w:lang w:eastAsia="en-US"/>
        </w:rPr>
        <w:t xml:space="preserve"> из федерального </w:t>
      </w:r>
      <w:r w:rsidRPr="00BF1FAB">
        <w:rPr>
          <w:rFonts w:eastAsiaTheme="minorHAnsi"/>
          <w:lang w:eastAsia="en-US"/>
        </w:rPr>
        <w:lastRenderedPageBreak/>
        <w:t>бюджета бюджетам субъектов РФ, утвержденных постановлением Правительства РФ от 30.09.2014 № 999 (далее Постановление №999, Правила).</w:t>
      </w:r>
    </w:p>
    <w:p w:rsidR="00086520" w:rsidRPr="00BF1FAB" w:rsidRDefault="00086520" w:rsidP="006368DB">
      <w:pPr>
        <w:autoSpaceDE w:val="0"/>
        <w:autoSpaceDN w:val="0"/>
        <w:adjustRightInd w:val="0"/>
        <w:ind w:firstLine="540"/>
        <w:jc w:val="both"/>
        <w:rPr>
          <w:rFonts w:eastAsiaTheme="minorHAnsi"/>
          <w:lang w:eastAsia="en-US"/>
        </w:rPr>
      </w:pPr>
      <w:r w:rsidRPr="00BF1FAB">
        <w:rPr>
          <w:rFonts w:eastAsiaTheme="minorHAnsi"/>
          <w:lang w:eastAsia="en-US"/>
        </w:rPr>
        <w:t>В соответствии с п.15 Правил предоставления и распределения субсидий из федерального бюджета на реализацию мероприятий ФЦП Увековечение памяти погибших, утвержденных Постановление</w:t>
      </w:r>
      <w:r w:rsidR="009946CB" w:rsidRPr="00BF1FAB">
        <w:rPr>
          <w:rFonts w:eastAsiaTheme="minorHAnsi"/>
          <w:lang w:eastAsia="en-US"/>
        </w:rPr>
        <w:t>м</w:t>
      </w:r>
      <w:r w:rsidRPr="00BF1FAB">
        <w:rPr>
          <w:rFonts w:eastAsiaTheme="minorHAnsi"/>
          <w:lang w:eastAsia="en-US"/>
        </w:rPr>
        <w:t xml:space="preserve"> №1036, в случае невыполнения в отчетном финансовом году субъектом РФ обязательств более чем на 20% Министерство обороны РФ уменьшает на 10% размер предоставляемой субсидии в очередном финансовом году. </w:t>
      </w:r>
    </w:p>
    <w:p w:rsidR="008B2F67" w:rsidRPr="00BF1FAB" w:rsidRDefault="008B2F67" w:rsidP="00BC7974">
      <w:pPr>
        <w:autoSpaceDE w:val="0"/>
        <w:autoSpaceDN w:val="0"/>
        <w:adjustRightInd w:val="0"/>
        <w:ind w:firstLine="540"/>
        <w:jc w:val="both"/>
        <w:rPr>
          <w:rFonts w:eastAsiaTheme="minorHAnsi"/>
          <w:lang w:eastAsia="en-US"/>
        </w:rPr>
      </w:pPr>
      <w:r w:rsidRPr="00BF1FAB">
        <w:rPr>
          <w:rFonts w:eastAsiaTheme="minorHAnsi"/>
          <w:lang w:eastAsia="en-US"/>
        </w:rPr>
        <w:t xml:space="preserve">Комитетом (письмо от 03.03.2020 №53-03-13/04) в Министерство обороны РФ направлен запрос </w:t>
      </w:r>
      <w:r w:rsidR="006368DB" w:rsidRPr="00BF1FAB">
        <w:rPr>
          <w:rFonts w:eastAsiaTheme="minorHAnsi"/>
          <w:lang w:eastAsia="en-US"/>
        </w:rPr>
        <w:t xml:space="preserve">о разъяснении в части применимости </w:t>
      </w:r>
      <w:r w:rsidR="00086520" w:rsidRPr="00BF1FAB">
        <w:rPr>
          <w:rFonts w:eastAsiaTheme="minorHAnsi"/>
          <w:lang w:eastAsia="en-US"/>
        </w:rPr>
        <w:t xml:space="preserve">штрафных санкций в соответствии с </w:t>
      </w:r>
      <w:r w:rsidR="006368DB" w:rsidRPr="00BF1FAB">
        <w:rPr>
          <w:rFonts w:eastAsiaTheme="minorHAnsi"/>
          <w:lang w:eastAsia="en-US"/>
        </w:rPr>
        <w:t>Постановлени</w:t>
      </w:r>
      <w:r w:rsidR="00086520" w:rsidRPr="00BF1FAB">
        <w:rPr>
          <w:rFonts w:eastAsiaTheme="minorHAnsi"/>
          <w:lang w:eastAsia="en-US"/>
        </w:rPr>
        <w:t>ем</w:t>
      </w:r>
      <w:r w:rsidR="006368DB" w:rsidRPr="00BF1FAB">
        <w:rPr>
          <w:rFonts w:eastAsiaTheme="minorHAnsi"/>
          <w:lang w:eastAsia="en-US"/>
        </w:rPr>
        <w:t xml:space="preserve"> №999</w:t>
      </w:r>
      <w:r w:rsidR="00BC7974" w:rsidRPr="00BF1FAB">
        <w:rPr>
          <w:rFonts w:eastAsiaTheme="minorHAnsi"/>
          <w:lang w:eastAsia="en-US"/>
        </w:rPr>
        <w:t xml:space="preserve"> и внесения изменений в Соглашение. Согласно ответу </w:t>
      </w:r>
      <w:r w:rsidR="00EF57EE" w:rsidRPr="00BF1FAB">
        <w:rPr>
          <w:rFonts w:eastAsiaTheme="minorHAnsi"/>
          <w:lang w:eastAsia="en-US"/>
        </w:rPr>
        <w:t xml:space="preserve">Министерства обороны РФ </w:t>
      </w:r>
      <w:r w:rsidR="00BC7974" w:rsidRPr="00BF1FAB">
        <w:rPr>
          <w:rFonts w:eastAsiaTheme="minorHAnsi"/>
          <w:lang w:eastAsia="en-US"/>
        </w:rPr>
        <w:t xml:space="preserve">(письмо от 03.03.2020 №328/2/1060) внесение изменений в </w:t>
      </w:r>
      <w:r w:rsidR="00001EFD" w:rsidRPr="00BF1FAB">
        <w:rPr>
          <w:rFonts w:eastAsiaTheme="minorHAnsi"/>
          <w:lang w:eastAsia="en-US"/>
        </w:rPr>
        <w:t>С</w:t>
      </w:r>
      <w:r w:rsidR="00BC7974" w:rsidRPr="00BF1FAB">
        <w:rPr>
          <w:rFonts w:eastAsiaTheme="minorHAnsi"/>
          <w:lang w:eastAsia="en-US"/>
        </w:rPr>
        <w:t xml:space="preserve">оглашение не представляется возможным, в настоящее время рассматривается возможность внесения изменений </w:t>
      </w:r>
      <w:r w:rsidR="000D7236" w:rsidRPr="00BF1FAB">
        <w:rPr>
          <w:rFonts w:eastAsiaTheme="minorHAnsi"/>
          <w:lang w:eastAsia="en-US"/>
        </w:rPr>
        <w:t>в Правила предоставления и распределения субсидий из федерального бюджета на реализацию мероприятий ФЦП Увековечение памяти погибших, утвержденные Постановление №1036</w:t>
      </w:r>
      <w:r w:rsidR="009946CB" w:rsidRPr="00BF1FAB">
        <w:rPr>
          <w:rFonts w:eastAsiaTheme="minorHAnsi"/>
          <w:lang w:eastAsia="en-US"/>
        </w:rPr>
        <w:t>,</w:t>
      </w:r>
      <w:r w:rsidR="000D7236" w:rsidRPr="00BF1FAB">
        <w:rPr>
          <w:rFonts w:eastAsiaTheme="minorHAnsi"/>
          <w:lang w:eastAsia="en-US"/>
        </w:rPr>
        <w:t xml:space="preserve"> </w:t>
      </w:r>
      <w:r w:rsidR="00BC7974" w:rsidRPr="00BF1FAB">
        <w:rPr>
          <w:rFonts w:eastAsiaTheme="minorHAnsi"/>
          <w:lang w:eastAsia="en-US"/>
        </w:rPr>
        <w:t xml:space="preserve">в части применения штрафных санкций. </w:t>
      </w:r>
    </w:p>
    <w:p w:rsidR="00BC7974" w:rsidRPr="00BF1FAB" w:rsidRDefault="009946CB" w:rsidP="00BC7974">
      <w:pPr>
        <w:autoSpaceDE w:val="0"/>
        <w:autoSpaceDN w:val="0"/>
        <w:adjustRightInd w:val="0"/>
        <w:ind w:firstLine="540"/>
        <w:jc w:val="both"/>
        <w:rPr>
          <w:rFonts w:eastAsiaTheme="minorHAnsi"/>
          <w:lang w:eastAsia="en-US"/>
        </w:rPr>
      </w:pPr>
      <w:r w:rsidRPr="00BF1FAB">
        <w:rPr>
          <w:rFonts w:eastAsiaTheme="minorHAnsi"/>
          <w:lang w:eastAsia="en-US"/>
        </w:rPr>
        <w:t>Д</w:t>
      </w:r>
      <w:r w:rsidR="00BC7974" w:rsidRPr="00BF1FAB">
        <w:rPr>
          <w:rFonts w:eastAsiaTheme="minorHAnsi"/>
          <w:lang w:eastAsia="en-US"/>
        </w:rPr>
        <w:t>о внесения указанных изменений объем штрафных санкций для Волгоградской области</w:t>
      </w:r>
      <w:r w:rsidR="000D7236" w:rsidRPr="00BF1FAB">
        <w:rPr>
          <w:rFonts w:eastAsiaTheme="minorHAnsi"/>
          <w:lang w:eastAsia="en-US"/>
        </w:rPr>
        <w:t xml:space="preserve"> за не достижение целевых показателей до 31.12.2019 года </w:t>
      </w:r>
      <w:r w:rsidR="00BC7974" w:rsidRPr="00BF1FAB">
        <w:rPr>
          <w:rFonts w:eastAsiaTheme="minorHAnsi"/>
          <w:lang w:eastAsia="en-US"/>
        </w:rPr>
        <w:t xml:space="preserve"> составляет 467,0 тыс. рублей.</w:t>
      </w:r>
    </w:p>
    <w:p w:rsidR="00F6667B" w:rsidRPr="00BF1FAB" w:rsidRDefault="00F6667B" w:rsidP="00F6667B">
      <w:pPr>
        <w:spacing w:before="120" w:after="120"/>
        <w:ind w:firstLine="720"/>
        <w:jc w:val="center"/>
        <w:rPr>
          <w:b/>
        </w:rPr>
      </w:pPr>
      <w:r w:rsidRPr="00BF1FAB">
        <w:rPr>
          <w:b/>
        </w:rPr>
        <w:t>Анализ исполнения Комитетом переданных полномочий</w:t>
      </w:r>
    </w:p>
    <w:p w:rsidR="00F6667B" w:rsidRPr="00BF1FAB" w:rsidRDefault="00F6667B" w:rsidP="00F6667B">
      <w:pPr>
        <w:autoSpaceDE w:val="0"/>
        <w:autoSpaceDN w:val="0"/>
        <w:adjustRightInd w:val="0"/>
        <w:ind w:firstLine="539"/>
        <w:jc w:val="both"/>
        <w:rPr>
          <w:rFonts w:eastAsiaTheme="minorHAnsi"/>
        </w:rPr>
      </w:pPr>
      <w:r w:rsidRPr="00BF1FAB">
        <w:rPr>
          <w:rFonts w:eastAsiaTheme="minorHAnsi"/>
        </w:rPr>
        <w:t xml:space="preserve">В соответствии с п.1 ст.9.1 Федерального закона от 25.06.2002 №73-ФЗ «Об объектах культурного наследия (памятниках истории и культуры) народов РФ» (далее Закон №73-ФЗ) и п.2.2. Постановления №697-п Комитет в отношении </w:t>
      </w:r>
      <w:r w:rsidR="00EE4B8A" w:rsidRPr="00BF1FAB">
        <w:rPr>
          <w:rFonts w:eastAsiaTheme="minorHAnsi"/>
        </w:rPr>
        <w:t>ОКН</w:t>
      </w:r>
      <w:r w:rsidRPr="00BF1FAB">
        <w:rPr>
          <w:rFonts w:eastAsiaTheme="minorHAnsi"/>
        </w:rPr>
        <w:t xml:space="preserve"> федерального значения (за исключением отдельных объектов культурного наследия, перечень которых устанавливается Правительством РФ) осуществляет полномочия, переданные РФ, по государственной охране ОКН и государственн</w:t>
      </w:r>
      <w:r w:rsidR="009946CB" w:rsidRPr="00BF1FAB">
        <w:rPr>
          <w:rFonts w:eastAsiaTheme="minorHAnsi"/>
        </w:rPr>
        <w:t>ому</w:t>
      </w:r>
      <w:r w:rsidRPr="00BF1FAB">
        <w:rPr>
          <w:rFonts w:eastAsiaTheme="minorHAnsi"/>
        </w:rPr>
        <w:t xml:space="preserve"> надзор</w:t>
      </w:r>
      <w:r w:rsidR="009946CB" w:rsidRPr="00BF1FAB">
        <w:rPr>
          <w:rFonts w:eastAsiaTheme="minorHAnsi"/>
        </w:rPr>
        <w:t>у</w:t>
      </w:r>
      <w:r w:rsidRPr="00BF1FAB">
        <w:rPr>
          <w:rFonts w:eastAsiaTheme="minorHAnsi"/>
        </w:rPr>
        <w:t xml:space="preserve"> в области охраны ОКН (далее переданные полномочия).</w:t>
      </w:r>
    </w:p>
    <w:p w:rsidR="00F6667B" w:rsidRPr="00BF1FAB" w:rsidRDefault="00F6667B" w:rsidP="00F6667B">
      <w:pPr>
        <w:autoSpaceDE w:val="0"/>
        <w:autoSpaceDN w:val="0"/>
        <w:adjustRightInd w:val="0"/>
        <w:ind w:firstLine="539"/>
        <w:jc w:val="both"/>
        <w:outlineLvl w:val="0"/>
        <w:rPr>
          <w:rFonts w:eastAsiaTheme="minorHAnsi"/>
        </w:rPr>
      </w:pPr>
      <w:r w:rsidRPr="00BF1FAB">
        <w:rPr>
          <w:rFonts w:eastAsiaTheme="minorHAnsi"/>
        </w:rPr>
        <w:t xml:space="preserve">Объем субвенции на осуществление переданных полномочий  на </w:t>
      </w:r>
      <w:r w:rsidRPr="00BF1FAB">
        <w:rPr>
          <w:rFonts w:eastAsiaTheme="minorHAnsi"/>
          <w:lang w:eastAsia="en-US"/>
        </w:rPr>
        <w:t>2019 год  составил 7142,0 тыс. руб., или в 11,2 раза больше, чем расчетный размер субвенции на 2018 год (</w:t>
      </w:r>
      <w:r w:rsidRPr="00BF1FAB">
        <w:rPr>
          <w:rFonts w:eastAsiaTheme="minorHAnsi"/>
        </w:rPr>
        <w:t xml:space="preserve">638,0 тыс. руб.). </w:t>
      </w:r>
    </w:p>
    <w:p w:rsidR="00F6667B" w:rsidRPr="00BF1FAB" w:rsidRDefault="00F6667B" w:rsidP="00F6667B">
      <w:pPr>
        <w:autoSpaceDE w:val="0"/>
        <w:autoSpaceDN w:val="0"/>
        <w:adjustRightInd w:val="0"/>
        <w:ind w:firstLine="539"/>
        <w:jc w:val="both"/>
        <w:outlineLvl w:val="0"/>
        <w:rPr>
          <w:rFonts w:eastAsiaTheme="minorHAnsi"/>
          <w:lang w:eastAsia="en-US"/>
        </w:rPr>
      </w:pPr>
      <w:r w:rsidRPr="00BF1FAB">
        <w:rPr>
          <w:rFonts w:eastAsiaTheme="minorHAnsi"/>
          <w:lang w:eastAsia="en-US"/>
        </w:rPr>
        <w:t>Увеличение объема субвенции по сравнению с 2018 годом произошло в связи с изменениями с 01.01.2019 года Методик</w:t>
      </w:r>
      <w:r w:rsidR="009946CB" w:rsidRPr="00BF1FAB">
        <w:rPr>
          <w:rFonts w:eastAsiaTheme="minorHAnsi"/>
          <w:lang w:eastAsia="en-US"/>
        </w:rPr>
        <w:t>и</w:t>
      </w:r>
      <w:r w:rsidRPr="00BF1FAB">
        <w:rPr>
          <w:rFonts w:eastAsiaTheme="minorHAnsi"/>
          <w:lang w:eastAsia="en-US"/>
        </w:rPr>
        <w:t xml:space="preserve"> расчета, утвержденн</w:t>
      </w:r>
      <w:r w:rsidR="009946CB" w:rsidRPr="00BF1FAB">
        <w:rPr>
          <w:rFonts w:eastAsiaTheme="minorHAnsi"/>
          <w:lang w:eastAsia="en-US"/>
        </w:rPr>
        <w:t>ой</w:t>
      </w:r>
      <w:r w:rsidRPr="00BF1FAB">
        <w:rPr>
          <w:rFonts w:eastAsiaTheme="minorHAnsi"/>
          <w:lang w:eastAsia="en-US"/>
        </w:rPr>
        <w:t xml:space="preserve"> Постановлением №1183. С учетом внесенных изменений расчет субвенции произведен на 1121 ед. объектов археологического наследия, которые в 2018 году не учитывались</w:t>
      </w:r>
      <w:r w:rsidR="009946CB" w:rsidRPr="00BF1FAB">
        <w:rPr>
          <w:rFonts w:eastAsiaTheme="minorHAnsi"/>
          <w:lang w:eastAsia="en-US"/>
        </w:rPr>
        <w:t>,</w:t>
      </w:r>
      <w:r w:rsidRPr="00BF1FAB">
        <w:rPr>
          <w:rFonts w:eastAsiaTheme="minorHAnsi"/>
        </w:rPr>
        <w:t xml:space="preserve"> и, как следствие увеличилось расчетное число сотрудников до 10,7 ед. (в 2018 году 3 ед.), которые должны обеспечивать переданные полномочия РФ.</w:t>
      </w:r>
      <w:r w:rsidRPr="00BF1FAB">
        <w:rPr>
          <w:rFonts w:eastAsiaTheme="minorHAnsi"/>
          <w:lang w:eastAsia="en-US"/>
        </w:rPr>
        <w:t xml:space="preserve"> </w:t>
      </w:r>
    </w:p>
    <w:p w:rsidR="00F6667B" w:rsidRPr="00BF1FAB" w:rsidRDefault="00F6667B" w:rsidP="00F6667B">
      <w:pPr>
        <w:autoSpaceDE w:val="0"/>
        <w:autoSpaceDN w:val="0"/>
        <w:adjustRightInd w:val="0"/>
        <w:ind w:firstLine="539"/>
        <w:jc w:val="both"/>
        <w:outlineLvl w:val="0"/>
        <w:rPr>
          <w:rFonts w:eastAsiaTheme="minorHAnsi"/>
        </w:rPr>
      </w:pPr>
      <w:r w:rsidRPr="00BF1FAB">
        <w:rPr>
          <w:rFonts w:eastAsiaTheme="minorHAnsi"/>
        </w:rPr>
        <w:t xml:space="preserve">Кассовое исполнение за счет средств федерального бюджета в 2019 году составило 5999,8 тыс. руб., или 84% от суммы бюджетных назначений (7142,0 тыс. руб.), неисполненные назначения составили 1142,2 тыс. рублей. </w:t>
      </w:r>
    </w:p>
    <w:p w:rsidR="00F6667B" w:rsidRPr="00BF1FAB" w:rsidRDefault="00F6667B" w:rsidP="00F6667B">
      <w:pPr>
        <w:autoSpaceDE w:val="0"/>
        <w:autoSpaceDN w:val="0"/>
        <w:adjustRightInd w:val="0"/>
        <w:ind w:firstLine="539"/>
        <w:jc w:val="both"/>
        <w:outlineLvl w:val="0"/>
        <w:rPr>
          <w:rFonts w:eastAsiaTheme="minorHAnsi"/>
        </w:rPr>
      </w:pPr>
      <w:r w:rsidRPr="00BF1FAB">
        <w:rPr>
          <w:rFonts w:eastAsiaTheme="minorHAnsi"/>
        </w:rPr>
        <w:t>Экономия сложилась в связи с тем, что Методика расчета субвенции, утвержденная Постановлением №1183, не учитывает положения законодательства субъектов РФ в части организационной структуры органа исполнительной власти, включая утвержденную штатную численность, и уровень оплаты труда государственных гражданских служащих.</w:t>
      </w:r>
    </w:p>
    <w:p w:rsidR="00F6667B" w:rsidRPr="00BF1FAB" w:rsidRDefault="00F6667B" w:rsidP="00F6667B">
      <w:pPr>
        <w:autoSpaceDE w:val="0"/>
        <w:autoSpaceDN w:val="0"/>
        <w:adjustRightInd w:val="0"/>
        <w:ind w:firstLine="539"/>
        <w:jc w:val="both"/>
        <w:rPr>
          <w:rFonts w:eastAsiaTheme="minorHAnsi"/>
        </w:rPr>
      </w:pPr>
      <w:r w:rsidRPr="00BF1FAB">
        <w:rPr>
          <w:rFonts w:eastAsiaTheme="minorHAnsi"/>
        </w:rPr>
        <w:t>Так, расчет субвенции на 2019 год произведен исходя из штатной численности 10,7 ед. в течение 2019 года и среднемесячной заработной плат</w:t>
      </w:r>
      <w:r w:rsidR="009946CB" w:rsidRPr="00BF1FAB">
        <w:rPr>
          <w:rFonts w:eastAsiaTheme="minorHAnsi"/>
        </w:rPr>
        <w:t>ы</w:t>
      </w:r>
      <w:r w:rsidRPr="00BF1FAB">
        <w:rPr>
          <w:rFonts w:eastAsiaTheme="minorHAnsi"/>
        </w:rPr>
        <w:t xml:space="preserve"> 46,4 тыс. рублей. </w:t>
      </w:r>
    </w:p>
    <w:p w:rsidR="00F6667B" w:rsidRPr="00BF1FAB" w:rsidRDefault="009946CB" w:rsidP="00F6667B">
      <w:pPr>
        <w:autoSpaceDE w:val="0"/>
        <w:autoSpaceDN w:val="0"/>
        <w:adjustRightInd w:val="0"/>
        <w:ind w:firstLine="539"/>
        <w:jc w:val="both"/>
        <w:rPr>
          <w:rFonts w:eastAsiaTheme="minorHAnsi"/>
        </w:rPr>
      </w:pPr>
      <w:r w:rsidRPr="00BF1FAB">
        <w:rPr>
          <w:rFonts w:eastAsiaTheme="minorHAnsi"/>
        </w:rPr>
        <w:t>Ш</w:t>
      </w:r>
      <w:r w:rsidR="00F6667B" w:rsidRPr="00BF1FAB">
        <w:rPr>
          <w:rFonts w:eastAsiaTheme="minorHAnsi"/>
        </w:rPr>
        <w:t>татная численность сотрудников Комитета, исполняющих переданны</w:t>
      </w:r>
      <w:r w:rsidR="002224FF" w:rsidRPr="00BF1FAB">
        <w:rPr>
          <w:rFonts w:eastAsiaTheme="minorHAnsi"/>
        </w:rPr>
        <w:t>е</w:t>
      </w:r>
      <w:r w:rsidR="00F6667B" w:rsidRPr="00BF1FAB">
        <w:rPr>
          <w:rFonts w:eastAsiaTheme="minorHAnsi"/>
        </w:rPr>
        <w:t xml:space="preserve"> полномочия, увеличена до 10,7 ед. только с 04.04.2019 года (в период с 01.01.2019 по 26.02.2019 переданные полномочия РФ исполняли 3 чел., с 27.02.2019 по 04.04.2019  - 8 чел.). Среднемесячная заработная плата сотрудников, исполняющих переданные полномочия, за 2019 год составила 39,5 тыс. руб., или на 6,9 тыс. руб. (17,5%) меньше</w:t>
      </w:r>
      <w:r w:rsidRPr="00BF1FAB">
        <w:rPr>
          <w:rFonts w:eastAsiaTheme="minorHAnsi"/>
        </w:rPr>
        <w:t>,</w:t>
      </w:r>
      <w:r w:rsidR="00F6667B" w:rsidRPr="00BF1FAB">
        <w:rPr>
          <w:rFonts w:eastAsiaTheme="minorHAnsi"/>
        </w:rPr>
        <w:t xml:space="preserve"> чем затраты, предусмотренные при расчете субвенции.</w:t>
      </w:r>
    </w:p>
    <w:p w:rsidR="00F6667B" w:rsidRPr="00BF1FAB" w:rsidRDefault="00F6667B" w:rsidP="00F6667B">
      <w:pPr>
        <w:autoSpaceDE w:val="0"/>
        <w:autoSpaceDN w:val="0"/>
        <w:adjustRightInd w:val="0"/>
        <w:ind w:firstLine="539"/>
        <w:jc w:val="both"/>
        <w:rPr>
          <w:rFonts w:eastAsiaTheme="minorHAnsi"/>
        </w:rPr>
      </w:pPr>
      <w:r w:rsidRPr="00BF1FAB">
        <w:rPr>
          <w:rFonts w:eastAsiaTheme="minorHAnsi"/>
        </w:rPr>
        <w:t>Несоответствие между исходными данными, применяемыми при расчете объема субвенции, и фактическими данными, сложившимися в регионе, привело к образованию неиспользуемых остатков субвенций в сумме 1142,2 тыс. руб., или 16% от общего объема субвенции.</w:t>
      </w:r>
      <w:r w:rsidRPr="00BF1FAB">
        <w:t xml:space="preserve"> </w:t>
      </w:r>
      <w:r w:rsidR="001E4254" w:rsidRPr="00BF1FAB">
        <w:t xml:space="preserve">Для использования средств федерального бюджета в полном объеме </w:t>
      </w:r>
      <w:r w:rsidR="002224FF" w:rsidRPr="00BF1FAB">
        <w:t>необходимо проведение работы</w:t>
      </w:r>
      <w:r w:rsidR="001E4254" w:rsidRPr="00BF1FAB">
        <w:t xml:space="preserve">, в том числе проведение организационно-штатных мероприятий. </w:t>
      </w:r>
    </w:p>
    <w:p w:rsidR="00F6667B" w:rsidRPr="00BF1FAB" w:rsidRDefault="00F6667B" w:rsidP="00F6667B">
      <w:pPr>
        <w:ind w:firstLine="539"/>
        <w:jc w:val="both"/>
      </w:pPr>
      <w:r w:rsidRPr="00BF1FAB">
        <w:lastRenderedPageBreak/>
        <w:t xml:space="preserve">Кроме того, следует отметить, что расчет объема субвенции Министерством культуры РФ на 2019 год произведен на 1157 ОКН (36 ед. памятников истории и культуры +1121 ед. объектов археологического наследия).  </w:t>
      </w:r>
    </w:p>
    <w:p w:rsidR="00F6667B" w:rsidRPr="00BF1FAB" w:rsidRDefault="00F6667B" w:rsidP="00F6667B">
      <w:pPr>
        <w:ind w:firstLine="539"/>
        <w:jc w:val="both"/>
      </w:pPr>
      <w:r w:rsidRPr="00BF1FAB">
        <w:t xml:space="preserve">При этом по данным формы статистического наблюдения за ОКН №1-ОПИК "Сведения об объектах культурного наследия" за 2018 год на территории Волгоградской области расположено 1288 ОКН федерального значения, из них 23 ОКН федерального значения, полномочия по государственной охране которых осуществляются Министерством культуры РФ. </w:t>
      </w:r>
    </w:p>
    <w:p w:rsidR="00F6667B" w:rsidRPr="00BF1FAB" w:rsidRDefault="00F6667B" w:rsidP="00F6667B">
      <w:pPr>
        <w:ind w:firstLine="539"/>
        <w:jc w:val="both"/>
      </w:pPr>
      <w:r w:rsidRPr="00BF1FAB">
        <w:t>В соответствии со ст. 64 Закона № 73-ФЗ к ОКН федерального значения, принятым на государственную охрану в соответствии с законодательством РФ, относятся ОКН</w:t>
      </w:r>
      <w:r w:rsidR="009946CB" w:rsidRPr="00BF1FAB">
        <w:t>,</w:t>
      </w:r>
      <w:r w:rsidRPr="00BF1FAB">
        <w:t xml:space="preserve"> включенные в Единый государственный реестр объектов культурного наследия (памятников истории и культуры) народов РФ (далее – Единый реестр) и одновременно зарегистрированные в Едином реестре на основании п. 5 Положения о едином государственном реестре объектов культурного наследия (памятников истории и культуры) народов РФ, утвержденного приказом Министерства культуры РФ от 03.10.2011 № 954. Регистрация Министерством культуры РФ в Едином реестре осуществляется посредством присвоения ОКН регистрационных номеров. </w:t>
      </w:r>
    </w:p>
    <w:p w:rsidR="00F6667B" w:rsidRPr="00BF1FAB" w:rsidRDefault="00F6667B" w:rsidP="00F6667B">
      <w:pPr>
        <w:ind w:firstLine="539"/>
        <w:jc w:val="both"/>
      </w:pPr>
      <w:r w:rsidRPr="00BF1FAB">
        <w:t xml:space="preserve">По пояснениям Комитета  в Единый реестр внесены сведения о 1288 ОКН, однако из них по состоянию на 01.07.2018 года только 1157 ОКН присвоены регистрационные номера, 86 ОКН находятся на рассмотрении в Министерстве культуры РФ, 22 ОКН находятся на стадии уточнения сформированного пакета документов для регистрации. </w:t>
      </w:r>
    </w:p>
    <w:p w:rsidR="00F6667B" w:rsidRPr="00BF1FAB" w:rsidRDefault="00F6667B" w:rsidP="00F6667B">
      <w:pPr>
        <w:ind w:firstLine="539"/>
        <w:jc w:val="both"/>
      </w:pPr>
      <w:r w:rsidRPr="00BF1FAB">
        <w:t xml:space="preserve">Таким образом, на момент проверки имеется несоответствие общего количества ОКН федерального значения по данным федерального статистического наблюдения и данным Единого реестра о количестве зарегистрированных ОКН  и, как следствие, в расчете субвенции на 2019 год Министерством культуры не были учтены 108 ОКН (1288-23-1157).  </w:t>
      </w:r>
    </w:p>
    <w:p w:rsidR="00F6667B" w:rsidRPr="00BF1FAB" w:rsidRDefault="00F6667B" w:rsidP="00F6667B">
      <w:pPr>
        <w:ind w:firstLine="539"/>
        <w:jc w:val="both"/>
        <w:rPr>
          <w:rFonts w:eastAsiaTheme="minorHAnsi"/>
          <w:lang w:eastAsia="en-US"/>
        </w:rPr>
      </w:pPr>
      <w:r w:rsidRPr="00BF1FAB">
        <w:rPr>
          <w:rFonts w:eastAsiaTheme="minorHAnsi"/>
          <w:lang w:eastAsia="en-US"/>
        </w:rPr>
        <w:t xml:space="preserve">При этом в соответствии с Законом №73-ФЗ Комитетом по данным 108 ОКН (2 ед. памятники истории, искусства и 106 ед. </w:t>
      </w:r>
      <w:r w:rsidRPr="00BF1FAB">
        <w:t xml:space="preserve">объектов археологического наследия) </w:t>
      </w:r>
      <w:r w:rsidRPr="00BF1FAB">
        <w:rPr>
          <w:rFonts w:eastAsiaTheme="minorHAnsi"/>
          <w:lang w:eastAsia="en-US"/>
        </w:rPr>
        <w:t xml:space="preserve">также должны осуществляться переданные полномочия РФ по государственной охране. </w:t>
      </w:r>
    </w:p>
    <w:p w:rsidR="00F6667B" w:rsidRPr="00BF1FAB" w:rsidRDefault="00F6667B" w:rsidP="00F6667B">
      <w:pPr>
        <w:ind w:firstLine="539"/>
        <w:jc w:val="both"/>
        <w:rPr>
          <w:rFonts w:eastAsiaTheme="minorHAnsi"/>
        </w:rPr>
      </w:pPr>
      <w:r w:rsidRPr="00BF1FAB">
        <w:rPr>
          <w:rFonts w:eastAsiaTheme="minorHAnsi"/>
        </w:rPr>
        <w:t xml:space="preserve">В соответствии с Постановлением №1183 расчетная штатная численность на исполнение переданных полномочий РФ по их государственной охране на 108 ОКН составляет 1 ед., соответственно объем недополученной субвенции составляет 667,4 тыс. руб., </w:t>
      </w:r>
      <w:r w:rsidRPr="00BF1FAB">
        <w:t xml:space="preserve"> что</w:t>
      </w:r>
      <w:r w:rsidRPr="00BF1FAB">
        <w:rPr>
          <w:rFonts w:eastAsiaTheme="minorHAnsi"/>
        </w:rPr>
        <w:t xml:space="preserve"> влечет риски ненадлежащего исполнения переданных полномочий по этим ОКН.</w:t>
      </w:r>
    </w:p>
    <w:p w:rsidR="00F6667B" w:rsidRPr="00BF1FAB" w:rsidRDefault="00F6667B" w:rsidP="00F6667B">
      <w:pPr>
        <w:autoSpaceDE w:val="0"/>
        <w:autoSpaceDN w:val="0"/>
        <w:adjustRightInd w:val="0"/>
        <w:jc w:val="both"/>
        <w:rPr>
          <w:rFonts w:eastAsiaTheme="minorHAnsi"/>
          <w:lang w:eastAsia="en-US"/>
        </w:rPr>
      </w:pPr>
      <w:r w:rsidRPr="00BF1FAB">
        <w:rPr>
          <w:rFonts w:eastAsiaTheme="minorHAnsi"/>
          <w:lang w:eastAsia="en-US"/>
        </w:rPr>
        <w:tab/>
        <w:t>Доля ОКН</w:t>
      </w:r>
      <w:r w:rsidR="009946CB" w:rsidRPr="00BF1FAB">
        <w:rPr>
          <w:rFonts w:eastAsiaTheme="minorHAnsi"/>
          <w:lang w:eastAsia="en-US"/>
        </w:rPr>
        <w:t>,</w:t>
      </w:r>
      <w:r w:rsidRPr="00BF1FAB">
        <w:rPr>
          <w:rFonts w:eastAsiaTheme="minorHAnsi"/>
          <w:lang w:eastAsia="en-US"/>
        </w:rPr>
        <w:t xml:space="preserve"> в отношении которых были осуществлены Комитетом плановые мероприятия по контролю </w:t>
      </w:r>
      <w:r w:rsidR="009946CB" w:rsidRPr="00BF1FAB">
        <w:rPr>
          <w:rFonts w:eastAsiaTheme="minorHAnsi"/>
          <w:lang w:eastAsia="en-US"/>
        </w:rPr>
        <w:t xml:space="preserve">за </w:t>
      </w:r>
      <w:r w:rsidRPr="00BF1FAB">
        <w:rPr>
          <w:rFonts w:eastAsiaTheme="minorHAnsi"/>
          <w:lang w:eastAsia="en-US"/>
        </w:rPr>
        <w:t xml:space="preserve">их состояниям, в общем числе объектов культурного наследия федерального значения за 2019 год составило 20,1%, что соответствует целевому значению установленному </w:t>
      </w:r>
      <w:r w:rsidR="009946CB" w:rsidRPr="00BF1FAB">
        <w:rPr>
          <w:rFonts w:eastAsiaTheme="minorHAnsi"/>
          <w:lang w:eastAsia="en-US"/>
        </w:rPr>
        <w:t>п</w:t>
      </w:r>
      <w:r w:rsidRPr="00BF1FAB">
        <w:rPr>
          <w:rFonts w:eastAsiaTheme="minorHAnsi"/>
          <w:lang w:eastAsia="en-US"/>
        </w:rPr>
        <w:t>риказом Министерства культуры РФ от 20.04.2016 № 876 (не менее 20 %).</w:t>
      </w:r>
    </w:p>
    <w:p w:rsidR="009432E9" w:rsidRPr="00BF1FAB" w:rsidRDefault="009432E9" w:rsidP="002460FA">
      <w:pPr>
        <w:spacing w:before="120" w:after="120"/>
        <w:ind w:firstLine="680"/>
        <w:jc w:val="center"/>
        <w:rPr>
          <w:b/>
        </w:rPr>
      </w:pPr>
      <w:r w:rsidRPr="00BF1FAB">
        <w:rPr>
          <w:b/>
        </w:rPr>
        <w:t>Состояние внутреннего финансового аудита</w:t>
      </w:r>
    </w:p>
    <w:p w:rsidR="009432E9" w:rsidRPr="00BF1FAB" w:rsidRDefault="009432E9" w:rsidP="009432E9">
      <w:pPr>
        <w:ind w:firstLine="680"/>
        <w:jc w:val="both"/>
      </w:pPr>
      <w:r w:rsidRPr="00BF1FAB">
        <w:t xml:space="preserve">В структуре Комитета предусмотрен </w:t>
      </w:r>
      <w:r w:rsidR="00BE3AC9" w:rsidRPr="00BF1FAB">
        <w:t xml:space="preserve">сектор финансового </w:t>
      </w:r>
      <w:r w:rsidRPr="00BF1FAB">
        <w:t xml:space="preserve">аудита. В соответствии с </w:t>
      </w:r>
      <w:r w:rsidR="009946CB" w:rsidRPr="00BF1FAB">
        <w:t>П</w:t>
      </w:r>
      <w:r w:rsidRPr="00BF1FAB">
        <w:t>оложением о</w:t>
      </w:r>
      <w:r w:rsidR="00BE3AC9" w:rsidRPr="00BF1FAB">
        <w:t xml:space="preserve"> секторе внутреннего финансового аудита</w:t>
      </w:r>
      <w:r w:rsidRPr="00BF1FAB">
        <w:t xml:space="preserve">, утвержденным председателем Комитета </w:t>
      </w:r>
      <w:r w:rsidR="00BE3AC9" w:rsidRPr="00BF1FAB">
        <w:t>19.12.2017 №195</w:t>
      </w:r>
      <w:r w:rsidRPr="00BF1FAB">
        <w:t xml:space="preserve">, </w:t>
      </w:r>
      <w:r w:rsidR="00BE3AC9" w:rsidRPr="00BF1FAB">
        <w:t>сектор</w:t>
      </w:r>
      <w:r w:rsidRPr="00BF1FAB">
        <w:t xml:space="preserve"> подчиняется непосредственно председателю Комитета.</w:t>
      </w:r>
    </w:p>
    <w:p w:rsidR="00593221" w:rsidRPr="00BF1FAB" w:rsidRDefault="00CF780F" w:rsidP="00D5331E">
      <w:pPr>
        <w:autoSpaceDE w:val="0"/>
        <w:autoSpaceDN w:val="0"/>
        <w:adjustRightInd w:val="0"/>
        <w:ind w:firstLine="709"/>
        <w:jc w:val="both"/>
        <w:rPr>
          <w:b/>
          <w:color w:val="000099"/>
        </w:rPr>
      </w:pPr>
      <w:r w:rsidRPr="00BF1FAB">
        <w:rPr>
          <w:rFonts w:eastAsia="Calibri"/>
        </w:rPr>
        <w:t>В</w:t>
      </w:r>
      <w:r w:rsidR="009432E9" w:rsidRPr="00BF1FAB">
        <w:rPr>
          <w:rFonts w:eastAsia="Calibri"/>
        </w:rPr>
        <w:t xml:space="preserve"> соответствии с планом внутреннего финансового аудита на 2019 год, утвержденным приказом Комитета от </w:t>
      </w:r>
      <w:r w:rsidR="00BE3AC9" w:rsidRPr="00BF1FAB">
        <w:rPr>
          <w:rFonts w:eastAsia="Calibri"/>
        </w:rPr>
        <w:t>04.12</w:t>
      </w:r>
      <w:r w:rsidR="009432E9" w:rsidRPr="00BF1FAB">
        <w:rPr>
          <w:rFonts w:eastAsia="Calibri"/>
        </w:rPr>
        <w:t>.09.201</w:t>
      </w:r>
      <w:r w:rsidR="00BE3AC9" w:rsidRPr="00BF1FAB">
        <w:rPr>
          <w:rFonts w:eastAsia="Calibri"/>
        </w:rPr>
        <w:t>8</w:t>
      </w:r>
      <w:r w:rsidR="009432E9" w:rsidRPr="00BF1FAB">
        <w:rPr>
          <w:rFonts w:eastAsia="Calibri"/>
        </w:rPr>
        <w:t xml:space="preserve"> № </w:t>
      </w:r>
      <w:r w:rsidR="00BE3AC9" w:rsidRPr="00BF1FAB">
        <w:rPr>
          <w:rFonts w:eastAsia="Calibri"/>
        </w:rPr>
        <w:t>253</w:t>
      </w:r>
      <w:r w:rsidR="009432E9" w:rsidRPr="00BF1FAB">
        <w:rPr>
          <w:rFonts w:eastAsia="Calibri"/>
        </w:rPr>
        <w:t xml:space="preserve">, Комитетом </w:t>
      </w:r>
      <w:r w:rsidRPr="00BF1FAB">
        <w:rPr>
          <w:rFonts w:eastAsia="Calibri"/>
        </w:rPr>
        <w:t xml:space="preserve">проведены </w:t>
      </w:r>
      <w:r w:rsidR="00FE7D2A" w:rsidRPr="00BF1FAB">
        <w:rPr>
          <w:rFonts w:eastAsia="Calibri"/>
        </w:rPr>
        <w:t>3</w:t>
      </w:r>
      <w:r w:rsidR="009432E9" w:rsidRPr="00BF1FAB">
        <w:rPr>
          <w:rFonts w:eastAsia="Calibri"/>
        </w:rPr>
        <w:t xml:space="preserve"> аудиторских провер</w:t>
      </w:r>
      <w:r w:rsidR="00FE7D2A" w:rsidRPr="00BF1FAB">
        <w:rPr>
          <w:rFonts w:eastAsia="Calibri"/>
        </w:rPr>
        <w:t>ки</w:t>
      </w:r>
      <w:r w:rsidR="009432E9" w:rsidRPr="00BF1FAB">
        <w:t>.</w:t>
      </w:r>
      <w:r w:rsidR="00FE7D2A" w:rsidRPr="00BF1FAB">
        <w:t xml:space="preserve"> В ходе аудиторских проверок установлено 9 случаев нарушения </w:t>
      </w:r>
      <w:r w:rsidR="0040486C" w:rsidRPr="00BF1FAB">
        <w:t xml:space="preserve">отделами Комитета </w:t>
      </w:r>
      <w:r w:rsidR="00FE7D2A" w:rsidRPr="00BF1FAB">
        <w:t>процедур и требований по осуществлению внутреннего финансового контроля и 1 случай прочих нарушений и недостатков</w:t>
      </w:r>
      <w:r w:rsidR="009946CB" w:rsidRPr="00BF1FAB">
        <w:t>, которые устранены</w:t>
      </w:r>
      <w:r w:rsidR="002B46D6" w:rsidRPr="00BF1FAB">
        <w:t xml:space="preserve"> </w:t>
      </w:r>
      <w:r w:rsidR="002B46D6" w:rsidRPr="00BF1FAB">
        <w:rPr>
          <w:color w:val="000099"/>
        </w:rPr>
        <w:t>(приложение №</w:t>
      </w:r>
      <w:r w:rsidR="00EE4B8A" w:rsidRPr="00BF1FAB">
        <w:rPr>
          <w:color w:val="000099"/>
        </w:rPr>
        <w:t>4</w:t>
      </w:r>
      <w:r w:rsidR="002B46D6" w:rsidRPr="00BF1FAB">
        <w:rPr>
          <w:color w:val="000099"/>
        </w:rPr>
        <w:t>)</w:t>
      </w:r>
      <w:r w:rsidR="00FE7D2A" w:rsidRPr="00BF1FAB">
        <w:rPr>
          <w:color w:val="000099"/>
        </w:rPr>
        <w:t>.</w:t>
      </w:r>
      <w:r w:rsidR="00D5331E" w:rsidRPr="00BF1FAB">
        <w:rPr>
          <w:color w:val="000099"/>
        </w:rPr>
        <w:t xml:space="preserve"> </w:t>
      </w:r>
    </w:p>
    <w:p w:rsidR="00593221" w:rsidRPr="00BF1FAB" w:rsidRDefault="00593221" w:rsidP="008232BD">
      <w:pPr>
        <w:autoSpaceDE w:val="0"/>
        <w:autoSpaceDN w:val="0"/>
        <w:adjustRightInd w:val="0"/>
        <w:spacing w:before="120" w:after="120"/>
        <w:ind w:firstLine="709"/>
        <w:jc w:val="center"/>
        <w:rPr>
          <w:b/>
        </w:rPr>
      </w:pPr>
      <w:r w:rsidRPr="00BF1FAB">
        <w:rPr>
          <w:b/>
        </w:rPr>
        <w:t>Выводы</w:t>
      </w:r>
    </w:p>
    <w:p w:rsidR="00B06123" w:rsidRPr="00BF1FAB" w:rsidRDefault="00B06123" w:rsidP="00B16394">
      <w:pPr>
        <w:ind w:firstLine="709"/>
        <w:jc w:val="both"/>
        <w:rPr>
          <w:rFonts w:eastAsiaTheme="minorHAnsi"/>
          <w:lang w:eastAsia="en-US"/>
        </w:rPr>
      </w:pPr>
      <w:r w:rsidRPr="00BF1FAB">
        <w:rPr>
          <w:b/>
        </w:rPr>
        <w:t xml:space="preserve">1. </w:t>
      </w:r>
      <w:r w:rsidRPr="00BF1FAB">
        <w:t>Проверкой достоверности бухгалтерской отчетности ГБУ ВО НПЦ установлены нарушения</w:t>
      </w:r>
      <w:r w:rsidRPr="00BF1FAB">
        <w:rPr>
          <w:rFonts w:eastAsiaTheme="minorHAnsi"/>
          <w:lang w:eastAsia="en-US"/>
        </w:rPr>
        <w:t xml:space="preserve"> требований положений Инструкции №33н, которые повлекли формирование и представление бухгалтерской отчетности, содержащей искаженные показатели, выраженные в денежном измерении, что привело к искажению информации о неисполненных обязательствах на 5655,7 тыс. руб., или в </w:t>
      </w:r>
      <w:r w:rsidR="003D1980" w:rsidRPr="00BF1FAB">
        <w:rPr>
          <w:rFonts w:eastAsiaTheme="minorHAnsi"/>
          <w:lang w:eastAsia="en-US"/>
        </w:rPr>
        <w:t>3</w:t>
      </w:r>
      <w:r w:rsidRPr="00BF1FAB">
        <w:rPr>
          <w:rFonts w:eastAsiaTheme="minorHAnsi"/>
          <w:lang w:eastAsia="en-US"/>
        </w:rPr>
        <w:t xml:space="preserve"> раза</w:t>
      </w:r>
      <w:r w:rsidR="0040486C" w:rsidRPr="00BF1FAB">
        <w:rPr>
          <w:rFonts w:eastAsiaTheme="minorHAnsi"/>
          <w:lang w:eastAsia="en-US"/>
        </w:rPr>
        <w:t>, у</w:t>
      </w:r>
      <w:r w:rsidRPr="00BF1FAB">
        <w:rPr>
          <w:rFonts w:eastAsiaTheme="minorHAnsi"/>
          <w:lang w:eastAsia="en-US"/>
        </w:rPr>
        <w:t xml:space="preserve">становлены нарушения в части оформления 2 форм, а также представления в составе бюджетной отчетности 12 форм, не имеющих числовых значений показателей, и </w:t>
      </w:r>
      <w:proofErr w:type="spellStart"/>
      <w:r w:rsidRPr="00BF1FAB">
        <w:rPr>
          <w:rFonts w:eastAsiaTheme="minorHAnsi"/>
          <w:lang w:eastAsia="en-US"/>
        </w:rPr>
        <w:t>непредоставления</w:t>
      </w:r>
      <w:proofErr w:type="spellEnd"/>
      <w:r w:rsidRPr="00BF1FAB">
        <w:rPr>
          <w:rFonts w:eastAsiaTheme="minorHAnsi"/>
          <w:lang w:eastAsia="en-US"/>
        </w:rPr>
        <w:t xml:space="preserve"> 1 формы. В ходе проверки нарушения устранены.</w:t>
      </w:r>
    </w:p>
    <w:p w:rsidR="00B16394" w:rsidRPr="00BF1FAB" w:rsidRDefault="0040486C" w:rsidP="006A7927">
      <w:pPr>
        <w:pStyle w:val="a5"/>
        <w:tabs>
          <w:tab w:val="left" w:pos="993"/>
        </w:tabs>
        <w:autoSpaceDE w:val="0"/>
        <w:autoSpaceDN w:val="0"/>
        <w:adjustRightInd w:val="0"/>
        <w:spacing w:after="0"/>
        <w:ind w:left="0" w:firstLine="709"/>
        <w:outlineLvl w:val="2"/>
      </w:pPr>
      <w:r w:rsidRPr="00BF1FAB">
        <w:rPr>
          <w:rFonts w:eastAsiaTheme="minorHAnsi"/>
          <w:b/>
          <w:lang w:eastAsia="en-US"/>
        </w:rPr>
        <w:lastRenderedPageBreak/>
        <w:t xml:space="preserve">2. </w:t>
      </w:r>
      <w:r w:rsidR="00B16394" w:rsidRPr="00BF1FAB">
        <w:rPr>
          <w:rFonts w:eastAsiaTheme="minorHAnsi"/>
          <w:lang w:eastAsia="en-US"/>
        </w:rPr>
        <w:t>Д</w:t>
      </w:r>
      <w:r w:rsidR="00B16394" w:rsidRPr="00BF1FAB">
        <w:t>ебиторская задолженность Комитета по доходам  на 31.12.2019 в 3 раза превышает кассовое исполнение по доходам в отчетном году, что в соответствии со Стандартом финансового контроля</w:t>
      </w:r>
      <w:r w:rsidR="003D1980" w:rsidRPr="00BF1FAB">
        <w:t xml:space="preserve"> КСП </w:t>
      </w:r>
      <w:r w:rsidR="00B16394" w:rsidRPr="00BF1FAB">
        <w:t>свидетельствует о неудовлетворительной работе Комитета по администрированию доходов.</w:t>
      </w:r>
    </w:p>
    <w:p w:rsidR="00B16394" w:rsidRPr="00BF1FAB" w:rsidRDefault="007B6EA8" w:rsidP="00B16394">
      <w:pPr>
        <w:ind w:firstLine="720"/>
        <w:jc w:val="both"/>
      </w:pPr>
      <w:r w:rsidRPr="00BF1FAB">
        <w:rPr>
          <w:b/>
        </w:rPr>
        <w:t>3</w:t>
      </w:r>
      <w:r w:rsidR="00B16394" w:rsidRPr="00BF1FAB">
        <w:rPr>
          <w:b/>
        </w:rPr>
        <w:t>.</w:t>
      </w:r>
      <w:r w:rsidR="00B16394" w:rsidRPr="00BF1FAB">
        <w:t xml:space="preserve"> По состоянию на 31.12.2019 года числится кредиторская задолженность по субсидии на выполнение государственного задания перед подведомственным учреждением в сумме 31,1 тыс.руб. при отсутствии заявок от ГБУ ВО НПЦ на ее перечисление в связи с отсутствием у него принятых денежных обязательств.</w:t>
      </w:r>
    </w:p>
    <w:p w:rsidR="008232BD" w:rsidRPr="00BF1FAB" w:rsidRDefault="007B6EA8" w:rsidP="00B16394">
      <w:pPr>
        <w:ind w:firstLine="708"/>
        <w:jc w:val="both"/>
        <w:rPr>
          <w:rFonts w:eastAsiaTheme="minorHAnsi"/>
          <w:lang w:eastAsia="en-US"/>
        </w:rPr>
      </w:pPr>
      <w:r w:rsidRPr="00BF1FAB">
        <w:rPr>
          <w:b/>
        </w:rPr>
        <w:t>4</w:t>
      </w:r>
      <w:r w:rsidR="00B16394" w:rsidRPr="00BF1FAB">
        <w:rPr>
          <w:b/>
        </w:rPr>
        <w:t>.</w:t>
      </w:r>
      <w:r w:rsidR="008232BD" w:rsidRPr="00BF1FAB">
        <w:rPr>
          <w:b/>
        </w:rPr>
        <w:t xml:space="preserve"> </w:t>
      </w:r>
      <w:r w:rsidR="00043401" w:rsidRPr="00BF1FAB">
        <w:t xml:space="preserve">При </w:t>
      </w:r>
      <w:r w:rsidR="00B16394" w:rsidRPr="00BF1FAB">
        <w:t>сокращении</w:t>
      </w:r>
      <w:r w:rsidR="00043401" w:rsidRPr="00BF1FAB">
        <w:t xml:space="preserve"> расходов на реализацию мероприятий в отношении ОКН </w:t>
      </w:r>
      <w:r w:rsidR="00726E31" w:rsidRPr="00BF1FAB">
        <w:t xml:space="preserve">в рамках </w:t>
      </w:r>
      <w:r w:rsidR="00043401" w:rsidRPr="00BF1FAB">
        <w:t xml:space="preserve">Госпрограммы </w:t>
      </w:r>
      <w:r w:rsidR="00726E31" w:rsidRPr="00BF1FAB">
        <w:t>в сумме</w:t>
      </w:r>
      <w:r w:rsidR="00043401" w:rsidRPr="00BF1FAB">
        <w:t xml:space="preserve"> 75061,0 тыс.</w:t>
      </w:r>
      <w:r w:rsidR="00726E31" w:rsidRPr="00BF1FAB">
        <w:t xml:space="preserve"> </w:t>
      </w:r>
      <w:r w:rsidR="003D1980" w:rsidRPr="00BF1FAB">
        <w:t>руб.</w:t>
      </w:r>
      <w:r w:rsidR="00043401" w:rsidRPr="00BF1FAB">
        <w:t xml:space="preserve"> непосредственные показатели реализации мероприятия выполнены в полном объеме, что свидетельствует об отсутствии взаимосвязи непосредственных результатов и объемов </w:t>
      </w:r>
      <w:r w:rsidR="00726E31" w:rsidRPr="00BF1FAB">
        <w:t xml:space="preserve">их </w:t>
      </w:r>
      <w:r w:rsidR="00043401" w:rsidRPr="00BF1FAB">
        <w:t xml:space="preserve">финансирования и противоречит п.1.3 </w:t>
      </w:r>
      <w:r w:rsidR="00043401" w:rsidRPr="00BF1FAB">
        <w:rPr>
          <w:rFonts w:eastAsiaTheme="minorHAnsi"/>
          <w:lang w:eastAsia="en-US"/>
        </w:rPr>
        <w:t>Порядка №423-п.</w:t>
      </w:r>
    </w:p>
    <w:p w:rsidR="00692DC2" w:rsidRPr="00BF1FAB" w:rsidRDefault="00726E31" w:rsidP="00726E31">
      <w:pPr>
        <w:ind w:firstLine="539"/>
        <w:jc w:val="both"/>
      </w:pPr>
      <w:r w:rsidRPr="00BF1FAB">
        <w:t>Ц</w:t>
      </w:r>
      <w:r w:rsidR="00043401" w:rsidRPr="00BF1FAB">
        <w:t>елевы</w:t>
      </w:r>
      <w:r w:rsidRPr="00BF1FAB">
        <w:t>е</w:t>
      </w:r>
      <w:r w:rsidR="00043401" w:rsidRPr="00BF1FAB">
        <w:t xml:space="preserve"> </w:t>
      </w:r>
      <w:r w:rsidRPr="00BF1FAB">
        <w:t xml:space="preserve">значения </w:t>
      </w:r>
      <w:r w:rsidR="00043401" w:rsidRPr="00BF1FAB">
        <w:t>показател</w:t>
      </w:r>
      <w:r w:rsidRPr="00BF1FAB">
        <w:t>ей</w:t>
      </w:r>
      <w:r w:rsidR="00043401" w:rsidRPr="00BF1FAB">
        <w:t xml:space="preserve"> Госпрограммы </w:t>
      </w:r>
      <w:r w:rsidR="00692DC2" w:rsidRPr="00BF1FAB">
        <w:t xml:space="preserve">сформированы с учетом </w:t>
      </w:r>
      <w:r w:rsidR="003D1980" w:rsidRPr="00BF1FAB">
        <w:t xml:space="preserve">работы, проводимой </w:t>
      </w:r>
      <w:r w:rsidR="007B6EA8" w:rsidRPr="00BF1FAB">
        <w:t xml:space="preserve">только </w:t>
      </w:r>
      <w:r w:rsidR="003D1980" w:rsidRPr="00BF1FAB">
        <w:t xml:space="preserve">Комитетом по </w:t>
      </w:r>
      <w:r w:rsidR="00692DC2" w:rsidRPr="00BF1FAB">
        <w:t>утвержден</w:t>
      </w:r>
      <w:r w:rsidR="003D1980" w:rsidRPr="00BF1FAB">
        <w:t>ию ОКН</w:t>
      </w:r>
      <w:r w:rsidR="00692DC2" w:rsidRPr="00BF1FAB">
        <w:t xml:space="preserve"> предмет</w:t>
      </w:r>
      <w:r w:rsidR="003D1980" w:rsidRPr="00BF1FAB">
        <w:t>а</w:t>
      </w:r>
      <w:r w:rsidR="00692DC2" w:rsidRPr="00BF1FAB">
        <w:t xml:space="preserve"> охраны, охранны</w:t>
      </w:r>
      <w:r w:rsidR="003D1980" w:rsidRPr="00BF1FAB">
        <w:t>х</w:t>
      </w:r>
      <w:r w:rsidR="00692DC2" w:rsidRPr="00BF1FAB">
        <w:t xml:space="preserve"> обязательств</w:t>
      </w:r>
      <w:r w:rsidR="003D1980" w:rsidRPr="00BF1FAB">
        <w:t xml:space="preserve"> и </w:t>
      </w:r>
      <w:r w:rsidR="00692DC2" w:rsidRPr="00BF1FAB">
        <w:t xml:space="preserve"> установлен</w:t>
      </w:r>
      <w:r w:rsidR="003D1980" w:rsidRPr="00BF1FAB">
        <w:t>ию</w:t>
      </w:r>
      <w:r w:rsidR="00692DC2" w:rsidRPr="00BF1FAB">
        <w:t xml:space="preserve"> границы территории</w:t>
      </w:r>
      <w:r w:rsidR="003D1980" w:rsidRPr="00BF1FAB">
        <w:t xml:space="preserve">, и не учитывают в полном объеме достигнутые непосредственные результаты </w:t>
      </w:r>
      <w:r w:rsidR="00692DC2" w:rsidRPr="00BF1FAB">
        <w:t xml:space="preserve">ГБУ </w:t>
      </w:r>
      <w:r w:rsidR="00A56088" w:rsidRPr="00BF1FAB">
        <w:t>ВО НПЦ</w:t>
      </w:r>
      <w:r w:rsidRPr="00BF1FAB">
        <w:t xml:space="preserve"> </w:t>
      </w:r>
      <w:r w:rsidR="003D1980" w:rsidRPr="00BF1FAB">
        <w:t xml:space="preserve">при реализации мероприятия Госпрограммы </w:t>
      </w:r>
      <w:r w:rsidRPr="00BF1FAB">
        <w:t>(</w:t>
      </w:r>
      <w:r w:rsidR="003D1980" w:rsidRPr="00BF1FAB">
        <w:t xml:space="preserve">разработка </w:t>
      </w:r>
      <w:r w:rsidR="00A56088" w:rsidRPr="00BF1FAB">
        <w:t>проект</w:t>
      </w:r>
      <w:r w:rsidR="003D1980" w:rsidRPr="00BF1FAB">
        <w:t>ов</w:t>
      </w:r>
      <w:r w:rsidR="00A56088" w:rsidRPr="00BF1FAB">
        <w:t xml:space="preserve"> предметов охраны,</w:t>
      </w:r>
      <w:r w:rsidR="00A817F5" w:rsidRPr="00BF1FAB">
        <w:t xml:space="preserve"> проект</w:t>
      </w:r>
      <w:r w:rsidR="003D1980" w:rsidRPr="00BF1FAB">
        <w:t>ов</w:t>
      </w:r>
      <w:r w:rsidR="00A56088" w:rsidRPr="00BF1FAB">
        <w:t xml:space="preserve"> охранны</w:t>
      </w:r>
      <w:r w:rsidR="00A817F5" w:rsidRPr="00BF1FAB">
        <w:t>х</w:t>
      </w:r>
      <w:r w:rsidR="00A56088" w:rsidRPr="00BF1FAB">
        <w:t xml:space="preserve"> обязательств</w:t>
      </w:r>
      <w:r w:rsidRPr="00BF1FAB">
        <w:t>,</w:t>
      </w:r>
      <w:r w:rsidR="00A56088" w:rsidRPr="00BF1FAB">
        <w:t xml:space="preserve"> проект</w:t>
      </w:r>
      <w:r w:rsidR="003D1980" w:rsidRPr="00BF1FAB">
        <w:t>ов</w:t>
      </w:r>
      <w:r w:rsidR="00A56088" w:rsidRPr="00BF1FAB">
        <w:t xml:space="preserve"> границ территории</w:t>
      </w:r>
      <w:r w:rsidRPr="00BF1FAB">
        <w:t>)</w:t>
      </w:r>
      <w:r w:rsidR="00A56088" w:rsidRPr="00BF1FAB">
        <w:t>, что не соответствует п.1.</w:t>
      </w:r>
      <w:r w:rsidR="007B6EA8" w:rsidRPr="00BF1FAB">
        <w:t>3</w:t>
      </w:r>
      <w:r w:rsidR="00A56088" w:rsidRPr="00BF1FAB">
        <w:t xml:space="preserve"> Порядка №423-п</w:t>
      </w:r>
      <w:r w:rsidR="00692DC2" w:rsidRPr="00BF1FAB">
        <w:t>.</w:t>
      </w:r>
    </w:p>
    <w:p w:rsidR="00043401" w:rsidRPr="00BF1FAB" w:rsidRDefault="00726E31" w:rsidP="00043401">
      <w:pPr>
        <w:ind w:firstLine="680"/>
        <w:jc w:val="both"/>
      </w:pPr>
      <w:r w:rsidRPr="00BF1FAB">
        <w:t>По итогам 2019 года ц</w:t>
      </w:r>
      <w:r w:rsidR="00A56088" w:rsidRPr="00BF1FAB">
        <w:t xml:space="preserve">елевые показатели </w:t>
      </w:r>
      <w:r w:rsidR="00043401" w:rsidRPr="00BF1FAB">
        <w:t>не достигнуты, что обусловлено</w:t>
      </w:r>
      <w:r w:rsidR="00B16394" w:rsidRPr="00BF1FAB">
        <w:t xml:space="preserve"> недостатком численности Комитета (14 ед.)</w:t>
      </w:r>
      <w:r w:rsidR="00043401" w:rsidRPr="00BF1FAB">
        <w:t xml:space="preserve"> для выполнения мероприятий по государственной охране ОКН. </w:t>
      </w:r>
    </w:p>
    <w:p w:rsidR="00043401" w:rsidRPr="00BF1FAB" w:rsidRDefault="007B6EA8" w:rsidP="00B16394">
      <w:pPr>
        <w:widowControl w:val="0"/>
        <w:autoSpaceDE w:val="0"/>
        <w:autoSpaceDN w:val="0"/>
        <w:adjustRightInd w:val="0"/>
        <w:ind w:firstLine="540"/>
        <w:jc w:val="both"/>
        <w:rPr>
          <w:rFonts w:eastAsia="Calibri"/>
        </w:rPr>
      </w:pPr>
      <w:r w:rsidRPr="00BF1FAB">
        <w:rPr>
          <w:b/>
        </w:rPr>
        <w:t>5</w:t>
      </w:r>
      <w:r w:rsidR="00692DC2" w:rsidRPr="00BF1FAB">
        <w:rPr>
          <w:b/>
        </w:rPr>
        <w:t xml:space="preserve">. </w:t>
      </w:r>
      <w:r w:rsidR="000D7236" w:rsidRPr="00BF1FAB">
        <w:rPr>
          <w:rFonts w:eastAsia="Calibri"/>
        </w:rPr>
        <w:t>Госпрограммой не запланировано достижение по состоянию на 01.01.2021 года до уровня 100% ц</w:t>
      </w:r>
      <w:r w:rsidR="00A56088" w:rsidRPr="00BF1FAB">
        <w:rPr>
          <w:rFonts w:eastAsia="Calibri"/>
        </w:rPr>
        <w:t>елевы</w:t>
      </w:r>
      <w:r w:rsidR="000D7236" w:rsidRPr="00BF1FAB">
        <w:rPr>
          <w:rFonts w:eastAsia="Calibri"/>
        </w:rPr>
        <w:t>х</w:t>
      </w:r>
      <w:r w:rsidR="00A56088" w:rsidRPr="00BF1FAB">
        <w:rPr>
          <w:rFonts w:eastAsia="Calibri"/>
        </w:rPr>
        <w:t xml:space="preserve"> показател</w:t>
      </w:r>
      <w:r w:rsidR="000D7236" w:rsidRPr="00BF1FAB">
        <w:rPr>
          <w:rFonts w:eastAsia="Calibri"/>
        </w:rPr>
        <w:t xml:space="preserve">ей, которые </w:t>
      </w:r>
      <w:r w:rsidR="00A56088" w:rsidRPr="00BF1FAB">
        <w:rPr>
          <w:rFonts w:eastAsia="Calibri"/>
        </w:rPr>
        <w:t xml:space="preserve">влияют на </w:t>
      </w:r>
      <w:r w:rsidR="000D7236" w:rsidRPr="00BF1FAB">
        <w:rPr>
          <w:rFonts w:eastAsia="Calibri"/>
        </w:rPr>
        <w:t>выполнение</w:t>
      </w:r>
      <w:r w:rsidR="00A56088" w:rsidRPr="00BF1FAB">
        <w:rPr>
          <w:rFonts w:eastAsia="Calibri"/>
        </w:rPr>
        <w:t xml:space="preserve"> целевого показателя, установленного субъектам РФ Распоряжением №20</w:t>
      </w:r>
      <w:r w:rsidR="000D7236" w:rsidRPr="00BF1FAB">
        <w:rPr>
          <w:rFonts w:eastAsia="Calibri"/>
        </w:rPr>
        <w:t xml:space="preserve">, что ставит под сомнение успешное внедрение в Волгоградской области </w:t>
      </w:r>
      <w:r w:rsidR="00A56088" w:rsidRPr="00BF1FAB">
        <w:rPr>
          <w:rFonts w:eastAsia="Calibri"/>
        </w:rPr>
        <w:t>целевой модели «Постановка на кадастровый учет земельных участков и объектов недвижимого имущества»</w:t>
      </w:r>
      <w:r w:rsidR="000D7236" w:rsidRPr="00BF1FAB">
        <w:rPr>
          <w:rFonts w:eastAsia="Calibri"/>
        </w:rPr>
        <w:t xml:space="preserve">. </w:t>
      </w:r>
    </w:p>
    <w:p w:rsidR="00046385" w:rsidRPr="00BF1FAB" w:rsidRDefault="007B6EA8" w:rsidP="00046385">
      <w:pPr>
        <w:autoSpaceDE w:val="0"/>
        <w:autoSpaceDN w:val="0"/>
        <w:adjustRightInd w:val="0"/>
        <w:ind w:firstLine="540"/>
        <w:jc w:val="both"/>
        <w:rPr>
          <w:rFonts w:eastAsiaTheme="minorHAnsi"/>
          <w:lang w:eastAsia="en-US"/>
        </w:rPr>
      </w:pPr>
      <w:r w:rsidRPr="00BF1FAB">
        <w:rPr>
          <w:b/>
        </w:rPr>
        <w:t>6</w:t>
      </w:r>
      <w:r w:rsidR="00377D0B" w:rsidRPr="00BF1FAB">
        <w:rPr>
          <w:b/>
        </w:rPr>
        <w:t>.</w:t>
      </w:r>
      <w:r w:rsidR="00046385" w:rsidRPr="00BF1FAB">
        <w:rPr>
          <w:b/>
        </w:rPr>
        <w:t xml:space="preserve"> </w:t>
      </w:r>
      <w:r w:rsidR="003D1980" w:rsidRPr="00BF1FAB">
        <w:t>Ц</w:t>
      </w:r>
      <w:r w:rsidR="00046385" w:rsidRPr="00BF1FAB">
        <w:t xml:space="preserve">елевые показатели ВЦП в 2019 году не достигнуты, </w:t>
      </w:r>
      <w:r w:rsidR="003D1980" w:rsidRPr="00BF1FAB">
        <w:t xml:space="preserve">позднее получение субсидии </w:t>
      </w:r>
      <w:r w:rsidR="00046385" w:rsidRPr="00BF1FAB">
        <w:t xml:space="preserve">может привести к применению к Волгоградской области штрафных санкций по возврату в федеральный бюджет средств субсидии в сумме </w:t>
      </w:r>
      <w:r w:rsidR="00046385" w:rsidRPr="00BF1FAB">
        <w:rPr>
          <w:rFonts w:eastAsiaTheme="minorHAnsi"/>
          <w:lang w:eastAsia="en-US"/>
        </w:rPr>
        <w:t>467,0 тыс. рублей.</w:t>
      </w:r>
    </w:p>
    <w:p w:rsidR="007B6EA8" w:rsidRPr="00BF1FAB" w:rsidRDefault="007B6EA8" w:rsidP="007B6EA8">
      <w:pPr>
        <w:autoSpaceDE w:val="0"/>
        <w:autoSpaceDN w:val="0"/>
        <w:adjustRightInd w:val="0"/>
        <w:ind w:firstLine="539"/>
        <w:jc w:val="both"/>
        <w:rPr>
          <w:rFonts w:eastAsiaTheme="minorHAnsi"/>
        </w:rPr>
      </w:pPr>
      <w:r w:rsidRPr="00BF1FAB">
        <w:rPr>
          <w:rFonts w:eastAsiaTheme="minorHAnsi"/>
          <w:b/>
        </w:rPr>
        <w:t xml:space="preserve">7. </w:t>
      </w:r>
      <w:r w:rsidRPr="00BF1FAB">
        <w:rPr>
          <w:rFonts w:eastAsiaTheme="minorHAnsi"/>
        </w:rPr>
        <w:t>Несоответствие между исходными данными, применяемыми Министерством культуры РФ, при расчете объема субвенции на переданные полномочия по ОКН, и фактическими данными, сложившимися в регионе, привело к образованию неиспользуемых остатков субвенций в сумме 1142,2 тыс. руб., или 16% от общего объема субвенции.</w:t>
      </w:r>
      <w:r w:rsidRPr="00BF1FAB">
        <w:t xml:space="preserve"> </w:t>
      </w:r>
    </w:p>
    <w:p w:rsidR="00377D0B" w:rsidRPr="00BF1FAB" w:rsidRDefault="007B6EA8" w:rsidP="00377D0B">
      <w:pPr>
        <w:ind w:firstLine="539"/>
        <w:jc w:val="both"/>
        <w:rPr>
          <w:rFonts w:eastAsiaTheme="minorHAnsi"/>
        </w:rPr>
      </w:pPr>
      <w:r w:rsidRPr="00BF1FAB">
        <w:rPr>
          <w:b/>
        </w:rPr>
        <w:t>8</w:t>
      </w:r>
      <w:r w:rsidR="00377D0B" w:rsidRPr="00BF1FAB">
        <w:rPr>
          <w:b/>
        </w:rPr>
        <w:t>.</w:t>
      </w:r>
      <w:r w:rsidR="00377D0B" w:rsidRPr="00BF1FAB">
        <w:t xml:space="preserve"> Несоответствие общего количества ОКН федерального значения по данным федерального статистического наблюдения и данным об их регистрации в Едином реестре ОКН,  привело к расчету Министерством культуры РФ субвенции на 2019 год без учета 108 ОКН федерального значения. О</w:t>
      </w:r>
      <w:r w:rsidR="00377D0B" w:rsidRPr="00BF1FAB">
        <w:rPr>
          <w:rFonts w:eastAsiaTheme="minorHAnsi"/>
        </w:rPr>
        <w:t>бъем недополученной субвенции составляет 667,4 тыс. руб</w:t>
      </w:r>
      <w:r w:rsidR="00377D0B" w:rsidRPr="00BF1FAB">
        <w:t>., что влечет риски ненадлежащего исполнения переданных полномочий РФ по 108 ОКН в соответствии с</w:t>
      </w:r>
      <w:r w:rsidR="00377D0B" w:rsidRPr="00BF1FAB">
        <w:rPr>
          <w:rFonts w:eastAsiaTheme="minorHAnsi"/>
        </w:rPr>
        <w:t xml:space="preserve"> п.1 ст.9.1 Закона №73-ФЗ.</w:t>
      </w:r>
    </w:p>
    <w:p w:rsidR="00593221" w:rsidRPr="00BF1FAB" w:rsidRDefault="00593221" w:rsidP="00046385">
      <w:pPr>
        <w:autoSpaceDE w:val="0"/>
        <w:autoSpaceDN w:val="0"/>
        <w:adjustRightInd w:val="0"/>
        <w:spacing w:before="120" w:after="120"/>
        <w:ind w:firstLine="709"/>
        <w:jc w:val="center"/>
        <w:rPr>
          <w:b/>
        </w:rPr>
      </w:pPr>
      <w:r w:rsidRPr="00BF1FAB">
        <w:rPr>
          <w:b/>
        </w:rPr>
        <w:t>Предложения</w:t>
      </w:r>
      <w:r w:rsidR="003D1980" w:rsidRPr="00BF1FAB">
        <w:rPr>
          <w:b/>
        </w:rPr>
        <w:t xml:space="preserve"> Комитету:</w:t>
      </w:r>
    </w:p>
    <w:p w:rsidR="0036162B" w:rsidRPr="002719F7" w:rsidRDefault="00046385" w:rsidP="008A62B7">
      <w:pPr>
        <w:tabs>
          <w:tab w:val="left" w:pos="709"/>
        </w:tabs>
        <w:autoSpaceDE w:val="0"/>
        <w:autoSpaceDN w:val="0"/>
        <w:adjustRightInd w:val="0"/>
        <w:ind w:firstLine="709"/>
        <w:jc w:val="both"/>
      </w:pPr>
      <w:r w:rsidRPr="002719F7">
        <w:rPr>
          <w:b/>
        </w:rPr>
        <w:t>1.</w:t>
      </w:r>
      <w:r w:rsidRPr="002719F7">
        <w:t xml:space="preserve"> </w:t>
      </w:r>
      <w:r w:rsidR="0036162B" w:rsidRPr="002719F7">
        <w:t>Провести работу с ответственными должностными лицами для принятия мер:</w:t>
      </w:r>
    </w:p>
    <w:p w:rsidR="0036162B" w:rsidRPr="002719F7" w:rsidRDefault="00D5775D" w:rsidP="008A62B7">
      <w:pPr>
        <w:tabs>
          <w:tab w:val="left" w:pos="709"/>
        </w:tabs>
        <w:autoSpaceDE w:val="0"/>
        <w:autoSpaceDN w:val="0"/>
        <w:adjustRightInd w:val="0"/>
        <w:ind w:firstLine="709"/>
        <w:jc w:val="both"/>
      </w:pPr>
      <w:r w:rsidRPr="002719F7">
        <w:rPr>
          <w:b/>
        </w:rPr>
        <w:t>1.1</w:t>
      </w:r>
      <w:r w:rsidRPr="002719F7">
        <w:t xml:space="preserve"> </w:t>
      </w:r>
      <w:r w:rsidR="0036162B" w:rsidRPr="002719F7">
        <w:t>по  </w:t>
      </w:r>
      <w:r w:rsidR="00BF1FAB" w:rsidRPr="002719F7">
        <w:t xml:space="preserve">обеспечению осуществления бюджетного учета и составления </w:t>
      </w:r>
      <w:r w:rsidR="0036162B" w:rsidRPr="002719F7">
        <w:t xml:space="preserve">бухгалтерской отчетности </w:t>
      </w:r>
      <w:r w:rsidR="00BF1FAB" w:rsidRPr="002719F7">
        <w:t>в соответствии с установленными</w:t>
      </w:r>
      <w:r w:rsidR="0036162B" w:rsidRPr="002719F7">
        <w:t xml:space="preserve"> требовани</w:t>
      </w:r>
      <w:r w:rsidR="00BF1FAB" w:rsidRPr="002719F7">
        <w:t>ями, в том числе по проведению учебы со специалистами</w:t>
      </w:r>
      <w:r w:rsidR="0036162B" w:rsidRPr="002719F7">
        <w:t xml:space="preserve"> </w:t>
      </w:r>
      <w:r w:rsidR="00BF1FAB" w:rsidRPr="002719F7">
        <w:t>подведомственного учреждения, уполномоченными на ее составление</w:t>
      </w:r>
      <w:r w:rsidR="0036162B" w:rsidRPr="002719F7">
        <w:t xml:space="preserve">; </w:t>
      </w:r>
    </w:p>
    <w:p w:rsidR="00D5775D" w:rsidRPr="002719F7" w:rsidRDefault="00D5775D" w:rsidP="0036162B">
      <w:pPr>
        <w:tabs>
          <w:tab w:val="left" w:pos="709"/>
        </w:tabs>
        <w:autoSpaceDE w:val="0"/>
        <w:autoSpaceDN w:val="0"/>
        <w:adjustRightInd w:val="0"/>
        <w:ind w:firstLine="709"/>
        <w:jc w:val="both"/>
      </w:pPr>
      <w:r w:rsidRPr="002719F7">
        <w:rPr>
          <w:b/>
        </w:rPr>
        <w:t>1.2</w:t>
      </w:r>
      <w:r w:rsidRPr="002719F7">
        <w:t xml:space="preserve">  </w:t>
      </w:r>
      <w:r w:rsidR="0036162B" w:rsidRPr="002719F7">
        <w:t>по взыскани</w:t>
      </w:r>
      <w:r w:rsidRPr="002719F7">
        <w:t>ю</w:t>
      </w:r>
      <w:r w:rsidR="0036162B" w:rsidRPr="002719F7">
        <w:t xml:space="preserve"> дебиторской задолженности по административным штрафам на 2522,3 тыс.</w:t>
      </w:r>
      <w:r w:rsidR="007B6EA8" w:rsidRPr="002719F7">
        <w:t xml:space="preserve"> </w:t>
      </w:r>
      <w:r w:rsidR="0036162B" w:rsidRPr="002719F7">
        <w:t>руб</w:t>
      </w:r>
      <w:r w:rsidRPr="002719F7">
        <w:t>.;</w:t>
      </w:r>
    </w:p>
    <w:p w:rsidR="00B16394" w:rsidRPr="00BF1FAB" w:rsidRDefault="00D5775D" w:rsidP="00D5775D">
      <w:pPr>
        <w:tabs>
          <w:tab w:val="left" w:pos="709"/>
        </w:tabs>
        <w:autoSpaceDE w:val="0"/>
        <w:autoSpaceDN w:val="0"/>
        <w:adjustRightInd w:val="0"/>
        <w:ind w:firstLine="709"/>
        <w:jc w:val="both"/>
      </w:pPr>
      <w:r w:rsidRPr="002719F7">
        <w:rPr>
          <w:b/>
        </w:rPr>
        <w:t>1.3</w:t>
      </w:r>
      <w:r w:rsidRPr="002719F7">
        <w:t xml:space="preserve">  </w:t>
      </w:r>
      <w:r w:rsidR="00B16394" w:rsidRPr="002719F7">
        <w:t>по списанию</w:t>
      </w:r>
      <w:r w:rsidR="00B16394" w:rsidRPr="00BF1FAB">
        <w:t xml:space="preserve"> кредиторской задолженности перед </w:t>
      </w:r>
      <w:r w:rsidR="003D1980" w:rsidRPr="00BF1FAB">
        <w:t xml:space="preserve">ГБУ ВО НПЦ </w:t>
      </w:r>
      <w:r w:rsidR="00B16394" w:rsidRPr="00BF1FAB">
        <w:t>в связи с отсутствием у учреждения принятых денежных обязательств.</w:t>
      </w:r>
    </w:p>
    <w:p w:rsidR="000D7236" w:rsidRPr="00BF1FAB" w:rsidRDefault="00D5775D" w:rsidP="00760505">
      <w:pPr>
        <w:autoSpaceDE w:val="0"/>
        <w:autoSpaceDN w:val="0"/>
        <w:adjustRightInd w:val="0"/>
        <w:ind w:firstLine="708"/>
        <w:jc w:val="both"/>
      </w:pPr>
      <w:r w:rsidRPr="00BF1FAB">
        <w:rPr>
          <w:b/>
        </w:rPr>
        <w:t>2</w:t>
      </w:r>
      <w:r w:rsidR="00B16394" w:rsidRPr="00BF1FAB">
        <w:rPr>
          <w:b/>
        </w:rPr>
        <w:t>.</w:t>
      </w:r>
      <w:r w:rsidR="000D7236" w:rsidRPr="00BF1FAB">
        <w:t xml:space="preserve"> При внесении изменений в государственную программу обеспечить взаимосвязь непосредственных показателей реализации мероприятия с объема</w:t>
      </w:r>
      <w:r w:rsidR="003D1980" w:rsidRPr="00BF1FAB">
        <w:t>ми</w:t>
      </w:r>
      <w:r w:rsidR="000D7236" w:rsidRPr="00BF1FAB">
        <w:t xml:space="preserve"> их финансового обеспечения.</w:t>
      </w:r>
    </w:p>
    <w:p w:rsidR="000D7236" w:rsidRPr="00BF1FAB" w:rsidRDefault="00D5775D" w:rsidP="00760505">
      <w:pPr>
        <w:ind w:firstLine="708"/>
        <w:jc w:val="both"/>
      </w:pPr>
      <w:r w:rsidRPr="00BF1FAB">
        <w:rPr>
          <w:b/>
        </w:rPr>
        <w:t>3</w:t>
      </w:r>
      <w:r w:rsidR="000D7236" w:rsidRPr="00BF1FAB">
        <w:rPr>
          <w:b/>
        </w:rPr>
        <w:t>.</w:t>
      </w:r>
      <w:r w:rsidR="000D7236" w:rsidRPr="00BF1FAB">
        <w:t xml:space="preserve"> Совместно с заинтересованными органами исполнительной власти Волгоградской области провести работу</w:t>
      </w:r>
      <w:r w:rsidR="00D429DD" w:rsidRPr="00BF1FAB">
        <w:t>,</w:t>
      </w:r>
      <w:r w:rsidR="009730BC" w:rsidRPr="00BF1FAB">
        <w:t xml:space="preserve"> необходимую для исполнения Распоряжения №20</w:t>
      </w:r>
      <w:r w:rsidR="00D429DD" w:rsidRPr="00BF1FAB">
        <w:t>,</w:t>
      </w:r>
      <w:r w:rsidR="009730BC" w:rsidRPr="00BF1FAB">
        <w:t xml:space="preserve"> </w:t>
      </w:r>
      <w:r w:rsidR="009730BC" w:rsidRPr="00BF1FAB">
        <w:rPr>
          <w:rFonts w:eastAsia="Calibri"/>
        </w:rPr>
        <w:t>по состоянию на 01.01.2021 года.</w:t>
      </w:r>
    </w:p>
    <w:p w:rsidR="000D7236" w:rsidRPr="00BF1FAB" w:rsidRDefault="00D5775D" w:rsidP="00760505">
      <w:pPr>
        <w:autoSpaceDE w:val="0"/>
        <w:autoSpaceDN w:val="0"/>
        <w:adjustRightInd w:val="0"/>
        <w:ind w:firstLine="708"/>
        <w:jc w:val="both"/>
      </w:pPr>
      <w:r w:rsidRPr="00BF1FAB">
        <w:rPr>
          <w:b/>
        </w:rPr>
        <w:lastRenderedPageBreak/>
        <w:t>4</w:t>
      </w:r>
      <w:r w:rsidR="000D7236" w:rsidRPr="00BF1FAB">
        <w:rPr>
          <w:b/>
        </w:rPr>
        <w:t xml:space="preserve">. </w:t>
      </w:r>
      <w:r w:rsidR="000D7236" w:rsidRPr="00BF1FAB">
        <w:t>В целях исключения возврата средств в федеральный бюджет в сумме 467,0 тыс.</w:t>
      </w:r>
      <w:r w:rsidR="007B6EA8" w:rsidRPr="00BF1FAB">
        <w:t xml:space="preserve"> </w:t>
      </w:r>
      <w:r w:rsidR="000D7236" w:rsidRPr="00BF1FAB">
        <w:t xml:space="preserve">руб. обеспечить </w:t>
      </w:r>
      <w:r w:rsidR="00D429DD" w:rsidRPr="00BF1FAB">
        <w:t xml:space="preserve">в 2020 году </w:t>
      </w:r>
      <w:r w:rsidR="000D7236" w:rsidRPr="00BF1FAB">
        <w:t>достижение</w:t>
      </w:r>
      <w:r w:rsidR="00D429DD" w:rsidRPr="00BF1FAB">
        <w:t xml:space="preserve"> целевых показателей, установленных в Соглашении с Министерством обороны РФ</w:t>
      </w:r>
      <w:r w:rsidR="009730BC" w:rsidRPr="00BF1FAB">
        <w:t>.</w:t>
      </w:r>
    </w:p>
    <w:p w:rsidR="007B6EA8" w:rsidRPr="00BF1FAB" w:rsidRDefault="00D5775D" w:rsidP="00760505">
      <w:pPr>
        <w:autoSpaceDE w:val="0"/>
        <w:autoSpaceDN w:val="0"/>
        <w:adjustRightInd w:val="0"/>
        <w:ind w:firstLine="708"/>
      </w:pPr>
      <w:r w:rsidRPr="00BF1FAB">
        <w:rPr>
          <w:b/>
        </w:rPr>
        <w:t>5</w:t>
      </w:r>
      <w:r w:rsidR="00046385" w:rsidRPr="00BF1FAB">
        <w:rPr>
          <w:b/>
        </w:rPr>
        <w:t>.</w:t>
      </w:r>
      <w:r w:rsidR="00046385" w:rsidRPr="00BF1FAB">
        <w:t xml:space="preserve"> </w:t>
      </w:r>
      <w:r w:rsidR="000D7236" w:rsidRPr="00BF1FAB">
        <w:t>В целях надлежащего исполнения полномочий  в соответствии с п.1 ст.9.1 Закона №73-ФЗ</w:t>
      </w:r>
      <w:r w:rsidR="007B6EA8" w:rsidRPr="00BF1FAB">
        <w:t xml:space="preserve"> провести работу:</w:t>
      </w:r>
    </w:p>
    <w:p w:rsidR="007B6EA8" w:rsidRPr="00BF1FAB" w:rsidRDefault="007B6EA8" w:rsidP="007B6EA8">
      <w:pPr>
        <w:autoSpaceDE w:val="0"/>
        <w:autoSpaceDN w:val="0"/>
        <w:adjustRightInd w:val="0"/>
        <w:ind w:firstLine="708"/>
        <w:jc w:val="both"/>
      </w:pPr>
      <w:r w:rsidRPr="00BF1FAB">
        <w:rPr>
          <w:b/>
        </w:rPr>
        <w:t>5.1</w:t>
      </w:r>
      <w:r w:rsidRPr="00BF1FAB">
        <w:t xml:space="preserve"> по использованию средств федерального бюджета в полном объеме, в том числе путем проведения организационно-штатных мероприятий;</w:t>
      </w:r>
    </w:p>
    <w:p w:rsidR="00046385" w:rsidRPr="00BF1FAB" w:rsidRDefault="007B6EA8" w:rsidP="007B6EA8">
      <w:pPr>
        <w:autoSpaceDE w:val="0"/>
        <w:autoSpaceDN w:val="0"/>
        <w:adjustRightInd w:val="0"/>
        <w:ind w:firstLine="708"/>
        <w:jc w:val="both"/>
      </w:pPr>
      <w:r w:rsidRPr="00BF1FAB">
        <w:rPr>
          <w:b/>
        </w:rPr>
        <w:t>5.2</w:t>
      </w:r>
      <w:r w:rsidRPr="00BF1FAB">
        <w:t xml:space="preserve"> по регистрации в Едином реестре 108 ОКН для</w:t>
      </w:r>
      <w:r w:rsidR="000D7236" w:rsidRPr="00BF1FAB">
        <w:t xml:space="preserve">  получения субвенции из федерального бюджета.</w:t>
      </w:r>
    </w:p>
    <w:p w:rsidR="00CF780F" w:rsidRPr="00BF1FAB" w:rsidRDefault="00CF780F" w:rsidP="00CF780F">
      <w:pPr>
        <w:autoSpaceDE w:val="0"/>
        <w:autoSpaceDN w:val="0"/>
        <w:adjustRightInd w:val="0"/>
        <w:ind w:firstLine="680"/>
        <w:jc w:val="both"/>
      </w:pPr>
    </w:p>
    <w:p w:rsidR="007B6EA8" w:rsidRPr="00BF1FAB" w:rsidRDefault="007B6EA8" w:rsidP="00CF780F">
      <w:pPr>
        <w:autoSpaceDE w:val="0"/>
        <w:autoSpaceDN w:val="0"/>
        <w:adjustRightInd w:val="0"/>
        <w:ind w:firstLine="680"/>
        <w:jc w:val="both"/>
      </w:pPr>
    </w:p>
    <w:p w:rsidR="00BD5479" w:rsidRDefault="00593221" w:rsidP="002A42EC">
      <w:pPr>
        <w:jc w:val="both"/>
        <w:rPr>
          <w:rFonts w:eastAsiaTheme="minorHAnsi"/>
          <w:b/>
          <w:lang w:eastAsia="en-US"/>
        </w:rPr>
      </w:pPr>
      <w:r w:rsidRPr="00BF1FAB">
        <w:rPr>
          <w:rFonts w:eastAsiaTheme="minorHAnsi"/>
          <w:lang w:eastAsia="en-US"/>
        </w:rPr>
        <w:tab/>
      </w:r>
      <w:r w:rsidRPr="00BF1FAB">
        <w:rPr>
          <w:rFonts w:eastAsiaTheme="minorHAnsi"/>
          <w:b/>
          <w:lang w:eastAsia="en-US"/>
        </w:rPr>
        <w:t>Аудитор</w:t>
      </w:r>
      <w:r w:rsidRPr="00BF1FAB">
        <w:rPr>
          <w:rFonts w:eastAsiaTheme="minorHAnsi"/>
          <w:b/>
          <w:lang w:eastAsia="en-US"/>
        </w:rPr>
        <w:tab/>
      </w:r>
      <w:r w:rsidRPr="00BF1FAB">
        <w:rPr>
          <w:rFonts w:eastAsiaTheme="minorHAnsi"/>
          <w:b/>
          <w:lang w:eastAsia="en-US"/>
        </w:rPr>
        <w:tab/>
      </w:r>
      <w:r w:rsidRPr="00BF1FAB">
        <w:rPr>
          <w:rFonts w:eastAsiaTheme="minorHAnsi"/>
          <w:b/>
          <w:lang w:eastAsia="en-US"/>
        </w:rPr>
        <w:tab/>
      </w:r>
      <w:r w:rsidRPr="00BF1FAB">
        <w:rPr>
          <w:rFonts w:eastAsiaTheme="minorHAnsi"/>
          <w:b/>
          <w:lang w:eastAsia="en-US"/>
        </w:rPr>
        <w:tab/>
      </w:r>
      <w:r w:rsidRPr="00BF1FAB">
        <w:rPr>
          <w:rFonts w:eastAsiaTheme="minorHAnsi"/>
          <w:b/>
          <w:lang w:eastAsia="en-US"/>
        </w:rPr>
        <w:tab/>
      </w:r>
      <w:r w:rsidRPr="00BF1FAB">
        <w:rPr>
          <w:rFonts w:eastAsiaTheme="minorHAnsi"/>
          <w:b/>
          <w:lang w:eastAsia="en-US"/>
        </w:rPr>
        <w:tab/>
      </w:r>
      <w:r w:rsidRPr="00BF1FAB">
        <w:rPr>
          <w:rFonts w:eastAsiaTheme="minorHAnsi"/>
          <w:b/>
          <w:lang w:eastAsia="en-US"/>
        </w:rPr>
        <w:tab/>
      </w:r>
      <w:r w:rsidRPr="00BF1FAB">
        <w:rPr>
          <w:rFonts w:eastAsiaTheme="minorHAnsi"/>
          <w:b/>
          <w:lang w:eastAsia="en-US"/>
        </w:rPr>
        <w:tab/>
        <w:t>М.Е. Татаринцев</w:t>
      </w:r>
    </w:p>
    <w:sectPr w:rsidR="00BD5479" w:rsidSect="00473C58">
      <w:headerReference w:type="default" r:id="rId10"/>
      <w:pgSz w:w="11906" w:h="16838"/>
      <w:pgMar w:top="794" w:right="794" w:bottom="794" w:left="1077" w:header="28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0FA" w:rsidRDefault="004230FA" w:rsidP="00221A2C">
      <w:r>
        <w:separator/>
      </w:r>
    </w:p>
  </w:endnote>
  <w:endnote w:type="continuationSeparator" w:id="0">
    <w:p w:rsidR="004230FA" w:rsidRDefault="004230FA" w:rsidP="00221A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0FA" w:rsidRDefault="004230FA" w:rsidP="00221A2C">
      <w:r>
        <w:separator/>
      </w:r>
    </w:p>
  </w:footnote>
  <w:footnote w:type="continuationSeparator" w:id="0">
    <w:p w:rsidR="004230FA" w:rsidRDefault="004230FA" w:rsidP="00221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571759"/>
      <w:docPartObj>
        <w:docPartGallery w:val="Page Numbers (Top of Page)"/>
        <w:docPartUnique/>
      </w:docPartObj>
    </w:sdtPr>
    <w:sdtContent>
      <w:p w:rsidR="00620D6E" w:rsidRDefault="00DB71A3">
        <w:pPr>
          <w:pStyle w:val="ab"/>
          <w:jc w:val="center"/>
        </w:pPr>
        <w:r>
          <w:rPr>
            <w:noProof/>
          </w:rPr>
          <w:fldChar w:fldCharType="begin"/>
        </w:r>
        <w:r w:rsidR="00620D6E">
          <w:rPr>
            <w:noProof/>
          </w:rPr>
          <w:instrText xml:space="preserve"> PAGE   \* MERGEFORMAT </w:instrText>
        </w:r>
        <w:r>
          <w:rPr>
            <w:noProof/>
          </w:rPr>
          <w:fldChar w:fldCharType="separate"/>
        </w:r>
        <w:r w:rsidR="002719F7">
          <w:rPr>
            <w:noProof/>
          </w:rPr>
          <w:t>2</w:t>
        </w:r>
        <w:r>
          <w:rPr>
            <w:noProof/>
          </w:rPr>
          <w:fldChar w:fldCharType="end"/>
        </w:r>
      </w:p>
    </w:sdtContent>
  </w:sdt>
  <w:p w:rsidR="00620D6E" w:rsidRDefault="00620D6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4211"/>
    <w:multiLevelType w:val="hybridMultilevel"/>
    <w:tmpl w:val="5B52A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657328D"/>
    <w:multiLevelType w:val="hybridMultilevel"/>
    <w:tmpl w:val="72C675A2"/>
    <w:lvl w:ilvl="0" w:tplc="BF76C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356ED7"/>
    <w:multiLevelType w:val="hybridMultilevel"/>
    <w:tmpl w:val="97E47C8E"/>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2F700650"/>
    <w:multiLevelType w:val="hybridMultilevel"/>
    <w:tmpl w:val="D6724BCC"/>
    <w:lvl w:ilvl="0" w:tplc="0419000D">
      <w:start w:val="1"/>
      <w:numFmt w:val="bullet"/>
      <w:lvlText w:val=""/>
      <w:lvlJc w:val="left"/>
      <w:pPr>
        <w:ind w:left="2771" w:hanging="360"/>
      </w:pPr>
      <w:rPr>
        <w:rFonts w:ascii="Wingdings" w:hAnsi="Wingdings"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3D4B1B08"/>
    <w:multiLevelType w:val="hybridMultilevel"/>
    <w:tmpl w:val="2D86C10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60325A"/>
    <w:multiLevelType w:val="hybridMultilevel"/>
    <w:tmpl w:val="52E808BC"/>
    <w:lvl w:ilvl="0" w:tplc="3C6457D0">
      <w:start w:val="4"/>
      <w:numFmt w:val="decimal"/>
      <w:lvlText w:val="%1."/>
      <w:lvlJc w:val="left"/>
      <w:pPr>
        <w:ind w:left="1495"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4C726BC8"/>
    <w:multiLevelType w:val="hybridMultilevel"/>
    <w:tmpl w:val="09CE684A"/>
    <w:lvl w:ilvl="0" w:tplc="6C10117E">
      <w:start w:val="1"/>
      <w:numFmt w:val="decimal"/>
      <w:lvlText w:val="%1."/>
      <w:lvlJc w:val="left"/>
      <w:pPr>
        <w:ind w:left="1684" w:hanging="975"/>
      </w:pPr>
      <w:rPr>
        <w:rFonts w:hint="default"/>
        <w:b/>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0A91745"/>
    <w:multiLevelType w:val="hybridMultilevel"/>
    <w:tmpl w:val="C7E2B7FA"/>
    <w:lvl w:ilvl="0" w:tplc="76CC06D8">
      <w:start w:val="2"/>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8">
    <w:nsid w:val="57510E76"/>
    <w:multiLevelType w:val="hybridMultilevel"/>
    <w:tmpl w:val="12BAD1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4D5173B"/>
    <w:multiLevelType w:val="hybridMultilevel"/>
    <w:tmpl w:val="B21EA8F6"/>
    <w:lvl w:ilvl="0" w:tplc="6D584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FA28FE"/>
    <w:multiLevelType w:val="multilevel"/>
    <w:tmpl w:val="568EE83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1">
    <w:nsid w:val="728D491C"/>
    <w:multiLevelType w:val="multilevel"/>
    <w:tmpl w:val="2C54E53E"/>
    <w:lvl w:ilvl="0">
      <w:start w:val="1"/>
      <w:numFmt w:val="decimal"/>
      <w:lvlText w:val="%1."/>
      <w:lvlJc w:val="left"/>
      <w:pPr>
        <w:ind w:left="1069" w:hanging="360"/>
      </w:pPr>
      <w:rPr>
        <w:rFonts w:eastAsia="Times New Roman" w:hint="default"/>
      </w:rPr>
    </w:lvl>
    <w:lvl w:ilvl="1">
      <w:start w:val="1"/>
      <w:numFmt w:val="decimal"/>
      <w:isLgl/>
      <w:lvlText w:val="%1.%2."/>
      <w:lvlJc w:val="left"/>
      <w:pPr>
        <w:ind w:left="1429" w:hanging="360"/>
      </w:pPr>
      <w:rPr>
        <w:rFonts w:eastAsia="Times New Roman" w:hint="default"/>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509" w:hanging="72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589" w:hanging="1080"/>
      </w:pPr>
      <w:rPr>
        <w:rFonts w:eastAsia="Times New Roman" w:hint="default"/>
      </w:rPr>
    </w:lvl>
    <w:lvl w:ilvl="6">
      <w:start w:val="1"/>
      <w:numFmt w:val="decimal"/>
      <w:isLgl/>
      <w:lvlText w:val="%1.%2.%3.%4.%5.%6.%7."/>
      <w:lvlJc w:val="left"/>
      <w:pPr>
        <w:ind w:left="4309" w:hanging="1440"/>
      </w:pPr>
      <w:rPr>
        <w:rFonts w:eastAsia="Times New Roman" w:hint="default"/>
      </w:rPr>
    </w:lvl>
    <w:lvl w:ilvl="7">
      <w:start w:val="1"/>
      <w:numFmt w:val="decimal"/>
      <w:isLgl/>
      <w:lvlText w:val="%1.%2.%3.%4.%5.%6.%7.%8."/>
      <w:lvlJc w:val="left"/>
      <w:pPr>
        <w:ind w:left="4669" w:hanging="1440"/>
      </w:pPr>
      <w:rPr>
        <w:rFonts w:eastAsia="Times New Roman" w:hint="default"/>
      </w:rPr>
    </w:lvl>
    <w:lvl w:ilvl="8">
      <w:start w:val="1"/>
      <w:numFmt w:val="decimal"/>
      <w:isLgl/>
      <w:lvlText w:val="%1.%2.%3.%4.%5.%6.%7.%8.%9."/>
      <w:lvlJc w:val="left"/>
      <w:pPr>
        <w:ind w:left="5389" w:hanging="1800"/>
      </w:pPr>
      <w:rPr>
        <w:rFonts w:eastAsia="Times New Roman" w:hint="default"/>
      </w:rPr>
    </w:lvl>
  </w:abstractNum>
  <w:num w:numId="1">
    <w:abstractNumId w:val="8"/>
  </w:num>
  <w:num w:numId="2">
    <w:abstractNumId w:val="3"/>
  </w:num>
  <w:num w:numId="3">
    <w:abstractNumId w:val="0"/>
  </w:num>
  <w:num w:numId="4">
    <w:abstractNumId w:val="2"/>
  </w:num>
  <w:num w:numId="5">
    <w:abstractNumId w:val="10"/>
  </w:num>
  <w:num w:numId="6">
    <w:abstractNumId w:val="5"/>
  </w:num>
  <w:num w:numId="7">
    <w:abstractNumId w:val="1"/>
  </w:num>
  <w:num w:numId="8">
    <w:abstractNumId w:val="7"/>
  </w:num>
  <w:num w:numId="9">
    <w:abstractNumId w:val="4"/>
  </w:num>
  <w:num w:numId="10">
    <w:abstractNumId w:val="11"/>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characterSpacingControl w:val="doNotCompress"/>
  <w:footnotePr>
    <w:footnote w:id="-1"/>
    <w:footnote w:id="0"/>
  </w:footnotePr>
  <w:endnotePr>
    <w:endnote w:id="-1"/>
    <w:endnote w:id="0"/>
  </w:endnotePr>
  <w:compat/>
  <w:rsids>
    <w:rsidRoot w:val="003147BD"/>
    <w:rsid w:val="00001426"/>
    <w:rsid w:val="00001EFD"/>
    <w:rsid w:val="0000318D"/>
    <w:rsid w:val="000052C4"/>
    <w:rsid w:val="000059A1"/>
    <w:rsid w:val="00006779"/>
    <w:rsid w:val="00007B5D"/>
    <w:rsid w:val="00012F73"/>
    <w:rsid w:val="0001389F"/>
    <w:rsid w:val="00032A64"/>
    <w:rsid w:val="00033972"/>
    <w:rsid w:val="0003652F"/>
    <w:rsid w:val="00043401"/>
    <w:rsid w:val="000445B6"/>
    <w:rsid w:val="00046385"/>
    <w:rsid w:val="000537A9"/>
    <w:rsid w:val="00061E92"/>
    <w:rsid w:val="000629B5"/>
    <w:rsid w:val="00064408"/>
    <w:rsid w:val="00066697"/>
    <w:rsid w:val="00067650"/>
    <w:rsid w:val="00076118"/>
    <w:rsid w:val="00080630"/>
    <w:rsid w:val="00081B46"/>
    <w:rsid w:val="00082D75"/>
    <w:rsid w:val="00086520"/>
    <w:rsid w:val="00087B57"/>
    <w:rsid w:val="0009236D"/>
    <w:rsid w:val="00092552"/>
    <w:rsid w:val="0009376D"/>
    <w:rsid w:val="000941DF"/>
    <w:rsid w:val="00095DF6"/>
    <w:rsid w:val="00095EB9"/>
    <w:rsid w:val="00096B9A"/>
    <w:rsid w:val="00096F25"/>
    <w:rsid w:val="000A1034"/>
    <w:rsid w:val="000A4ACE"/>
    <w:rsid w:val="000A5CF5"/>
    <w:rsid w:val="000A6A2A"/>
    <w:rsid w:val="000A6D31"/>
    <w:rsid w:val="000B2637"/>
    <w:rsid w:val="000B370C"/>
    <w:rsid w:val="000B4AB3"/>
    <w:rsid w:val="000B7CDC"/>
    <w:rsid w:val="000C0BB3"/>
    <w:rsid w:val="000C26F7"/>
    <w:rsid w:val="000C310B"/>
    <w:rsid w:val="000C7C01"/>
    <w:rsid w:val="000D0BCA"/>
    <w:rsid w:val="000D19DF"/>
    <w:rsid w:val="000D3FC1"/>
    <w:rsid w:val="000D4DC4"/>
    <w:rsid w:val="000D64EA"/>
    <w:rsid w:val="000D7236"/>
    <w:rsid w:val="000D788D"/>
    <w:rsid w:val="000D7FAB"/>
    <w:rsid w:val="000E078F"/>
    <w:rsid w:val="000E5446"/>
    <w:rsid w:val="000E5C17"/>
    <w:rsid w:val="000E6AA7"/>
    <w:rsid w:val="000F0236"/>
    <w:rsid w:val="000F6189"/>
    <w:rsid w:val="001028E7"/>
    <w:rsid w:val="001058D2"/>
    <w:rsid w:val="0011104A"/>
    <w:rsid w:val="00112FE7"/>
    <w:rsid w:val="00114E65"/>
    <w:rsid w:val="001161CC"/>
    <w:rsid w:val="001162C2"/>
    <w:rsid w:val="0012100E"/>
    <w:rsid w:val="00121740"/>
    <w:rsid w:val="00124DE3"/>
    <w:rsid w:val="00131B9D"/>
    <w:rsid w:val="001334A9"/>
    <w:rsid w:val="00142E80"/>
    <w:rsid w:val="00144C19"/>
    <w:rsid w:val="00146738"/>
    <w:rsid w:val="00150C64"/>
    <w:rsid w:val="0015485F"/>
    <w:rsid w:val="001603A1"/>
    <w:rsid w:val="00161762"/>
    <w:rsid w:val="00163417"/>
    <w:rsid w:val="00167F2C"/>
    <w:rsid w:val="00172DDA"/>
    <w:rsid w:val="00174190"/>
    <w:rsid w:val="00177DBC"/>
    <w:rsid w:val="00183E72"/>
    <w:rsid w:val="00185B7A"/>
    <w:rsid w:val="001861B0"/>
    <w:rsid w:val="001903D3"/>
    <w:rsid w:val="00190757"/>
    <w:rsid w:val="00194F61"/>
    <w:rsid w:val="00197C3D"/>
    <w:rsid w:val="001A471A"/>
    <w:rsid w:val="001B09E9"/>
    <w:rsid w:val="001B2AC1"/>
    <w:rsid w:val="001B6105"/>
    <w:rsid w:val="001B614A"/>
    <w:rsid w:val="001C01C4"/>
    <w:rsid w:val="001C0418"/>
    <w:rsid w:val="001C1DF0"/>
    <w:rsid w:val="001C391D"/>
    <w:rsid w:val="001C547F"/>
    <w:rsid w:val="001C612A"/>
    <w:rsid w:val="001C73EB"/>
    <w:rsid w:val="001D0B0E"/>
    <w:rsid w:val="001D6C27"/>
    <w:rsid w:val="001E03EC"/>
    <w:rsid w:val="001E4254"/>
    <w:rsid w:val="001E44C6"/>
    <w:rsid w:val="001E5214"/>
    <w:rsid w:val="001E5C61"/>
    <w:rsid w:val="001E63AC"/>
    <w:rsid w:val="001E6F68"/>
    <w:rsid w:val="001F12E8"/>
    <w:rsid w:val="001F34D0"/>
    <w:rsid w:val="001F41EB"/>
    <w:rsid w:val="001F79DF"/>
    <w:rsid w:val="0020093E"/>
    <w:rsid w:val="0020218D"/>
    <w:rsid w:val="002044F2"/>
    <w:rsid w:val="00213DA9"/>
    <w:rsid w:val="002202A7"/>
    <w:rsid w:val="00221A2C"/>
    <w:rsid w:val="00221D37"/>
    <w:rsid w:val="002224FF"/>
    <w:rsid w:val="00223134"/>
    <w:rsid w:val="00223BF9"/>
    <w:rsid w:val="002271E9"/>
    <w:rsid w:val="00230154"/>
    <w:rsid w:val="00232B31"/>
    <w:rsid w:val="00234626"/>
    <w:rsid w:val="002353EA"/>
    <w:rsid w:val="002457A1"/>
    <w:rsid w:val="00245E77"/>
    <w:rsid w:val="002460FA"/>
    <w:rsid w:val="00247EBD"/>
    <w:rsid w:val="00252286"/>
    <w:rsid w:val="00252ADD"/>
    <w:rsid w:val="00252F3D"/>
    <w:rsid w:val="00252F83"/>
    <w:rsid w:val="00254413"/>
    <w:rsid w:val="0025651F"/>
    <w:rsid w:val="002618B7"/>
    <w:rsid w:val="00264575"/>
    <w:rsid w:val="0026513A"/>
    <w:rsid w:val="00265B6E"/>
    <w:rsid w:val="002714AC"/>
    <w:rsid w:val="002714C6"/>
    <w:rsid w:val="002719F7"/>
    <w:rsid w:val="00272CA9"/>
    <w:rsid w:val="002743AB"/>
    <w:rsid w:val="00283C37"/>
    <w:rsid w:val="00285BA6"/>
    <w:rsid w:val="0029550E"/>
    <w:rsid w:val="00295592"/>
    <w:rsid w:val="00295DCB"/>
    <w:rsid w:val="002960F9"/>
    <w:rsid w:val="002965E2"/>
    <w:rsid w:val="002A3D38"/>
    <w:rsid w:val="002A42EC"/>
    <w:rsid w:val="002A68A6"/>
    <w:rsid w:val="002A6F24"/>
    <w:rsid w:val="002B1E7F"/>
    <w:rsid w:val="002B45EE"/>
    <w:rsid w:val="002B46D6"/>
    <w:rsid w:val="002B5463"/>
    <w:rsid w:val="002C7991"/>
    <w:rsid w:val="002D5A37"/>
    <w:rsid w:val="002D7003"/>
    <w:rsid w:val="002E3D05"/>
    <w:rsid w:val="002E72AA"/>
    <w:rsid w:val="002F12C6"/>
    <w:rsid w:val="003018E8"/>
    <w:rsid w:val="0030401F"/>
    <w:rsid w:val="00304638"/>
    <w:rsid w:val="00305A3C"/>
    <w:rsid w:val="003065DD"/>
    <w:rsid w:val="003068BE"/>
    <w:rsid w:val="00313CBB"/>
    <w:rsid w:val="003147BD"/>
    <w:rsid w:val="00317032"/>
    <w:rsid w:val="0031712E"/>
    <w:rsid w:val="003201F4"/>
    <w:rsid w:val="0032292E"/>
    <w:rsid w:val="00326E12"/>
    <w:rsid w:val="00335224"/>
    <w:rsid w:val="00336210"/>
    <w:rsid w:val="00337977"/>
    <w:rsid w:val="003409D0"/>
    <w:rsid w:val="003475F2"/>
    <w:rsid w:val="00347743"/>
    <w:rsid w:val="00353784"/>
    <w:rsid w:val="003538AA"/>
    <w:rsid w:val="0035575F"/>
    <w:rsid w:val="0036162B"/>
    <w:rsid w:val="003636AB"/>
    <w:rsid w:val="0036465D"/>
    <w:rsid w:val="00370E61"/>
    <w:rsid w:val="0037101A"/>
    <w:rsid w:val="0037424A"/>
    <w:rsid w:val="00374A46"/>
    <w:rsid w:val="00375D74"/>
    <w:rsid w:val="00377D0B"/>
    <w:rsid w:val="00380E96"/>
    <w:rsid w:val="0038257D"/>
    <w:rsid w:val="0038564A"/>
    <w:rsid w:val="003871E9"/>
    <w:rsid w:val="00394C0B"/>
    <w:rsid w:val="0039621F"/>
    <w:rsid w:val="0039662F"/>
    <w:rsid w:val="00396E09"/>
    <w:rsid w:val="00397AA8"/>
    <w:rsid w:val="003A2416"/>
    <w:rsid w:val="003A2F6D"/>
    <w:rsid w:val="003A66F6"/>
    <w:rsid w:val="003B26DC"/>
    <w:rsid w:val="003B468A"/>
    <w:rsid w:val="003B6698"/>
    <w:rsid w:val="003C2F3C"/>
    <w:rsid w:val="003C35BD"/>
    <w:rsid w:val="003C37F7"/>
    <w:rsid w:val="003C4CFF"/>
    <w:rsid w:val="003D1980"/>
    <w:rsid w:val="003D1E5E"/>
    <w:rsid w:val="003D238F"/>
    <w:rsid w:val="003D5B00"/>
    <w:rsid w:val="003D74FF"/>
    <w:rsid w:val="003E05CB"/>
    <w:rsid w:val="003E2193"/>
    <w:rsid w:val="003E32CB"/>
    <w:rsid w:val="003F337E"/>
    <w:rsid w:val="003F3DC6"/>
    <w:rsid w:val="003F5478"/>
    <w:rsid w:val="0040486C"/>
    <w:rsid w:val="00406FBC"/>
    <w:rsid w:val="00407124"/>
    <w:rsid w:val="00407EA6"/>
    <w:rsid w:val="00412ACD"/>
    <w:rsid w:val="00416E37"/>
    <w:rsid w:val="004230FA"/>
    <w:rsid w:val="004252DC"/>
    <w:rsid w:val="00425B05"/>
    <w:rsid w:val="004262F9"/>
    <w:rsid w:val="00426996"/>
    <w:rsid w:val="004270C0"/>
    <w:rsid w:val="00431DCA"/>
    <w:rsid w:val="004425AF"/>
    <w:rsid w:val="00443048"/>
    <w:rsid w:val="00446187"/>
    <w:rsid w:val="00446B35"/>
    <w:rsid w:val="00452992"/>
    <w:rsid w:val="00453C46"/>
    <w:rsid w:val="00456000"/>
    <w:rsid w:val="004629BC"/>
    <w:rsid w:val="00467543"/>
    <w:rsid w:val="00467AD4"/>
    <w:rsid w:val="00472999"/>
    <w:rsid w:val="00473C58"/>
    <w:rsid w:val="0047455E"/>
    <w:rsid w:val="00474BBE"/>
    <w:rsid w:val="00476616"/>
    <w:rsid w:val="00480F79"/>
    <w:rsid w:val="00483DFD"/>
    <w:rsid w:val="00484EE4"/>
    <w:rsid w:val="004851EB"/>
    <w:rsid w:val="00485235"/>
    <w:rsid w:val="00492FDF"/>
    <w:rsid w:val="004959E3"/>
    <w:rsid w:val="004A218E"/>
    <w:rsid w:val="004B00FA"/>
    <w:rsid w:val="004B431D"/>
    <w:rsid w:val="004B617A"/>
    <w:rsid w:val="004C397E"/>
    <w:rsid w:val="004C3F38"/>
    <w:rsid w:val="004C57A5"/>
    <w:rsid w:val="004C6040"/>
    <w:rsid w:val="004D005E"/>
    <w:rsid w:val="004D1F11"/>
    <w:rsid w:val="004D51B3"/>
    <w:rsid w:val="004D7270"/>
    <w:rsid w:val="004E031B"/>
    <w:rsid w:val="004E05BE"/>
    <w:rsid w:val="004E0CAE"/>
    <w:rsid w:val="004E44F7"/>
    <w:rsid w:val="004E70A5"/>
    <w:rsid w:val="004E793D"/>
    <w:rsid w:val="004E7FAA"/>
    <w:rsid w:val="004F04BC"/>
    <w:rsid w:val="00501C19"/>
    <w:rsid w:val="005021E2"/>
    <w:rsid w:val="00505038"/>
    <w:rsid w:val="0051332F"/>
    <w:rsid w:val="00515B82"/>
    <w:rsid w:val="00516A13"/>
    <w:rsid w:val="00517314"/>
    <w:rsid w:val="00525900"/>
    <w:rsid w:val="00526719"/>
    <w:rsid w:val="00531A1F"/>
    <w:rsid w:val="00533202"/>
    <w:rsid w:val="005336DF"/>
    <w:rsid w:val="00543258"/>
    <w:rsid w:val="00544E87"/>
    <w:rsid w:val="00545B3F"/>
    <w:rsid w:val="00547238"/>
    <w:rsid w:val="0055140C"/>
    <w:rsid w:val="00554010"/>
    <w:rsid w:val="00555319"/>
    <w:rsid w:val="005634EE"/>
    <w:rsid w:val="00567404"/>
    <w:rsid w:val="0056765D"/>
    <w:rsid w:val="005713C1"/>
    <w:rsid w:val="00574309"/>
    <w:rsid w:val="005751D0"/>
    <w:rsid w:val="005811E2"/>
    <w:rsid w:val="005859A7"/>
    <w:rsid w:val="005872BD"/>
    <w:rsid w:val="00587E1E"/>
    <w:rsid w:val="0059200C"/>
    <w:rsid w:val="00593221"/>
    <w:rsid w:val="00594390"/>
    <w:rsid w:val="005A08B5"/>
    <w:rsid w:val="005A16DC"/>
    <w:rsid w:val="005A4EDD"/>
    <w:rsid w:val="005A67F1"/>
    <w:rsid w:val="005B0817"/>
    <w:rsid w:val="005B15C5"/>
    <w:rsid w:val="005B51A0"/>
    <w:rsid w:val="005B6CB3"/>
    <w:rsid w:val="005B7142"/>
    <w:rsid w:val="005C0648"/>
    <w:rsid w:val="005C258B"/>
    <w:rsid w:val="005C3566"/>
    <w:rsid w:val="005C4FF5"/>
    <w:rsid w:val="005C5297"/>
    <w:rsid w:val="005C7DD4"/>
    <w:rsid w:val="005D45C3"/>
    <w:rsid w:val="005E0C63"/>
    <w:rsid w:val="005E1E39"/>
    <w:rsid w:val="005E1EB6"/>
    <w:rsid w:val="005E2AA9"/>
    <w:rsid w:val="005E7788"/>
    <w:rsid w:val="005F1B43"/>
    <w:rsid w:val="005F1D77"/>
    <w:rsid w:val="005F1D7A"/>
    <w:rsid w:val="005F431F"/>
    <w:rsid w:val="005F4DF6"/>
    <w:rsid w:val="0060000B"/>
    <w:rsid w:val="00601FA6"/>
    <w:rsid w:val="00607813"/>
    <w:rsid w:val="006128FF"/>
    <w:rsid w:val="00612B4B"/>
    <w:rsid w:val="00614CAF"/>
    <w:rsid w:val="00616EC1"/>
    <w:rsid w:val="00620D6E"/>
    <w:rsid w:val="006222BD"/>
    <w:rsid w:val="006224BB"/>
    <w:rsid w:val="00622C1F"/>
    <w:rsid w:val="006257A1"/>
    <w:rsid w:val="0062671B"/>
    <w:rsid w:val="0063123C"/>
    <w:rsid w:val="00635236"/>
    <w:rsid w:val="006368DB"/>
    <w:rsid w:val="00637FB9"/>
    <w:rsid w:val="006408BB"/>
    <w:rsid w:val="00640A67"/>
    <w:rsid w:val="00640B39"/>
    <w:rsid w:val="00642676"/>
    <w:rsid w:val="006426A1"/>
    <w:rsid w:val="006464FF"/>
    <w:rsid w:val="00654D3F"/>
    <w:rsid w:val="00660873"/>
    <w:rsid w:val="0066695E"/>
    <w:rsid w:val="00674713"/>
    <w:rsid w:val="0067692C"/>
    <w:rsid w:val="00677975"/>
    <w:rsid w:val="006808D2"/>
    <w:rsid w:val="0068320B"/>
    <w:rsid w:val="006859BC"/>
    <w:rsid w:val="00685A94"/>
    <w:rsid w:val="00690230"/>
    <w:rsid w:val="00691F12"/>
    <w:rsid w:val="00692732"/>
    <w:rsid w:val="00692DC2"/>
    <w:rsid w:val="006A191C"/>
    <w:rsid w:val="006A46D8"/>
    <w:rsid w:val="006A5722"/>
    <w:rsid w:val="006A617B"/>
    <w:rsid w:val="006A7927"/>
    <w:rsid w:val="006B0077"/>
    <w:rsid w:val="006B2939"/>
    <w:rsid w:val="006B4BA4"/>
    <w:rsid w:val="006B53A9"/>
    <w:rsid w:val="006C0129"/>
    <w:rsid w:val="006C3394"/>
    <w:rsid w:val="006C6697"/>
    <w:rsid w:val="006C6D69"/>
    <w:rsid w:val="006D3E82"/>
    <w:rsid w:val="006D4E35"/>
    <w:rsid w:val="006E02C0"/>
    <w:rsid w:val="006E0E9B"/>
    <w:rsid w:val="006E23EF"/>
    <w:rsid w:val="006E2C66"/>
    <w:rsid w:val="006E2D0F"/>
    <w:rsid w:val="006E3E31"/>
    <w:rsid w:val="006E555B"/>
    <w:rsid w:val="006F0882"/>
    <w:rsid w:val="006F0F79"/>
    <w:rsid w:val="006F114D"/>
    <w:rsid w:val="006F17B1"/>
    <w:rsid w:val="006F3AA2"/>
    <w:rsid w:val="006F3F1B"/>
    <w:rsid w:val="006F51A6"/>
    <w:rsid w:val="007044AE"/>
    <w:rsid w:val="00706C30"/>
    <w:rsid w:val="00713558"/>
    <w:rsid w:val="00714F6A"/>
    <w:rsid w:val="0071685A"/>
    <w:rsid w:val="00720EEA"/>
    <w:rsid w:val="00724DB8"/>
    <w:rsid w:val="00726E31"/>
    <w:rsid w:val="00732B8D"/>
    <w:rsid w:val="00732FE7"/>
    <w:rsid w:val="00735820"/>
    <w:rsid w:val="0073637F"/>
    <w:rsid w:val="00736AAB"/>
    <w:rsid w:val="00736D6F"/>
    <w:rsid w:val="00737F46"/>
    <w:rsid w:val="007406E3"/>
    <w:rsid w:val="00740A01"/>
    <w:rsid w:val="00740F73"/>
    <w:rsid w:val="00746B74"/>
    <w:rsid w:val="0075240C"/>
    <w:rsid w:val="0075286D"/>
    <w:rsid w:val="00753220"/>
    <w:rsid w:val="00755169"/>
    <w:rsid w:val="00756CD9"/>
    <w:rsid w:val="00757EF8"/>
    <w:rsid w:val="00760505"/>
    <w:rsid w:val="00760882"/>
    <w:rsid w:val="00763415"/>
    <w:rsid w:val="0076537B"/>
    <w:rsid w:val="0076717A"/>
    <w:rsid w:val="00767C33"/>
    <w:rsid w:val="00770256"/>
    <w:rsid w:val="0077332F"/>
    <w:rsid w:val="00773DC0"/>
    <w:rsid w:val="007749D2"/>
    <w:rsid w:val="00775417"/>
    <w:rsid w:val="007829C5"/>
    <w:rsid w:val="0078323C"/>
    <w:rsid w:val="00783C1F"/>
    <w:rsid w:val="00783D40"/>
    <w:rsid w:val="00794269"/>
    <w:rsid w:val="0079498D"/>
    <w:rsid w:val="00795493"/>
    <w:rsid w:val="00797E4D"/>
    <w:rsid w:val="007A2223"/>
    <w:rsid w:val="007A461D"/>
    <w:rsid w:val="007B0C26"/>
    <w:rsid w:val="007B1C15"/>
    <w:rsid w:val="007B2CBD"/>
    <w:rsid w:val="007B3BA4"/>
    <w:rsid w:val="007B3CCF"/>
    <w:rsid w:val="007B5B5E"/>
    <w:rsid w:val="007B6EA8"/>
    <w:rsid w:val="007B7CC4"/>
    <w:rsid w:val="007C21AB"/>
    <w:rsid w:val="007D1DDA"/>
    <w:rsid w:val="007D224F"/>
    <w:rsid w:val="007D3409"/>
    <w:rsid w:val="007E4127"/>
    <w:rsid w:val="007E53D5"/>
    <w:rsid w:val="007F0875"/>
    <w:rsid w:val="007F0945"/>
    <w:rsid w:val="007F17D6"/>
    <w:rsid w:val="007F2FBD"/>
    <w:rsid w:val="007F4E3A"/>
    <w:rsid w:val="007F6827"/>
    <w:rsid w:val="00805380"/>
    <w:rsid w:val="00810D3B"/>
    <w:rsid w:val="008125BA"/>
    <w:rsid w:val="008149D3"/>
    <w:rsid w:val="008157B2"/>
    <w:rsid w:val="0081682A"/>
    <w:rsid w:val="00817209"/>
    <w:rsid w:val="00822911"/>
    <w:rsid w:val="00822F97"/>
    <w:rsid w:val="008232BD"/>
    <w:rsid w:val="00825E27"/>
    <w:rsid w:val="008336F3"/>
    <w:rsid w:val="0084186B"/>
    <w:rsid w:val="00842DCE"/>
    <w:rsid w:val="008462C9"/>
    <w:rsid w:val="00851006"/>
    <w:rsid w:val="00861C02"/>
    <w:rsid w:val="00867F7E"/>
    <w:rsid w:val="00873124"/>
    <w:rsid w:val="00880F90"/>
    <w:rsid w:val="008819C3"/>
    <w:rsid w:val="008842AD"/>
    <w:rsid w:val="00886929"/>
    <w:rsid w:val="00887864"/>
    <w:rsid w:val="008907CA"/>
    <w:rsid w:val="00891044"/>
    <w:rsid w:val="00893BA2"/>
    <w:rsid w:val="00893EA6"/>
    <w:rsid w:val="008950DF"/>
    <w:rsid w:val="008A62B7"/>
    <w:rsid w:val="008B08A5"/>
    <w:rsid w:val="008B285C"/>
    <w:rsid w:val="008B2BEC"/>
    <w:rsid w:val="008B2F67"/>
    <w:rsid w:val="008B3070"/>
    <w:rsid w:val="008B3988"/>
    <w:rsid w:val="008B72FD"/>
    <w:rsid w:val="008C4E65"/>
    <w:rsid w:val="008D0BC1"/>
    <w:rsid w:val="008D265F"/>
    <w:rsid w:val="008D3737"/>
    <w:rsid w:val="008D4B9D"/>
    <w:rsid w:val="008D5794"/>
    <w:rsid w:val="008D57F7"/>
    <w:rsid w:val="008D5EE8"/>
    <w:rsid w:val="008D6B88"/>
    <w:rsid w:val="008D7D67"/>
    <w:rsid w:val="008D7EB6"/>
    <w:rsid w:val="008E3291"/>
    <w:rsid w:val="008E3A6B"/>
    <w:rsid w:val="008E72C9"/>
    <w:rsid w:val="008F1DE5"/>
    <w:rsid w:val="0090274D"/>
    <w:rsid w:val="00904609"/>
    <w:rsid w:val="00905BF6"/>
    <w:rsid w:val="0090715E"/>
    <w:rsid w:val="00912802"/>
    <w:rsid w:val="0091589E"/>
    <w:rsid w:val="009178D6"/>
    <w:rsid w:val="00926C16"/>
    <w:rsid w:val="00931837"/>
    <w:rsid w:val="00936670"/>
    <w:rsid w:val="00941C27"/>
    <w:rsid w:val="009432E9"/>
    <w:rsid w:val="00945387"/>
    <w:rsid w:val="0094545B"/>
    <w:rsid w:val="0095286E"/>
    <w:rsid w:val="00952C2D"/>
    <w:rsid w:val="00955885"/>
    <w:rsid w:val="0095713F"/>
    <w:rsid w:val="00961DBE"/>
    <w:rsid w:val="00963AE2"/>
    <w:rsid w:val="009666C4"/>
    <w:rsid w:val="00967A11"/>
    <w:rsid w:val="00970F6F"/>
    <w:rsid w:val="00972482"/>
    <w:rsid w:val="0097254A"/>
    <w:rsid w:val="0097304A"/>
    <w:rsid w:val="009730BC"/>
    <w:rsid w:val="00973220"/>
    <w:rsid w:val="009746E1"/>
    <w:rsid w:val="00974AF0"/>
    <w:rsid w:val="0097558B"/>
    <w:rsid w:val="00975A5D"/>
    <w:rsid w:val="009802FB"/>
    <w:rsid w:val="00981127"/>
    <w:rsid w:val="00990237"/>
    <w:rsid w:val="00990576"/>
    <w:rsid w:val="00990B00"/>
    <w:rsid w:val="00990F35"/>
    <w:rsid w:val="0099309A"/>
    <w:rsid w:val="0099362A"/>
    <w:rsid w:val="009946CB"/>
    <w:rsid w:val="00994FEF"/>
    <w:rsid w:val="00995B9E"/>
    <w:rsid w:val="009A1397"/>
    <w:rsid w:val="009A3B7D"/>
    <w:rsid w:val="009A57BA"/>
    <w:rsid w:val="009A70B6"/>
    <w:rsid w:val="009A7A2A"/>
    <w:rsid w:val="009B12B1"/>
    <w:rsid w:val="009B4161"/>
    <w:rsid w:val="009C51D9"/>
    <w:rsid w:val="009D1F19"/>
    <w:rsid w:val="009D25DC"/>
    <w:rsid w:val="009D33CD"/>
    <w:rsid w:val="009D3843"/>
    <w:rsid w:val="009E158D"/>
    <w:rsid w:val="009E26A1"/>
    <w:rsid w:val="009F2607"/>
    <w:rsid w:val="009F46DA"/>
    <w:rsid w:val="00A03D18"/>
    <w:rsid w:val="00A059CB"/>
    <w:rsid w:val="00A062C4"/>
    <w:rsid w:val="00A069B7"/>
    <w:rsid w:val="00A0739C"/>
    <w:rsid w:val="00A11024"/>
    <w:rsid w:val="00A121BC"/>
    <w:rsid w:val="00A13F7F"/>
    <w:rsid w:val="00A20672"/>
    <w:rsid w:val="00A231D4"/>
    <w:rsid w:val="00A26DC0"/>
    <w:rsid w:val="00A35B7A"/>
    <w:rsid w:val="00A376AB"/>
    <w:rsid w:val="00A37D94"/>
    <w:rsid w:val="00A404CF"/>
    <w:rsid w:val="00A447B5"/>
    <w:rsid w:val="00A45342"/>
    <w:rsid w:val="00A460A9"/>
    <w:rsid w:val="00A53111"/>
    <w:rsid w:val="00A536E3"/>
    <w:rsid w:val="00A556BA"/>
    <w:rsid w:val="00A56088"/>
    <w:rsid w:val="00A6109D"/>
    <w:rsid w:val="00A62274"/>
    <w:rsid w:val="00A64C20"/>
    <w:rsid w:val="00A64C5E"/>
    <w:rsid w:val="00A64ECD"/>
    <w:rsid w:val="00A677E2"/>
    <w:rsid w:val="00A72097"/>
    <w:rsid w:val="00A7229F"/>
    <w:rsid w:val="00A817F5"/>
    <w:rsid w:val="00A8358A"/>
    <w:rsid w:val="00A86C63"/>
    <w:rsid w:val="00A8704F"/>
    <w:rsid w:val="00A87A0A"/>
    <w:rsid w:val="00A90B26"/>
    <w:rsid w:val="00A929C3"/>
    <w:rsid w:val="00A94A33"/>
    <w:rsid w:val="00A959B8"/>
    <w:rsid w:val="00A96B02"/>
    <w:rsid w:val="00AA3257"/>
    <w:rsid w:val="00AB190F"/>
    <w:rsid w:val="00AB552F"/>
    <w:rsid w:val="00AC066B"/>
    <w:rsid w:val="00AC19E1"/>
    <w:rsid w:val="00AC1B77"/>
    <w:rsid w:val="00AD1ED1"/>
    <w:rsid w:val="00AD3078"/>
    <w:rsid w:val="00AD4D17"/>
    <w:rsid w:val="00AD6DEC"/>
    <w:rsid w:val="00AE7EF0"/>
    <w:rsid w:val="00AF008B"/>
    <w:rsid w:val="00AF6876"/>
    <w:rsid w:val="00B06123"/>
    <w:rsid w:val="00B11330"/>
    <w:rsid w:val="00B14211"/>
    <w:rsid w:val="00B16394"/>
    <w:rsid w:val="00B17C09"/>
    <w:rsid w:val="00B23D0F"/>
    <w:rsid w:val="00B31F06"/>
    <w:rsid w:val="00B34A93"/>
    <w:rsid w:val="00B4361C"/>
    <w:rsid w:val="00B47978"/>
    <w:rsid w:val="00B50784"/>
    <w:rsid w:val="00B53C14"/>
    <w:rsid w:val="00B63943"/>
    <w:rsid w:val="00B734E3"/>
    <w:rsid w:val="00B7645B"/>
    <w:rsid w:val="00B85F45"/>
    <w:rsid w:val="00B92A12"/>
    <w:rsid w:val="00B9556F"/>
    <w:rsid w:val="00B9565C"/>
    <w:rsid w:val="00B95FD2"/>
    <w:rsid w:val="00B97D0D"/>
    <w:rsid w:val="00BA0EA7"/>
    <w:rsid w:val="00BA1E64"/>
    <w:rsid w:val="00BB4CF2"/>
    <w:rsid w:val="00BC0FF3"/>
    <w:rsid w:val="00BC1D9E"/>
    <w:rsid w:val="00BC2FFC"/>
    <w:rsid w:val="00BC3F92"/>
    <w:rsid w:val="00BC5571"/>
    <w:rsid w:val="00BC7974"/>
    <w:rsid w:val="00BD5479"/>
    <w:rsid w:val="00BD5E16"/>
    <w:rsid w:val="00BD6B72"/>
    <w:rsid w:val="00BD7215"/>
    <w:rsid w:val="00BE3434"/>
    <w:rsid w:val="00BE3AC9"/>
    <w:rsid w:val="00BE3FD7"/>
    <w:rsid w:val="00BE4EBA"/>
    <w:rsid w:val="00BE6CB5"/>
    <w:rsid w:val="00BF1FAB"/>
    <w:rsid w:val="00BF56DC"/>
    <w:rsid w:val="00C01668"/>
    <w:rsid w:val="00C01F7F"/>
    <w:rsid w:val="00C102C3"/>
    <w:rsid w:val="00C114EC"/>
    <w:rsid w:val="00C1194A"/>
    <w:rsid w:val="00C11CD6"/>
    <w:rsid w:val="00C12E9A"/>
    <w:rsid w:val="00C147DD"/>
    <w:rsid w:val="00C21F46"/>
    <w:rsid w:val="00C23840"/>
    <w:rsid w:val="00C2449B"/>
    <w:rsid w:val="00C245B3"/>
    <w:rsid w:val="00C35576"/>
    <w:rsid w:val="00C4214F"/>
    <w:rsid w:val="00C44411"/>
    <w:rsid w:val="00C44CAE"/>
    <w:rsid w:val="00C46CFD"/>
    <w:rsid w:val="00C4722B"/>
    <w:rsid w:val="00C479A4"/>
    <w:rsid w:val="00C50758"/>
    <w:rsid w:val="00C50F8E"/>
    <w:rsid w:val="00C52033"/>
    <w:rsid w:val="00C5550C"/>
    <w:rsid w:val="00C62538"/>
    <w:rsid w:val="00C630AB"/>
    <w:rsid w:val="00C644BA"/>
    <w:rsid w:val="00C66063"/>
    <w:rsid w:val="00C723E6"/>
    <w:rsid w:val="00C75C30"/>
    <w:rsid w:val="00C77E13"/>
    <w:rsid w:val="00C80151"/>
    <w:rsid w:val="00C8161F"/>
    <w:rsid w:val="00C84626"/>
    <w:rsid w:val="00C84E8E"/>
    <w:rsid w:val="00C877B5"/>
    <w:rsid w:val="00C878AD"/>
    <w:rsid w:val="00C87ACB"/>
    <w:rsid w:val="00C904D8"/>
    <w:rsid w:val="00C9174D"/>
    <w:rsid w:val="00C9257D"/>
    <w:rsid w:val="00C929ED"/>
    <w:rsid w:val="00CA3993"/>
    <w:rsid w:val="00CA3F43"/>
    <w:rsid w:val="00CA4FFC"/>
    <w:rsid w:val="00CB1BDB"/>
    <w:rsid w:val="00CB1F95"/>
    <w:rsid w:val="00CB755F"/>
    <w:rsid w:val="00CC0694"/>
    <w:rsid w:val="00CC3652"/>
    <w:rsid w:val="00CC7FC2"/>
    <w:rsid w:val="00CD4DFC"/>
    <w:rsid w:val="00CE18AA"/>
    <w:rsid w:val="00CE29C6"/>
    <w:rsid w:val="00CE4107"/>
    <w:rsid w:val="00CE433E"/>
    <w:rsid w:val="00CE5259"/>
    <w:rsid w:val="00CF75C8"/>
    <w:rsid w:val="00CF780F"/>
    <w:rsid w:val="00D10268"/>
    <w:rsid w:val="00D12832"/>
    <w:rsid w:val="00D131F3"/>
    <w:rsid w:val="00D14714"/>
    <w:rsid w:val="00D2077F"/>
    <w:rsid w:val="00D25CF3"/>
    <w:rsid w:val="00D31F80"/>
    <w:rsid w:val="00D31F83"/>
    <w:rsid w:val="00D3627C"/>
    <w:rsid w:val="00D37092"/>
    <w:rsid w:val="00D37819"/>
    <w:rsid w:val="00D37F31"/>
    <w:rsid w:val="00D40A33"/>
    <w:rsid w:val="00D41B72"/>
    <w:rsid w:val="00D429DD"/>
    <w:rsid w:val="00D438C6"/>
    <w:rsid w:val="00D4434A"/>
    <w:rsid w:val="00D470B3"/>
    <w:rsid w:val="00D5000D"/>
    <w:rsid w:val="00D50D1F"/>
    <w:rsid w:val="00D51EE8"/>
    <w:rsid w:val="00D5331E"/>
    <w:rsid w:val="00D54C3B"/>
    <w:rsid w:val="00D54D45"/>
    <w:rsid w:val="00D55009"/>
    <w:rsid w:val="00D5775D"/>
    <w:rsid w:val="00D579D8"/>
    <w:rsid w:val="00D63BAB"/>
    <w:rsid w:val="00D67248"/>
    <w:rsid w:val="00D74A93"/>
    <w:rsid w:val="00D74C47"/>
    <w:rsid w:val="00D83730"/>
    <w:rsid w:val="00D87344"/>
    <w:rsid w:val="00D902E5"/>
    <w:rsid w:val="00D9106E"/>
    <w:rsid w:val="00D916DA"/>
    <w:rsid w:val="00D93C6F"/>
    <w:rsid w:val="00D94DC8"/>
    <w:rsid w:val="00D95C49"/>
    <w:rsid w:val="00DA01BD"/>
    <w:rsid w:val="00DA2F1C"/>
    <w:rsid w:val="00DA4934"/>
    <w:rsid w:val="00DA4E0B"/>
    <w:rsid w:val="00DA5E9E"/>
    <w:rsid w:val="00DA7128"/>
    <w:rsid w:val="00DB01DE"/>
    <w:rsid w:val="00DB1BCB"/>
    <w:rsid w:val="00DB4D2B"/>
    <w:rsid w:val="00DB71A3"/>
    <w:rsid w:val="00DC2E4B"/>
    <w:rsid w:val="00DC3F4F"/>
    <w:rsid w:val="00DC4C32"/>
    <w:rsid w:val="00DC52AD"/>
    <w:rsid w:val="00DD1482"/>
    <w:rsid w:val="00DD1C7F"/>
    <w:rsid w:val="00DD45CE"/>
    <w:rsid w:val="00DD7B3E"/>
    <w:rsid w:val="00DE0D14"/>
    <w:rsid w:val="00DE0E64"/>
    <w:rsid w:val="00DE474A"/>
    <w:rsid w:val="00DE4BFC"/>
    <w:rsid w:val="00DE65FA"/>
    <w:rsid w:val="00DE6AFF"/>
    <w:rsid w:val="00DE6DCD"/>
    <w:rsid w:val="00DF7A3F"/>
    <w:rsid w:val="00E0052D"/>
    <w:rsid w:val="00E01208"/>
    <w:rsid w:val="00E019ED"/>
    <w:rsid w:val="00E040B5"/>
    <w:rsid w:val="00E04D1E"/>
    <w:rsid w:val="00E10B1C"/>
    <w:rsid w:val="00E11082"/>
    <w:rsid w:val="00E21EB5"/>
    <w:rsid w:val="00E22B55"/>
    <w:rsid w:val="00E25A5C"/>
    <w:rsid w:val="00E3053A"/>
    <w:rsid w:val="00E31757"/>
    <w:rsid w:val="00E40767"/>
    <w:rsid w:val="00E44124"/>
    <w:rsid w:val="00E44DC3"/>
    <w:rsid w:val="00E54309"/>
    <w:rsid w:val="00E564BB"/>
    <w:rsid w:val="00E60117"/>
    <w:rsid w:val="00E7695A"/>
    <w:rsid w:val="00E83387"/>
    <w:rsid w:val="00E90155"/>
    <w:rsid w:val="00E91B42"/>
    <w:rsid w:val="00EA0F74"/>
    <w:rsid w:val="00EA1E33"/>
    <w:rsid w:val="00EA7FE5"/>
    <w:rsid w:val="00EB5B94"/>
    <w:rsid w:val="00EC0200"/>
    <w:rsid w:val="00EC1346"/>
    <w:rsid w:val="00EC149E"/>
    <w:rsid w:val="00EC2380"/>
    <w:rsid w:val="00EC609D"/>
    <w:rsid w:val="00EC634D"/>
    <w:rsid w:val="00EC70E6"/>
    <w:rsid w:val="00EE4B8A"/>
    <w:rsid w:val="00EE7318"/>
    <w:rsid w:val="00EF094E"/>
    <w:rsid w:val="00EF16E7"/>
    <w:rsid w:val="00EF1F0E"/>
    <w:rsid w:val="00EF3750"/>
    <w:rsid w:val="00EF4323"/>
    <w:rsid w:val="00EF4AB8"/>
    <w:rsid w:val="00EF57EE"/>
    <w:rsid w:val="00EF7DC5"/>
    <w:rsid w:val="00F00C93"/>
    <w:rsid w:val="00F01E78"/>
    <w:rsid w:val="00F02928"/>
    <w:rsid w:val="00F13CD7"/>
    <w:rsid w:val="00F14C8C"/>
    <w:rsid w:val="00F150EB"/>
    <w:rsid w:val="00F15233"/>
    <w:rsid w:val="00F1796A"/>
    <w:rsid w:val="00F203CC"/>
    <w:rsid w:val="00F207D5"/>
    <w:rsid w:val="00F2282F"/>
    <w:rsid w:val="00F2714C"/>
    <w:rsid w:val="00F27959"/>
    <w:rsid w:val="00F330F5"/>
    <w:rsid w:val="00F33963"/>
    <w:rsid w:val="00F36642"/>
    <w:rsid w:val="00F376A6"/>
    <w:rsid w:val="00F42BB7"/>
    <w:rsid w:val="00F47F2A"/>
    <w:rsid w:val="00F50B84"/>
    <w:rsid w:val="00F536DA"/>
    <w:rsid w:val="00F54D94"/>
    <w:rsid w:val="00F5616E"/>
    <w:rsid w:val="00F5749F"/>
    <w:rsid w:val="00F6070E"/>
    <w:rsid w:val="00F614AD"/>
    <w:rsid w:val="00F626B1"/>
    <w:rsid w:val="00F627A2"/>
    <w:rsid w:val="00F63EE7"/>
    <w:rsid w:val="00F64884"/>
    <w:rsid w:val="00F6667B"/>
    <w:rsid w:val="00F66A0D"/>
    <w:rsid w:val="00F70216"/>
    <w:rsid w:val="00F73C56"/>
    <w:rsid w:val="00F774AA"/>
    <w:rsid w:val="00F81F14"/>
    <w:rsid w:val="00F840D4"/>
    <w:rsid w:val="00F84983"/>
    <w:rsid w:val="00F874CD"/>
    <w:rsid w:val="00F93459"/>
    <w:rsid w:val="00F94ED7"/>
    <w:rsid w:val="00F95F44"/>
    <w:rsid w:val="00F97CD1"/>
    <w:rsid w:val="00FA1FAF"/>
    <w:rsid w:val="00FA293E"/>
    <w:rsid w:val="00FA67FA"/>
    <w:rsid w:val="00FB06F8"/>
    <w:rsid w:val="00FB0E95"/>
    <w:rsid w:val="00FB1F9E"/>
    <w:rsid w:val="00FB22EA"/>
    <w:rsid w:val="00FB2AF6"/>
    <w:rsid w:val="00FB5189"/>
    <w:rsid w:val="00FB6524"/>
    <w:rsid w:val="00FC0D4F"/>
    <w:rsid w:val="00FC1D27"/>
    <w:rsid w:val="00FC4E01"/>
    <w:rsid w:val="00FC578A"/>
    <w:rsid w:val="00FC7267"/>
    <w:rsid w:val="00FD5054"/>
    <w:rsid w:val="00FD5480"/>
    <w:rsid w:val="00FE106A"/>
    <w:rsid w:val="00FE17DE"/>
    <w:rsid w:val="00FE2F21"/>
    <w:rsid w:val="00FE4DA7"/>
    <w:rsid w:val="00FE5B18"/>
    <w:rsid w:val="00FE7D2A"/>
    <w:rsid w:val="00FF1B30"/>
    <w:rsid w:val="00FF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147BD"/>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47BD"/>
    <w:rPr>
      <w:rFonts w:ascii="Arial" w:eastAsia="Times New Roman" w:hAnsi="Arial" w:cs="Times New Roman"/>
      <w:b/>
      <w:bCs/>
      <w:color w:val="000080"/>
      <w:sz w:val="20"/>
      <w:szCs w:val="20"/>
      <w:lang w:eastAsia="ru-RU"/>
    </w:rPr>
  </w:style>
  <w:style w:type="paragraph" w:styleId="a3">
    <w:name w:val="Body Text Indent"/>
    <w:basedOn w:val="a"/>
    <w:link w:val="a4"/>
    <w:rsid w:val="003147BD"/>
    <w:pPr>
      <w:spacing w:after="120"/>
      <w:ind w:left="283"/>
      <w:jc w:val="both"/>
    </w:pPr>
  </w:style>
  <w:style w:type="character" w:customStyle="1" w:styleId="a4">
    <w:name w:val="Основной текст с отступом Знак"/>
    <w:basedOn w:val="a0"/>
    <w:link w:val="a3"/>
    <w:rsid w:val="003147BD"/>
    <w:rPr>
      <w:rFonts w:ascii="Times New Roman" w:eastAsia="Calibri" w:hAnsi="Times New Roman" w:cs="Times New Roman"/>
      <w:sz w:val="24"/>
      <w:szCs w:val="24"/>
      <w:lang w:eastAsia="ru-RU"/>
    </w:rPr>
  </w:style>
  <w:style w:type="paragraph" w:customStyle="1" w:styleId="Style8">
    <w:name w:val="Style8"/>
    <w:basedOn w:val="a"/>
    <w:uiPriority w:val="99"/>
    <w:rsid w:val="003147BD"/>
    <w:pPr>
      <w:widowControl w:val="0"/>
      <w:autoSpaceDE w:val="0"/>
      <w:autoSpaceDN w:val="0"/>
      <w:adjustRightInd w:val="0"/>
      <w:spacing w:after="60" w:line="308" w:lineRule="exact"/>
      <w:ind w:firstLine="662"/>
      <w:jc w:val="both"/>
    </w:pPr>
  </w:style>
  <w:style w:type="character" w:customStyle="1" w:styleId="FontStyle16">
    <w:name w:val="Font Style16"/>
    <w:basedOn w:val="a0"/>
    <w:uiPriority w:val="99"/>
    <w:rsid w:val="003147BD"/>
    <w:rPr>
      <w:rFonts w:ascii="Times New Roman" w:hAnsi="Times New Roman" w:cs="Times New Roman"/>
      <w:sz w:val="26"/>
      <w:szCs w:val="26"/>
    </w:rPr>
  </w:style>
  <w:style w:type="paragraph" w:customStyle="1" w:styleId="ConsPlusNormal">
    <w:name w:val="ConsPlusNormal"/>
    <w:link w:val="ConsPlusNormal0"/>
    <w:qFormat/>
    <w:rsid w:val="003147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99"/>
    <w:qFormat/>
    <w:rsid w:val="003147BD"/>
    <w:pPr>
      <w:spacing w:after="60"/>
      <w:ind w:left="720"/>
      <w:contextualSpacing/>
      <w:jc w:val="both"/>
    </w:pPr>
  </w:style>
  <w:style w:type="table" w:styleId="a6">
    <w:name w:val="Table Grid"/>
    <w:basedOn w:val="a1"/>
    <w:uiPriority w:val="59"/>
    <w:rsid w:val="003147B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Прижатый влево"/>
    <w:basedOn w:val="a"/>
    <w:next w:val="a"/>
    <w:uiPriority w:val="99"/>
    <w:rsid w:val="003147BD"/>
    <w:pPr>
      <w:autoSpaceDE w:val="0"/>
      <w:autoSpaceDN w:val="0"/>
      <w:adjustRightInd w:val="0"/>
      <w:spacing w:after="60"/>
      <w:jc w:val="both"/>
    </w:pPr>
    <w:rPr>
      <w:rFonts w:ascii="Arial" w:hAnsi="Arial" w:cs="Arial"/>
    </w:rPr>
  </w:style>
  <w:style w:type="paragraph" w:styleId="a8">
    <w:name w:val="No Spacing"/>
    <w:uiPriority w:val="1"/>
    <w:qFormat/>
    <w:rsid w:val="003147BD"/>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3147BD"/>
    <w:pPr>
      <w:spacing w:after="60"/>
      <w:jc w:val="both"/>
    </w:pPr>
    <w:rPr>
      <w:rFonts w:ascii="Tahoma" w:hAnsi="Tahoma" w:cs="Tahoma"/>
      <w:sz w:val="16"/>
      <w:szCs w:val="16"/>
    </w:rPr>
  </w:style>
  <w:style w:type="character" w:customStyle="1" w:styleId="aa">
    <w:name w:val="Текст выноски Знак"/>
    <w:basedOn w:val="a0"/>
    <w:link w:val="a9"/>
    <w:uiPriority w:val="99"/>
    <w:semiHidden/>
    <w:rsid w:val="003147BD"/>
    <w:rPr>
      <w:rFonts w:ascii="Tahoma" w:eastAsia="Calibri" w:hAnsi="Tahoma" w:cs="Tahoma"/>
      <w:sz w:val="16"/>
      <w:szCs w:val="16"/>
      <w:lang w:eastAsia="ru-RU"/>
    </w:rPr>
  </w:style>
  <w:style w:type="paragraph" w:styleId="ab">
    <w:name w:val="header"/>
    <w:basedOn w:val="a"/>
    <w:link w:val="ac"/>
    <w:uiPriority w:val="99"/>
    <w:unhideWhenUsed/>
    <w:rsid w:val="003147BD"/>
    <w:pPr>
      <w:tabs>
        <w:tab w:val="center" w:pos="4677"/>
        <w:tab w:val="right" w:pos="9355"/>
      </w:tabs>
      <w:spacing w:after="60"/>
      <w:jc w:val="both"/>
    </w:pPr>
  </w:style>
  <w:style w:type="character" w:customStyle="1" w:styleId="ac">
    <w:name w:val="Верхний колонтитул Знак"/>
    <w:basedOn w:val="a0"/>
    <w:link w:val="ab"/>
    <w:uiPriority w:val="99"/>
    <w:rsid w:val="003147BD"/>
    <w:rPr>
      <w:rFonts w:ascii="Times New Roman" w:eastAsia="Calibri" w:hAnsi="Times New Roman" w:cs="Times New Roman"/>
      <w:sz w:val="24"/>
      <w:szCs w:val="24"/>
      <w:lang w:eastAsia="ru-RU"/>
    </w:rPr>
  </w:style>
  <w:style w:type="paragraph" w:styleId="ad">
    <w:name w:val="footer"/>
    <w:basedOn w:val="a"/>
    <w:link w:val="ae"/>
    <w:uiPriority w:val="99"/>
    <w:unhideWhenUsed/>
    <w:rsid w:val="003147BD"/>
    <w:pPr>
      <w:tabs>
        <w:tab w:val="center" w:pos="4677"/>
        <w:tab w:val="right" w:pos="9355"/>
      </w:tabs>
      <w:spacing w:after="60"/>
      <w:jc w:val="both"/>
    </w:pPr>
  </w:style>
  <w:style w:type="character" w:customStyle="1" w:styleId="ae">
    <w:name w:val="Нижний колонтитул Знак"/>
    <w:basedOn w:val="a0"/>
    <w:link w:val="ad"/>
    <w:uiPriority w:val="99"/>
    <w:rsid w:val="003147BD"/>
    <w:rPr>
      <w:rFonts w:ascii="Times New Roman" w:eastAsia="Calibri" w:hAnsi="Times New Roman" w:cs="Times New Roman"/>
      <w:sz w:val="24"/>
      <w:szCs w:val="24"/>
      <w:lang w:eastAsia="ru-RU"/>
    </w:rPr>
  </w:style>
  <w:style w:type="paragraph" w:styleId="af">
    <w:name w:val="Title"/>
    <w:basedOn w:val="a"/>
    <w:link w:val="af0"/>
    <w:qFormat/>
    <w:rsid w:val="003147BD"/>
    <w:pPr>
      <w:spacing w:after="60"/>
      <w:jc w:val="center"/>
    </w:pPr>
    <w:rPr>
      <w:b/>
      <w:szCs w:val="20"/>
    </w:rPr>
  </w:style>
  <w:style w:type="character" w:customStyle="1" w:styleId="af0">
    <w:name w:val="Название Знак"/>
    <w:basedOn w:val="a0"/>
    <w:link w:val="af"/>
    <w:rsid w:val="003147BD"/>
    <w:rPr>
      <w:rFonts w:ascii="Times New Roman" w:eastAsia="Times New Roman" w:hAnsi="Times New Roman" w:cs="Times New Roman"/>
      <w:b/>
      <w:sz w:val="24"/>
      <w:szCs w:val="20"/>
      <w:lang w:eastAsia="ru-RU"/>
    </w:rPr>
  </w:style>
  <w:style w:type="paragraph" w:styleId="af1">
    <w:name w:val="Body Text"/>
    <w:aliases w:val="Òàáë òåêñò"/>
    <w:basedOn w:val="a"/>
    <w:link w:val="af2"/>
    <w:unhideWhenUsed/>
    <w:rsid w:val="003147BD"/>
    <w:pPr>
      <w:spacing w:after="120"/>
      <w:jc w:val="both"/>
    </w:pPr>
  </w:style>
  <w:style w:type="character" w:customStyle="1" w:styleId="af2">
    <w:name w:val="Основной текст Знак"/>
    <w:aliases w:val="Òàáë òåêñò Знак"/>
    <w:basedOn w:val="a0"/>
    <w:link w:val="af1"/>
    <w:rsid w:val="003147BD"/>
    <w:rPr>
      <w:rFonts w:ascii="Times New Roman" w:eastAsia="Times New Roman" w:hAnsi="Times New Roman" w:cs="Times New Roman"/>
      <w:sz w:val="24"/>
      <w:szCs w:val="24"/>
      <w:lang w:eastAsia="ru-RU"/>
    </w:rPr>
  </w:style>
  <w:style w:type="paragraph" w:customStyle="1" w:styleId="11">
    <w:name w:val="Абзац списка1"/>
    <w:basedOn w:val="a"/>
    <w:rsid w:val="003147BD"/>
    <w:pPr>
      <w:spacing w:after="60"/>
      <w:ind w:left="720"/>
      <w:jc w:val="both"/>
    </w:pPr>
  </w:style>
  <w:style w:type="paragraph" w:customStyle="1" w:styleId="ConsPlusNonformat">
    <w:name w:val="ConsPlusNonformat"/>
    <w:uiPriority w:val="99"/>
    <w:rsid w:val="003147BD"/>
    <w:pPr>
      <w:autoSpaceDE w:val="0"/>
      <w:autoSpaceDN w:val="0"/>
      <w:adjustRightInd w:val="0"/>
      <w:spacing w:after="0" w:line="240" w:lineRule="auto"/>
    </w:pPr>
    <w:rPr>
      <w:rFonts w:ascii="Courier New" w:hAnsi="Courier New" w:cs="Courier New"/>
      <w:sz w:val="20"/>
      <w:szCs w:val="20"/>
    </w:rPr>
  </w:style>
  <w:style w:type="paragraph" w:customStyle="1" w:styleId="af3">
    <w:name w:val="Заголовок статьи"/>
    <w:basedOn w:val="a"/>
    <w:next w:val="a"/>
    <w:uiPriority w:val="99"/>
    <w:rsid w:val="003147BD"/>
    <w:pPr>
      <w:autoSpaceDE w:val="0"/>
      <w:autoSpaceDN w:val="0"/>
      <w:adjustRightInd w:val="0"/>
      <w:spacing w:after="60"/>
      <w:ind w:left="1612" w:hanging="892"/>
      <w:jc w:val="both"/>
    </w:pPr>
    <w:rPr>
      <w:rFonts w:ascii="Arial" w:hAnsi="Arial"/>
    </w:rPr>
  </w:style>
  <w:style w:type="paragraph" w:customStyle="1" w:styleId="western">
    <w:name w:val="western"/>
    <w:basedOn w:val="a"/>
    <w:rsid w:val="003147BD"/>
    <w:pPr>
      <w:spacing w:before="100" w:beforeAutospacing="1" w:after="100" w:afterAutospacing="1"/>
      <w:jc w:val="both"/>
    </w:pPr>
  </w:style>
  <w:style w:type="character" w:styleId="af4">
    <w:name w:val="Hyperlink"/>
    <w:basedOn w:val="a0"/>
    <w:uiPriority w:val="99"/>
    <w:unhideWhenUsed/>
    <w:rsid w:val="000E5446"/>
    <w:rPr>
      <w:color w:val="0000FF"/>
      <w:u w:val="single"/>
    </w:rPr>
  </w:style>
  <w:style w:type="character" w:customStyle="1" w:styleId="ConsPlusNormal0">
    <w:name w:val="ConsPlusNormal Знак"/>
    <w:basedOn w:val="a0"/>
    <w:link w:val="ConsPlusNormal"/>
    <w:locked/>
    <w:rsid w:val="00616EC1"/>
    <w:rPr>
      <w:rFonts w:ascii="Arial" w:eastAsia="Times New Roman" w:hAnsi="Arial" w:cs="Arial"/>
      <w:sz w:val="20"/>
      <w:szCs w:val="20"/>
      <w:lang w:eastAsia="ru-RU"/>
    </w:rPr>
  </w:style>
  <w:style w:type="paragraph" w:styleId="af5">
    <w:name w:val="Normal (Web)"/>
    <w:basedOn w:val="a"/>
    <w:uiPriority w:val="99"/>
    <w:unhideWhenUsed/>
    <w:rsid w:val="00C62538"/>
    <w:pPr>
      <w:spacing w:before="100" w:beforeAutospacing="1" w:after="100" w:afterAutospacing="1"/>
      <w:jc w:val="both"/>
    </w:pPr>
  </w:style>
  <w:style w:type="character" w:customStyle="1" w:styleId="af6">
    <w:name w:val="Основной текст_"/>
    <w:link w:val="6"/>
    <w:rsid w:val="001C547F"/>
    <w:rPr>
      <w:rFonts w:ascii="Times New Roman" w:eastAsia="Times New Roman" w:hAnsi="Times New Roman" w:cs="Times New Roman"/>
      <w:sz w:val="26"/>
      <w:szCs w:val="26"/>
      <w:shd w:val="clear" w:color="auto" w:fill="FFFFFF"/>
    </w:rPr>
  </w:style>
  <w:style w:type="character" w:customStyle="1" w:styleId="12">
    <w:name w:val="Основной текст1"/>
    <w:rsid w:val="001C547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6">
    <w:name w:val="Основной текст6"/>
    <w:basedOn w:val="a"/>
    <w:link w:val="af6"/>
    <w:rsid w:val="001C547F"/>
    <w:pPr>
      <w:widowControl w:val="0"/>
      <w:shd w:val="clear" w:color="auto" w:fill="FFFFFF"/>
      <w:spacing w:line="0" w:lineRule="atLeast"/>
    </w:pPr>
    <w:rPr>
      <w:sz w:val="26"/>
      <w:szCs w:val="26"/>
      <w:lang w:eastAsia="en-US"/>
    </w:rPr>
  </w:style>
  <w:style w:type="character" w:customStyle="1" w:styleId="13">
    <w:name w:val="Заголовок №1_"/>
    <w:basedOn w:val="a0"/>
    <w:link w:val="14"/>
    <w:rsid w:val="00770256"/>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770256"/>
    <w:rPr>
      <w:rFonts w:ascii="Times New Roman" w:eastAsia="Times New Roman" w:hAnsi="Times New Roman" w:cs="Times New Roman"/>
      <w:sz w:val="21"/>
      <w:szCs w:val="21"/>
      <w:shd w:val="clear" w:color="auto" w:fill="FFFFFF"/>
    </w:rPr>
  </w:style>
  <w:style w:type="character" w:customStyle="1" w:styleId="29pt">
    <w:name w:val="Основной текст (2) + 9 pt;Полужирный"/>
    <w:basedOn w:val="2"/>
    <w:rsid w:val="00770256"/>
    <w:rPr>
      <w:b/>
      <w:bCs/>
      <w:color w:val="000000"/>
      <w:spacing w:val="0"/>
      <w:w w:val="100"/>
      <w:position w:val="0"/>
      <w:sz w:val="18"/>
      <w:szCs w:val="18"/>
      <w:lang w:val="ru-RU" w:eastAsia="ru-RU" w:bidi="ru-RU"/>
    </w:rPr>
  </w:style>
  <w:style w:type="character" w:customStyle="1" w:styleId="29pt0">
    <w:name w:val="Основной текст (2) + 9 pt"/>
    <w:basedOn w:val="2"/>
    <w:rsid w:val="00770256"/>
    <w:rPr>
      <w:color w:val="000000"/>
      <w:spacing w:val="0"/>
      <w:w w:val="100"/>
      <w:position w:val="0"/>
      <w:sz w:val="18"/>
      <w:szCs w:val="18"/>
      <w:lang w:val="ru-RU" w:eastAsia="ru-RU" w:bidi="ru-RU"/>
    </w:rPr>
  </w:style>
  <w:style w:type="character" w:customStyle="1" w:styleId="29pt0pt">
    <w:name w:val="Основной текст (2) + 9 pt;Полужирный;Интервал 0 pt"/>
    <w:basedOn w:val="2"/>
    <w:rsid w:val="00770256"/>
    <w:rPr>
      <w:b/>
      <w:bCs/>
      <w:color w:val="000000"/>
      <w:spacing w:val="10"/>
      <w:w w:val="100"/>
      <w:position w:val="0"/>
      <w:sz w:val="18"/>
      <w:szCs w:val="18"/>
      <w:lang w:val="ru-RU" w:eastAsia="ru-RU" w:bidi="ru-RU"/>
    </w:rPr>
  </w:style>
  <w:style w:type="character" w:customStyle="1" w:styleId="2Georgia6pt">
    <w:name w:val="Основной текст (2) + Georgia;6 pt"/>
    <w:basedOn w:val="2"/>
    <w:rsid w:val="00770256"/>
    <w:rPr>
      <w:rFonts w:ascii="Georgia" w:eastAsia="Georgia" w:hAnsi="Georgia" w:cs="Georgia"/>
      <w:color w:val="000000"/>
      <w:spacing w:val="0"/>
      <w:w w:val="100"/>
      <w:position w:val="0"/>
      <w:sz w:val="12"/>
      <w:szCs w:val="12"/>
      <w:lang w:val="ru-RU" w:eastAsia="ru-RU" w:bidi="ru-RU"/>
    </w:rPr>
  </w:style>
  <w:style w:type="character" w:customStyle="1" w:styleId="29pt1">
    <w:name w:val="Основной текст (2) + 9 pt;Полужирный;Малые прописные"/>
    <w:basedOn w:val="2"/>
    <w:rsid w:val="00770256"/>
    <w:rPr>
      <w:b/>
      <w:bCs/>
      <w:smallCaps/>
      <w:color w:val="000000"/>
      <w:spacing w:val="0"/>
      <w:w w:val="100"/>
      <w:position w:val="0"/>
      <w:sz w:val="18"/>
      <w:szCs w:val="18"/>
      <w:lang w:val="en-US" w:eastAsia="en-US" w:bidi="en-US"/>
    </w:rPr>
  </w:style>
  <w:style w:type="character" w:customStyle="1" w:styleId="2Tahoma8pt">
    <w:name w:val="Основной текст (2) + Tahoma;8 pt;Курсив"/>
    <w:basedOn w:val="2"/>
    <w:rsid w:val="00770256"/>
    <w:rPr>
      <w:rFonts w:ascii="Tahoma" w:eastAsia="Tahoma" w:hAnsi="Tahoma" w:cs="Tahoma"/>
      <w:i/>
      <w:iCs/>
      <w:color w:val="000000"/>
      <w:spacing w:val="0"/>
      <w:w w:val="100"/>
      <w:position w:val="0"/>
      <w:sz w:val="16"/>
      <w:szCs w:val="16"/>
      <w:lang w:val="ru-RU" w:eastAsia="ru-RU" w:bidi="ru-RU"/>
    </w:rPr>
  </w:style>
  <w:style w:type="character" w:customStyle="1" w:styleId="29pt0pt0">
    <w:name w:val="Основной текст (2) + 9 pt;Полужирный;Малые прописные;Интервал 0 pt"/>
    <w:basedOn w:val="2"/>
    <w:rsid w:val="00770256"/>
    <w:rPr>
      <w:b/>
      <w:bCs/>
      <w:smallCaps/>
      <w:color w:val="000000"/>
      <w:spacing w:val="10"/>
      <w:w w:val="100"/>
      <w:position w:val="0"/>
      <w:sz w:val="18"/>
      <w:szCs w:val="18"/>
      <w:lang w:val="en-US" w:eastAsia="en-US" w:bidi="en-US"/>
    </w:rPr>
  </w:style>
  <w:style w:type="character" w:customStyle="1" w:styleId="2115pt0pt">
    <w:name w:val="Основной текст (2) + 11;5 pt;Интервал 0 pt"/>
    <w:basedOn w:val="2"/>
    <w:rsid w:val="00770256"/>
    <w:rPr>
      <w:color w:val="000000"/>
      <w:spacing w:val="10"/>
      <w:w w:val="100"/>
      <w:position w:val="0"/>
      <w:sz w:val="23"/>
      <w:szCs w:val="23"/>
      <w:lang w:val="en-US" w:eastAsia="en-US" w:bidi="en-US"/>
    </w:rPr>
  </w:style>
  <w:style w:type="paragraph" w:customStyle="1" w:styleId="14">
    <w:name w:val="Заголовок №1"/>
    <w:basedOn w:val="a"/>
    <w:link w:val="13"/>
    <w:rsid w:val="00770256"/>
    <w:pPr>
      <w:widowControl w:val="0"/>
      <w:shd w:val="clear" w:color="auto" w:fill="FFFFFF"/>
      <w:spacing w:after="240" w:line="0" w:lineRule="atLeast"/>
      <w:jc w:val="right"/>
      <w:outlineLvl w:val="0"/>
    </w:pPr>
    <w:rPr>
      <w:sz w:val="22"/>
      <w:szCs w:val="22"/>
      <w:lang w:eastAsia="en-US"/>
    </w:rPr>
  </w:style>
  <w:style w:type="paragraph" w:customStyle="1" w:styleId="20">
    <w:name w:val="Основной текст (2)"/>
    <w:basedOn w:val="a"/>
    <w:link w:val="2"/>
    <w:rsid w:val="00770256"/>
    <w:pPr>
      <w:widowControl w:val="0"/>
      <w:shd w:val="clear" w:color="auto" w:fill="FFFFFF"/>
      <w:spacing w:before="240" w:line="254" w:lineRule="exact"/>
      <w:jc w:val="center"/>
    </w:pPr>
    <w:rPr>
      <w:sz w:val="21"/>
      <w:szCs w:val="21"/>
      <w:lang w:eastAsia="en-US"/>
    </w:rPr>
  </w:style>
  <w:style w:type="paragraph" w:styleId="af7">
    <w:name w:val="footnote text"/>
    <w:basedOn w:val="a"/>
    <w:link w:val="af8"/>
    <w:uiPriority w:val="99"/>
    <w:semiHidden/>
    <w:unhideWhenUsed/>
    <w:rsid w:val="00770256"/>
    <w:pPr>
      <w:widowControl w:val="0"/>
    </w:pPr>
    <w:rPr>
      <w:rFonts w:ascii="Tahoma" w:eastAsia="Tahoma" w:hAnsi="Tahoma" w:cs="Tahoma"/>
      <w:color w:val="000000"/>
      <w:sz w:val="20"/>
      <w:szCs w:val="20"/>
      <w:lang w:bidi="ru-RU"/>
    </w:rPr>
  </w:style>
  <w:style w:type="character" w:customStyle="1" w:styleId="af8">
    <w:name w:val="Текст сноски Знак"/>
    <w:basedOn w:val="a0"/>
    <w:link w:val="af7"/>
    <w:uiPriority w:val="99"/>
    <w:semiHidden/>
    <w:rsid w:val="00770256"/>
    <w:rPr>
      <w:rFonts w:ascii="Tahoma" w:eastAsia="Tahoma" w:hAnsi="Tahoma" w:cs="Tahoma"/>
      <w:color w:val="000000"/>
      <w:sz w:val="20"/>
      <w:szCs w:val="20"/>
      <w:lang w:eastAsia="ru-RU" w:bidi="ru-RU"/>
    </w:rPr>
  </w:style>
  <w:style w:type="character" w:customStyle="1" w:styleId="af9">
    <w:name w:val="Гипертекстовая ссылка"/>
    <w:basedOn w:val="a0"/>
    <w:uiPriority w:val="99"/>
    <w:rsid w:val="000E078F"/>
    <w:rPr>
      <w:color w:val="008000"/>
    </w:rPr>
  </w:style>
  <w:style w:type="paragraph" w:customStyle="1" w:styleId="people-post">
    <w:name w:val="people-post"/>
    <w:basedOn w:val="a"/>
    <w:rsid w:val="003538AA"/>
    <w:pPr>
      <w:spacing w:before="100" w:beforeAutospacing="1" w:after="100" w:afterAutospacing="1"/>
    </w:pPr>
  </w:style>
  <w:style w:type="paragraph" w:customStyle="1" w:styleId="people-name">
    <w:name w:val="people-name"/>
    <w:basedOn w:val="a"/>
    <w:rsid w:val="003538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2572410">
      <w:bodyDiv w:val="1"/>
      <w:marLeft w:val="0"/>
      <w:marRight w:val="0"/>
      <w:marTop w:val="0"/>
      <w:marBottom w:val="0"/>
      <w:divBdr>
        <w:top w:val="none" w:sz="0" w:space="0" w:color="auto"/>
        <w:left w:val="none" w:sz="0" w:space="0" w:color="auto"/>
        <w:bottom w:val="none" w:sz="0" w:space="0" w:color="auto"/>
        <w:right w:val="none" w:sz="0" w:space="0" w:color="auto"/>
      </w:divBdr>
    </w:div>
    <w:div w:id="326901502">
      <w:bodyDiv w:val="1"/>
      <w:marLeft w:val="0"/>
      <w:marRight w:val="0"/>
      <w:marTop w:val="0"/>
      <w:marBottom w:val="0"/>
      <w:divBdr>
        <w:top w:val="none" w:sz="0" w:space="0" w:color="auto"/>
        <w:left w:val="none" w:sz="0" w:space="0" w:color="auto"/>
        <w:bottom w:val="none" w:sz="0" w:space="0" w:color="auto"/>
        <w:right w:val="none" w:sz="0" w:space="0" w:color="auto"/>
      </w:divBdr>
    </w:div>
    <w:div w:id="425007524">
      <w:bodyDiv w:val="1"/>
      <w:marLeft w:val="0"/>
      <w:marRight w:val="0"/>
      <w:marTop w:val="0"/>
      <w:marBottom w:val="0"/>
      <w:divBdr>
        <w:top w:val="none" w:sz="0" w:space="0" w:color="auto"/>
        <w:left w:val="none" w:sz="0" w:space="0" w:color="auto"/>
        <w:bottom w:val="none" w:sz="0" w:space="0" w:color="auto"/>
        <w:right w:val="none" w:sz="0" w:space="0" w:color="auto"/>
      </w:divBdr>
    </w:div>
    <w:div w:id="481776950">
      <w:bodyDiv w:val="1"/>
      <w:marLeft w:val="0"/>
      <w:marRight w:val="0"/>
      <w:marTop w:val="0"/>
      <w:marBottom w:val="0"/>
      <w:divBdr>
        <w:top w:val="none" w:sz="0" w:space="0" w:color="auto"/>
        <w:left w:val="none" w:sz="0" w:space="0" w:color="auto"/>
        <w:bottom w:val="none" w:sz="0" w:space="0" w:color="auto"/>
        <w:right w:val="none" w:sz="0" w:space="0" w:color="auto"/>
      </w:divBdr>
    </w:div>
    <w:div w:id="608007374">
      <w:bodyDiv w:val="1"/>
      <w:marLeft w:val="0"/>
      <w:marRight w:val="0"/>
      <w:marTop w:val="0"/>
      <w:marBottom w:val="0"/>
      <w:divBdr>
        <w:top w:val="none" w:sz="0" w:space="0" w:color="auto"/>
        <w:left w:val="none" w:sz="0" w:space="0" w:color="auto"/>
        <w:bottom w:val="none" w:sz="0" w:space="0" w:color="auto"/>
        <w:right w:val="none" w:sz="0" w:space="0" w:color="auto"/>
      </w:divBdr>
    </w:div>
    <w:div w:id="949703225">
      <w:bodyDiv w:val="1"/>
      <w:marLeft w:val="0"/>
      <w:marRight w:val="0"/>
      <w:marTop w:val="0"/>
      <w:marBottom w:val="0"/>
      <w:divBdr>
        <w:top w:val="none" w:sz="0" w:space="0" w:color="auto"/>
        <w:left w:val="none" w:sz="0" w:space="0" w:color="auto"/>
        <w:bottom w:val="none" w:sz="0" w:space="0" w:color="auto"/>
        <w:right w:val="none" w:sz="0" w:space="0" w:color="auto"/>
      </w:divBdr>
    </w:div>
    <w:div w:id="999234474">
      <w:bodyDiv w:val="1"/>
      <w:marLeft w:val="0"/>
      <w:marRight w:val="0"/>
      <w:marTop w:val="0"/>
      <w:marBottom w:val="0"/>
      <w:divBdr>
        <w:top w:val="none" w:sz="0" w:space="0" w:color="auto"/>
        <w:left w:val="none" w:sz="0" w:space="0" w:color="auto"/>
        <w:bottom w:val="none" w:sz="0" w:space="0" w:color="auto"/>
        <w:right w:val="none" w:sz="0" w:space="0" w:color="auto"/>
      </w:divBdr>
    </w:div>
    <w:div w:id="1144273890">
      <w:bodyDiv w:val="1"/>
      <w:marLeft w:val="0"/>
      <w:marRight w:val="0"/>
      <w:marTop w:val="0"/>
      <w:marBottom w:val="0"/>
      <w:divBdr>
        <w:top w:val="none" w:sz="0" w:space="0" w:color="auto"/>
        <w:left w:val="none" w:sz="0" w:space="0" w:color="auto"/>
        <w:bottom w:val="none" w:sz="0" w:space="0" w:color="auto"/>
        <w:right w:val="none" w:sz="0" w:space="0" w:color="auto"/>
      </w:divBdr>
    </w:div>
    <w:div w:id="1190683887">
      <w:bodyDiv w:val="1"/>
      <w:marLeft w:val="0"/>
      <w:marRight w:val="0"/>
      <w:marTop w:val="0"/>
      <w:marBottom w:val="0"/>
      <w:divBdr>
        <w:top w:val="none" w:sz="0" w:space="0" w:color="auto"/>
        <w:left w:val="none" w:sz="0" w:space="0" w:color="auto"/>
        <w:bottom w:val="none" w:sz="0" w:space="0" w:color="auto"/>
        <w:right w:val="none" w:sz="0" w:space="0" w:color="auto"/>
      </w:divBdr>
    </w:div>
    <w:div w:id="1372613333">
      <w:bodyDiv w:val="1"/>
      <w:marLeft w:val="0"/>
      <w:marRight w:val="0"/>
      <w:marTop w:val="0"/>
      <w:marBottom w:val="0"/>
      <w:divBdr>
        <w:top w:val="none" w:sz="0" w:space="0" w:color="auto"/>
        <w:left w:val="none" w:sz="0" w:space="0" w:color="auto"/>
        <w:bottom w:val="none" w:sz="0" w:space="0" w:color="auto"/>
        <w:right w:val="none" w:sz="0" w:space="0" w:color="auto"/>
      </w:divBdr>
    </w:div>
    <w:div w:id="1486975125">
      <w:bodyDiv w:val="1"/>
      <w:marLeft w:val="0"/>
      <w:marRight w:val="0"/>
      <w:marTop w:val="0"/>
      <w:marBottom w:val="0"/>
      <w:divBdr>
        <w:top w:val="none" w:sz="0" w:space="0" w:color="auto"/>
        <w:left w:val="none" w:sz="0" w:space="0" w:color="auto"/>
        <w:bottom w:val="none" w:sz="0" w:space="0" w:color="auto"/>
        <w:right w:val="none" w:sz="0" w:space="0" w:color="auto"/>
      </w:divBdr>
    </w:div>
    <w:div w:id="1502047253">
      <w:bodyDiv w:val="1"/>
      <w:marLeft w:val="0"/>
      <w:marRight w:val="0"/>
      <w:marTop w:val="0"/>
      <w:marBottom w:val="0"/>
      <w:divBdr>
        <w:top w:val="none" w:sz="0" w:space="0" w:color="auto"/>
        <w:left w:val="none" w:sz="0" w:space="0" w:color="auto"/>
        <w:bottom w:val="none" w:sz="0" w:space="0" w:color="auto"/>
        <w:right w:val="none" w:sz="0" w:space="0" w:color="auto"/>
      </w:divBdr>
    </w:div>
    <w:div w:id="1667245576">
      <w:bodyDiv w:val="1"/>
      <w:marLeft w:val="0"/>
      <w:marRight w:val="0"/>
      <w:marTop w:val="0"/>
      <w:marBottom w:val="0"/>
      <w:divBdr>
        <w:top w:val="none" w:sz="0" w:space="0" w:color="auto"/>
        <w:left w:val="none" w:sz="0" w:space="0" w:color="auto"/>
        <w:bottom w:val="none" w:sz="0" w:space="0" w:color="auto"/>
        <w:right w:val="none" w:sz="0" w:space="0" w:color="auto"/>
      </w:divBdr>
    </w:div>
    <w:div w:id="1861123803">
      <w:bodyDiv w:val="1"/>
      <w:marLeft w:val="0"/>
      <w:marRight w:val="0"/>
      <w:marTop w:val="0"/>
      <w:marBottom w:val="0"/>
      <w:divBdr>
        <w:top w:val="none" w:sz="0" w:space="0" w:color="auto"/>
        <w:left w:val="none" w:sz="0" w:space="0" w:color="auto"/>
        <w:bottom w:val="none" w:sz="0" w:space="0" w:color="auto"/>
        <w:right w:val="none" w:sz="0" w:space="0" w:color="auto"/>
      </w:divBdr>
    </w:div>
    <w:div w:id="1882134087">
      <w:bodyDiv w:val="1"/>
      <w:marLeft w:val="0"/>
      <w:marRight w:val="0"/>
      <w:marTop w:val="0"/>
      <w:marBottom w:val="0"/>
      <w:divBdr>
        <w:top w:val="none" w:sz="0" w:space="0" w:color="auto"/>
        <w:left w:val="none" w:sz="0" w:space="0" w:color="auto"/>
        <w:bottom w:val="none" w:sz="0" w:space="0" w:color="auto"/>
        <w:right w:val="none" w:sz="0" w:space="0" w:color="auto"/>
      </w:divBdr>
    </w:div>
    <w:div w:id="1895460756">
      <w:bodyDiv w:val="1"/>
      <w:marLeft w:val="0"/>
      <w:marRight w:val="0"/>
      <w:marTop w:val="0"/>
      <w:marBottom w:val="0"/>
      <w:divBdr>
        <w:top w:val="none" w:sz="0" w:space="0" w:color="auto"/>
        <w:left w:val="none" w:sz="0" w:space="0" w:color="auto"/>
        <w:bottom w:val="none" w:sz="0" w:space="0" w:color="auto"/>
        <w:right w:val="none" w:sz="0" w:space="0" w:color="auto"/>
      </w:divBdr>
    </w:div>
    <w:div w:id="1921327076">
      <w:bodyDiv w:val="1"/>
      <w:marLeft w:val="0"/>
      <w:marRight w:val="0"/>
      <w:marTop w:val="0"/>
      <w:marBottom w:val="0"/>
      <w:divBdr>
        <w:top w:val="none" w:sz="0" w:space="0" w:color="auto"/>
        <w:left w:val="none" w:sz="0" w:space="0" w:color="auto"/>
        <w:bottom w:val="none" w:sz="0" w:space="0" w:color="auto"/>
        <w:right w:val="none" w:sz="0" w:space="0" w:color="auto"/>
      </w:divBdr>
    </w:div>
    <w:div w:id="19323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0DFABE5E1ED8F4E98EECB0431F29624241561FFEF9E2AE070156B983C01FDE52155DE48F2B424059CBA247ABBBF2682A7F6E686E80FD4C9043D3DtFQ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74B2491A2621EB5208AC563F594009AA1CB827D71137264A18ABFFDAB0145E9B890DFA76A114BFF59B5D07B591285DFC2CBA3D39B39v6F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BDFB-9D7A-45D6-832C-FC2BF020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5769</Words>
  <Characters>32885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Зубрева</dc:creator>
  <cp:lastModifiedBy>O_Rybnikova</cp:lastModifiedBy>
  <cp:revision>6</cp:revision>
  <cp:lastPrinted>2020-04-13T10:44:00Z</cp:lastPrinted>
  <dcterms:created xsi:type="dcterms:W3CDTF">2020-04-13T05:37:00Z</dcterms:created>
  <dcterms:modified xsi:type="dcterms:W3CDTF">2020-04-13T10:44:00Z</dcterms:modified>
</cp:coreProperties>
</file>