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0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9"/>
        <w:gridCol w:w="5090"/>
      </w:tblGrid>
      <w:tr w:rsidR="00E80303" w:rsidRPr="00A27310">
        <w:trPr>
          <w:cantSplit/>
        </w:trPr>
        <w:tc>
          <w:tcPr>
            <w:tcW w:w="9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303" w:rsidRPr="00A27310" w:rsidRDefault="00C46A9E" w:rsidP="00510C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9595" cy="724535"/>
                  <wp:effectExtent l="19050" t="0" r="1905" b="0"/>
                  <wp:docPr id="1" name="Рисунок 1" descr="Изображение Герба Волгоградской области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Герба Волгоградской области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303" w:rsidRPr="00A27310">
        <w:trPr>
          <w:cantSplit/>
          <w:trHeight w:val="401"/>
        </w:trPr>
        <w:tc>
          <w:tcPr>
            <w:tcW w:w="9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303" w:rsidRPr="00A27310" w:rsidRDefault="00E80303" w:rsidP="00510C77">
            <w:pPr>
              <w:pStyle w:val="21"/>
              <w:rPr>
                <w:sz w:val="24"/>
                <w:szCs w:val="24"/>
              </w:rPr>
            </w:pPr>
            <w:r w:rsidRPr="00A27310">
              <w:rPr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E80303" w:rsidRPr="00A27310">
        <w:trPr>
          <w:cantSplit/>
        </w:trPr>
        <w:tc>
          <w:tcPr>
            <w:tcW w:w="9999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E80303" w:rsidRPr="00A27310" w:rsidRDefault="00E80303" w:rsidP="00510C77">
            <w:pPr>
              <w:jc w:val="both"/>
            </w:pPr>
          </w:p>
        </w:tc>
      </w:tr>
      <w:tr w:rsidR="00E80303" w:rsidRPr="00A27310">
        <w:tc>
          <w:tcPr>
            <w:tcW w:w="4909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303" w:rsidRPr="00A27310" w:rsidRDefault="000A74FB" w:rsidP="00BA4FDF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№ 01КСП-02-02/</w:t>
            </w:r>
          </w:p>
        </w:tc>
        <w:tc>
          <w:tcPr>
            <w:tcW w:w="5090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303" w:rsidRPr="00A27310" w:rsidRDefault="00E80303" w:rsidP="00885783">
            <w:pPr>
              <w:jc w:val="right"/>
            </w:pPr>
            <w:r w:rsidRPr="00A27310">
              <w:t>«</w:t>
            </w:r>
            <w:r w:rsidR="00720D49">
              <w:t xml:space="preserve"> </w:t>
            </w:r>
            <w:r w:rsidR="00885783">
              <w:t>12</w:t>
            </w:r>
            <w:r w:rsidR="001939F2">
              <w:t xml:space="preserve"> </w:t>
            </w:r>
            <w:r w:rsidRPr="00A27310">
              <w:t>»</w:t>
            </w:r>
            <w:r w:rsidR="00CD122F" w:rsidRPr="00A27310">
              <w:t xml:space="preserve"> </w:t>
            </w:r>
            <w:r w:rsidR="006F2AB3">
              <w:t>ноя</w:t>
            </w:r>
            <w:r w:rsidR="00CD0086" w:rsidRPr="00A27310">
              <w:t>бря</w:t>
            </w:r>
            <w:r w:rsidRPr="00A27310">
              <w:t xml:space="preserve"> </w:t>
            </w:r>
            <w:r w:rsidR="00621582" w:rsidRPr="00A27310">
              <w:t xml:space="preserve"> </w:t>
            </w:r>
            <w:r w:rsidRPr="00A27310">
              <w:t>20</w:t>
            </w:r>
            <w:r w:rsidR="00CD122F" w:rsidRPr="00A27310">
              <w:t>1</w:t>
            </w:r>
            <w:r w:rsidR="00BA4FDF">
              <w:t>8</w:t>
            </w:r>
            <w:r w:rsidRPr="00A27310">
              <w:t xml:space="preserve"> г.</w:t>
            </w:r>
          </w:p>
        </w:tc>
      </w:tr>
    </w:tbl>
    <w:p w:rsidR="00E80303" w:rsidRDefault="00E80303" w:rsidP="00E80303">
      <w:pPr>
        <w:pStyle w:val="11"/>
        <w:jc w:val="center"/>
        <w:outlineLvl w:val="0"/>
        <w:rPr>
          <w:caps/>
          <w:sz w:val="24"/>
          <w:szCs w:val="24"/>
        </w:rPr>
      </w:pPr>
    </w:p>
    <w:p w:rsidR="00E80303" w:rsidRPr="00A27310" w:rsidRDefault="00E80303" w:rsidP="00E80303">
      <w:pPr>
        <w:pStyle w:val="11"/>
        <w:jc w:val="center"/>
        <w:outlineLvl w:val="0"/>
        <w:rPr>
          <w:b/>
          <w:i/>
          <w:caps/>
          <w:sz w:val="24"/>
          <w:szCs w:val="24"/>
        </w:rPr>
      </w:pPr>
      <w:bookmarkStart w:id="0" w:name="OLE_LINK2"/>
      <w:r w:rsidRPr="00A27310">
        <w:rPr>
          <w:b/>
          <w:i/>
          <w:caps/>
          <w:sz w:val="24"/>
          <w:szCs w:val="24"/>
        </w:rPr>
        <w:t>ЭКСПЕРТНОЕ  заКЛЮЧЕНИЕ</w:t>
      </w:r>
    </w:p>
    <w:p w:rsidR="00E80303" w:rsidRPr="00A27310" w:rsidRDefault="00E80303" w:rsidP="00E80303">
      <w:pPr>
        <w:pStyle w:val="11"/>
        <w:jc w:val="center"/>
        <w:rPr>
          <w:b/>
          <w:i/>
          <w:sz w:val="24"/>
          <w:szCs w:val="24"/>
        </w:rPr>
      </w:pPr>
      <w:r w:rsidRPr="00A27310">
        <w:rPr>
          <w:b/>
          <w:i/>
          <w:sz w:val="24"/>
          <w:szCs w:val="24"/>
        </w:rPr>
        <w:t>к проекту закона Волгоградской области «Об областном бюджете на 20</w:t>
      </w:r>
      <w:r w:rsidR="00F14706" w:rsidRPr="00A27310">
        <w:rPr>
          <w:b/>
          <w:i/>
          <w:sz w:val="24"/>
          <w:szCs w:val="24"/>
        </w:rPr>
        <w:t>1</w:t>
      </w:r>
      <w:r w:rsidR="00BA4FDF">
        <w:rPr>
          <w:b/>
          <w:i/>
          <w:sz w:val="24"/>
          <w:szCs w:val="24"/>
        </w:rPr>
        <w:t>9</w:t>
      </w:r>
      <w:r w:rsidRPr="00A27310">
        <w:rPr>
          <w:b/>
          <w:i/>
          <w:sz w:val="24"/>
          <w:szCs w:val="24"/>
        </w:rPr>
        <w:t xml:space="preserve"> год и на </w:t>
      </w:r>
      <w:r w:rsidR="00A84505" w:rsidRPr="00A27310">
        <w:rPr>
          <w:b/>
          <w:i/>
          <w:sz w:val="24"/>
          <w:szCs w:val="24"/>
        </w:rPr>
        <w:t xml:space="preserve">плановый </w:t>
      </w:r>
      <w:r w:rsidRPr="00A27310">
        <w:rPr>
          <w:b/>
          <w:i/>
          <w:sz w:val="24"/>
          <w:szCs w:val="24"/>
        </w:rPr>
        <w:t xml:space="preserve">период </w:t>
      </w:r>
      <w:r w:rsidR="00A84505" w:rsidRPr="00A27310">
        <w:rPr>
          <w:b/>
          <w:i/>
          <w:sz w:val="24"/>
          <w:szCs w:val="24"/>
        </w:rPr>
        <w:t>20</w:t>
      </w:r>
      <w:r w:rsidR="00BA4FDF">
        <w:rPr>
          <w:b/>
          <w:i/>
          <w:sz w:val="24"/>
          <w:szCs w:val="24"/>
        </w:rPr>
        <w:t>20</w:t>
      </w:r>
      <w:r w:rsidR="00A84505" w:rsidRPr="00A27310">
        <w:rPr>
          <w:b/>
          <w:i/>
          <w:sz w:val="24"/>
          <w:szCs w:val="24"/>
        </w:rPr>
        <w:t xml:space="preserve"> и</w:t>
      </w:r>
      <w:r w:rsidRPr="00A27310">
        <w:rPr>
          <w:b/>
          <w:i/>
          <w:sz w:val="24"/>
          <w:szCs w:val="24"/>
        </w:rPr>
        <w:t xml:space="preserve"> 20</w:t>
      </w:r>
      <w:r w:rsidR="00720D49">
        <w:rPr>
          <w:b/>
          <w:i/>
          <w:sz w:val="24"/>
          <w:szCs w:val="24"/>
        </w:rPr>
        <w:t>2</w:t>
      </w:r>
      <w:r w:rsidR="00BA4FDF">
        <w:rPr>
          <w:b/>
          <w:i/>
          <w:sz w:val="24"/>
          <w:szCs w:val="24"/>
        </w:rPr>
        <w:t>1</w:t>
      </w:r>
      <w:r w:rsidRPr="00A27310">
        <w:rPr>
          <w:b/>
          <w:i/>
          <w:sz w:val="24"/>
          <w:szCs w:val="24"/>
        </w:rPr>
        <w:t xml:space="preserve"> год</w:t>
      </w:r>
      <w:r w:rsidR="00A84505" w:rsidRPr="00A27310">
        <w:rPr>
          <w:b/>
          <w:i/>
          <w:sz w:val="24"/>
          <w:szCs w:val="24"/>
        </w:rPr>
        <w:t>ов</w:t>
      </w:r>
      <w:r w:rsidRPr="00A27310">
        <w:rPr>
          <w:b/>
          <w:i/>
          <w:sz w:val="24"/>
          <w:szCs w:val="24"/>
        </w:rPr>
        <w:t>», представленному в Волгоградскую областную Думу</w:t>
      </w:r>
      <w:r w:rsidR="00A27310" w:rsidRPr="00A27310">
        <w:rPr>
          <w:b/>
          <w:i/>
          <w:sz w:val="24"/>
          <w:szCs w:val="24"/>
        </w:rPr>
        <w:t xml:space="preserve"> </w:t>
      </w:r>
      <w:r w:rsidRPr="00A27310">
        <w:rPr>
          <w:b/>
          <w:i/>
          <w:sz w:val="24"/>
          <w:szCs w:val="24"/>
        </w:rPr>
        <w:t>на первое чтение</w:t>
      </w:r>
      <w:bookmarkEnd w:id="0"/>
      <w:r w:rsidRPr="00A27310">
        <w:rPr>
          <w:b/>
          <w:i/>
          <w:sz w:val="24"/>
          <w:szCs w:val="24"/>
        </w:rPr>
        <w:t xml:space="preserve">. </w:t>
      </w:r>
    </w:p>
    <w:p w:rsidR="00E80303" w:rsidRPr="00A27310" w:rsidRDefault="00E80303" w:rsidP="00E80303">
      <w:pPr>
        <w:pStyle w:val="11"/>
        <w:jc w:val="center"/>
        <w:rPr>
          <w:b/>
          <w:sz w:val="24"/>
          <w:szCs w:val="24"/>
        </w:rPr>
      </w:pPr>
    </w:p>
    <w:p w:rsidR="00E80303" w:rsidRPr="00A27310" w:rsidRDefault="00E80303" w:rsidP="00E80303">
      <w:pPr>
        <w:pStyle w:val="3"/>
      </w:pPr>
      <w:r w:rsidRPr="00A27310">
        <w:t>Экспертное заключение на проект закона Волгоградской области «Об областном бюджете на 20</w:t>
      </w:r>
      <w:r w:rsidR="00F14706" w:rsidRPr="00A27310">
        <w:t>1</w:t>
      </w:r>
      <w:r w:rsidR="003B21EA">
        <w:t>9</w:t>
      </w:r>
      <w:r w:rsidRPr="00A27310">
        <w:t xml:space="preserve"> год и на</w:t>
      </w:r>
      <w:r w:rsidR="00B04C08" w:rsidRPr="00A27310">
        <w:t xml:space="preserve"> плановый период</w:t>
      </w:r>
      <w:r w:rsidRPr="00A27310">
        <w:t xml:space="preserve"> 20</w:t>
      </w:r>
      <w:r w:rsidR="003B21EA">
        <w:t>20</w:t>
      </w:r>
      <w:r w:rsidR="00B04C08" w:rsidRPr="00A27310">
        <w:t xml:space="preserve"> и 20</w:t>
      </w:r>
      <w:r w:rsidR="003B21EA">
        <w:t>2</w:t>
      </w:r>
      <w:r w:rsidR="00B04C08" w:rsidRPr="00A27310">
        <w:t xml:space="preserve">1 </w:t>
      </w:r>
      <w:r w:rsidRPr="00A27310">
        <w:t>год</w:t>
      </w:r>
      <w:r w:rsidR="00B04C08" w:rsidRPr="00A27310">
        <w:t>ов</w:t>
      </w:r>
      <w:r w:rsidRPr="00A27310">
        <w:t xml:space="preserve">» подготовлено с учетом требований Бюджетного кодекса РФ, </w:t>
      </w:r>
      <w:r w:rsidR="00387CD9" w:rsidRPr="00A27310">
        <w:t>З</w:t>
      </w:r>
      <w:r w:rsidRPr="00A27310">
        <w:t xml:space="preserve">аконов Волгоградской области </w:t>
      </w:r>
      <w:r w:rsidR="00387CD9" w:rsidRPr="00A27310">
        <w:t xml:space="preserve">от 11.06.2008 №1694-ОД </w:t>
      </w:r>
      <w:r w:rsidRPr="00A27310">
        <w:t xml:space="preserve">«О бюджетном процессе в Волгоградской области» и </w:t>
      </w:r>
      <w:r w:rsidR="00387CD9" w:rsidRPr="00A27310">
        <w:t xml:space="preserve">от 17.12.1999 №344-ОД </w:t>
      </w:r>
      <w:r w:rsidRPr="00A27310">
        <w:t xml:space="preserve">«О контрольно-счетной палате Волгоградской области». </w:t>
      </w:r>
    </w:p>
    <w:p w:rsidR="00514C8C" w:rsidRPr="00E93893" w:rsidRDefault="00514C8C" w:rsidP="00514C8C">
      <w:pPr>
        <w:pStyle w:val="11"/>
        <w:ind w:firstLine="708"/>
        <w:jc w:val="both"/>
        <w:rPr>
          <w:sz w:val="24"/>
          <w:szCs w:val="24"/>
        </w:rPr>
      </w:pPr>
      <w:proofErr w:type="gramStart"/>
      <w:r w:rsidRPr="00A27310">
        <w:rPr>
          <w:sz w:val="24"/>
          <w:szCs w:val="24"/>
        </w:rPr>
        <w:t xml:space="preserve">Согласно статье 24 Закона Волгоградской области «О бюджетном процессе в Волгоградской области» при рассмотрении Волгоградской областной Думой проекта закона об областном бюджете на очередной финансовый год и плановый период </w:t>
      </w:r>
      <w:r w:rsidRPr="00E93893">
        <w:rPr>
          <w:sz w:val="24"/>
          <w:szCs w:val="24"/>
          <w:u w:val="single"/>
        </w:rPr>
        <w:t>в первом чтении</w:t>
      </w:r>
      <w:r w:rsidRPr="00A27310">
        <w:rPr>
          <w:sz w:val="24"/>
          <w:szCs w:val="24"/>
        </w:rPr>
        <w:t xml:space="preserve"> обсуждаются его концепция</w:t>
      </w:r>
      <w:r w:rsidR="007753D5">
        <w:rPr>
          <w:sz w:val="24"/>
          <w:szCs w:val="24"/>
        </w:rPr>
        <w:t>,</w:t>
      </w:r>
      <w:r w:rsidRPr="00A27310">
        <w:rPr>
          <w:sz w:val="24"/>
          <w:szCs w:val="24"/>
        </w:rPr>
        <w:t xml:space="preserve"> прогноз социально-экономического развития</w:t>
      </w:r>
      <w:r w:rsidR="00783EE0">
        <w:rPr>
          <w:sz w:val="24"/>
          <w:szCs w:val="24"/>
        </w:rPr>
        <w:t>,</w:t>
      </w:r>
      <w:r w:rsidR="007753D5">
        <w:rPr>
          <w:sz w:val="24"/>
          <w:szCs w:val="24"/>
        </w:rPr>
        <w:t xml:space="preserve"> </w:t>
      </w:r>
      <w:r w:rsidR="007753D5" w:rsidRPr="007753D5">
        <w:rPr>
          <w:sz w:val="24"/>
          <w:szCs w:val="24"/>
        </w:rPr>
        <w:t>о</w:t>
      </w:r>
      <w:r w:rsidR="007753D5" w:rsidRPr="007753D5">
        <w:rPr>
          <w:color w:val="000000"/>
          <w:spacing w:val="1"/>
          <w:sz w:val="24"/>
          <w:szCs w:val="24"/>
        </w:rPr>
        <w:t>сновные направления бюджетной и налоговой политики</w:t>
      </w:r>
      <w:r w:rsidR="00783EE0">
        <w:rPr>
          <w:color w:val="000000"/>
          <w:spacing w:val="1"/>
          <w:sz w:val="24"/>
          <w:szCs w:val="24"/>
        </w:rPr>
        <w:t xml:space="preserve">, а также рассматриваются основные характеристики областного бюджета, </w:t>
      </w:r>
      <w:r w:rsidR="005D1701">
        <w:rPr>
          <w:color w:val="000000"/>
          <w:spacing w:val="1"/>
          <w:sz w:val="24"/>
          <w:szCs w:val="24"/>
        </w:rPr>
        <w:t xml:space="preserve">общий </w:t>
      </w:r>
      <w:r w:rsidR="00783EE0" w:rsidRPr="00783EE0">
        <w:rPr>
          <w:sz w:val="24"/>
          <w:szCs w:val="24"/>
        </w:rPr>
        <w:t>объем межбюджетных трансфертов</w:t>
      </w:r>
      <w:r w:rsidR="00783EE0">
        <w:rPr>
          <w:sz w:val="24"/>
          <w:szCs w:val="24"/>
        </w:rPr>
        <w:t xml:space="preserve">, </w:t>
      </w:r>
      <w:r w:rsidR="00783EE0" w:rsidRPr="00E93893">
        <w:rPr>
          <w:sz w:val="24"/>
          <w:szCs w:val="24"/>
        </w:rPr>
        <w:t>верхний предел государственного внутреннего долга</w:t>
      </w:r>
      <w:proofErr w:type="gramEnd"/>
      <w:r w:rsidR="00E93893">
        <w:rPr>
          <w:sz w:val="24"/>
          <w:szCs w:val="24"/>
        </w:rPr>
        <w:t xml:space="preserve"> и </w:t>
      </w:r>
      <w:r w:rsidR="00A5217D">
        <w:rPr>
          <w:sz w:val="24"/>
          <w:szCs w:val="24"/>
        </w:rPr>
        <w:t xml:space="preserve">некоторые </w:t>
      </w:r>
      <w:r w:rsidR="00E93893">
        <w:rPr>
          <w:sz w:val="24"/>
          <w:szCs w:val="24"/>
        </w:rPr>
        <w:t>другие вопросы.</w:t>
      </w:r>
    </w:p>
    <w:p w:rsidR="00E80303" w:rsidRPr="00A27310" w:rsidRDefault="00E80303" w:rsidP="00E80303">
      <w:pPr>
        <w:pStyle w:val="3"/>
      </w:pPr>
    </w:p>
    <w:p w:rsidR="00E80303" w:rsidRPr="00A27310" w:rsidRDefault="00E80303" w:rsidP="00E80303">
      <w:pPr>
        <w:pStyle w:val="a5"/>
        <w:numPr>
          <w:ilvl w:val="0"/>
          <w:numId w:val="1"/>
        </w:numPr>
        <w:outlineLvl w:val="0"/>
        <w:rPr>
          <w:b/>
          <w:i/>
        </w:rPr>
      </w:pPr>
      <w:r w:rsidRPr="00A27310">
        <w:rPr>
          <w:b/>
          <w:i/>
        </w:rPr>
        <w:t>Концепция проекта закона Волгоградской области</w:t>
      </w:r>
    </w:p>
    <w:p w:rsidR="00E80303" w:rsidRPr="00A27310" w:rsidRDefault="00E80303" w:rsidP="00E80303">
      <w:pPr>
        <w:pStyle w:val="a5"/>
        <w:ind w:left="708"/>
        <w:outlineLvl w:val="0"/>
        <w:rPr>
          <w:b/>
          <w:i/>
        </w:rPr>
      </w:pPr>
      <w:r w:rsidRPr="00A27310">
        <w:rPr>
          <w:b/>
          <w:i/>
        </w:rPr>
        <w:t>об областном бюджете на 20</w:t>
      </w:r>
      <w:r w:rsidR="00F14706" w:rsidRPr="00A27310">
        <w:rPr>
          <w:b/>
          <w:i/>
        </w:rPr>
        <w:t>1</w:t>
      </w:r>
      <w:r w:rsidR="00A5217D">
        <w:rPr>
          <w:b/>
          <w:i/>
        </w:rPr>
        <w:t>9</w:t>
      </w:r>
      <w:r w:rsidRPr="00A27310">
        <w:rPr>
          <w:b/>
          <w:i/>
        </w:rPr>
        <w:t xml:space="preserve"> год и на </w:t>
      </w:r>
      <w:r w:rsidR="008D51AF" w:rsidRPr="00A27310">
        <w:rPr>
          <w:b/>
          <w:i/>
        </w:rPr>
        <w:t xml:space="preserve">плановый </w:t>
      </w:r>
      <w:r w:rsidRPr="00A27310">
        <w:rPr>
          <w:b/>
          <w:i/>
        </w:rPr>
        <w:t>период</w:t>
      </w:r>
      <w:r w:rsidR="008D51AF" w:rsidRPr="00A27310">
        <w:rPr>
          <w:b/>
          <w:i/>
        </w:rPr>
        <w:t xml:space="preserve"> 20</w:t>
      </w:r>
      <w:r w:rsidR="00A5217D">
        <w:rPr>
          <w:b/>
          <w:i/>
        </w:rPr>
        <w:t>20</w:t>
      </w:r>
      <w:r w:rsidR="008D51AF" w:rsidRPr="00A27310">
        <w:rPr>
          <w:b/>
          <w:i/>
        </w:rPr>
        <w:t xml:space="preserve"> и</w:t>
      </w:r>
      <w:r w:rsidRPr="00A27310">
        <w:rPr>
          <w:b/>
          <w:i/>
        </w:rPr>
        <w:t xml:space="preserve"> 20</w:t>
      </w:r>
      <w:r w:rsidR="00720D49">
        <w:rPr>
          <w:b/>
          <w:i/>
        </w:rPr>
        <w:t>2</w:t>
      </w:r>
      <w:r w:rsidR="00A5217D">
        <w:rPr>
          <w:b/>
          <w:i/>
        </w:rPr>
        <w:t>1</w:t>
      </w:r>
      <w:r w:rsidR="00A948BE" w:rsidRPr="00A27310">
        <w:rPr>
          <w:b/>
          <w:i/>
        </w:rPr>
        <w:t xml:space="preserve"> </w:t>
      </w:r>
      <w:r w:rsidRPr="00A27310">
        <w:rPr>
          <w:b/>
          <w:i/>
        </w:rPr>
        <w:t>год</w:t>
      </w:r>
      <w:r w:rsidR="008D51AF" w:rsidRPr="00A27310">
        <w:rPr>
          <w:b/>
          <w:i/>
        </w:rPr>
        <w:t>ов</w:t>
      </w:r>
      <w:r w:rsidR="00A948BE" w:rsidRPr="00A27310">
        <w:rPr>
          <w:b/>
          <w:i/>
        </w:rPr>
        <w:t>.</w:t>
      </w:r>
    </w:p>
    <w:p w:rsidR="00995A28" w:rsidRDefault="00995A28" w:rsidP="00995A28">
      <w:pPr>
        <w:keepNext/>
        <w:keepLines/>
        <w:tabs>
          <w:tab w:val="left" w:pos="4620"/>
        </w:tabs>
        <w:autoSpaceDE w:val="0"/>
        <w:autoSpaceDN w:val="0"/>
        <w:adjustRightInd w:val="0"/>
      </w:pPr>
      <w:r>
        <w:tab/>
      </w:r>
    </w:p>
    <w:p w:rsidR="00A72AFA" w:rsidRDefault="00A72AFA" w:rsidP="007818CA">
      <w:pPr>
        <w:ind w:firstLine="709"/>
        <w:jc w:val="both"/>
      </w:pPr>
      <w:proofErr w:type="gramStart"/>
      <w:r>
        <w:t>Указом Президента РФ от 07.05.2018 №204 «О национальных целях и стратегических задачах развития Российской Федерации на период до 2024 года» (далее Указ №204) в соответствии с национальными целями утверждены 12 направлений, по которым Правительству РФ поручено разработать национальные проекты (программы) и обеспечить финансирование расходных обязательств, вытекающих из мероприятий национальных проектов (программ), предусмотренных Указом №204.</w:t>
      </w:r>
      <w:proofErr w:type="gramEnd"/>
      <w:r>
        <w:t xml:space="preserve"> Федеральным органам исполнительной власти и </w:t>
      </w:r>
      <w:r w:rsidRPr="005D264C">
        <w:rPr>
          <w:u w:val="single"/>
        </w:rPr>
        <w:t>высшим должностным лицам (руководителям высших исполнительных органов государственной власти) субъектов РФ</w:t>
      </w:r>
      <w:r>
        <w:t xml:space="preserve"> направлен (письмо от 02.07.2018 №4919п-П6) рекомендуемый план подготовки паспортов национальных и федеральных проектов (далее План подготовки национальных проектов).</w:t>
      </w:r>
    </w:p>
    <w:p w:rsidR="00A72AFA" w:rsidRDefault="00A72AFA" w:rsidP="007818CA">
      <w:pPr>
        <w:ind w:firstLine="709"/>
        <w:jc w:val="both"/>
      </w:pPr>
      <w:r>
        <w:t>Согласно Плану подготовки национальных проектов срок утверждения паспортов федеральных проектов, реализуемых в рамках соответствующих национальных проектов, на заседаниях проектных комитетов установлен до 30.12.2018.</w:t>
      </w:r>
    </w:p>
    <w:p w:rsidR="00A72AFA" w:rsidRDefault="00A72AFA" w:rsidP="007818CA">
      <w:pPr>
        <w:ind w:firstLine="709"/>
        <w:jc w:val="both"/>
      </w:pPr>
      <w:proofErr w:type="gramStart"/>
      <w:r>
        <w:t>В экспертном заключении на проект федерального бюджета на 2019 год и плановый период 2020 и 2021 годов Счетная палата РФ отметила, что пояснительная записка к законопроекту содержит информацию о расходах федерального бюджета на финансовое обеспечение реализации национальных проектов и входящих в их состав отдельных федеральных проектов, а также информацию о бюджетных ассигнованиях на их финансовое обеспечение в 2019-2021 годах.</w:t>
      </w:r>
      <w:proofErr w:type="gramEnd"/>
      <w:r w:rsidR="00124C0E">
        <w:t xml:space="preserve"> Однако информация о запланированных значениях целевых показателей, определенных в Указе №204, по годам реализации национального проекта, а также дополнительных показателях, позволяющих однозначно оценить достижение целей национального проекта, в пояснительной записке не содержится. </w:t>
      </w:r>
    </w:p>
    <w:p w:rsidR="00E77675" w:rsidRDefault="005F2355" w:rsidP="007818CA">
      <w:pPr>
        <w:ind w:firstLine="709"/>
        <w:jc w:val="both"/>
      </w:pPr>
      <w:r>
        <w:t xml:space="preserve">Также Счетной палатой РФ отмечено, что в соответствии с пунктом 5 поручения председателя Правительства РФ от 22.05.2018 №ДМ-П13-2858 поручено обеспечить интеграцию национальных проектов и приоритетных проектов (программ) в госпрограммы </w:t>
      </w:r>
      <w:r>
        <w:lastRenderedPageBreak/>
        <w:t xml:space="preserve">в целях формирования единого документа стратегического и бюджетного планирования. </w:t>
      </w:r>
      <w:r w:rsidR="005D264C">
        <w:tab/>
      </w:r>
      <w:proofErr w:type="gramStart"/>
      <w:r>
        <w:t>Представленный Администрацией Волгоградской области проект областного бюджета на 2019 год и плановый период</w:t>
      </w:r>
      <w:r w:rsidR="00E77675">
        <w:t xml:space="preserve"> 2020 и 2021 годов не дает представления ни о </w:t>
      </w:r>
      <w:r w:rsidR="005D264C">
        <w:t xml:space="preserve">самих </w:t>
      </w:r>
      <w:r w:rsidR="00E77675">
        <w:t>проектах (программах), которые будут реализовываться на территории Волгоградской области в рамках национальн</w:t>
      </w:r>
      <w:r w:rsidR="00A77065">
        <w:t>ых</w:t>
      </w:r>
      <w:r w:rsidR="00E77675">
        <w:t xml:space="preserve"> проект</w:t>
      </w:r>
      <w:r w:rsidR="00A77065">
        <w:t>ов</w:t>
      </w:r>
      <w:r w:rsidR="005D264C">
        <w:t xml:space="preserve">, ни о показателях, которые планируется достигнуть в ходе </w:t>
      </w:r>
      <w:r w:rsidR="00F94119">
        <w:t>их</w:t>
      </w:r>
      <w:r w:rsidR="005D264C">
        <w:t xml:space="preserve"> реализации, ни о</w:t>
      </w:r>
      <w:r w:rsidR="00F94119">
        <w:t>б их</w:t>
      </w:r>
      <w:r w:rsidR="005D264C">
        <w:t xml:space="preserve"> финансовом обеспечении</w:t>
      </w:r>
      <w:r w:rsidR="00E77675">
        <w:t>.</w:t>
      </w:r>
      <w:proofErr w:type="gramEnd"/>
      <w:r w:rsidR="00E77675">
        <w:t xml:space="preserve"> Законопроект сформирован, как и в предыдущие годы, в разрезе разделов, подразделов, видов и целевых статей расходов, а также в рамках действующих государственных программ Волгоградской области. Полагаем, что основной причиной отсутствия в </w:t>
      </w:r>
      <w:r w:rsidR="009475A0">
        <w:t>законо</w:t>
      </w:r>
      <w:r w:rsidR="00E77675">
        <w:t>проекте каких-либо упоминаний о реализации национального проекта в соответствии с Указом №204 является отсутствие соответствующих нормативных документов федерального уровня, а также планируемых объемов федеральных средств на его реализацию в разрезе субъектов РФ.</w:t>
      </w:r>
    </w:p>
    <w:p w:rsidR="005F2355" w:rsidRDefault="009475A0" w:rsidP="007818CA">
      <w:pPr>
        <w:ind w:firstLine="709"/>
        <w:jc w:val="both"/>
      </w:pPr>
      <w:r>
        <w:t>При этом</w:t>
      </w:r>
      <w:r w:rsidR="00E77675">
        <w:t xml:space="preserve"> очевидно, что </w:t>
      </w:r>
      <w:r w:rsidR="00E77675" w:rsidRPr="00EB54DD">
        <w:rPr>
          <w:b/>
          <w:i/>
        </w:rPr>
        <w:t>работа по разработке паспортов проектов, реализуемых в рамках соответствующих национальных проектов, а также по интеграции национальных проектов и приоритетных проектов (программ) в госпрограммы Волгоградской области должна быть проведена в кратчайшие сроки</w:t>
      </w:r>
      <w:r w:rsidR="00E77675">
        <w:t xml:space="preserve">.  </w:t>
      </w:r>
    </w:p>
    <w:p w:rsidR="000D1E02" w:rsidRDefault="007D752D" w:rsidP="007818CA">
      <w:pPr>
        <w:ind w:firstLine="709"/>
        <w:jc w:val="both"/>
      </w:pPr>
      <w:r>
        <w:t>В числе</w:t>
      </w:r>
      <w:r w:rsidR="007765B5">
        <w:t xml:space="preserve"> </w:t>
      </w:r>
      <w:r w:rsidR="009475A0">
        <w:t>иных</w:t>
      </w:r>
      <w:r w:rsidR="00EB54DD">
        <w:t xml:space="preserve"> </w:t>
      </w:r>
      <w:r w:rsidR="007765B5">
        <w:t>концептуальны</w:t>
      </w:r>
      <w:r>
        <w:t>х</w:t>
      </w:r>
      <w:r w:rsidR="007765B5">
        <w:t xml:space="preserve"> </w:t>
      </w:r>
      <w:r w:rsidR="000450F3">
        <w:t xml:space="preserve">вопросов, на которые КСП считает необходимым обратить внимание депутатов Волгоградской областной Думы при </w:t>
      </w:r>
      <w:r w:rsidR="00BD5BB1">
        <w:t xml:space="preserve">рассмотрении </w:t>
      </w:r>
      <w:r w:rsidR="007765B5">
        <w:t xml:space="preserve">проекта </w:t>
      </w:r>
      <w:r w:rsidR="00733CD5">
        <w:t xml:space="preserve">областного </w:t>
      </w:r>
      <w:r w:rsidR="007765B5">
        <w:t>бюджета на 201</w:t>
      </w:r>
      <w:r w:rsidR="00A5217D">
        <w:t>9</w:t>
      </w:r>
      <w:r w:rsidR="007765B5">
        <w:t xml:space="preserve"> год и плановый период 20</w:t>
      </w:r>
      <w:r w:rsidR="00A5217D">
        <w:t>20</w:t>
      </w:r>
      <w:r w:rsidR="00EB54DD">
        <w:t xml:space="preserve"> и </w:t>
      </w:r>
      <w:r w:rsidR="007765B5">
        <w:t>202</w:t>
      </w:r>
      <w:r w:rsidR="00A5217D">
        <w:t>1</w:t>
      </w:r>
      <w:r w:rsidR="007765B5">
        <w:t xml:space="preserve"> годов</w:t>
      </w:r>
      <w:r w:rsidR="00BD5BB1">
        <w:t>,</w:t>
      </w:r>
      <w:r w:rsidR="007765B5">
        <w:t xml:space="preserve"> следует </w:t>
      </w:r>
      <w:r w:rsidR="00EB54DD">
        <w:t xml:space="preserve">также </w:t>
      </w:r>
      <w:r w:rsidR="007765B5">
        <w:t>от</w:t>
      </w:r>
      <w:r w:rsidR="00733CD5">
        <w:t>метить</w:t>
      </w:r>
      <w:r w:rsidR="007818CA">
        <w:t xml:space="preserve"> следующие.</w:t>
      </w:r>
    </w:p>
    <w:p w:rsidR="00CA66F6" w:rsidRDefault="00CA66F6" w:rsidP="00732D6C">
      <w:pPr>
        <w:ind w:firstLine="708"/>
        <w:jc w:val="both"/>
      </w:pPr>
      <w:r w:rsidRPr="00CA66F6">
        <w:rPr>
          <w:b/>
          <w:i/>
        </w:rPr>
        <w:t>Статьей 48 законопроекта</w:t>
      </w:r>
      <w:r>
        <w:t xml:space="preserve"> предусмотрены дополнительные основания, по которым руководитель финансового органа Волгоградской области имеет право своими решениями вносить изменения в сводную бюджетную роспись областного бюджета изменения без внесения соответствующих изменений в закон о бюджете. </w:t>
      </w:r>
    </w:p>
    <w:p w:rsidR="00732D6C" w:rsidRDefault="000D1E02" w:rsidP="00732D6C">
      <w:pPr>
        <w:ind w:firstLine="708"/>
        <w:jc w:val="both"/>
      </w:pPr>
      <w:r>
        <w:t xml:space="preserve">При проведении палатой внешней проверки исполнения областного бюджета за 2017 год был сделан вывод о том, </w:t>
      </w:r>
      <w:r w:rsidR="00C54EB9">
        <w:t xml:space="preserve">что в течение финансового года в ходе исполнения бюджета </w:t>
      </w:r>
      <w:r w:rsidR="00732D6C">
        <w:t>ассигновани</w:t>
      </w:r>
      <w:r w:rsidR="00C54EB9">
        <w:t>я</w:t>
      </w:r>
      <w:r w:rsidR="00732D6C">
        <w:t xml:space="preserve"> по расходам главных распорядителей средств областного бюджета</w:t>
      </w:r>
      <w:r w:rsidR="000158AD">
        <w:t xml:space="preserve"> претерпевают значительные изменения относительно первоначально утвержденного закона о бюджете. </w:t>
      </w:r>
      <w:r w:rsidR="009A4767">
        <w:t>Так, сопоставлением бюджетных ассигнований по расходам ГРБС, предусмотренных окончательной редакцией закона о бюджете на 2017 год, с уточненными ассигнованиями по сводной бюджетной росписи, отраженными в годовой бюджетной отчетности</w:t>
      </w:r>
      <w:r w:rsidR="00CA66F6">
        <w:t xml:space="preserve"> ГРБС</w:t>
      </w:r>
      <w:r w:rsidR="009A4767">
        <w:t xml:space="preserve">, установлено их несоответствие </w:t>
      </w:r>
      <w:r w:rsidR="009A4767" w:rsidRPr="009A4767">
        <w:rPr>
          <w:u w:val="single"/>
        </w:rPr>
        <w:t>практически по всем главным распорядителям</w:t>
      </w:r>
      <w:r w:rsidR="009A4767">
        <w:t xml:space="preserve">, </w:t>
      </w:r>
      <w:r w:rsidR="00CA66F6">
        <w:t>т. е.</w:t>
      </w:r>
      <w:r w:rsidR="00732D6C">
        <w:t xml:space="preserve"> принимается бюджет с одними ассигнованиями, фактически </w:t>
      </w:r>
      <w:r w:rsidR="00CA66F6">
        <w:t xml:space="preserve">же </w:t>
      </w:r>
      <w:r w:rsidR="00732D6C">
        <w:t>исполняется с другими</w:t>
      </w:r>
      <w:r w:rsidR="009A4767">
        <w:t>. По мнению КСП,</w:t>
      </w:r>
      <w:r w:rsidR="00732D6C">
        <w:t xml:space="preserve"> </w:t>
      </w:r>
      <w:r w:rsidR="009A4767">
        <w:t>э</w:t>
      </w:r>
      <w:r w:rsidR="00732D6C">
        <w:t xml:space="preserve">то обусловлено </w:t>
      </w:r>
      <w:r w:rsidR="009D3C6C">
        <w:t>значитель</w:t>
      </w:r>
      <w:r w:rsidR="00732D6C">
        <w:t xml:space="preserve">ным количеством полномочий (оснований), предоставленных законодательством Волгоградской области финансовому органу, организующему исполнение областного бюджета. </w:t>
      </w:r>
    </w:p>
    <w:p w:rsidR="00732D6C" w:rsidRDefault="00732D6C" w:rsidP="009A4767">
      <w:pPr>
        <w:ind w:firstLine="708"/>
        <w:jc w:val="both"/>
      </w:pPr>
      <w:r>
        <w:t xml:space="preserve">В целом в 2017 году </w:t>
      </w:r>
      <w:r w:rsidR="002306C6">
        <w:t xml:space="preserve">статьей 217 </w:t>
      </w:r>
      <w:r>
        <w:t>Бюджетн</w:t>
      </w:r>
      <w:r w:rsidR="002306C6">
        <w:t>ого</w:t>
      </w:r>
      <w:r>
        <w:t xml:space="preserve"> кодекс</w:t>
      </w:r>
      <w:r w:rsidR="002306C6">
        <w:t>а</w:t>
      </w:r>
      <w:r>
        <w:t xml:space="preserve"> РФ и законодательством Волгоградской области предусматривалось 3</w:t>
      </w:r>
      <w:r w:rsidRPr="009F4752">
        <w:t>7 видов оснований</w:t>
      </w:r>
      <w:r>
        <w:rPr>
          <w:b/>
        </w:rPr>
        <w:t xml:space="preserve"> </w:t>
      </w:r>
      <w:proofErr w:type="gramStart"/>
      <w:r w:rsidR="00CA66F6" w:rsidRPr="00CA66F6">
        <w:t>для</w:t>
      </w:r>
      <w:r w:rsidR="00CA66F6">
        <w:rPr>
          <w:b/>
        </w:rPr>
        <w:t xml:space="preserve"> </w:t>
      </w:r>
      <w:r>
        <w:t>внесения изменений в сводную бюджетную роспись согласно решениям руководителя финансового органа без внесения соответствующих изменений в закон о бюджете</w:t>
      </w:r>
      <w:proofErr w:type="gramEnd"/>
      <w:r>
        <w:t xml:space="preserve"> (в 2016 году таких оснований было 27).</w:t>
      </w:r>
      <w:r w:rsidR="009A4767">
        <w:t xml:space="preserve"> При этом п</w:t>
      </w:r>
      <w:r>
        <w:t xml:space="preserve">о сравнению с другими регионами (проанализировано по этому вопросу 8 </w:t>
      </w:r>
      <w:r w:rsidR="00872A19">
        <w:t>субъектов РФ</w:t>
      </w:r>
      <w:r>
        <w:t>) законодательством Волгоградской области установлено наибольшее количество дополнительных оснований для изменения бюджетной росписи.</w:t>
      </w:r>
    </w:p>
    <w:p w:rsidR="000D1E02" w:rsidRPr="00E86384" w:rsidRDefault="007F13CD" w:rsidP="000D1E02">
      <w:pPr>
        <w:ind w:firstLine="708"/>
        <w:jc w:val="both"/>
      </w:pPr>
      <w:proofErr w:type="gramStart"/>
      <w:r>
        <w:t xml:space="preserve">По результатам проверки </w:t>
      </w:r>
      <w:r w:rsidR="00D35129">
        <w:t xml:space="preserve">в </w:t>
      </w:r>
      <w:r w:rsidR="000D1E02">
        <w:t>цел</w:t>
      </w:r>
      <w:r w:rsidR="00D35129">
        <w:t>ях</w:t>
      </w:r>
      <w:r w:rsidR="000D1E02">
        <w:t xml:space="preserve"> усиления парламентского контроля за ходом исполнения областного бюджета </w:t>
      </w:r>
      <w:r w:rsidR="00D35129">
        <w:t xml:space="preserve">Волгоградской </w:t>
      </w:r>
      <w:r>
        <w:t xml:space="preserve">областной Думе было </w:t>
      </w:r>
      <w:r w:rsidRPr="009D242D">
        <w:rPr>
          <w:u w:val="single"/>
        </w:rPr>
        <w:t xml:space="preserve">рекомендовано </w:t>
      </w:r>
      <w:r w:rsidR="000D1E02" w:rsidRPr="009D242D">
        <w:rPr>
          <w:u w:val="single"/>
        </w:rPr>
        <w:t>оценить целесообразность широты полномочий, предоставленных комитету финансов Волгоградской области по внесению изменений в сводную бюджетную роспись областного бюджета без соответствующего внесения изменений в закон о бюджете</w:t>
      </w:r>
      <w:r w:rsidR="000D1E02">
        <w:t>, предусмотренных статьей 5.1 Закона Волгоградской области от 11.06.2008 №1694-ОД «О бюджетном процессе в Волгоградской области» и</w:t>
      </w:r>
      <w:proofErr w:type="gramEnd"/>
      <w:r w:rsidR="000D1E02">
        <w:t xml:space="preserve"> статьей 46 Закона Волгоградской области от 15.12.2017 №124-ОД «Об областном бюджете на 2018 год и плановый период 2019 и 2020 </w:t>
      </w:r>
      <w:r w:rsidR="000D1E02">
        <w:lastRenderedPageBreak/>
        <w:t xml:space="preserve">годов» (в 2016 году </w:t>
      </w:r>
      <w:r w:rsidR="009D242D">
        <w:t xml:space="preserve">дополнительных </w:t>
      </w:r>
      <w:r w:rsidR="000D1E02">
        <w:t>оснований для внесения изменений в сводную бюджетную роспись у комитета финансов было 16, в 2017 году – уже 27);</w:t>
      </w:r>
    </w:p>
    <w:p w:rsidR="008D750E" w:rsidRPr="001824AA" w:rsidRDefault="007F4037" w:rsidP="007F4037">
      <w:pPr>
        <w:ind w:firstLine="709"/>
        <w:jc w:val="both"/>
        <w:rPr>
          <w:b/>
          <w:i/>
        </w:rPr>
      </w:pPr>
      <w:proofErr w:type="gramStart"/>
      <w:r>
        <w:t>В течение 2018 года данная рекомендация КСП частично учтена</w:t>
      </w:r>
      <w:r w:rsidR="009D242D">
        <w:t>, что само по себе является положительным фактором (т</w:t>
      </w:r>
      <w:r>
        <w:t xml:space="preserve">ак, количество оснований для внесения изменений в сводную бюджетную роспись в соответствии с законом о бюджетном процессе сокращено </w:t>
      </w:r>
      <w:r w:rsidR="009D242D">
        <w:t xml:space="preserve">в текущем году </w:t>
      </w:r>
      <w:r>
        <w:t>относительно 2017 года с 10 до 8, в соответствии с законом о бюджете – с 17 до 12</w:t>
      </w:r>
      <w:r w:rsidR="009D242D">
        <w:t>)</w:t>
      </w:r>
      <w:r>
        <w:t>.</w:t>
      </w:r>
      <w:proofErr w:type="gramEnd"/>
      <w:r>
        <w:t xml:space="preserve"> </w:t>
      </w:r>
      <w:proofErr w:type="gramStart"/>
      <w:r w:rsidR="009D242D">
        <w:t xml:space="preserve">Анализ </w:t>
      </w:r>
      <w:r w:rsidR="00CA66F6">
        <w:t xml:space="preserve">же </w:t>
      </w:r>
      <w:r w:rsidR="009D242D">
        <w:t xml:space="preserve">статьи 48 законопроекта показал, что </w:t>
      </w:r>
      <w:r w:rsidR="009D242D" w:rsidRPr="001E2E0C">
        <w:t>на 2019-2021 годы предусмотрены те</w:t>
      </w:r>
      <w:r w:rsidR="009D242D">
        <w:t xml:space="preserve"> </w:t>
      </w:r>
      <w:r w:rsidR="009D242D" w:rsidRPr="001E2E0C">
        <w:t>же основания для изменения сводной бюджетной росписи, что и в 2018 году</w:t>
      </w:r>
      <w:r w:rsidR="009D242D">
        <w:t>,</w:t>
      </w:r>
      <w:r w:rsidR="009D242D" w:rsidRPr="001E2E0C">
        <w:t xml:space="preserve"> с добавлением </w:t>
      </w:r>
      <w:r w:rsidR="009D242D">
        <w:t>одного основания</w:t>
      </w:r>
      <w:r w:rsidR="009D242D" w:rsidRPr="001E2E0C">
        <w:t xml:space="preserve"> </w:t>
      </w:r>
      <w:r w:rsidR="009D242D">
        <w:t xml:space="preserve">- </w:t>
      </w:r>
      <w:r w:rsidR="009D242D" w:rsidRPr="001E2E0C">
        <w:t>«в связи с перераспределением бюджетных ассигнований, предусмотренных на решение вопросов, связанных с улучшением жилищных условий граждан, проживающих на территории Волгоградской области, между кодами классификации расходов областного бюджета в пределах общего объема бюджетных</w:t>
      </w:r>
      <w:proofErr w:type="gramEnd"/>
      <w:r w:rsidR="009D242D" w:rsidRPr="001E2E0C">
        <w:t xml:space="preserve"> ассигнований, предусмотренных главному распорядителю средств областного бюджета».</w:t>
      </w:r>
      <w:r w:rsidR="009D242D">
        <w:t xml:space="preserve"> В</w:t>
      </w:r>
      <w:r>
        <w:t>месте с тем</w:t>
      </w:r>
      <w:r w:rsidR="00CA66F6">
        <w:t>,</w:t>
      </w:r>
      <w:r>
        <w:t xml:space="preserve"> </w:t>
      </w:r>
      <w:r w:rsidR="008D750E" w:rsidRPr="001824AA">
        <w:rPr>
          <w:b/>
          <w:i/>
        </w:rPr>
        <w:t xml:space="preserve">хотя </w:t>
      </w:r>
      <w:r w:rsidR="009D242D" w:rsidRPr="001824AA">
        <w:rPr>
          <w:b/>
          <w:i/>
        </w:rPr>
        <w:t xml:space="preserve">количество оснований для внесения изменений в сводную бюджетную роспись </w:t>
      </w:r>
      <w:r w:rsidR="00D35129" w:rsidRPr="001824AA">
        <w:rPr>
          <w:b/>
          <w:i/>
        </w:rPr>
        <w:t xml:space="preserve">в проекте бюджета на 2019-2021 годы </w:t>
      </w:r>
      <w:r w:rsidR="008D750E" w:rsidRPr="001824AA">
        <w:rPr>
          <w:b/>
          <w:i/>
        </w:rPr>
        <w:t xml:space="preserve">и не </w:t>
      </w:r>
      <w:r w:rsidR="00CA66F6">
        <w:rPr>
          <w:b/>
          <w:i/>
        </w:rPr>
        <w:t>увеличено</w:t>
      </w:r>
      <w:r w:rsidR="008D750E" w:rsidRPr="001824AA">
        <w:rPr>
          <w:b/>
          <w:i/>
        </w:rPr>
        <w:t xml:space="preserve"> относительно текущего года, </w:t>
      </w:r>
      <w:r w:rsidR="009D242D" w:rsidRPr="001824AA">
        <w:rPr>
          <w:b/>
          <w:i/>
        </w:rPr>
        <w:t xml:space="preserve">оно </w:t>
      </w:r>
      <w:r w:rsidR="008D750E" w:rsidRPr="001824AA">
        <w:rPr>
          <w:b/>
          <w:i/>
        </w:rPr>
        <w:t xml:space="preserve">по-прежнему остается достаточно </w:t>
      </w:r>
      <w:r w:rsidR="00D35129" w:rsidRPr="001824AA">
        <w:rPr>
          <w:b/>
          <w:i/>
        </w:rPr>
        <w:t>значительным</w:t>
      </w:r>
      <w:r w:rsidR="009D242D" w:rsidRPr="001824AA">
        <w:rPr>
          <w:b/>
          <w:i/>
        </w:rPr>
        <w:t xml:space="preserve"> </w:t>
      </w:r>
      <w:r w:rsidR="009D242D" w:rsidRPr="001824AA">
        <w:t>(</w:t>
      </w:r>
      <w:r w:rsidR="00D35129" w:rsidRPr="001824AA">
        <w:t xml:space="preserve">всего </w:t>
      </w:r>
      <w:r w:rsidR="009D242D" w:rsidRPr="001824AA">
        <w:t>30 оснований</w:t>
      </w:r>
      <w:r w:rsidR="00D35129" w:rsidRPr="001824AA">
        <w:t>, в том числе в соответствии с областным законодательством - 20</w:t>
      </w:r>
      <w:r w:rsidR="009D242D" w:rsidRPr="001824AA">
        <w:t>)</w:t>
      </w:r>
      <w:r w:rsidR="008D750E" w:rsidRPr="001824AA">
        <w:t>.</w:t>
      </w:r>
    </w:p>
    <w:p w:rsidR="007F4037" w:rsidRDefault="008D750E" w:rsidP="007F4037">
      <w:pPr>
        <w:ind w:firstLine="709"/>
        <w:jc w:val="both"/>
      </w:pPr>
      <w:r>
        <w:t>И</w:t>
      </w:r>
      <w:r w:rsidR="007F4037">
        <w:t xml:space="preserve">зменение количества оснований </w:t>
      </w:r>
      <w:proofErr w:type="gramStart"/>
      <w:r w:rsidR="007F4037">
        <w:t xml:space="preserve">для внесения изменений в сводную бюджетную роспись </w:t>
      </w:r>
      <w:r>
        <w:t>без внесения соответствующих изменений в закон о бюджете</w:t>
      </w:r>
      <w:proofErr w:type="gramEnd"/>
      <w:r>
        <w:t xml:space="preserve"> </w:t>
      </w:r>
      <w:r w:rsidR="007F4037">
        <w:t xml:space="preserve">в 2017-2018 годах и в </w:t>
      </w:r>
      <w:r w:rsidR="009D242D">
        <w:t xml:space="preserve">представленном </w:t>
      </w:r>
      <w:r>
        <w:t>законопроекте</w:t>
      </w:r>
      <w:r w:rsidR="007F4037">
        <w:t xml:space="preserve"> на 2019-2021 годы пр</w:t>
      </w:r>
      <w:r w:rsidR="009D242D">
        <w:t>оиллюстрировано</w:t>
      </w:r>
      <w:r w:rsidR="007F4037">
        <w:t xml:space="preserve"> в таблице</w:t>
      </w:r>
      <w:r>
        <w:t>:</w:t>
      </w:r>
    </w:p>
    <w:p w:rsidR="008D750E" w:rsidRDefault="008D750E" w:rsidP="007F4037">
      <w:pPr>
        <w:ind w:firstLine="709"/>
        <w:jc w:val="both"/>
      </w:pPr>
    </w:p>
    <w:tbl>
      <w:tblPr>
        <w:tblStyle w:val="a8"/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99"/>
        <w:gridCol w:w="1676"/>
        <w:gridCol w:w="2038"/>
        <w:gridCol w:w="1949"/>
        <w:gridCol w:w="2036"/>
      </w:tblGrid>
      <w:tr w:rsidR="007F4037" w:rsidRPr="007F4037" w:rsidTr="007F4037">
        <w:tc>
          <w:tcPr>
            <w:tcW w:w="1799" w:type="dxa"/>
          </w:tcPr>
          <w:p w:rsidR="007F4037" w:rsidRPr="007F4037" w:rsidRDefault="007F4037" w:rsidP="00F57822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Период</w:t>
            </w:r>
          </w:p>
        </w:tc>
        <w:tc>
          <w:tcPr>
            <w:tcW w:w="1676" w:type="dxa"/>
          </w:tcPr>
          <w:p w:rsidR="007F4037" w:rsidRPr="007F4037" w:rsidRDefault="007F4037" w:rsidP="00F57822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БК РФ</w:t>
            </w:r>
          </w:p>
        </w:tc>
        <w:tc>
          <w:tcPr>
            <w:tcW w:w="2038" w:type="dxa"/>
          </w:tcPr>
          <w:p w:rsidR="007F4037" w:rsidRPr="007F4037" w:rsidRDefault="007F4037" w:rsidP="00F57822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Закон о бюджетном процессе</w:t>
            </w:r>
          </w:p>
        </w:tc>
        <w:tc>
          <w:tcPr>
            <w:tcW w:w="1949" w:type="dxa"/>
          </w:tcPr>
          <w:p w:rsidR="007F4037" w:rsidRPr="007F4037" w:rsidRDefault="007F4037" w:rsidP="00F57822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Закон о бюджете</w:t>
            </w:r>
          </w:p>
        </w:tc>
        <w:tc>
          <w:tcPr>
            <w:tcW w:w="2036" w:type="dxa"/>
          </w:tcPr>
          <w:p w:rsidR="007F4037" w:rsidRPr="007F4037" w:rsidRDefault="007F4037" w:rsidP="00F57822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Всего оснований</w:t>
            </w:r>
          </w:p>
        </w:tc>
      </w:tr>
      <w:tr w:rsidR="007F4037" w:rsidRPr="007F4037" w:rsidTr="007F4037">
        <w:tc>
          <w:tcPr>
            <w:tcW w:w="1799" w:type="dxa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2017 год</w:t>
            </w:r>
          </w:p>
        </w:tc>
        <w:tc>
          <w:tcPr>
            <w:tcW w:w="1676" w:type="dxa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10</w:t>
            </w:r>
          </w:p>
        </w:tc>
        <w:tc>
          <w:tcPr>
            <w:tcW w:w="2038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10</w:t>
            </w:r>
          </w:p>
        </w:tc>
        <w:tc>
          <w:tcPr>
            <w:tcW w:w="1949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17</w:t>
            </w:r>
          </w:p>
        </w:tc>
        <w:tc>
          <w:tcPr>
            <w:tcW w:w="2036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37</w:t>
            </w:r>
          </w:p>
        </w:tc>
      </w:tr>
      <w:tr w:rsidR="007F4037" w:rsidRPr="007F4037" w:rsidTr="007F4037">
        <w:tc>
          <w:tcPr>
            <w:tcW w:w="1799" w:type="dxa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2018 год</w:t>
            </w:r>
          </w:p>
        </w:tc>
        <w:tc>
          <w:tcPr>
            <w:tcW w:w="1676" w:type="dxa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10</w:t>
            </w:r>
          </w:p>
        </w:tc>
        <w:tc>
          <w:tcPr>
            <w:tcW w:w="2038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8</w:t>
            </w:r>
          </w:p>
        </w:tc>
        <w:tc>
          <w:tcPr>
            <w:tcW w:w="1949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12</w:t>
            </w:r>
          </w:p>
        </w:tc>
        <w:tc>
          <w:tcPr>
            <w:tcW w:w="2036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30</w:t>
            </w:r>
          </w:p>
        </w:tc>
      </w:tr>
      <w:tr w:rsidR="007F4037" w:rsidRPr="007F4037" w:rsidTr="007F4037">
        <w:tc>
          <w:tcPr>
            <w:tcW w:w="1799" w:type="dxa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2019 год</w:t>
            </w:r>
          </w:p>
        </w:tc>
        <w:tc>
          <w:tcPr>
            <w:tcW w:w="1676" w:type="dxa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10</w:t>
            </w:r>
          </w:p>
        </w:tc>
        <w:tc>
          <w:tcPr>
            <w:tcW w:w="2038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8</w:t>
            </w:r>
          </w:p>
        </w:tc>
        <w:tc>
          <w:tcPr>
            <w:tcW w:w="1949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13*</w:t>
            </w:r>
          </w:p>
        </w:tc>
        <w:tc>
          <w:tcPr>
            <w:tcW w:w="2036" w:type="dxa"/>
            <w:vAlign w:val="center"/>
          </w:tcPr>
          <w:p w:rsidR="007F4037" w:rsidRPr="007F4037" w:rsidRDefault="007F4037" w:rsidP="008D750E">
            <w:pPr>
              <w:jc w:val="center"/>
              <w:rPr>
                <w:sz w:val="20"/>
                <w:szCs w:val="20"/>
              </w:rPr>
            </w:pPr>
            <w:r w:rsidRPr="007F4037">
              <w:rPr>
                <w:sz w:val="20"/>
                <w:szCs w:val="20"/>
              </w:rPr>
              <w:t>31</w:t>
            </w:r>
          </w:p>
        </w:tc>
      </w:tr>
    </w:tbl>
    <w:p w:rsidR="00076265" w:rsidRPr="002F11BE" w:rsidRDefault="002F11BE" w:rsidP="007F4037">
      <w:pPr>
        <w:ind w:firstLine="709"/>
        <w:jc w:val="both"/>
        <w:rPr>
          <w:sz w:val="18"/>
          <w:szCs w:val="18"/>
        </w:rPr>
      </w:pPr>
      <w:proofErr w:type="gramStart"/>
      <w:r>
        <w:t>*</w:t>
      </w:r>
      <w:r w:rsidRPr="002F11BE">
        <w:rPr>
          <w:sz w:val="16"/>
          <w:szCs w:val="16"/>
        </w:rPr>
        <w:t xml:space="preserve">В </w:t>
      </w:r>
      <w:r>
        <w:rPr>
          <w:sz w:val="16"/>
          <w:szCs w:val="16"/>
        </w:rPr>
        <w:t>законоп</w:t>
      </w:r>
      <w:r w:rsidRPr="002F11BE">
        <w:rPr>
          <w:sz w:val="16"/>
          <w:szCs w:val="16"/>
        </w:rPr>
        <w:t>роекте на 2019-2021 продублировано основание, установленное в ст</w:t>
      </w:r>
      <w:r>
        <w:rPr>
          <w:sz w:val="16"/>
          <w:szCs w:val="16"/>
        </w:rPr>
        <w:t>атье</w:t>
      </w:r>
      <w:r w:rsidRPr="002F11BE">
        <w:rPr>
          <w:sz w:val="16"/>
          <w:szCs w:val="16"/>
        </w:rPr>
        <w:t xml:space="preserve"> 5.1</w:t>
      </w:r>
      <w:r>
        <w:rPr>
          <w:sz w:val="16"/>
          <w:szCs w:val="16"/>
        </w:rPr>
        <w:t xml:space="preserve"> з</w:t>
      </w:r>
      <w:r w:rsidRPr="002F11BE">
        <w:rPr>
          <w:sz w:val="16"/>
          <w:szCs w:val="16"/>
        </w:rPr>
        <w:t>акона о бюджетном процессе</w:t>
      </w:r>
      <w:r>
        <w:rPr>
          <w:sz w:val="16"/>
          <w:szCs w:val="16"/>
        </w:rPr>
        <w:t xml:space="preserve"> -</w:t>
      </w:r>
      <w:r w:rsidRPr="002F11BE">
        <w:rPr>
          <w:sz w:val="16"/>
          <w:szCs w:val="16"/>
        </w:rPr>
        <w:t xml:space="preserve"> «в </w:t>
      </w:r>
      <w:r w:rsidRPr="002F11BE">
        <w:rPr>
          <w:sz w:val="18"/>
          <w:szCs w:val="18"/>
        </w:rPr>
        <w:t>случае уменьшения либо уменьшения и перераспределения бюджетных ассигнований на предоставление межбюджетных трансфертов при применении бюджетной меры принуждения в виде сокращения предоставления межбюджетных трансфертов (за исключением субвенций) в пределах суммы сокращения межбюджетных трансфертов, предусмотренных главному распорядителю средств областного бюджета».</w:t>
      </w:r>
      <w:proofErr w:type="gramEnd"/>
    </w:p>
    <w:p w:rsidR="00A5217D" w:rsidRDefault="00A5217D" w:rsidP="00A5217D">
      <w:pPr>
        <w:ind w:firstLine="709"/>
        <w:jc w:val="both"/>
      </w:pPr>
    </w:p>
    <w:p w:rsidR="00A65E58" w:rsidRPr="0034799D" w:rsidRDefault="007F65B8" w:rsidP="00A65E58">
      <w:pPr>
        <w:ind w:firstLine="709"/>
        <w:jc w:val="both"/>
      </w:pPr>
      <w:r w:rsidRPr="007F65B8">
        <w:rPr>
          <w:b/>
          <w:i/>
        </w:rPr>
        <w:t>С</w:t>
      </w:r>
      <w:r w:rsidR="00A65E58" w:rsidRPr="007F65B8">
        <w:rPr>
          <w:b/>
          <w:i/>
        </w:rPr>
        <w:t>татьей 34 законопроекта</w:t>
      </w:r>
      <w:r w:rsidR="00A65E58">
        <w:t xml:space="preserve"> объем бюджетных ассигнований дорожного фонда предлагается к утверждению в сумме 10471,1 млн. руб., что меньше прогнозируемого объема соответствующих доходов (11071,1 млн. руб.) на 600 млн. руб. и является прямым нарушением статьи 179.4 БК РФ. Согласно указанной статье объем бюджетных ассигнований дорожного фонда</w:t>
      </w:r>
      <w:r w:rsidR="00A65E58" w:rsidRPr="00644916">
        <w:t xml:space="preserve"> утверждается законом субъекта </w:t>
      </w:r>
      <w:r w:rsidR="00A65E58">
        <w:t>РФ</w:t>
      </w:r>
      <w:r w:rsidR="00A65E58" w:rsidRPr="00644916">
        <w:t xml:space="preserve"> о бюджете на очередной финансовый год и плановый период </w:t>
      </w:r>
      <w:r w:rsidR="00A65E58" w:rsidRPr="00E81328">
        <w:rPr>
          <w:u w:val="single"/>
        </w:rPr>
        <w:t>в размере не менее прогнозируемого объема установленных законом субъекта РФ</w:t>
      </w:r>
      <w:r w:rsidR="00A65E58">
        <w:rPr>
          <w:u w:val="single"/>
        </w:rPr>
        <w:t xml:space="preserve"> доходов дорожного фонда. </w:t>
      </w:r>
    </w:p>
    <w:p w:rsidR="00A65E58" w:rsidRDefault="00A65E58" w:rsidP="00A65E58">
      <w:pPr>
        <w:ind w:firstLine="709"/>
        <w:jc w:val="both"/>
      </w:pPr>
      <w:r>
        <w:t xml:space="preserve">Кроме того, статьей 34 закона об областном бюджете на 2018 год (также в нарушение требований статьи 179.4 БК РФ) неиспользованные в 2018 году бюджетные ассигнования дорожного фонда Волгоградской области в сумме 2300 млн. руб. предусмотрено направить на увеличение бюджетных ассигнований дорожного фонда в 2019 году. </w:t>
      </w:r>
      <w:r w:rsidRPr="00A65E58">
        <w:rPr>
          <w:u w:val="single"/>
        </w:rPr>
        <w:t>Законопроектом такое увеличение в 2019 году не предусмотрено</w:t>
      </w:r>
      <w:r>
        <w:t xml:space="preserve">. </w:t>
      </w:r>
    </w:p>
    <w:p w:rsidR="00A65E58" w:rsidRPr="00FE3327" w:rsidRDefault="00A65E58" w:rsidP="00A65E58">
      <w:pPr>
        <w:ind w:firstLine="709"/>
        <w:jc w:val="both"/>
      </w:pPr>
      <w:r>
        <w:t xml:space="preserve">Из приложений к законопроекту следует, что бюджетные ассигнования дорожного фонда Волгоградской области в 2020 году больше </w:t>
      </w:r>
      <w:r w:rsidRPr="00EF7369">
        <w:t>прогнозируемого объема доходов дорожного фонда н</w:t>
      </w:r>
      <w:r>
        <w:t xml:space="preserve">а 600 млн. руб., в 2021 году - на 2300 млн. рублей. Таким образом, бюджетные ассигнования дорожного фонда Волгоградской области, неиспользованные в 2019 году, в сумме 600 млн. руб. предполагается направить на увеличение бюджетных ассигнований дорожного фонда в 2020 году, неиспользованные в 2018 году в сумме 2300 млн. руб. - </w:t>
      </w:r>
      <w:r w:rsidRPr="00FE3327">
        <w:t>на увеличение ассигнований в 2021 году.</w:t>
      </w:r>
    </w:p>
    <w:p w:rsidR="00A65E58" w:rsidRPr="00FE3327" w:rsidRDefault="00A65E58" w:rsidP="00A65E58">
      <w:pPr>
        <w:ind w:firstLine="709"/>
        <w:jc w:val="both"/>
      </w:pPr>
      <w:proofErr w:type="gramStart"/>
      <w:r w:rsidRPr="00FE3327">
        <w:t xml:space="preserve">Однако формулировка статьи 35 законопроекта, призванной законодательно закрепить указанное, не позволяет однозначно толковать </w:t>
      </w:r>
      <w:r>
        <w:t>законодательную</w:t>
      </w:r>
      <w:r w:rsidRPr="00FE3327">
        <w:t xml:space="preserve"> норму - «направить бюджетные ассигнования дорожного фонда Волгоградской области, </w:t>
      </w:r>
      <w:r w:rsidRPr="00FE3327">
        <w:lastRenderedPageBreak/>
        <w:t>неиспользованные в 2019 году, в сумме 2900000 тыс. руб</w:t>
      </w:r>
      <w:r w:rsidR="006E5276">
        <w:t>.</w:t>
      </w:r>
      <w:r w:rsidRPr="00FE3327">
        <w:t xml:space="preserve"> на увелич</w:t>
      </w:r>
      <w:bookmarkStart w:id="1" w:name="_GoBack"/>
      <w:bookmarkEnd w:id="1"/>
      <w:r w:rsidRPr="00FE3327">
        <w:t>ение бюджетных ассигнований дорожного фонда Волгоградской области в 2020 году в сумме 600000 тыс. рублей».</w:t>
      </w:r>
      <w:proofErr w:type="gramEnd"/>
      <w:r w:rsidRPr="00FE3327">
        <w:t xml:space="preserve"> Не </w:t>
      </w:r>
      <w:proofErr w:type="gramStart"/>
      <w:r w:rsidRPr="00FE3327">
        <w:t>ясно</w:t>
      </w:r>
      <w:proofErr w:type="gramEnd"/>
      <w:r w:rsidRPr="00FE3327">
        <w:t xml:space="preserve"> какая сумма направлена на увеличение ассигнований в 2020 году, планируемое использование неиспользованных ассигнований 2018 года не закреплено.</w:t>
      </w:r>
    </w:p>
    <w:p w:rsidR="00A65E58" w:rsidRPr="00590E7E" w:rsidRDefault="00A65E58" w:rsidP="00A65E58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нарушение п</w:t>
      </w:r>
      <w:r w:rsidR="000E6612">
        <w:rPr>
          <w:rFonts w:eastAsiaTheme="minorHAnsi"/>
          <w:lang w:eastAsia="en-US"/>
        </w:rPr>
        <w:t>ункта</w:t>
      </w:r>
      <w:r>
        <w:rPr>
          <w:rFonts w:eastAsiaTheme="minorHAnsi"/>
          <w:lang w:eastAsia="en-US"/>
        </w:rPr>
        <w:t xml:space="preserve"> 1 ст</w:t>
      </w:r>
      <w:r w:rsidR="000E6612">
        <w:rPr>
          <w:rFonts w:eastAsiaTheme="minorHAnsi"/>
          <w:lang w:eastAsia="en-US"/>
        </w:rPr>
        <w:t>атьи</w:t>
      </w:r>
      <w:r>
        <w:rPr>
          <w:rFonts w:eastAsiaTheme="minorHAnsi"/>
          <w:lang w:eastAsia="en-US"/>
        </w:rPr>
        <w:t xml:space="preserve"> 24 Закона Волгоградской области от 09.12.2014 </w:t>
      </w:r>
      <w:r w:rsidR="000E6612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169-ОД «О нормативных правовых актах Волгоградской области» </w:t>
      </w:r>
      <w:r w:rsidRPr="000E6612">
        <w:rPr>
          <w:rFonts w:eastAsiaTheme="minorHAnsi"/>
          <w:b/>
          <w:i/>
          <w:lang w:eastAsia="en-US"/>
        </w:rPr>
        <w:t xml:space="preserve">положения </w:t>
      </w:r>
      <w:r w:rsidRPr="000E6612">
        <w:rPr>
          <w:b/>
          <w:i/>
        </w:rPr>
        <w:t>статьи 35 законопроекта</w:t>
      </w:r>
      <w:r w:rsidRPr="000E6612">
        <w:rPr>
          <w:rFonts w:eastAsiaTheme="minorHAnsi"/>
          <w:b/>
          <w:i/>
          <w:lang w:eastAsia="en-US"/>
        </w:rPr>
        <w:t xml:space="preserve"> нечетко сформулированы, что не исключает возможности их двойного толкования.</w:t>
      </w:r>
      <w:r w:rsidR="00590E7E">
        <w:rPr>
          <w:rFonts w:eastAsiaTheme="minorHAnsi"/>
          <w:lang w:eastAsia="en-US"/>
        </w:rPr>
        <w:t xml:space="preserve"> Считаем, что редакцию данной статьи следует откорректировать. </w:t>
      </w:r>
    </w:p>
    <w:p w:rsidR="00A65E58" w:rsidRPr="006D7DD9" w:rsidRDefault="000E6612" w:rsidP="00A65E58">
      <w:pPr>
        <w:ind w:firstLine="709"/>
        <w:jc w:val="both"/>
      </w:pPr>
      <w:r>
        <w:t xml:space="preserve">  </w:t>
      </w:r>
      <w:r w:rsidR="00A65E58" w:rsidRPr="00DC523C">
        <w:t>Также п</w:t>
      </w:r>
      <w:r>
        <w:t>унктом</w:t>
      </w:r>
      <w:r w:rsidR="00A65E58">
        <w:t> </w:t>
      </w:r>
      <w:r w:rsidR="00A65E58" w:rsidRPr="00DC523C">
        <w:t>4 ст</w:t>
      </w:r>
      <w:r>
        <w:t>атьи</w:t>
      </w:r>
      <w:r w:rsidR="00A65E58">
        <w:t> </w:t>
      </w:r>
      <w:r w:rsidR="00A65E58" w:rsidRPr="00DC523C">
        <w:t xml:space="preserve">179.4 БК РФ установлено, что объем бюджетных ассигнований дорожного фонда подлежит увеличению в текущем финансовом году и (или) очередном финансовом </w:t>
      </w:r>
      <w:r w:rsidR="00A65E58" w:rsidRPr="006D7DD9">
        <w:t xml:space="preserve">году на положительную разницу между фактически поступившим и прогнозировавшимся объемом доходов бюджета, учитываемых при формировании дорожного фонда. </w:t>
      </w:r>
      <w:proofErr w:type="gramStart"/>
      <w:r w:rsidR="00A65E58" w:rsidRPr="006D7DD9">
        <w:t>Ожидаемый объем поступлений транспортного налога в 2018 году оценочно состав</w:t>
      </w:r>
      <w:r>
        <w:t>ляе</w:t>
      </w:r>
      <w:r w:rsidR="00A65E58" w:rsidRPr="006D7DD9">
        <w:t>т 1804,9 млн. руб., что на 100 млн. руб. больше запланированного объема (1704,9 млн. руб.)</w:t>
      </w:r>
      <w:r>
        <w:t>,</w:t>
      </w:r>
      <w:r w:rsidR="00A65E58" w:rsidRPr="006D7DD9">
        <w:t xml:space="preserve"> </w:t>
      </w:r>
      <w:r>
        <w:t xml:space="preserve">т. </w:t>
      </w:r>
      <w:r w:rsidR="00A65E58" w:rsidRPr="006D7DD9">
        <w:t>е</w:t>
      </w:r>
      <w:r>
        <w:t>.</w:t>
      </w:r>
      <w:r w:rsidR="00A65E58" w:rsidRPr="006D7DD9">
        <w:t xml:space="preserve"> оценочно </w:t>
      </w:r>
      <w:r w:rsidRPr="006D7DD9">
        <w:t xml:space="preserve">объем доходов </w:t>
      </w:r>
      <w:r>
        <w:t xml:space="preserve">в размере </w:t>
      </w:r>
      <w:r w:rsidR="00A65E58" w:rsidRPr="006D7DD9">
        <w:t>100 млн. руб. в соответствии с п</w:t>
      </w:r>
      <w:r>
        <w:t>унктом</w:t>
      </w:r>
      <w:r w:rsidR="00A65E58">
        <w:t> </w:t>
      </w:r>
      <w:r w:rsidR="00A65E58" w:rsidRPr="006D7DD9">
        <w:t>4 ст</w:t>
      </w:r>
      <w:r>
        <w:t>атьи</w:t>
      </w:r>
      <w:r w:rsidR="00A65E58">
        <w:t> </w:t>
      </w:r>
      <w:r w:rsidR="00A65E58" w:rsidRPr="006D7DD9">
        <w:t>179.4 БК РФ должен быть направлен на увеличение объема бюджетных ассигнований дорожного фонда</w:t>
      </w:r>
      <w:r>
        <w:t xml:space="preserve"> на 2018 или на 2019 годах</w:t>
      </w:r>
      <w:r w:rsidR="00A65E58" w:rsidRPr="006D7DD9">
        <w:t>.</w:t>
      </w:r>
      <w:proofErr w:type="gramEnd"/>
      <w:r w:rsidR="00A65E58" w:rsidRPr="006D7DD9">
        <w:t xml:space="preserve"> На дату подготовки настоящего заключения такое </w:t>
      </w:r>
      <w:r>
        <w:t>не предусмотрено ни</w:t>
      </w:r>
      <w:r w:rsidR="00A65E58" w:rsidRPr="006D7DD9">
        <w:t xml:space="preserve"> областным бюджетом на 2018 год</w:t>
      </w:r>
      <w:r>
        <w:t>, ни внесенным законопроектом на</w:t>
      </w:r>
      <w:r w:rsidR="00A65E58" w:rsidRPr="006D7DD9">
        <w:t xml:space="preserve"> 2019 год.</w:t>
      </w:r>
    </w:p>
    <w:p w:rsidR="00A65E58" w:rsidRPr="0071287E" w:rsidRDefault="00A65E58" w:rsidP="00A65E58">
      <w:pPr>
        <w:ind w:firstLine="709"/>
        <w:jc w:val="both"/>
      </w:pPr>
      <w:r w:rsidRPr="006D7DD9">
        <w:t xml:space="preserve">Обобщая вышеизложенное, в соответствии с положениями бюджетного законодательства </w:t>
      </w:r>
      <w:r w:rsidRPr="00605686">
        <w:rPr>
          <w:b/>
          <w:i/>
        </w:rPr>
        <w:t>объем бюджетных ассигнований дорожного фонда на 2019 год должен составлять не менее 13471,1 млн. руб., что на 3000 млн. руб., или на 28,6% больше объема, предлагаемого к утверждению (10471,1 млн. руб.).</w:t>
      </w:r>
    </w:p>
    <w:p w:rsidR="00A65E58" w:rsidRDefault="00A65E58" w:rsidP="00A65E58">
      <w:pPr>
        <w:ind w:firstLine="709"/>
        <w:jc w:val="both"/>
        <w:rPr>
          <w:color w:val="FF0000"/>
        </w:rPr>
      </w:pPr>
    </w:p>
    <w:p w:rsidR="001336E1" w:rsidRDefault="001336E1" w:rsidP="00A65E58">
      <w:pPr>
        <w:ind w:firstLine="709"/>
        <w:jc w:val="both"/>
        <w:rPr>
          <w:color w:val="FF0000"/>
        </w:rPr>
      </w:pPr>
    </w:p>
    <w:p w:rsidR="006A3F52" w:rsidRPr="00A27310" w:rsidRDefault="00A5217D" w:rsidP="00A5217D">
      <w:pPr>
        <w:ind w:firstLine="709"/>
        <w:jc w:val="center"/>
        <w:rPr>
          <w:b/>
          <w:i/>
        </w:rPr>
      </w:pPr>
      <w:r>
        <w:rPr>
          <w:b/>
          <w:i/>
        </w:rPr>
        <w:t xml:space="preserve">2. </w:t>
      </w:r>
      <w:r w:rsidR="006A3F52" w:rsidRPr="00A27310">
        <w:rPr>
          <w:b/>
          <w:i/>
        </w:rPr>
        <w:t>Прогноз социально-экономического развития Волгоградской области</w:t>
      </w:r>
    </w:p>
    <w:p w:rsidR="006A3F52" w:rsidRDefault="006A3F52" w:rsidP="00A5217D">
      <w:pPr>
        <w:pStyle w:val="a5"/>
        <w:ind w:left="708"/>
        <w:outlineLvl w:val="0"/>
        <w:rPr>
          <w:b/>
          <w:i/>
        </w:rPr>
      </w:pPr>
      <w:r w:rsidRPr="00A27310">
        <w:rPr>
          <w:b/>
          <w:i/>
        </w:rPr>
        <w:t>на 20</w:t>
      </w:r>
      <w:r w:rsidR="00BC4973" w:rsidRPr="00A27310">
        <w:rPr>
          <w:b/>
          <w:i/>
        </w:rPr>
        <w:t>1</w:t>
      </w:r>
      <w:r w:rsidR="00A5217D">
        <w:rPr>
          <w:b/>
          <w:i/>
        </w:rPr>
        <w:t>9</w:t>
      </w:r>
      <w:r w:rsidRPr="00A27310">
        <w:rPr>
          <w:b/>
          <w:i/>
        </w:rPr>
        <w:t>-20</w:t>
      </w:r>
      <w:r w:rsidR="00720D49">
        <w:rPr>
          <w:b/>
          <w:i/>
        </w:rPr>
        <w:t>2</w:t>
      </w:r>
      <w:r w:rsidR="00A5217D">
        <w:rPr>
          <w:b/>
          <w:i/>
        </w:rPr>
        <w:t>1</w:t>
      </w:r>
      <w:r w:rsidRPr="00A27310">
        <w:rPr>
          <w:b/>
          <w:i/>
        </w:rPr>
        <w:t xml:space="preserve"> годы.</w:t>
      </w:r>
    </w:p>
    <w:p w:rsidR="00416DF3" w:rsidRDefault="00416DF3" w:rsidP="006A3F52">
      <w:pPr>
        <w:pStyle w:val="a5"/>
        <w:ind w:left="708"/>
        <w:outlineLvl w:val="0"/>
        <w:rPr>
          <w:b/>
          <w:i/>
        </w:rPr>
      </w:pPr>
    </w:p>
    <w:p w:rsidR="00F02B12" w:rsidRPr="009C408B" w:rsidRDefault="00F02B12" w:rsidP="00F02B12">
      <w:pPr>
        <w:ind w:firstLine="680"/>
        <w:jc w:val="both"/>
      </w:pPr>
      <w:r w:rsidRPr="009C408B">
        <w:t xml:space="preserve">Прогноз социально-экономического развития Волгоградской области на 2019 год и на плановый период 2020 и 2021 годов, одобренный постановлением Администрации Волгоградской области от 26.10.2018 №493-п (далее Прогноз СЭР), разработан по трем вариантам: </w:t>
      </w:r>
      <w:r>
        <w:t>консервативному</w:t>
      </w:r>
      <w:r w:rsidRPr="009C408B">
        <w:t xml:space="preserve">, </w:t>
      </w:r>
      <w:r>
        <w:t>б</w:t>
      </w:r>
      <w:r w:rsidRPr="009C408B">
        <w:t>азов</w:t>
      </w:r>
      <w:r>
        <w:t>ому</w:t>
      </w:r>
      <w:r w:rsidRPr="009C408B">
        <w:t xml:space="preserve"> и </w:t>
      </w:r>
      <w:r>
        <w:t>целевому</w:t>
      </w:r>
      <w:r w:rsidRPr="009C408B">
        <w:t>.</w:t>
      </w:r>
    </w:p>
    <w:p w:rsidR="00F02B12" w:rsidRPr="009D7313" w:rsidRDefault="00F02B12" w:rsidP="00F02B12">
      <w:pPr>
        <w:pStyle w:val="ConsNonformat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  <w:r w:rsidRPr="009D7313">
        <w:rPr>
          <w:rFonts w:ascii="Times New Roman" w:hAnsi="Times New Roman"/>
          <w:sz w:val="24"/>
          <w:szCs w:val="24"/>
        </w:rPr>
        <w:t xml:space="preserve">Согласно пояснительной записке к </w:t>
      </w:r>
      <w:r>
        <w:rPr>
          <w:rFonts w:ascii="Times New Roman" w:hAnsi="Times New Roman"/>
          <w:sz w:val="24"/>
          <w:szCs w:val="24"/>
        </w:rPr>
        <w:t>з</w:t>
      </w:r>
      <w:r w:rsidRPr="009D7313">
        <w:rPr>
          <w:rFonts w:ascii="Times New Roman" w:hAnsi="Times New Roman"/>
          <w:sz w:val="24"/>
          <w:szCs w:val="24"/>
        </w:rPr>
        <w:t>аконопроекту расчет прогнозных показателей поступления налоговых и неналоговых доходов в областной бюджет осуществлен исходя из отдельных макроэкономических показателей социально</w:t>
      </w:r>
      <w:r>
        <w:rPr>
          <w:rFonts w:ascii="Times New Roman" w:hAnsi="Times New Roman"/>
          <w:sz w:val="24"/>
          <w:szCs w:val="24"/>
        </w:rPr>
        <w:t>-</w:t>
      </w:r>
      <w:r w:rsidRPr="009D7313">
        <w:rPr>
          <w:rFonts w:ascii="Times New Roman" w:hAnsi="Times New Roman"/>
          <w:sz w:val="24"/>
          <w:szCs w:val="24"/>
        </w:rPr>
        <w:t xml:space="preserve">экономического развития Волгоградской области на 2019 год и на плановый период 2020 и 2021 годов по базовому варианту, в </w:t>
      </w:r>
      <w:proofErr w:type="gramStart"/>
      <w:r w:rsidRPr="009D7313">
        <w:rPr>
          <w:rFonts w:ascii="Times New Roman" w:hAnsi="Times New Roman"/>
          <w:sz w:val="24"/>
          <w:szCs w:val="24"/>
        </w:rPr>
        <w:t>связи</w:t>
      </w:r>
      <w:proofErr w:type="gramEnd"/>
      <w:r w:rsidRPr="009D7313">
        <w:rPr>
          <w:rFonts w:ascii="Times New Roman" w:hAnsi="Times New Roman"/>
          <w:sz w:val="24"/>
          <w:szCs w:val="24"/>
        </w:rPr>
        <w:t xml:space="preserve"> с чем в настоящем заключении анализ макроэкономических показателей осуществлен в соответствии с указанным вариантом. </w:t>
      </w:r>
    </w:p>
    <w:p w:rsidR="00F02B12" w:rsidRDefault="00F02B12" w:rsidP="00F02B12">
      <w:pPr>
        <w:pStyle w:val="Style20"/>
        <w:widowControl/>
        <w:ind w:firstLine="680"/>
        <w:jc w:val="both"/>
      </w:pPr>
      <w:r>
        <w:t>По оценке КСП, представленный Прогноз СЭР содержит следующие недостатки:</w:t>
      </w:r>
    </w:p>
    <w:p w:rsidR="00F02B12" w:rsidRDefault="00F02B12" w:rsidP="00F02B12">
      <w:pPr>
        <w:pStyle w:val="Style20"/>
        <w:widowControl/>
        <w:ind w:firstLine="680"/>
        <w:jc w:val="both"/>
        <w:rPr>
          <w:bCs/>
        </w:rPr>
      </w:pPr>
      <w:proofErr w:type="gramStart"/>
      <w:r>
        <w:t>-</w:t>
      </w:r>
      <w:r w:rsidRPr="00D23DCC">
        <w:t xml:space="preserve">как и в предыдущем году, </w:t>
      </w:r>
      <w:r>
        <w:t xml:space="preserve">в нем отсутствует </w:t>
      </w:r>
      <w:r w:rsidRPr="00D23DCC">
        <w:t>оценк</w:t>
      </w:r>
      <w:r>
        <w:t>а</w:t>
      </w:r>
      <w:r w:rsidRPr="00D23DCC">
        <w:t xml:space="preserve"> факторов и ограничений экономического роста субъекта Р</w:t>
      </w:r>
      <w:r>
        <w:t xml:space="preserve">Ф </w:t>
      </w:r>
      <w:r w:rsidRPr="00D23DCC">
        <w:t xml:space="preserve">на среднесрочный период </w:t>
      </w:r>
      <w:r w:rsidRPr="00C22AAF">
        <w:t>(за исключением сферы развития сельского хозяйства</w:t>
      </w:r>
      <w:r w:rsidR="00DB50CC">
        <w:t>, здравоохранения, жилищно-коммунального хозяйства</w:t>
      </w:r>
      <w:r w:rsidRPr="00C22AAF">
        <w:t>), н</w:t>
      </w:r>
      <w:r w:rsidRPr="00D23DCC">
        <w:t>аличие которых предусмотрено ст</w:t>
      </w:r>
      <w:r>
        <w:t>ать</w:t>
      </w:r>
      <w:r w:rsidR="009D3C6C">
        <w:t>ей</w:t>
      </w:r>
      <w:r w:rsidRPr="00D23DCC">
        <w:t xml:space="preserve"> 35 Федерального закона от 28.06.2014 №172-ФЗ </w:t>
      </w:r>
      <w:r w:rsidRPr="00D23DCC">
        <w:rPr>
          <w:rFonts w:eastAsia="Calibri"/>
          <w:lang w:eastAsia="en-US"/>
        </w:rPr>
        <w:t>«О стратегическом планировании в Российской Федерации», ст</w:t>
      </w:r>
      <w:r>
        <w:rPr>
          <w:rFonts w:eastAsia="Calibri"/>
          <w:lang w:eastAsia="en-US"/>
        </w:rPr>
        <w:t>ать</w:t>
      </w:r>
      <w:r w:rsidR="00BA058E">
        <w:rPr>
          <w:rFonts w:eastAsia="Calibri"/>
          <w:lang w:eastAsia="en-US"/>
        </w:rPr>
        <w:t>ей</w:t>
      </w:r>
      <w:r w:rsidRPr="00D23DCC">
        <w:t xml:space="preserve"> 12 Закона </w:t>
      </w:r>
      <w:r w:rsidRPr="00D23DCC">
        <w:rPr>
          <w:bCs/>
        </w:rPr>
        <w:t>Волгоградской области от 31.12.2015 №247-ОД «О стратегическом планир</w:t>
      </w:r>
      <w:r>
        <w:rPr>
          <w:bCs/>
        </w:rPr>
        <w:t>овании в Волгоградской области»</w:t>
      </w:r>
      <w:r w:rsidRPr="00D23DCC">
        <w:rPr>
          <w:bCs/>
        </w:rPr>
        <w:t>, а также</w:t>
      </w:r>
      <w:proofErr w:type="gramEnd"/>
      <w:r w:rsidRPr="00D23DCC">
        <w:rPr>
          <w:bCs/>
        </w:rPr>
        <w:t xml:space="preserve"> п</w:t>
      </w:r>
      <w:r>
        <w:rPr>
          <w:bCs/>
        </w:rPr>
        <w:t>ункт</w:t>
      </w:r>
      <w:r w:rsidR="00BE27B4">
        <w:rPr>
          <w:bCs/>
        </w:rPr>
        <w:t>ом</w:t>
      </w:r>
      <w:r w:rsidRPr="00D23DCC">
        <w:rPr>
          <w:bCs/>
        </w:rPr>
        <w:t xml:space="preserve"> 2.2 Порядка разработки, корректировки, осуществления мониторинга и контроля реализации Прогноза социально-экономического развития Волгоградской области на среднесрочный период, утвержденного постановлением Администрации Волгоградско</w:t>
      </w:r>
      <w:r>
        <w:rPr>
          <w:bCs/>
        </w:rPr>
        <w:t>й области от 30.12.2015 №829-</w:t>
      </w:r>
      <w:r w:rsidRPr="0063207D">
        <w:rPr>
          <w:bCs/>
        </w:rPr>
        <w:t>п</w:t>
      </w:r>
      <w:r>
        <w:rPr>
          <w:bCs/>
        </w:rPr>
        <w:t>;</w:t>
      </w:r>
    </w:p>
    <w:p w:rsidR="00F02B12" w:rsidRDefault="00F02B12" w:rsidP="00F02B12">
      <w:pPr>
        <w:pStyle w:val="Style20"/>
        <w:widowControl/>
        <w:ind w:firstLine="680"/>
        <w:jc w:val="both"/>
        <w:rPr>
          <w:bCs/>
        </w:rPr>
      </w:pPr>
      <w:r>
        <w:rPr>
          <w:bCs/>
        </w:rPr>
        <w:t xml:space="preserve">-в </w:t>
      </w:r>
      <w:r w:rsidRPr="002D5432">
        <w:rPr>
          <w:bCs/>
        </w:rPr>
        <w:t>Прогнозе СЭР в основном содержится информация о развитии региона в 2017 году и текущем периоде 2018 года. При этом не по всем сферам</w:t>
      </w:r>
      <w:r>
        <w:rPr>
          <w:bCs/>
        </w:rPr>
        <w:t xml:space="preserve"> экономики и направлениям развития приведены конкретные мероприятия, влияющие на улучшение социально-экономического положения региона, </w:t>
      </w:r>
      <w:r w:rsidRPr="00C84922">
        <w:rPr>
          <w:bCs/>
        </w:rPr>
        <w:t>или прогнозные гипотезы</w:t>
      </w:r>
      <w:r>
        <w:rPr>
          <w:bCs/>
        </w:rPr>
        <w:t xml:space="preserve"> развития отраслей;</w:t>
      </w:r>
    </w:p>
    <w:p w:rsidR="00F02B12" w:rsidRDefault="00F02B12" w:rsidP="00F02B12">
      <w:pPr>
        <w:pStyle w:val="Style20"/>
        <w:widowControl/>
        <w:ind w:firstLine="680"/>
        <w:jc w:val="both"/>
        <w:rPr>
          <w:bCs/>
        </w:rPr>
      </w:pPr>
      <w:proofErr w:type="gramStart"/>
      <w:r>
        <w:rPr>
          <w:bCs/>
        </w:rPr>
        <w:lastRenderedPageBreak/>
        <w:t>-в разделе «Привлечение инвестиций» содержится информация о заключенных инвестиционных соглашениях в соответствии с Законом Волгоградской области от 03.03.2010 №2010-ОД «О государственной поддержке инвестиционной деятельности на территории Волгоградской области», а именно по состоянию на сентябрь 2018 года заключено 40 инвестиционных соглашений с 35 организациями-инвесторами, общий объем инвестиций за весь период реализации проектов составит 455,3 млрд. руб., предполагается создание около 10282 новых</w:t>
      </w:r>
      <w:proofErr w:type="gramEnd"/>
      <w:r>
        <w:rPr>
          <w:bCs/>
        </w:rPr>
        <w:t xml:space="preserve"> рабочих мест (по состоянию на сентябрь 2018 года суммарный объем освоенных инвестиций составил 280,3 млрд. руб.). Вместе с тем не приведены данные о планируемых объемах освоения инвестиций и рабочих местах в 2019-2021 годах, а </w:t>
      </w:r>
      <w:r w:rsidRPr="00D94A45">
        <w:rPr>
          <w:bCs/>
        </w:rPr>
        <w:t>также об ожидаем</w:t>
      </w:r>
      <w:r>
        <w:rPr>
          <w:bCs/>
        </w:rPr>
        <w:t>ом бюджетном эффекте от реализации инвестиционных проектов.</w:t>
      </w:r>
    </w:p>
    <w:p w:rsidR="00F02B12" w:rsidRDefault="00F02B12" w:rsidP="00F02B12">
      <w:pPr>
        <w:pStyle w:val="2"/>
        <w:spacing w:after="0" w:line="240" w:lineRule="auto"/>
        <w:ind w:firstLine="680"/>
        <w:jc w:val="both"/>
      </w:pPr>
      <w:r w:rsidRPr="00F273AE">
        <w:t xml:space="preserve">Динамика </w:t>
      </w:r>
      <w:r>
        <w:t xml:space="preserve">основных </w:t>
      </w:r>
      <w:r w:rsidRPr="00F273AE">
        <w:t>макроэкономических показателей СЭР В</w:t>
      </w:r>
      <w:r>
        <w:t xml:space="preserve">олгоградской области </w:t>
      </w:r>
      <w:r w:rsidRPr="00F273AE">
        <w:t>за 2017-201</w:t>
      </w:r>
      <w:r w:rsidR="009E1A58">
        <w:t>8</w:t>
      </w:r>
      <w:r w:rsidRPr="00F273AE">
        <w:t xml:space="preserve"> годы</w:t>
      </w:r>
      <w:r w:rsidR="009E1A58">
        <w:t xml:space="preserve"> и на 2019 год</w:t>
      </w:r>
      <w:r w:rsidRPr="00F273AE">
        <w:t xml:space="preserve"> </w:t>
      </w:r>
      <w:r>
        <w:t xml:space="preserve">приведена </w:t>
      </w:r>
      <w:r w:rsidRPr="009E1A58">
        <w:rPr>
          <w:b/>
          <w:i/>
          <w:u w:val="single"/>
        </w:rPr>
        <w:t>в приложении №1</w:t>
      </w:r>
      <w:r w:rsidRPr="009E1A58">
        <w:rPr>
          <w:b/>
          <w:i/>
        </w:rPr>
        <w:t xml:space="preserve"> </w:t>
      </w:r>
      <w:r w:rsidRPr="00CD5E25">
        <w:t xml:space="preserve">и </w:t>
      </w:r>
      <w:r w:rsidR="009E1A58">
        <w:t xml:space="preserve">отдельных показателей, используемых в расчетах доходов бюджета, </w:t>
      </w:r>
      <w:r>
        <w:t xml:space="preserve">за 2016-2021 </w:t>
      </w:r>
      <w:r w:rsidRPr="009E1A58">
        <w:t xml:space="preserve">годы </w:t>
      </w:r>
      <w:r w:rsidR="009E1A58">
        <w:t xml:space="preserve">- </w:t>
      </w:r>
      <w:r w:rsidRPr="009E1A58">
        <w:rPr>
          <w:b/>
          <w:i/>
          <w:u w:val="single"/>
        </w:rPr>
        <w:t>в приложении № 2,</w:t>
      </w:r>
      <w:r>
        <w:t xml:space="preserve"> а также </w:t>
      </w:r>
      <w:r w:rsidRPr="00F273AE">
        <w:t xml:space="preserve">представлена </w:t>
      </w:r>
      <w:r>
        <w:t xml:space="preserve">на </w:t>
      </w:r>
      <w:r w:rsidR="009E1A58">
        <w:t xml:space="preserve">следующей </w:t>
      </w:r>
      <w:r>
        <w:t>диаграмме.</w:t>
      </w:r>
    </w:p>
    <w:p w:rsidR="00F02B12" w:rsidRDefault="00F02B12" w:rsidP="00F02B12">
      <w:pPr>
        <w:pStyle w:val="2"/>
        <w:spacing w:after="0" w:line="240" w:lineRule="auto"/>
        <w:ind w:firstLine="680"/>
        <w:jc w:val="both"/>
      </w:pPr>
    </w:p>
    <w:p w:rsidR="00F02B12" w:rsidRDefault="00F02B12" w:rsidP="00F02B12">
      <w:pPr>
        <w:pStyle w:val="Style5"/>
        <w:spacing w:line="247" w:lineRule="auto"/>
        <w:ind w:firstLine="0"/>
        <w:jc w:val="both"/>
      </w:pPr>
      <w:r w:rsidRPr="00481C7E">
        <w:rPr>
          <w:noProof/>
        </w:rPr>
        <w:drawing>
          <wp:inline distT="0" distB="0" distL="0" distR="0">
            <wp:extent cx="6452832" cy="2658110"/>
            <wp:effectExtent l="57150" t="0" r="62268" b="850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2B12" w:rsidRDefault="00F02B12" w:rsidP="00F02B12">
      <w:pPr>
        <w:ind w:firstLine="680"/>
        <w:jc w:val="both"/>
      </w:pPr>
    </w:p>
    <w:p w:rsidR="00F02B12" w:rsidRDefault="00F02B12" w:rsidP="00F02B12">
      <w:pPr>
        <w:pStyle w:val="Style5"/>
        <w:spacing w:line="240" w:lineRule="auto"/>
        <w:ind w:firstLine="680"/>
        <w:jc w:val="both"/>
      </w:pPr>
      <w:proofErr w:type="gramStart"/>
      <w:r w:rsidRPr="00F42F2D">
        <w:t>Из данных, приведенных в таблиц</w:t>
      </w:r>
      <w:r>
        <w:t>ах и на диаграмме</w:t>
      </w:r>
      <w:r w:rsidRPr="00F42F2D">
        <w:t xml:space="preserve">, видно, что в 2018 году в сравнении с предыдущим годом </w:t>
      </w:r>
      <w:r>
        <w:t xml:space="preserve">прогнозируется отрицательная динамика по </w:t>
      </w:r>
      <w:r w:rsidRPr="00F42F2D">
        <w:t>объем</w:t>
      </w:r>
      <w:r>
        <w:t>у</w:t>
      </w:r>
      <w:r w:rsidRPr="00F42F2D">
        <w:t xml:space="preserve"> продукции сельского хозяйства </w:t>
      </w:r>
      <w:r>
        <w:t>(- 13,9 млрд. руб.) и соответственно индекса производства этой продукции (-15,2</w:t>
      </w:r>
      <w:r w:rsidR="007E0E05">
        <w:t xml:space="preserve"> процентных пункта</w:t>
      </w:r>
      <w:r>
        <w:t xml:space="preserve">), </w:t>
      </w:r>
      <w:r w:rsidRPr="00F42F2D">
        <w:t>среднегодовой численности занятых в экономике</w:t>
      </w:r>
      <w:r>
        <w:t xml:space="preserve"> (-0,5 тыс. чел.), индекса физического объема инвестиций (-</w:t>
      </w:r>
      <w:r w:rsidR="00493859">
        <w:t>9</w:t>
      </w:r>
      <w:r>
        <w:t>,9</w:t>
      </w:r>
      <w:r w:rsidR="00493859">
        <w:t xml:space="preserve"> процентных пункта</w:t>
      </w:r>
      <w:r>
        <w:t>).</w:t>
      </w:r>
      <w:proofErr w:type="gramEnd"/>
      <w:r>
        <w:t xml:space="preserve"> Кроме того, предполагается снижение темпов роста в сравнении с предыдущими периодами по большинству макроэкономических показателей (индекс физического объема ВРП, индекс промышленного производства, индекс производства продукции сельского хозяйства, объем работ в строительстве и др.).</w:t>
      </w:r>
    </w:p>
    <w:p w:rsidR="00F02B12" w:rsidRDefault="00F02B12" w:rsidP="00F02B12">
      <w:pPr>
        <w:pStyle w:val="Style5"/>
        <w:spacing w:line="240" w:lineRule="auto"/>
        <w:ind w:firstLine="680"/>
        <w:jc w:val="both"/>
      </w:pPr>
      <w:r>
        <w:t>На  снижение продукции сельского хозяйства в основном повлияла гибель в 2018 году посевов сельскохозяйственных культур на площади около 300 тыс. га в результате почвенной засухи и суховея на территории Волгоградской области.</w:t>
      </w:r>
    </w:p>
    <w:p w:rsidR="00F02B12" w:rsidRPr="00432B12" w:rsidRDefault="00F02B12" w:rsidP="00F02B12">
      <w:pPr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С учетом </w:t>
      </w:r>
      <w:r w:rsidRPr="00885BBD">
        <w:rPr>
          <w:bCs/>
          <w:szCs w:val="28"/>
        </w:rPr>
        <w:t>тенденци</w:t>
      </w:r>
      <w:r>
        <w:rPr>
          <w:bCs/>
          <w:szCs w:val="28"/>
        </w:rPr>
        <w:t>и</w:t>
      </w:r>
      <w:r w:rsidRPr="00885BBD">
        <w:rPr>
          <w:bCs/>
          <w:szCs w:val="28"/>
        </w:rPr>
        <w:t xml:space="preserve"> к </w:t>
      </w:r>
      <w:r>
        <w:rPr>
          <w:bCs/>
          <w:szCs w:val="28"/>
        </w:rPr>
        <w:t xml:space="preserve">уменьшению </w:t>
      </w:r>
      <w:r w:rsidRPr="00885BBD">
        <w:rPr>
          <w:bCs/>
          <w:szCs w:val="28"/>
        </w:rPr>
        <w:t>численности населения трудоспособно</w:t>
      </w:r>
      <w:r>
        <w:rPr>
          <w:bCs/>
          <w:szCs w:val="28"/>
        </w:rPr>
        <w:t xml:space="preserve">го </w:t>
      </w:r>
      <w:r w:rsidRPr="00885BBD">
        <w:rPr>
          <w:bCs/>
          <w:szCs w:val="28"/>
        </w:rPr>
        <w:t>возраст</w:t>
      </w:r>
      <w:r>
        <w:rPr>
          <w:bCs/>
          <w:szCs w:val="28"/>
        </w:rPr>
        <w:t>а</w:t>
      </w:r>
      <w:r w:rsidRPr="00933210">
        <w:rPr>
          <w:bCs/>
          <w:color w:val="92D050"/>
          <w:szCs w:val="28"/>
        </w:rPr>
        <w:t xml:space="preserve"> </w:t>
      </w:r>
      <w:r w:rsidRPr="00E5345A">
        <w:rPr>
          <w:bCs/>
          <w:szCs w:val="28"/>
        </w:rPr>
        <w:t>(</w:t>
      </w:r>
      <w:r>
        <w:rPr>
          <w:bCs/>
          <w:szCs w:val="28"/>
        </w:rPr>
        <w:t xml:space="preserve">на 12,3 тыс. чел. в 2018 году) снижен </w:t>
      </w:r>
      <w:r>
        <w:t xml:space="preserve">показатель среднегодовой численности занятых в экономике. </w:t>
      </w:r>
    </w:p>
    <w:p w:rsidR="00F02B12" w:rsidRDefault="00F02B12" w:rsidP="00F02B12">
      <w:pPr>
        <w:pStyle w:val="Style5"/>
        <w:spacing w:line="247" w:lineRule="auto"/>
        <w:ind w:firstLine="680"/>
        <w:jc w:val="both"/>
      </w:pPr>
      <w:r>
        <w:t>Причины предполагаемого снижения индекса физического объема инвестиций в Прогнозе СЭР не указаны.</w:t>
      </w:r>
    </w:p>
    <w:p w:rsidR="00F02B12" w:rsidRDefault="00F02B12" w:rsidP="00F02B12">
      <w:pPr>
        <w:ind w:firstLine="680"/>
        <w:jc w:val="both"/>
      </w:pPr>
      <w:r w:rsidRPr="00543C19">
        <w:t xml:space="preserve">Согласно </w:t>
      </w:r>
      <w:r>
        <w:t xml:space="preserve">базовому варианту </w:t>
      </w:r>
      <w:r w:rsidRPr="00543C19">
        <w:t>Прогноз</w:t>
      </w:r>
      <w:r>
        <w:t>а</w:t>
      </w:r>
      <w:r w:rsidRPr="00543C19">
        <w:t xml:space="preserve"> СЭР макроэкономические условия развития Волгоградской области характеризуются </w:t>
      </w:r>
      <w:r>
        <w:t xml:space="preserve">ростом в 2019-2021 годах практически всех основных макроэкономических показателей. Снижение темпов роста по сравнению с предыдущим периодом наблюдается в 2019 году по прибыли прибыльных организаций, </w:t>
      </w:r>
      <w:r>
        <w:lastRenderedPageBreak/>
        <w:t>фонду заработной платы работников организаций,</w:t>
      </w:r>
      <w:r w:rsidRPr="00F554D0">
        <w:t xml:space="preserve"> </w:t>
      </w:r>
      <w:r>
        <w:t>в 2020 году - по продукции сельского хозяйства и прибыли прибыльных организаций, в 2019 и 2021 годах отмечен рост индекса потребительских цен.</w:t>
      </w:r>
    </w:p>
    <w:p w:rsidR="00F02B12" w:rsidRDefault="00F02B12" w:rsidP="00F02B12">
      <w:pPr>
        <w:ind w:firstLine="680"/>
        <w:jc w:val="both"/>
      </w:pPr>
      <w:proofErr w:type="gramStart"/>
      <w:r>
        <w:t>По расчетам комитета экономической политики и развития Волгоградской области в 2019 году и плановом периоде ожидается ежегодный рост обобщающего показателя экономической деятельности региона - валового регионального продукта (далее ВРП), объем которого  в номинальном выражении должен вырасти с 902,6 млрд. руб. в 2019 году до 1010,8 млрд. руб. в 2021 году, или на 12 процент</w:t>
      </w:r>
      <w:r w:rsidR="009E1A58">
        <w:t>ов</w:t>
      </w:r>
      <w:r>
        <w:t>.</w:t>
      </w:r>
      <w:proofErr w:type="gramEnd"/>
      <w:r>
        <w:t xml:space="preserve"> В 2019-2021 годах темп роста ВРП (в сопоставимых ценах) составит 101,2;102 и 102,7 процента.</w:t>
      </w:r>
    </w:p>
    <w:p w:rsidR="00F02B12" w:rsidRDefault="00F02B12" w:rsidP="00F02B12">
      <w:pPr>
        <w:ind w:firstLine="680"/>
        <w:jc w:val="both"/>
      </w:pPr>
      <w:r>
        <w:t>Согласно Прогнозу СЭР важным фактором роста ВРП станет реализация крупных инвестиционных проектов и</w:t>
      </w:r>
      <w:r w:rsidR="009E1A58">
        <w:t>,</w:t>
      </w:r>
      <w:r>
        <w:t xml:space="preserve"> как следствие</w:t>
      </w:r>
      <w:r w:rsidR="009E1A58">
        <w:t>,</w:t>
      </w:r>
      <w:r>
        <w:t xml:space="preserve"> рост объема инвестиционных вложений. </w:t>
      </w:r>
    </w:p>
    <w:p w:rsidR="00F02B12" w:rsidRPr="007D12AE" w:rsidRDefault="00F02B12" w:rsidP="00F02B12">
      <w:pPr>
        <w:ind w:firstLine="680"/>
        <w:jc w:val="both"/>
      </w:pPr>
      <w:proofErr w:type="gramStart"/>
      <w:r>
        <w:t xml:space="preserve">Планируется, что инвестиционные </w:t>
      </w:r>
      <w:r w:rsidRPr="00DF1805">
        <w:t xml:space="preserve">вложения в экономику Волгоградской области в  2019-2021 годах </w:t>
      </w:r>
      <w:r>
        <w:t>будут расти:</w:t>
      </w:r>
      <w:r w:rsidRPr="003927CB">
        <w:t xml:space="preserve"> </w:t>
      </w:r>
      <w:r>
        <w:t>о</w:t>
      </w:r>
      <w:r w:rsidRPr="00DF1805">
        <w:t xml:space="preserve">бщий объем инвестиций </w:t>
      </w:r>
      <w:r w:rsidR="009E1A58">
        <w:t>увеличится</w:t>
      </w:r>
      <w:r w:rsidRPr="00DF1805">
        <w:t xml:space="preserve"> </w:t>
      </w:r>
      <w:r>
        <w:t xml:space="preserve">в течение </w:t>
      </w:r>
      <w:r w:rsidRPr="00DF1805">
        <w:t xml:space="preserve"> прогнозируемого периода с 200,6 млрд. руб. до 228,1 млрд.</w:t>
      </w:r>
      <w:r>
        <w:t xml:space="preserve"> руб., индекс физического объема </w:t>
      </w:r>
      <w:r w:rsidR="009E1A58">
        <w:t xml:space="preserve">- </w:t>
      </w:r>
      <w:r>
        <w:t>со 100,5% в 2019 году до 102,6% в 2021 году.</w:t>
      </w:r>
      <w:proofErr w:type="gramEnd"/>
      <w:r>
        <w:t xml:space="preserve"> Вместе с тем доля инвестиций в основной капитал к ВРП на 2019 год запланирована в размере 22,2%, или на уровне 2018 года</w:t>
      </w:r>
      <w:r w:rsidRPr="00496955">
        <w:t>. Повышение указанной доли наблюдается только в 2020 и 2021 годах (до 22,5 и 22,6% соответственно).</w:t>
      </w:r>
      <w:r>
        <w:t xml:space="preserve"> </w:t>
      </w:r>
      <w:r w:rsidRPr="007D12AE">
        <w:t>За 2016</w:t>
      </w:r>
      <w:r w:rsidR="005C5388">
        <w:t>-</w:t>
      </w:r>
      <w:r w:rsidRPr="007D12AE">
        <w:t xml:space="preserve">2018 годы наблюдается снижение доли инвестиций в основной капитал к ВРП (с 24,7% в 2016 году до 22,2% в 2018 году), в 2018 году прогнозируется </w:t>
      </w:r>
      <w:r>
        <w:t xml:space="preserve">также </w:t>
      </w:r>
      <w:r w:rsidRPr="007D12AE">
        <w:t xml:space="preserve">снижение индекса физического объема инвестиций </w:t>
      </w:r>
      <w:proofErr w:type="gramStart"/>
      <w:r w:rsidRPr="007D12AE">
        <w:t>на</w:t>
      </w:r>
      <w:proofErr w:type="gramEnd"/>
      <w:r w:rsidRPr="007D12AE">
        <w:t xml:space="preserve"> 4,9 процента.</w:t>
      </w:r>
    </w:p>
    <w:p w:rsidR="00F02B12" w:rsidRPr="003C5073" w:rsidRDefault="00F02B12" w:rsidP="00F02B12">
      <w:pPr>
        <w:ind w:firstLine="680"/>
        <w:jc w:val="both"/>
        <w:rPr>
          <w:b/>
        </w:rPr>
      </w:pPr>
      <w:proofErr w:type="gramStart"/>
      <w:r w:rsidRPr="008267A1">
        <w:t xml:space="preserve">Полагаем, что в условиях снижения кредитной активности экономических субъектов  (за последние пять лет наблюдается уменьшение объемов предоставленных кредитов юридическим лицам и индивидуальным предпринимателям со 184,4 млрд. руб. до 138,9 млрд. руб.) и негативных настроений бизнеса, находящихся под воздействием повышенной </w:t>
      </w:r>
      <w:proofErr w:type="spellStart"/>
      <w:r w:rsidRPr="008267A1">
        <w:t>волатильности</w:t>
      </w:r>
      <w:proofErr w:type="spellEnd"/>
      <w:r w:rsidRPr="008267A1">
        <w:t xml:space="preserve"> финансовых рынков, связанной с </w:t>
      </w:r>
      <w:proofErr w:type="spellStart"/>
      <w:r w:rsidRPr="008267A1">
        <w:t>санкционными</w:t>
      </w:r>
      <w:proofErr w:type="spellEnd"/>
      <w:r w:rsidRPr="008267A1">
        <w:t xml:space="preserve"> рискам</w:t>
      </w:r>
      <w:r>
        <w:t>и и</w:t>
      </w:r>
      <w:r w:rsidRPr="008267A1">
        <w:t xml:space="preserve"> рисками для глобальной торговли (пересмотр торговых соглашений, повышение пошлин)</w:t>
      </w:r>
      <w:r>
        <w:t>,</w:t>
      </w:r>
      <w:r w:rsidRPr="008267A1">
        <w:t xml:space="preserve"> существует риск </w:t>
      </w:r>
      <w:proofErr w:type="spellStart"/>
      <w:r w:rsidRPr="008267A1">
        <w:t>недостижения</w:t>
      </w:r>
      <w:proofErr w:type="spellEnd"/>
      <w:r w:rsidRPr="008267A1">
        <w:t xml:space="preserve"> индекса</w:t>
      </w:r>
      <w:proofErr w:type="gramEnd"/>
      <w:r w:rsidRPr="008267A1">
        <w:t xml:space="preserve"> физического объема инвестиций.</w:t>
      </w:r>
      <w:r>
        <w:t xml:space="preserve"> </w:t>
      </w:r>
    </w:p>
    <w:p w:rsidR="00F02B12" w:rsidRPr="00EC6996" w:rsidRDefault="00F02B12" w:rsidP="00F02B12">
      <w:pPr>
        <w:ind w:firstLine="680"/>
        <w:jc w:val="both"/>
        <w:rPr>
          <w:u w:val="single"/>
        </w:rPr>
      </w:pPr>
      <w:r>
        <w:t xml:space="preserve">В Прогнозе СЭР отмечено, что </w:t>
      </w:r>
      <w:r w:rsidRPr="00EC6996">
        <w:rPr>
          <w:u w:val="single"/>
        </w:rPr>
        <w:t>прирост В</w:t>
      </w:r>
      <w:proofErr w:type="gramStart"/>
      <w:r w:rsidRPr="00EC6996">
        <w:rPr>
          <w:u w:val="single"/>
        </w:rPr>
        <w:t>РП</w:t>
      </w:r>
      <w:r>
        <w:t xml:space="preserve"> в ср</w:t>
      </w:r>
      <w:proofErr w:type="gramEnd"/>
      <w:r>
        <w:t xml:space="preserve">еднесрочной перспективе </w:t>
      </w:r>
      <w:r w:rsidRPr="00EC6996">
        <w:rPr>
          <w:u w:val="single"/>
        </w:rPr>
        <w:t>будет обеспечен вследствие реализации проектов в сфере промышленности, стабильного роста сельскохозяйственной продукции, положительной динамики темпов строительства.</w:t>
      </w:r>
    </w:p>
    <w:p w:rsidR="00F02B12" w:rsidRDefault="00F02B12" w:rsidP="00F02B12">
      <w:pPr>
        <w:ind w:firstLine="680"/>
        <w:jc w:val="both"/>
      </w:pPr>
      <w:r w:rsidRPr="000F0F60">
        <w:rPr>
          <w:i/>
        </w:rPr>
        <w:t>Индекс промышленного производства</w:t>
      </w:r>
      <w:r>
        <w:t xml:space="preserve"> Прогнозом СЭР определен в границах от 102,1% в 2019 году до 102,9% в 2021 году. Прогнозируемый рост индекса промышленного производства планируется обеспечить, в том числе  и за счет реализации инвестиционных проектов. В 2019-2021 годах планируется реализация 17 промышленных инвестиционных проектов с общим объемом инвестиций порядка 48,5 млрд. руб. и созданием почти 1280 высокопроизводительных рабочих мест. </w:t>
      </w:r>
    </w:p>
    <w:p w:rsidR="00F02B12" w:rsidRDefault="00F02B12" w:rsidP="00F02B12">
      <w:pPr>
        <w:ind w:firstLine="680"/>
        <w:jc w:val="both"/>
      </w:pPr>
      <w:r w:rsidRPr="000F0F60">
        <w:rPr>
          <w:i/>
        </w:rPr>
        <w:t>Объем продукции сельского хозяйства</w:t>
      </w:r>
      <w:r>
        <w:t xml:space="preserve">  Прогнозом СЭР определен от 135,6 млрд. руб. в 2019 году до 146,6 млрд. руб. в 2021 году, индекс производства продукции сельского хозяйства запланирован в размере 109,4; 100,7 и 101%</w:t>
      </w:r>
      <w:r w:rsidR="00922DF2">
        <w:t xml:space="preserve"> соответственно по годам</w:t>
      </w:r>
      <w:r>
        <w:t xml:space="preserve">. Развитие растениеводства предполагается за счет расширения посевных площадей сельскохозяйственных культур, проведения сортосмены и </w:t>
      </w:r>
      <w:proofErr w:type="spellStart"/>
      <w:r>
        <w:t>сортообновления</w:t>
      </w:r>
      <w:proofErr w:type="spellEnd"/>
      <w:r>
        <w:t xml:space="preserve"> семян, обновления материально-технической базы производства продукции растениеводства, развития мелиорации. Развитие животноводства планируется за счет роста продуктивности сельскохозяйственных животных, увеличения производства племенной продукции, проведения комплекса ветеринарных мероприятий, создания семейных животноводческих ферм.</w:t>
      </w:r>
    </w:p>
    <w:p w:rsidR="00F02B12" w:rsidRDefault="00F02B12" w:rsidP="00F02B12">
      <w:pPr>
        <w:ind w:firstLine="680"/>
        <w:jc w:val="both"/>
      </w:pPr>
      <w:proofErr w:type="gramStart"/>
      <w:r>
        <w:t>Указом Президента РФ от 07.05.2018 №204 «О национальных целях и стратегических задачах развития Российской Федерации на период до 2024 года» к приоритетным целям развития РФ отнесены: обеспечение устойчивого роста реальных доходов граждан, а также роста уровня пенсионного обеспечения выше уровня инфляции и снижение в два раза уровня бедности в Р</w:t>
      </w:r>
      <w:r w:rsidR="00922DF2">
        <w:t xml:space="preserve">оссийской </w:t>
      </w:r>
      <w:r>
        <w:t>Ф</w:t>
      </w:r>
      <w:r w:rsidR="00922DF2">
        <w:t>едерации</w:t>
      </w:r>
      <w:r>
        <w:t xml:space="preserve">. </w:t>
      </w:r>
      <w:proofErr w:type="gramEnd"/>
    </w:p>
    <w:p w:rsidR="00C227E6" w:rsidRDefault="00F02B12" w:rsidP="00F02B12">
      <w:pPr>
        <w:ind w:firstLine="680"/>
        <w:jc w:val="both"/>
      </w:pPr>
      <w:r>
        <w:t xml:space="preserve">В Прогнозе СЭР существенно увеличен темп роста </w:t>
      </w:r>
      <w:r w:rsidRPr="000F0F60">
        <w:rPr>
          <w:i/>
        </w:rPr>
        <w:t>реальной заработной платы работников организаций</w:t>
      </w:r>
      <w:r>
        <w:rPr>
          <w:i/>
        </w:rPr>
        <w:t xml:space="preserve"> </w:t>
      </w:r>
      <w:r w:rsidRPr="00BE7901">
        <w:t>(показатель уровня благосостояния человека)</w:t>
      </w:r>
      <w:r w:rsidRPr="000F0F60">
        <w:rPr>
          <w:i/>
        </w:rPr>
        <w:t xml:space="preserve"> </w:t>
      </w:r>
      <w:r w:rsidRPr="00C3282E">
        <w:t xml:space="preserve">по оценке 2018 года </w:t>
      </w:r>
      <w:r w:rsidRPr="00C3282E">
        <w:lastRenderedPageBreak/>
        <w:t>(ожидаемый прирост +7,5%), обусловленн</w:t>
      </w:r>
      <w:r>
        <w:t>ый</w:t>
      </w:r>
      <w:r w:rsidRPr="00C3282E">
        <w:t xml:space="preserve">  повышением заработной платы в бюджетном секторе. На 2019</w:t>
      </w:r>
      <w:r w:rsidR="00922DF2">
        <w:t>-</w:t>
      </w:r>
      <w:r w:rsidRPr="00C3282E">
        <w:t xml:space="preserve">2020 годы запланирован незначительный рост этого показателя  (+0,8% в 2019 году и +1,5% в 2020 году), или ниже уровня 2016 и 2017 годов (+1,9 и +1,6%). </w:t>
      </w:r>
      <w:r>
        <w:t>Также на 2019-2021 спрогнозировано превышение темпов роста производительности труда над темпами роста реальной заработной платы (на 0,4; 0,3 и 0,5 п.п.)</w:t>
      </w:r>
      <w:r w:rsidR="00C227E6">
        <w:t>.</w:t>
      </w:r>
      <w:r>
        <w:t xml:space="preserve"> </w:t>
      </w:r>
    </w:p>
    <w:p w:rsidR="00F02B12" w:rsidRPr="00143AD5" w:rsidRDefault="00F02B12" w:rsidP="00F02B12">
      <w:pPr>
        <w:ind w:firstLine="680"/>
        <w:jc w:val="both"/>
      </w:pPr>
      <w:r w:rsidRPr="00143AD5">
        <w:t xml:space="preserve">Оценка достоверности показателей СЭР показала, что в 2018-2021 годах предусмотрен рост показателя количества малых и средних предприятий, включая </w:t>
      </w:r>
      <w:proofErr w:type="spellStart"/>
      <w:r w:rsidRPr="00143AD5">
        <w:t>микропредприятия</w:t>
      </w:r>
      <w:proofErr w:type="spellEnd"/>
      <w:r w:rsidRPr="00143AD5">
        <w:t xml:space="preserve"> (на конец года) с 28,87</w:t>
      </w:r>
      <w:r>
        <w:t xml:space="preserve"> </w:t>
      </w:r>
      <w:r w:rsidRPr="00143AD5">
        <w:t>тыс. ед. в 2017 году до 28,96 тыс. ед. в 2021 году</w:t>
      </w:r>
      <w:r>
        <w:t xml:space="preserve"> (+</w:t>
      </w:r>
      <w:r w:rsidRPr="00143AD5">
        <w:t>0,3</w:t>
      </w:r>
      <w:r>
        <w:t>%).</w:t>
      </w:r>
      <w:r w:rsidRPr="00143AD5">
        <w:t xml:space="preserve"> Вместе с тем согласно отчетным данным в 2017 году наблюдается снижение данного показателя</w:t>
      </w:r>
      <w:r>
        <w:t xml:space="preserve"> по сравнению с предыдущим годом</w:t>
      </w:r>
      <w:r w:rsidRPr="00143AD5">
        <w:t xml:space="preserve"> с 33,99 тыс. ед. до 28,87 тыс. ед. (-15,1%). </w:t>
      </w:r>
      <w:r>
        <w:t>По</w:t>
      </w:r>
      <w:r w:rsidRPr="00143AD5">
        <w:t xml:space="preserve"> данным </w:t>
      </w:r>
      <w:proofErr w:type="spellStart"/>
      <w:r w:rsidRPr="00143AD5">
        <w:t>Волгоградстата</w:t>
      </w:r>
      <w:proofErr w:type="spellEnd"/>
      <w:r w:rsidRPr="00143AD5">
        <w:t xml:space="preserve"> за </w:t>
      </w:r>
      <w:r w:rsidRPr="00143AD5">
        <w:rPr>
          <w:lang w:val="en-US"/>
        </w:rPr>
        <w:t>I</w:t>
      </w:r>
      <w:r w:rsidRPr="00143AD5">
        <w:t xml:space="preserve"> полугодие 2018 года количество малых предприятий (без микро) снизилось с 2,8 тыс. ед. и 3,0 тыс. ед.</w:t>
      </w:r>
      <w:r>
        <w:t xml:space="preserve"> </w:t>
      </w:r>
      <w:r w:rsidRPr="00143AD5">
        <w:t>в 2016 и 2017 годах до 2,5 тыс. единиц.</w:t>
      </w:r>
    </w:p>
    <w:p w:rsidR="00F02B12" w:rsidRPr="00143AD5" w:rsidRDefault="00F02B12" w:rsidP="00F02B12">
      <w:pPr>
        <w:ind w:firstLine="680"/>
        <w:jc w:val="both"/>
      </w:pPr>
      <w:r w:rsidRPr="00143AD5">
        <w:t xml:space="preserve">Согласно данным единого реестра субъектов </w:t>
      </w:r>
      <w:r>
        <w:t>м</w:t>
      </w:r>
      <w:r w:rsidRPr="00143AD5">
        <w:t xml:space="preserve">алого и среднего предпринимательства, размещенного на сайте ФНС России, также наблюдается снижение названного показателя по состоянию на 10.10.2018 </w:t>
      </w:r>
      <w:r w:rsidR="009D755A">
        <w:t xml:space="preserve">- </w:t>
      </w:r>
      <w:r w:rsidRPr="00143AD5">
        <w:t>количество составило 26,6 тыс. ед. и снизилось в сравнении с 10.01.2018 и 10.01.2017 соответственно на 2,35 тыс. ед. и 3,95</w:t>
      </w:r>
      <w:r>
        <w:t xml:space="preserve"> </w:t>
      </w:r>
      <w:r w:rsidRPr="00143AD5">
        <w:t xml:space="preserve">тыс. единиц. В связи с </w:t>
      </w:r>
      <w:proofErr w:type="gramStart"/>
      <w:r w:rsidRPr="00143AD5">
        <w:t>изложенным</w:t>
      </w:r>
      <w:proofErr w:type="gramEnd"/>
      <w:r w:rsidRPr="00143AD5">
        <w:t xml:space="preserve"> </w:t>
      </w:r>
      <w:r w:rsidR="00BA058E">
        <w:t xml:space="preserve">имеются риски </w:t>
      </w:r>
      <w:proofErr w:type="spellStart"/>
      <w:r w:rsidR="00BA058E">
        <w:t>недостижения</w:t>
      </w:r>
      <w:proofErr w:type="spellEnd"/>
      <w:r w:rsidRPr="00143AD5">
        <w:t xml:space="preserve"> указанного</w:t>
      </w:r>
      <w:r w:rsidR="00BA058E">
        <w:t xml:space="preserve"> </w:t>
      </w:r>
      <w:r w:rsidRPr="00143AD5">
        <w:t>показателя в прогнозируемом периоде. Кроме того, Прогноз СЭР не содержит конкретных мероприятий, способствующих достижению заданных в Прогнозе СЭР значений.</w:t>
      </w:r>
    </w:p>
    <w:p w:rsidR="006E4FF7" w:rsidRDefault="00F02B12" w:rsidP="00F02B12">
      <w:pPr>
        <w:pStyle w:val="a7"/>
        <w:spacing w:after="0"/>
        <w:ind w:firstLine="680"/>
        <w:jc w:val="both"/>
      </w:pPr>
      <w:r w:rsidRPr="00DA65B8">
        <w:t xml:space="preserve">Проведенный </w:t>
      </w:r>
      <w:r w:rsidRPr="00DA65B8">
        <w:rPr>
          <w:b/>
          <w:i/>
        </w:rPr>
        <w:t>сравнительный анализ</w:t>
      </w:r>
      <w:r w:rsidRPr="00CA7098">
        <w:rPr>
          <w:b/>
          <w:i/>
        </w:rPr>
        <w:t xml:space="preserve"> основных макроэкономических показателей развития Российской Федерации и Волгоградской области</w:t>
      </w:r>
      <w:r w:rsidRPr="00CA7098">
        <w:t xml:space="preserve">  </w:t>
      </w:r>
      <w:r w:rsidRPr="007464A9">
        <w:t xml:space="preserve">показал, что по </w:t>
      </w:r>
      <w:r w:rsidR="009D755A">
        <w:t xml:space="preserve">ожидаемой </w:t>
      </w:r>
      <w:r w:rsidRPr="007464A9">
        <w:t xml:space="preserve">оценке </w:t>
      </w:r>
      <w:r w:rsidR="006E4FF7">
        <w:t xml:space="preserve">темп роста прибыли прибыльных организаций </w:t>
      </w:r>
      <w:r w:rsidR="006E4FF7" w:rsidRPr="007464A9">
        <w:t xml:space="preserve">в 2018 году </w:t>
      </w:r>
      <w:r w:rsidR="006E4FF7">
        <w:t xml:space="preserve">по Волгоградской области (105,5%) опережает аналогичный показатель по Российской Федерации (104,9%). При этом </w:t>
      </w:r>
      <w:r>
        <w:t>уровень безработицы</w:t>
      </w:r>
      <w:r w:rsidR="00FD371B">
        <w:t>, рассчитанный по методике Международной организации труда,</w:t>
      </w:r>
      <w:r w:rsidR="009D755A">
        <w:t xml:space="preserve"> </w:t>
      </w:r>
      <w:r w:rsidR="00FD371B">
        <w:t xml:space="preserve">ожидается </w:t>
      </w:r>
      <w:r w:rsidR="009D755A">
        <w:t xml:space="preserve">в Волгоградской области </w:t>
      </w:r>
      <w:r w:rsidR="006E4FF7">
        <w:t xml:space="preserve">в текущем году (6%) </w:t>
      </w:r>
      <w:r w:rsidR="007C1264">
        <w:t xml:space="preserve">также </w:t>
      </w:r>
      <w:r w:rsidR="006E4FF7">
        <w:t>выше безработицы</w:t>
      </w:r>
      <w:r w:rsidRPr="007464A9">
        <w:t xml:space="preserve"> по Р</w:t>
      </w:r>
      <w:r w:rsidR="006E4FF7">
        <w:t xml:space="preserve">оссийской Федерации (4,8%). </w:t>
      </w:r>
    </w:p>
    <w:p w:rsidR="006E4FF7" w:rsidRDefault="001336E1" w:rsidP="006E4FF7">
      <w:pPr>
        <w:pStyle w:val="a7"/>
        <w:spacing w:after="0"/>
        <w:ind w:firstLine="680"/>
        <w:jc w:val="both"/>
      </w:pPr>
      <w:r>
        <w:t>В этой связи н</w:t>
      </w:r>
      <w:r w:rsidR="007C1264">
        <w:t xml:space="preserve">еобходимо отметить, что </w:t>
      </w:r>
      <w:r w:rsidR="006E4FF7">
        <w:t>у</w:t>
      </w:r>
      <w:r w:rsidR="006E4FF7" w:rsidRPr="005D38A6">
        <w:t>ров</w:t>
      </w:r>
      <w:r w:rsidR="007C1264">
        <w:t>е</w:t>
      </w:r>
      <w:r w:rsidR="006E4FF7">
        <w:t>н</w:t>
      </w:r>
      <w:r w:rsidR="007C1264">
        <w:t>ь</w:t>
      </w:r>
      <w:r w:rsidR="006E4FF7" w:rsidRPr="005D38A6">
        <w:t xml:space="preserve"> безработицы </w:t>
      </w:r>
      <w:r w:rsidR="006E4FF7">
        <w:t>в Волгоградской области</w:t>
      </w:r>
      <w:r w:rsidR="007C1264">
        <w:t xml:space="preserve"> имеет положительную динамику к снижению. Так, с 2016 года</w:t>
      </w:r>
      <w:r w:rsidR="006E4FF7">
        <w:t xml:space="preserve"> </w:t>
      </w:r>
      <w:r w:rsidR="007C1264">
        <w:t xml:space="preserve">он </w:t>
      </w:r>
      <w:r w:rsidR="006E4FF7">
        <w:t>сократится</w:t>
      </w:r>
      <w:r w:rsidR="007C1264">
        <w:t xml:space="preserve"> согласно Прогнозу СЭР</w:t>
      </w:r>
      <w:r w:rsidR="006E4FF7">
        <w:t xml:space="preserve"> с 6,8% до 5,8% в 2021 году. При этом </w:t>
      </w:r>
      <w:r w:rsidR="00BE449E">
        <w:t xml:space="preserve">данный показатель на протяжении всего анализируемого периода будет </w:t>
      </w:r>
      <w:r w:rsidR="006E4FF7">
        <w:t>превы</w:t>
      </w:r>
      <w:r w:rsidR="00BE449E">
        <w:t>шать</w:t>
      </w:r>
      <w:r w:rsidR="006E4FF7">
        <w:t xml:space="preserve"> </w:t>
      </w:r>
      <w:proofErr w:type="spellStart"/>
      <w:r w:rsidR="006E4FF7">
        <w:t>среднероссийские</w:t>
      </w:r>
      <w:proofErr w:type="spellEnd"/>
      <w:r w:rsidR="006E4FF7">
        <w:t xml:space="preserve"> значения  </w:t>
      </w:r>
      <w:r w:rsidR="00762ED6">
        <w:t>(</w:t>
      </w:r>
      <w:r w:rsidR="006E4FF7">
        <w:t>в 2016 году</w:t>
      </w:r>
      <w:r w:rsidR="00762ED6">
        <w:t xml:space="preserve"> – на 1,2%,</w:t>
      </w:r>
      <w:r w:rsidR="006E4FF7">
        <w:t xml:space="preserve"> в 2021 году</w:t>
      </w:r>
      <w:r w:rsidR="00762ED6">
        <w:t xml:space="preserve"> – на 1,1%)</w:t>
      </w:r>
      <w:r w:rsidR="006E4FF7">
        <w:t>,</w:t>
      </w:r>
      <w:r w:rsidR="006E4FF7" w:rsidRPr="005D38A6">
        <w:t xml:space="preserve"> что является негативным фактором</w:t>
      </w:r>
      <w:r w:rsidR="00762ED6">
        <w:t>, в том числе отрицательно влияющим на поступления НДФЛ в консолидированный бюджет области.</w:t>
      </w:r>
      <w:r w:rsidR="00BE449E">
        <w:t xml:space="preserve"> </w:t>
      </w:r>
    </w:p>
    <w:p w:rsidR="00F02B12" w:rsidRDefault="000E2E95" w:rsidP="00F02B12">
      <w:pPr>
        <w:pStyle w:val="a7"/>
        <w:spacing w:after="0"/>
        <w:ind w:firstLine="680"/>
        <w:jc w:val="both"/>
      </w:pPr>
      <w:r>
        <w:t>П</w:t>
      </w:r>
      <w:r w:rsidR="00F02B12" w:rsidRPr="007464A9">
        <w:t>оказатель темпа роста оборота розничной торговли</w:t>
      </w:r>
      <w:r>
        <w:t xml:space="preserve"> по Волгоградской области</w:t>
      </w:r>
      <w:r w:rsidR="00F02B12" w:rsidRPr="007464A9">
        <w:t xml:space="preserve"> оценивается </w:t>
      </w:r>
      <w:r>
        <w:t xml:space="preserve">в 2018 году </w:t>
      </w:r>
      <w:r w:rsidR="00F02B12" w:rsidRPr="007464A9">
        <w:t xml:space="preserve">на уровне РФ. </w:t>
      </w:r>
    </w:p>
    <w:p w:rsidR="00F02B12" w:rsidRDefault="00F02B12" w:rsidP="00F02B12">
      <w:pPr>
        <w:pStyle w:val="a7"/>
        <w:spacing w:after="0"/>
        <w:ind w:firstLine="680"/>
        <w:jc w:val="both"/>
        <w:rPr>
          <w:color w:val="000000"/>
        </w:rPr>
      </w:pPr>
      <w:proofErr w:type="gramStart"/>
      <w:r w:rsidRPr="008016F1">
        <w:rPr>
          <w:color w:val="000000"/>
        </w:rPr>
        <w:t>Индекс-дефлятор В</w:t>
      </w:r>
      <w:r>
        <w:rPr>
          <w:color w:val="000000"/>
        </w:rPr>
        <w:t>Р</w:t>
      </w:r>
      <w:r w:rsidRPr="008016F1">
        <w:rPr>
          <w:color w:val="000000"/>
        </w:rPr>
        <w:t>П</w:t>
      </w:r>
      <w:r>
        <w:rPr>
          <w:color w:val="000000"/>
        </w:rPr>
        <w:t xml:space="preserve">, характеризующий </w:t>
      </w:r>
      <w:r w:rsidRPr="008016F1">
        <w:rPr>
          <w:color w:val="000000"/>
        </w:rPr>
        <w:t>динамику цен на все товары и услуги как потребительского, так и производственного назначения</w:t>
      </w:r>
      <w:r>
        <w:rPr>
          <w:color w:val="000000"/>
        </w:rPr>
        <w:t xml:space="preserve">, запланирован в размере 103,6%, что выше российского показателя на 0,3 процентных пункта. </w:t>
      </w:r>
      <w:proofErr w:type="gramEnd"/>
    </w:p>
    <w:p w:rsidR="00F02B12" w:rsidRPr="007464A9" w:rsidRDefault="00F02B12" w:rsidP="00F02B12">
      <w:pPr>
        <w:pStyle w:val="a7"/>
        <w:spacing w:after="0"/>
        <w:ind w:firstLine="680"/>
        <w:jc w:val="both"/>
      </w:pPr>
      <w:r w:rsidRPr="007464A9">
        <w:t xml:space="preserve">По другим </w:t>
      </w:r>
      <w:r w:rsidR="00290C4D">
        <w:t>ма</w:t>
      </w:r>
      <w:r w:rsidRPr="007464A9">
        <w:t xml:space="preserve">кроэкономическим показателям оценочно темп роста сложится ниже </w:t>
      </w:r>
      <w:proofErr w:type="spellStart"/>
      <w:r w:rsidRPr="007464A9">
        <w:t>среднероссийского</w:t>
      </w:r>
      <w:proofErr w:type="spellEnd"/>
      <w:r w:rsidRPr="007464A9">
        <w:t xml:space="preserve"> уровня. </w:t>
      </w:r>
    </w:p>
    <w:p w:rsidR="00F02B12" w:rsidRDefault="00F02B12" w:rsidP="00F02B12">
      <w:pPr>
        <w:pStyle w:val="a7"/>
        <w:spacing w:after="0"/>
        <w:ind w:firstLine="680"/>
        <w:jc w:val="both"/>
      </w:pPr>
      <w:r w:rsidRPr="00A873CB">
        <w:t xml:space="preserve">На 2019 год </w:t>
      </w:r>
      <w:r w:rsidR="00290C4D">
        <w:t>по трем</w:t>
      </w:r>
      <w:r>
        <w:t xml:space="preserve"> показателям развития области (индекс-дефлятор В</w:t>
      </w:r>
      <w:r w:rsidR="008718A5">
        <w:t>Р</w:t>
      </w:r>
      <w:r>
        <w:t>П, темп роста продукции сельского хозяйства, оборот розничной торговли) темпы роста прогнозируются выше уровня РФ,</w:t>
      </w:r>
      <w:r w:rsidRPr="00072A05">
        <w:t xml:space="preserve"> </w:t>
      </w:r>
      <w:r w:rsidRPr="007464A9">
        <w:t xml:space="preserve">показатель </w:t>
      </w:r>
      <w:r>
        <w:t xml:space="preserve">прибыли прибыльных организаций </w:t>
      </w:r>
      <w:r w:rsidRPr="007464A9">
        <w:t xml:space="preserve">оценивается на уровне РФ. </w:t>
      </w:r>
    </w:p>
    <w:p w:rsidR="00F02B12" w:rsidRDefault="00F02B12" w:rsidP="00F02B12">
      <w:pPr>
        <w:pStyle w:val="a7"/>
        <w:spacing w:after="0"/>
        <w:ind w:firstLine="680"/>
        <w:jc w:val="both"/>
      </w:pPr>
      <w:r>
        <w:t>На плановый период 2020</w:t>
      </w:r>
      <w:r w:rsidRPr="00CA7098">
        <w:t>-20</w:t>
      </w:r>
      <w:r>
        <w:t>21</w:t>
      </w:r>
      <w:r w:rsidRPr="00CA7098">
        <w:t xml:space="preserve"> годов </w:t>
      </w:r>
      <w:r>
        <w:t>прогнозные показатели</w:t>
      </w:r>
      <w:r w:rsidRPr="00922CCF">
        <w:t xml:space="preserve"> </w:t>
      </w:r>
      <w:r>
        <w:t xml:space="preserve">в основном предусмотрены ниже </w:t>
      </w:r>
      <w:proofErr w:type="spellStart"/>
      <w:r>
        <w:t>среднероссийского</w:t>
      </w:r>
      <w:proofErr w:type="spellEnd"/>
      <w:r>
        <w:t xml:space="preserve"> уровня (за исключением индекса-дефлятора ВРП,</w:t>
      </w:r>
      <w:r w:rsidRPr="00A80B42">
        <w:t xml:space="preserve"> </w:t>
      </w:r>
      <w:r>
        <w:t>оборота розничной торговли и индекса потребительских цен в 2020 году). При этом Прогноз СЭР не содержит направлений развития потребительского рынка на 2019-2021 годы, свидетельствующи</w:t>
      </w:r>
      <w:r w:rsidR="00290C4D">
        <w:t>х</w:t>
      </w:r>
      <w:r>
        <w:t xml:space="preserve"> о планируемом достижении таких темпов роста оборота розничной торговли. </w:t>
      </w:r>
    </w:p>
    <w:p w:rsidR="00290C4D" w:rsidRDefault="00290C4D" w:rsidP="00D45F41">
      <w:pPr>
        <w:pStyle w:val="11"/>
        <w:ind w:firstLine="708"/>
        <w:jc w:val="center"/>
        <w:rPr>
          <w:b/>
          <w:i/>
          <w:sz w:val="24"/>
          <w:szCs w:val="24"/>
        </w:rPr>
      </w:pPr>
    </w:p>
    <w:p w:rsidR="001336E1" w:rsidRDefault="001336E1" w:rsidP="00D45F41">
      <w:pPr>
        <w:pStyle w:val="11"/>
        <w:ind w:firstLine="708"/>
        <w:jc w:val="center"/>
        <w:rPr>
          <w:b/>
          <w:i/>
          <w:sz w:val="24"/>
          <w:szCs w:val="24"/>
        </w:rPr>
      </w:pPr>
    </w:p>
    <w:p w:rsidR="001336E1" w:rsidRDefault="001336E1" w:rsidP="00D45F41">
      <w:pPr>
        <w:pStyle w:val="11"/>
        <w:ind w:firstLine="708"/>
        <w:jc w:val="center"/>
        <w:rPr>
          <w:b/>
          <w:i/>
          <w:sz w:val="24"/>
          <w:szCs w:val="24"/>
        </w:rPr>
      </w:pPr>
    </w:p>
    <w:p w:rsidR="001336E1" w:rsidRDefault="001336E1" w:rsidP="00D45F41">
      <w:pPr>
        <w:pStyle w:val="11"/>
        <w:ind w:firstLine="708"/>
        <w:jc w:val="center"/>
        <w:rPr>
          <w:b/>
          <w:i/>
          <w:sz w:val="24"/>
          <w:szCs w:val="24"/>
        </w:rPr>
      </w:pPr>
    </w:p>
    <w:p w:rsidR="00EF3CC9" w:rsidRPr="00A27310" w:rsidRDefault="00387CD9" w:rsidP="00D45F41">
      <w:pPr>
        <w:pStyle w:val="11"/>
        <w:ind w:firstLine="708"/>
        <w:jc w:val="center"/>
        <w:rPr>
          <w:b/>
          <w:i/>
          <w:sz w:val="24"/>
          <w:szCs w:val="24"/>
        </w:rPr>
      </w:pPr>
      <w:r w:rsidRPr="00A27310">
        <w:rPr>
          <w:b/>
          <w:i/>
          <w:sz w:val="24"/>
          <w:szCs w:val="24"/>
        </w:rPr>
        <w:lastRenderedPageBreak/>
        <w:t>3. Основные характеристики областного бюджета</w:t>
      </w:r>
      <w:r w:rsidR="00EF3334" w:rsidRPr="00A27310">
        <w:rPr>
          <w:b/>
          <w:i/>
          <w:sz w:val="24"/>
          <w:szCs w:val="24"/>
        </w:rPr>
        <w:t xml:space="preserve"> </w:t>
      </w:r>
      <w:r w:rsidRPr="00A27310">
        <w:rPr>
          <w:b/>
          <w:i/>
          <w:sz w:val="24"/>
          <w:szCs w:val="24"/>
        </w:rPr>
        <w:t>на 20</w:t>
      </w:r>
      <w:r w:rsidR="00EF3334" w:rsidRPr="00A27310">
        <w:rPr>
          <w:b/>
          <w:i/>
          <w:sz w:val="24"/>
          <w:szCs w:val="24"/>
        </w:rPr>
        <w:t>1</w:t>
      </w:r>
      <w:r w:rsidR="00A5217D">
        <w:rPr>
          <w:b/>
          <w:i/>
          <w:sz w:val="24"/>
          <w:szCs w:val="24"/>
        </w:rPr>
        <w:t>9</w:t>
      </w:r>
      <w:r w:rsidRPr="00A27310">
        <w:rPr>
          <w:b/>
          <w:i/>
          <w:sz w:val="24"/>
          <w:szCs w:val="24"/>
        </w:rPr>
        <w:t xml:space="preserve"> год</w:t>
      </w:r>
    </w:p>
    <w:p w:rsidR="00387CD9" w:rsidRPr="00A27310" w:rsidRDefault="00387CD9" w:rsidP="00D45F41">
      <w:pPr>
        <w:pStyle w:val="11"/>
        <w:ind w:firstLine="708"/>
        <w:jc w:val="center"/>
        <w:rPr>
          <w:b/>
          <w:i/>
          <w:sz w:val="24"/>
          <w:szCs w:val="24"/>
        </w:rPr>
      </w:pPr>
      <w:r w:rsidRPr="00A27310">
        <w:rPr>
          <w:b/>
          <w:i/>
          <w:sz w:val="24"/>
          <w:szCs w:val="24"/>
        </w:rPr>
        <w:t xml:space="preserve">и на </w:t>
      </w:r>
      <w:r w:rsidR="00BA6704" w:rsidRPr="00A27310">
        <w:rPr>
          <w:b/>
          <w:i/>
          <w:sz w:val="24"/>
          <w:szCs w:val="24"/>
        </w:rPr>
        <w:t xml:space="preserve">плановый </w:t>
      </w:r>
      <w:r w:rsidRPr="00A27310">
        <w:rPr>
          <w:b/>
          <w:i/>
          <w:sz w:val="24"/>
          <w:szCs w:val="24"/>
        </w:rPr>
        <w:t xml:space="preserve">период </w:t>
      </w:r>
      <w:r w:rsidR="00BA6704" w:rsidRPr="00A27310">
        <w:rPr>
          <w:b/>
          <w:i/>
          <w:sz w:val="24"/>
          <w:szCs w:val="24"/>
        </w:rPr>
        <w:t>20</w:t>
      </w:r>
      <w:r w:rsidR="00A5217D">
        <w:rPr>
          <w:b/>
          <w:i/>
          <w:sz w:val="24"/>
          <w:szCs w:val="24"/>
        </w:rPr>
        <w:t>20</w:t>
      </w:r>
      <w:r w:rsidR="00BA6704" w:rsidRPr="00A27310">
        <w:rPr>
          <w:b/>
          <w:i/>
          <w:sz w:val="24"/>
          <w:szCs w:val="24"/>
        </w:rPr>
        <w:t xml:space="preserve"> и</w:t>
      </w:r>
      <w:r w:rsidRPr="00A27310">
        <w:rPr>
          <w:b/>
          <w:i/>
          <w:sz w:val="24"/>
          <w:szCs w:val="24"/>
        </w:rPr>
        <w:t xml:space="preserve"> 20</w:t>
      </w:r>
      <w:r w:rsidR="00720D49">
        <w:rPr>
          <w:b/>
          <w:i/>
          <w:sz w:val="24"/>
          <w:szCs w:val="24"/>
        </w:rPr>
        <w:t>2</w:t>
      </w:r>
      <w:r w:rsidR="00A5217D">
        <w:rPr>
          <w:b/>
          <w:i/>
          <w:sz w:val="24"/>
          <w:szCs w:val="24"/>
        </w:rPr>
        <w:t>1</w:t>
      </w:r>
      <w:r w:rsidRPr="00A27310">
        <w:rPr>
          <w:b/>
          <w:i/>
          <w:sz w:val="24"/>
          <w:szCs w:val="24"/>
        </w:rPr>
        <w:t xml:space="preserve"> год</w:t>
      </w:r>
      <w:r w:rsidR="00BA6704" w:rsidRPr="00A27310">
        <w:rPr>
          <w:b/>
          <w:i/>
          <w:sz w:val="24"/>
          <w:szCs w:val="24"/>
        </w:rPr>
        <w:t>ов</w:t>
      </w:r>
      <w:r w:rsidRPr="00A27310">
        <w:rPr>
          <w:b/>
          <w:i/>
          <w:sz w:val="24"/>
          <w:szCs w:val="24"/>
        </w:rPr>
        <w:t>.</w:t>
      </w:r>
    </w:p>
    <w:p w:rsidR="00387CD9" w:rsidRDefault="00387CD9"/>
    <w:p w:rsidR="00BB3EAE" w:rsidRPr="00A27310" w:rsidRDefault="00BB3EAE" w:rsidP="00BB3EAE">
      <w:pPr>
        <w:pStyle w:val="11"/>
        <w:ind w:firstLine="708"/>
        <w:jc w:val="both"/>
        <w:rPr>
          <w:sz w:val="24"/>
          <w:szCs w:val="24"/>
        </w:rPr>
      </w:pPr>
      <w:r w:rsidRPr="00A27310">
        <w:rPr>
          <w:sz w:val="24"/>
          <w:szCs w:val="24"/>
        </w:rPr>
        <w:t>Предметом рассмотрения проекта закона об областном бюджете на очередной финансовый год и плановый период в первом чтении являются основные характеристики областного бюджета, к которым относятся:</w:t>
      </w:r>
    </w:p>
    <w:p w:rsidR="00BB3EAE" w:rsidRPr="00A27310" w:rsidRDefault="00BB3EAE" w:rsidP="00BB3EAE">
      <w:pPr>
        <w:pStyle w:val="11"/>
        <w:ind w:firstLine="708"/>
        <w:jc w:val="both"/>
        <w:rPr>
          <w:sz w:val="24"/>
          <w:szCs w:val="24"/>
        </w:rPr>
      </w:pPr>
      <w:r w:rsidRPr="00A27310">
        <w:rPr>
          <w:sz w:val="24"/>
          <w:szCs w:val="24"/>
        </w:rPr>
        <w:t>-прогнозируемый общий объем доходов с указанием поступлений из других бюджетов бюджетной системы РФ;</w:t>
      </w:r>
    </w:p>
    <w:p w:rsidR="00BB3EAE" w:rsidRPr="00A27310" w:rsidRDefault="00BB3EAE" w:rsidP="00BB3EAE">
      <w:pPr>
        <w:ind w:firstLine="708"/>
        <w:jc w:val="both"/>
      </w:pPr>
      <w:r w:rsidRPr="00A27310">
        <w:t>-общий объем расходов;</w:t>
      </w:r>
    </w:p>
    <w:p w:rsidR="00BB3EAE" w:rsidRPr="00A27310" w:rsidRDefault="00BB3EAE" w:rsidP="00BB3EAE">
      <w:pPr>
        <w:ind w:firstLine="708"/>
        <w:jc w:val="both"/>
      </w:pPr>
      <w:r w:rsidRPr="00A27310">
        <w:t>-дефицит (</w:t>
      </w:r>
      <w:proofErr w:type="spellStart"/>
      <w:r w:rsidRPr="00A27310">
        <w:t>профицит</w:t>
      </w:r>
      <w:proofErr w:type="spellEnd"/>
      <w:r w:rsidRPr="00A27310">
        <w:t>) областного бюджета;</w:t>
      </w:r>
    </w:p>
    <w:p w:rsidR="00BB3EAE" w:rsidRPr="00A27310" w:rsidRDefault="00BB3EAE" w:rsidP="00BB3EAE">
      <w:pPr>
        <w:ind w:firstLine="708"/>
        <w:jc w:val="both"/>
      </w:pPr>
      <w:r w:rsidRPr="00A27310">
        <w:t>а также:</w:t>
      </w:r>
    </w:p>
    <w:p w:rsidR="00BB3EAE" w:rsidRPr="00A27310" w:rsidRDefault="00BB3EAE" w:rsidP="00BB3EAE">
      <w:pPr>
        <w:ind w:firstLine="708"/>
        <w:jc w:val="both"/>
      </w:pPr>
      <w:r w:rsidRPr="00A27310">
        <w:t>-нормативы распределения доходов между областным</w:t>
      </w:r>
      <w:r w:rsidR="00783EE0">
        <w:t>,</w:t>
      </w:r>
      <w:r w:rsidRPr="00A27310">
        <w:t xml:space="preserve"> местными бюджетами</w:t>
      </w:r>
      <w:r w:rsidR="00783EE0">
        <w:t xml:space="preserve"> и бюджетом территориального фонда обязательного медицинского страхования,</w:t>
      </w:r>
      <w:r w:rsidRPr="00A27310">
        <w:t xml:space="preserve"> не утвержденные бюджетным законодательством РФ;</w:t>
      </w:r>
    </w:p>
    <w:p w:rsidR="00BB3EAE" w:rsidRPr="00A27310" w:rsidRDefault="00BB3EAE" w:rsidP="00BB3EAE">
      <w:pPr>
        <w:ind w:firstLine="708"/>
        <w:jc w:val="both"/>
      </w:pPr>
      <w:r w:rsidRPr="00A27310">
        <w:t>-дополнительные нормативы отчислений от налога на доходы физических лиц в местные бюджеты;</w:t>
      </w:r>
    </w:p>
    <w:p w:rsidR="00BB3EAE" w:rsidRPr="00A27310" w:rsidRDefault="00BB3EAE" w:rsidP="00BB3EAE">
      <w:pPr>
        <w:ind w:firstLine="708"/>
        <w:jc w:val="both"/>
      </w:pPr>
      <w:r w:rsidRPr="00A27310">
        <w:t>-условно утверждаемые расходы в объеме не менее 2,5% общего объема расходов областного бюджета на первый год планового периода и не менее 5% общего объема расходов областного бюджета на второй год планового периода;</w:t>
      </w:r>
    </w:p>
    <w:p w:rsidR="00BB3EAE" w:rsidRPr="00A27310" w:rsidRDefault="00BB3EAE" w:rsidP="00BB3EAE">
      <w:pPr>
        <w:ind w:firstLine="708"/>
        <w:jc w:val="both"/>
      </w:pPr>
      <w:r w:rsidRPr="00A27310">
        <w:t>-объем межбюджетных трансфертов;</w:t>
      </w:r>
    </w:p>
    <w:p w:rsidR="00BB3EAE" w:rsidRPr="00A27310" w:rsidRDefault="00BB3EAE" w:rsidP="00BB3EAE">
      <w:pPr>
        <w:ind w:firstLine="708"/>
        <w:jc w:val="both"/>
      </w:pPr>
      <w:proofErr w:type="gramStart"/>
      <w:r w:rsidRPr="00A27310">
        <w:t>-коэффициенты индексации, применяемые при расчетах объемов областного фонда финансовой поддержки поселений и областного фонда финансовой поддержки муниципальных районов (городских округов); размеры областного фонда финансовой поддержки поселений, областного фонда финансовой поддержки муниципальных районов (городских округов), иных дотаций и субсидий;</w:t>
      </w:r>
      <w:proofErr w:type="gramEnd"/>
    </w:p>
    <w:p w:rsidR="00BB3EAE" w:rsidRDefault="00BB3EAE" w:rsidP="00BB3EAE">
      <w:pPr>
        <w:ind w:firstLine="708"/>
        <w:jc w:val="both"/>
      </w:pPr>
      <w:r w:rsidRPr="00A27310">
        <w:t>-верхний предел государственного внутреннего долга по состоянию на первое января года, следующего за очередным финансовым годом и</w:t>
      </w:r>
      <w:r w:rsidR="00DB7193">
        <w:t xml:space="preserve"> каждым годом планового периода</w:t>
      </w:r>
      <w:r>
        <w:t>;</w:t>
      </w:r>
    </w:p>
    <w:p w:rsidR="00BB3EAE" w:rsidRDefault="00BB3EAE" w:rsidP="00BB3EAE">
      <w:pPr>
        <w:ind w:firstLine="708"/>
        <w:jc w:val="both"/>
      </w:pPr>
      <w:r>
        <w:t>-прогноз поступлений по налогам, сборам, платежам и поступлений из других бюджетов бюджетной системы РФ.</w:t>
      </w:r>
    </w:p>
    <w:p w:rsidR="00BB3EAE" w:rsidRDefault="00BB3EAE" w:rsidP="00BB3EAE">
      <w:pPr>
        <w:ind w:firstLine="708"/>
        <w:jc w:val="both"/>
      </w:pPr>
    </w:p>
    <w:p w:rsidR="003F443D" w:rsidRPr="00A27310" w:rsidRDefault="003F443D" w:rsidP="003F443D">
      <w:pPr>
        <w:pStyle w:val="11"/>
        <w:ind w:firstLine="708"/>
        <w:jc w:val="center"/>
        <w:rPr>
          <w:b/>
          <w:i/>
          <w:sz w:val="24"/>
          <w:szCs w:val="24"/>
        </w:rPr>
      </w:pPr>
      <w:r w:rsidRPr="00A27310">
        <w:rPr>
          <w:b/>
          <w:i/>
          <w:sz w:val="24"/>
          <w:szCs w:val="24"/>
        </w:rPr>
        <w:t>3.1. Прогнозируемый общий объем доходов</w:t>
      </w:r>
    </w:p>
    <w:p w:rsidR="003F443D" w:rsidRPr="00A27310" w:rsidRDefault="003F443D" w:rsidP="003F443D">
      <w:pPr>
        <w:pStyle w:val="11"/>
        <w:ind w:firstLine="708"/>
        <w:jc w:val="center"/>
        <w:rPr>
          <w:b/>
          <w:i/>
          <w:sz w:val="24"/>
          <w:szCs w:val="24"/>
        </w:rPr>
      </w:pPr>
      <w:r w:rsidRPr="00A27310">
        <w:rPr>
          <w:b/>
          <w:i/>
          <w:sz w:val="24"/>
          <w:szCs w:val="24"/>
        </w:rPr>
        <w:t xml:space="preserve"> с указанием поступлений из других бюджетов бюджетной системы РФ.</w:t>
      </w:r>
    </w:p>
    <w:p w:rsidR="003D3A2C" w:rsidRDefault="003D3A2C" w:rsidP="003D3A2C">
      <w:pPr>
        <w:pStyle w:val="a5"/>
        <w:tabs>
          <w:tab w:val="num" w:pos="0"/>
        </w:tabs>
        <w:ind w:firstLine="680"/>
        <w:jc w:val="both"/>
        <w:outlineLvl w:val="0"/>
      </w:pPr>
    </w:p>
    <w:p w:rsidR="003D3A2C" w:rsidRPr="00453858" w:rsidRDefault="003D3A2C" w:rsidP="003D3A2C">
      <w:pPr>
        <w:pStyle w:val="a5"/>
        <w:tabs>
          <w:tab w:val="num" w:pos="0"/>
        </w:tabs>
        <w:ind w:firstLine="680"/>
        <w:jc w:val="both"/>
        <w:outlineLvl w:val="0"/>
      </w:pPr>
      <w:r w:rsidRPr="00453858">
        <w:t>Доходы областного бюджета на 201</w:t>
      </w:r>
      <w:r>
        <w:t>9</w:t>
      </w:r>
      <w:r w:rsidRPr="00453858">
        <w:t xml:space="preserve"> год прогнозируются в сумме </w:t>
      </w:r>
      <w:r>
        <w:t xml:space="preserve">98215,7 </w:t>
      </w:r>
      <w:r w:rsidRPr="00453858">
        <w:t xml:space="preserve"> млн. руб., что </w:t>
      </w:r>
      <w:r>
        <w:t>выш</w:t>
      </w:r>
      <w:r w:rsidRPr="00453858">
        <w:t>е плана 201</w:t>
      </w:r>
      <w:r>
        <w:t>8</w:t>
      </w:r>
      <w:r w:rsidRPr="00453858">
        <w:t xml:space="preserve"> года на </w:t>
      </w:r>
      <w:r>
        <w:t>2696,2</w:t>
      </w:r>
      <w:r w:rsidRPr="00453858">
        <w:t xml:space="preserve"> млн. руб., или на </w:t>
      </w:r>
      <w:r>
        <w:t>2,8</w:t>
      </w:r>
      <w:r w:rsidRPr="00453858">
        <w:t>%, на 20</w:t>
      </w:r>
      <w:r>
        <w:t>20</w:t>
      </w:r>
      <w:r w:rsidRPr="00453858">
        <w:t xml:space="preserve"> год </w:t>
      </w:r>
      <w:r>
        <w:t>–</w:t>
      </w:r>
      <w:r w:rsidRPr="00453858">
        <w:t xml:space="preserve"> 9</w:t>
      </w:r>
      <w:r>
        <w:t>2450</w:t>
      </w:r>
      <w:r w:rsidRPr="00453858">
        <w:t>,</w:t>
      </w:r>
      <w:r>
        <w:t>6</w:t>
      </w:r>
      <w:r w:rsidRPr="00453858">
        <w:t xml:space="preserve"> млн. руб., на 202</w:t>
      </w:r>
      <w:r>
        <w:t>1</w:t>
      </w:r>
      <w:r w:rsidRPr="00453858">
        <w:t xml:space="preserve"> год </w:t>
      </w:r>
      <w:r>
        <w:t>–</w:t>
      </w:r>
      <w:r w:rsidRPr="00453858">
        <w:t xml:space="preserve"> 9</w:t>
      </w:r>
      <w:r>
        <w:t>9229,7</w:t>
      </w:r>
      <w:r w:rsidRPr="00453858">
        <w:t xml:space="preserve"> млн. рублей. </w:t>
      </w:r>
    </w:p>
    <w:p w:rsidR="003D3A2C" w:rsidRPr="00453858" w:rsidRDefault="003D3A2C" w:rsidP="003D3A2C">
      <w:pPr>
        <w:pStyle w:val="a5"/>
        <w:tabs>
          <w:tab w:val="num" w:pos="0"/>
        </w:tabs>
        <w:ind w:firstLine="680"/>
        <w:jc w:val="both"/>
        <w:outlineLvl w:val="0"/>
      </w:pPr>
      <w:r w:rsidRPr="00846525">
        <w:t>В общем объеме доходов консолидированного бюджета</w:t>
      </w:r>
      <w:r>
        <w:t xml:space="preserve"> Волгоградской области</w:t>
      </w:r>
      <w:r w:rsidRPr="00846525">
        <w:t xml:space="preserve"> на 2019 год доля доходов областного бюджета составит 82,4%, на 2020 год – 81%, на 2021 год – 81,8 процента.</w:t>
      </w:r>
    </w:p>
    <w:p w:rsidR="000E6F36" w:rsidRDefault="003D3A2C" w:rsidP="000E6F36">
      <w:pPr>
        <w:ind w:firstLine="680"/>
        <w:jc w:val="both"/>
        <w:rPr>
          <w:bCs/>
        </w:rPr>
      </w:pPr>
      <w:r w:rsidRPr="00453858">
        <w:t xml:space="preserve">По оценке Администрации Волгоградской </w:t>
      </w:r>
      <w:proofErr w:type="gramStart"/>
      <w:r w:rsidRPr="00453858">
        <w:t>области</w:t>
      </w:r>
      <w:proofErr w:type="gramEnd"/>
      <w:r w:rsidRPr="00453858">
        <w:t xml:space="preserve"> утвержденные назначения по налоговым и неналоговым доходам текущего года будут </w:t>
      </w:r>
      <w:r>
        <w:t>пере</w:t>
      </w:r>
      <w:r w:rsidRPr="00453858">
        <w:t>выполнены</w:t>
      </w:r>
      <w:r w:rsidR="00B207BB">
        <w:t xml:space="preserve"> ориен</w:t>
      </w:r>
      <w:r w:rsidRPr="00453858">
        <w:t xml:space="preserve">тировочно на </w:t>
      </w:r>
      <w:r>
        <w:t>2450</w:t>
      </w:r>
      <w:r w:rsidRPr="00453858">
        <w:t>,</w:t>
      </w:r>
      <w:r>
        <w:t>9</w:t>
      </w:r>
      <w:r w:rsidRPr="00453858">
        <w:t xml:space="preserve"> млн. рублей. </w:t>
      </w:r>
      <w:r w:rsidR="000E6F36">
        <w:t xml:space="preserve">В этой связи необходимо отметить, что поправками, внесенными в закон об областном бюджете на 2018 год в сентябре текущего года, </w:t>
      </w:r>
      <w:r w:rsidR="000E6F36" w:rsidRPr="007650B4">
        <w:t>доходн</w:t>
      </w:r>
      <w:r w:rsidR="000E6F36">
        <w:t>ая</w:t>
      </w:r>
      <w:r w:rsidR="000E6F36" w:rsidRPr="007650B4">
        <w:t xml:space="preserve"> часть областного бюджета </w:t>
      </w:r>
      <w:r w:rsidR="002F7856">
        <w:t xml:space="preserve">уже </w:t>
      </w:r>
      <w:r w:rsidR="000E6F36">
        <w:t xml:space="preserve">была увеличена </w:t>
      </w:r>
      <w:r w:rsidR="000E6F36" w:rsidRPr="007650B4">
        <w:t>на 3823,4 млн. руб.</w:t>
      </w:r>
      <w:r w:rsidR="000E6F36">
        <w:t xml:space="preserve">, в том числе на 3427,6 млн. руб. - </w:t>
      </w:r>
      <w:r w:rsidR="000E6F36" w:rsidRPr="007650B4">
        <w:t>за счет увеличения налоговых и неналоговых доходов.</w:t>
      </w:r>
      <w:r w:rsidR="000E6F36" w:rsidRPr="007650B4">
        <w:rPr>
          <w:bCs/>
        </w:rPr>
        <w:t xml:space="preserve"> </w:t>
      </w:r>
    </w:p>
    <w:p w:rsidR="000E6F36" w:rsidRPr="007650B4" w:rsidRDefault="000E6F36" w:rsidP="000E6F36">
      <w:pPr>
        <w:autoSpaceDE w:val="0"/>
        <w:autoSpaceDN w:val="0"/>
        <w:adjustRightInd w:val="0"/>
        <w:jc w:val="both"/>
        <w:rPr>
          <w:b/>
          <w:i/>
        </w:rPr>
      </w:pPr>
      <w:r>
        <w:rPr>
          <w:bCs/>
        </w:rPr>
        <w:tab/>
      </w:r>
      <w:r w:rsidR="002F7856">
        <w:rPr>
          <w:bCs/>
        </w:rPr>
        <w:t>При этом п</w:t>
      </w:r>
      <w:r>
        <w:rPr>
          <w:bCs/>
        </w:rPr>
        <w:t>о экспертной оценке КСП на тот момент</w:t>
      </w:r>
      <w:r w:rsidRPr="007650B4">
        <w:rPr>
          <w:bCs/>
        </w:rPr>
        <w:t xml:space="preserve"> </w:t>
      </w:r>
      <w:r w:rsidR="00D62CEE">
        <w:rPr>
          <w:bCs/>
        </w:rPr>
        <w:t>налоговые доходы на</w:t>
      </w:r>
      <w:r>
        <w:t xml:space="preserve"> </w:t>
      </w:r>
      <w:r w:rsidRPr="007650B4">
        <w:t xml:space="preserve">2018 год </w:t>
      </w:r>
      <w:r>
        <w:t xml:space="preserve">были занижены </w:t>
      </w:r>
      <w:r w:rsidR="004333A8">
        <w:t>комитетом финансов Волгоградской области</w:t>
      </w:r>
      <w:r w:rsidR="00457CCB">
        <w:t>, как минимум,</w:t>
      </w:r>
      <w:r w:rsidR="009D1164" w:rsidRPr="007650B4">
        <w:t xml:space="preserve"> </w:t>
      </w:r>
      <w:r w:rsidRPr="007650B4">
        <w:t>на 2</w:t>
      </w:r>
      <w:r>
        <w:t>000</w:t>
      </w:r>
      <w:r w:rsidRPr="007650B4">
        <w:t xml:space="preserve"> млн. руб</w:t>
      </w:r>
      <w:r w:rsidR="00D52488">
        <w:t>лей</w:t>
      </w:r>
      <w:r w:rsidRPr="007650B4">
        <w:t>.</w:t>
      </w:r>
      <w:r w:rsidR="002F7856">
        <w:t xml:space="preserve"> </w:t>
      </w:r>
      <w:r w:rsidR="002F7856" w:rsidRPr="00346745">
        <w:rPr>
          <w:u w:val="single"/>
        </w:rPr>
        <w:t xml:space="preserve">В настоящее время сентябрьский прогноз КСП </w:t>
      </w:r>
      <w:r w:rsidR="00D5042A">
        <w:rPr>
          <w:u w:val="single"/>
        </w:rPr>
        <w:t xml:space="preserve">фактически </w:t>
      </w:r>
      <w:r w:rsidR="002F7856" w:rsidRPr="00346745">
        <w:rPr>
          <w:u w:val="single"/>
        </w:rPr>
        <w:t xml:space="preserve">подтвержден оценкой </w:t>
      </w:r>
      <w:r w:rsidR="00D5042A">
        <w:rPr>
          <w:u w:val="single"/>
        </w:rPr>
        <w:t xml:space="preserve">самого </w:t>
      </w:r>
      <w:r w:rsidR="002F7856" w:rsidRPr="00346745">
        <w:rPr>
          <w:u w:val="single"/>
        </w:rPr>
        <w:t>комитета финансов</w:t>
      </w:r>
      <w:r w:rsidR="00D5042A">
        <w:rPr>
          <w:u w:val="single"/>
        </w:rPr>
        <w:t>.</w:t>
      </w:r>
    </w:p>
    <w:p w:rsidR="003D3A2C" w:rsidRDefault="00346745" w:rsidP="003D3A2C">
      <w:pPr>
        <w:ind w:firstLine="680"/>
        <w:jc w:val="both"/>
      </w:pPr>
      <w:r>
        <w:t>При подготовке н</w:t>
      </w:r>
      <w:r w:rsidR="003D3A2C" w:rsidRPr="00453858">
        <w:t>астояще</w:t>
      </w:r>
      <w:r>
        <w:t>го</w:t>
      </w:r>
      <w:r w:rsidR="003D3A2C" w:rsidRPr="00453858">
        <w:t xml:space="preserve"> заключени</w:t>
      </w:r>
      <w:r>
        <w:t>я</w:t>
      </w:r>
      <w:r w:rsidR="003D3A2C" w:rsidRPr="00453858">
        <w:t xml:space="preserve"> пр</w:t>
      </w:r>
      <w:r>
        <w:t>оведен анализ</w:t>
      </w:r>
      <w:r w:rsidR="003D3A2C" w:rsidRPr="00453858">
        <w:t xml:space="preserve"> изменени</w:t>
      </w:r>
      <w:r>
        <w:t>я</w:t>
      </w:r>
      <w:r w:rsidR="003D3A2C" w:rsidRPr="00453858">
        <w:t xml:space="preserve"> структуры доходной части областного бюджета на 201</w:t>
      </w:r>
      <w:r w:rsidR="003D3A2C">
        <w:t>9</w:t>
      </w:r>
      <w:r w:rsidR="003D3A2C" w:rsidRPr="00453858">
        <w:t>-202</w:t>
      </w:r>
      <w:r w:rsidR="003D3A2C">
        <w:t>1</w:t>
      </w:r>
      <w:r w:rsidR="003D3A2C" w:rsidRPr="00453858">
        <w:t xml:space="preserve"> годы относительно оценки выполнения доходной части за 201</w:t>
      </w:r>
      <w:r w:rsidR="003D3A2C">
        <w:t>8</w:t>
      </w:r>
      <w:r w:rsidR="003D3A2C" w:rsidRPr="00453858">
        <w:t xml:space="preserve"> год</w:t>
      </w:r>
      <w:r>
        <w:t>, результаты которого приведены в следующей таблице:</w:t>
      </w:r>
    </w:p>
    <w:p w:rsidR="00106ED8" w:rsidRPr="00453858" w:rsidRDefault="00106ED8" w:rsidP="003D3A2C">
      <w:pPr>
        <w:ind w:firstLine="680"/>
        <w:jc w:val="both"/>
      </w:pPr>
    </w:p>
    <w:p w:rsidR="003D3A2C" w:rsidRPr="00C237F6" w:rsidRDefault="003D3A2C" w:rsidP="003D3A2C">
      <w:pPr>
        <w:pStyle w:val="a5"/>
        <w:tabs>
          <w:tab w:val="num" w:pos="0"/>
        </w:tabs>
        <w:ind w:firstLine="709"/>
        <w:jc w:val="right"/>
        <w:outlineLvl w:val="0"/>
        <w:rPr>
          <w:sz w:val="20"/>
          <w:szCs w:val="20"/>
        </w:rPr>
      </w:pPr>
      <w:r w:rsidRPr="00C237F6">
        <w:rPr>
          <w:sz w:val="20"/>
          <w:szCs w:val="20"/>
        </w:rPr>
        <w:lastRenderedPageBreak/>
        <w:t>млн. руб.</w:t>
      </w:r>
    </w:p>
    <w:tbl>
      <w:tblPr>
        <w:tblW w:w="9654" w:type="dxa"/>
        <w:tblInd w:w="93" w:type="dxa"/>
        <w:tblLayout w:type="fixed"/>
        <w:tblLook w:val="04A0"/>
      </w:tblPr>
      <w:tblGrid>
        <w:gridCol w:w="1716"/>
        <w:gridCol w:w="993"/>
        <w:gridCol w:w="992"/>
        <w:gridCol w:w="992"/>
        <w:gridCol w:w="996"/>
        <w:gridCol w:w="993"/>
        <w:gridCol w:w="988"/>
        <w:gridCol w:w="992"/>
        <w:gridCol w:w="992"/>
      </w:tblGrid>
      <w:tr w:rsidR="003D3A2C" w:rsidRPr="00453858" w:rsidTr="00C90AF4">
        <w:trPr>
          <w:trHeight w:val="207"/>
          <w:tblHeader/>
        </w:trPr>
        <w:tc>
          <w:tcPr>
            <w:tcW w:w="17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 (оценка</w:t>
            </w:r>
            <w:r w:rsidRPr="0035281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5281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35281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35281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D3A2C" w:rsidRPr="00453858" w:rsidTr="00C90AF4">
        <w:trPr>
          <w:trHeight w:val="315"/>
          <w:tblHeader/>
        </w:trPr>
        <w:tc>
          <w:tcPr>
            <w:tcW w:w="171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3D3A2C" w:rsidRPr="00352815" w:rsidRDefault="003D3A2C" w:rsidP="00C90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доля,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доля,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доля,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AF1DD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доля, %</w:t>
            </w:r>
          </w:p>
        </w:tc>
      </w:tr>
      <w:tr w:rsidR="003D3A2C" w:rsidRPr="00453858" w:rsidTr="00C90AF4">
        <w:trPr>
          <w:trHeight w:val="77"/>
        </w:trPr>
        <w:tc>
          <w:tcPr>
            <w:tcW w:w="171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3528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485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106ED8" w:rsidP="00106ED8">
            <w:pPr>
              <w:spacing w:line="276" w:lineRule="auto"/>
              <w:jc w:val="center"/>
              <w:rPr>
                <w:color w:val="4F6228"/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  <w:r w:rsidRPr="003528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94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106ED8" w:rsidP="00106ED8">
            <w:pPr>
              <w:spacing w:line="276" w:lineRule="auto"/>
              <w:jc w:val="center"/>
              <w:rPr>
                <w:color w:val="4F6228"/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352815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51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3A2C" w:rsidRPr="00352815" w:rsidRDefault="00106ED8" w:rsidP="00106ED8">
            <w:pPr>
              <w:spacing w:line="276" w:lineRule="auto"/>
              <w:jc w:val="center"/>
              <w:rPr>
                <w:color w:val="4F6228"/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3D3A2C" w:rsidRPr="00453858" w:rsidTr="00C90AF4">
        <w:trPr>
          <w:trHeight w:val="351"/>
        </w:trPr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1 7</w:t>
            </w:r>
            <w:r>
              <w:rPr>
                <w:sz w:val="20"/>
                <w:szCs w:val="20"/>
              </w:rPr>
              <w:t>85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1 6</w:t>
            </w:r>
            <w:r>
              <w:rPr>
                <w:sz w:val="20"/>
                <w:szCs w:val="20"/>
              </w:rPr>
              <w:t>57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106ED8" w:rsidP="00106ED8">
            <w:pPr>
              <w:spacing w:line="276" w:lineRule="auto"/>
              <w:jc w:val="center"/>
              <w:rPr>
                <w:color w:val="4F6228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1 67</w:t>
            </w:r>
            <w:r>
              <w:rPr>
                <w:sz w:val="20"/>
                <w:szCs w:val="20"/>
              </w:rPr>
              <w:t>3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106ED8" w:rsidP="00106ED8">
            <w:pPr>
              <w:spacing w:line="276" w:lineRule="auto"/>
              <w:jc w:val="center"/>
              <w:rPr>
                <w:color w:val="4F6228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1 687,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hideMark/>
          </w:tcPr>
          <w:p w:rsidR="003D3A2C" w:rsidRPr="00352815" w:rsidRDefault="00106ED8" w:rsidP="00106ED8">
            <w:pPr>
              <w:spacing w:line="276" w:lineRule="auto"/>
              <w:jc w:val="center"/>
              <w:rPr>
                <w:color w:val="4F6228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3D3A2C" w:rsidRPr="00453858" w:rsidTr="00C90AF4">
        <w:trPr>
          <w:trHeight w:val="231"/>
        </w:trPr>
        <w:tc>
          <w:tcPr>
            <w:tcW w:w="171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Pr="0035281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270</w:t>
            </w:r>
            <w:r w:rsidRPr="003528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528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71 651,6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528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352815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868</w:t>
            </w:r>
            <w:r w:rsidRPr="003528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83,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Pr="0035281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339</w:t>
            </w:r>
            <w:r w:rsidRPr="003528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3D3A2C" w:rsidRPr="00453858" w:rsidTr="00C90AF4">
        <w:trPr>
          <w:trHeight w:val="376"/>
        </w:trPr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352815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99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29,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52815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</w:t>
            </w:r>
            <w:r w:rsidRPr="00352815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528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528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3528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352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2815">
              <w:rPr>
                <w:sz w:val="20"/>
                <w:szCs w:val="20"/>
              </w:rPr>
              <w:t>15,0</w:t>
            </w:r>
          </w:p>
        </w:tc>
      </w:tr>
      <w:tr w:rsidR="003D3A2C" w:rsidRPr="00453858" w:rsidTr="00C90AF4">
        <w:trPr>
          <w:trHeight w:val="115"/>
        </w:trPr>
        <w:tc>
          <w:tcPr>
            <w:tcW w:w="171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97 970,4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352815">
              <w:rPr>
                <w:b/>
                <w:bCs/>
                <w:sz w:val="20"/>
                <w:szCs w:val="20"/>
              </w:rPr>
              <w:t>8 2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3528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92 </w:t>
            </w:r>
            <w:r w:rsidRPr="0035281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35281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99 229,7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3D3A2C" w:rsidRPr="00352815" w:rsidRDefault="003D3A2C" w:rsidP="00C90A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2815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3D3A2C" w:rsidRPr="00453858" w:rsidRDefault="003D3A2C" w:rsidP="003D3A2C">
      <w:pPr>
        <w:jc w:val="both"/>
      </w:pPr>
    </w:p>
    <w:p w:rsidR="003D3A2C" w:rsidRPr="00453858" w:rsidRDefault="003D3A2C" w:rsidP="003D3A2C">
      <w:pPr>
        <w:ind w:firstLine="680"/>
        <w:jc w:val="both"/>
      </w:pPr>
      <w:r w:rsidRPr="00453858">
        <w:t>Согласно приведенным данным в 201</w:t>
      </w:r>
      <w:r>
        <w:t>9</w:t>
      </w:r>
      <w:r w:rsidRPr="00453858">
        <w:t xml:space="preserve"> году прогнозируется </w:t>
      </w:r>
      <w:r>
        <w:t>увелич</w:t>
      </w:r>
      <w:r w:rsidRPr="00453858">
        <w:t xml:space="preserve">ение доходной части областного бюджета на общую сумму </w:t>
      </w:r>
      <w:r>
        <w:t>245,</w:t>
      </w:r>
      <w:r w:rsidRPr="00453858">
        <w:t>3 млн. руб. (</w:t>
      </w:r>
      <w:r>
        <w:t>+0,</w:t>
      </w:r>
      <w:r w:rsidRPr="00453858">
        <w:t>3%). При этом увеличение по налоговым доходам состав</w:t>
      </w:r>
      <w:r w:rsidR="00346745">
        <w:t>и</w:t>
      </w:r>
      <w:r w:rsidRPr="00453858">
        <w:t xml:space="preserve">т </w:t>
      </w:r>
      <w:r>
        <w:t>2508</w:t>
      </w:r>
      <w:r w:rsidRPr="00453858">
        <w:t>,</w:t>
      </w:r>
      <w:r>
        <w:t>6</w:t>
      </w:r>
      <w:r w:rsidRPr="00453858">
        <w:t xml:space="preserve"> млн. руб. </w:t>
      </w:r>
      <w:r w:rsidRPr="00683AA0">
        <w:t>(+3,7</w:t>
      </w:r>
      <w:r w:rsidRPr="00453858">
        <w:t xml:space="preserve">%), </w:t>
      </w:r>
      <w:r>
        <w:t xml:space="preserve">уменьшение </w:t>
      </w:r>
      <w:r w:rsidRPr="00453858">
        <w:t xml:space="preserve">по неналоговым </w:t>
      </w:r>
      <w:r>
        <w:t>доходам -</w:t>
      </w:r>
      <w:r w:rsidRPr="00453858">
        <w:t xml:space="preserve"> </w:t>
      </w:r>
      <w:r>
        <w:t>1</w:t>
      </w:r>
      <w:r w:rsidRPr="00453858">
        <w:t>2</w:t>
      </w:r>
      <w:r>
        <w:t>7</w:t>
      </w:r>
      <w:r w:rsidRPr="00453858">
        <w:t>,</w:t>
      </w:r>
      <w:r>
        <w:t>6</w:t>
      </w:r>
      <w:r w:rsidRPr="00453858">
        <w:t xml:space="preserve"> млн. руб. (</w:t>
      </w:r>
      <w:r>
        <w:t>-7</w:t>
      </w:r>
      <w:r w:rsidRPr="00453858">
        <w:t>,</w:t>
      </w:r>
      <w:r>
        <w:t>1</w:t>
      </w:r>
      <w:r w:rsidRPr="00453858">
        <w:t xml:space="preserve">%), </w:t>
      </w:r>
      <w:r>
        <w:t xml:space="preserve">снижение </w:t>
      </w:r>
      <w:r w:rsidRPr="00453858">
        <w:t xml:space="preserve">по безвозмездным поступлениям </w:t>
      </w:r>
      <w:r>
        <w:t>– 21</w:t>
      </w:r>
      <w:r w:rsidRPr="00453858">
        <w:t>3</w:t>
      </w:r>
      <w:r>
        <w:t>5</w:t>
      </w:r>
      <w:r w:rsidRPr="00453858">
        <w:t>,7 млн. руб. (-</w:t>
      </w:r>
      <w:r>
        <w:t>7</w:t>
      </w:r>
      <w:r w:rsidRPr="00453858">
        <w:t>,</w:t>
      </w:r>
      <w:r>
        <w:t>4</w:t>
      </w:r>
      <w:r w:rsidRPr="00453858">
        <w:t>%)</w:t>
      </w:r>
      <w:r w:rsidR="00EF2BA6">
        <w:t xml:space="preserve">, что </w:t>
      </w:r>
      <w:r w:rsidR="00EF2BA6" w:rsidRPr="00EF2BA6">
        <w:rPr>
          <w:u w:val="single"/>
        </w:rPr>
        <w:t>свидетельствует о положительной динамике собственных доходов областного бюджета.</w:t>
      </w:r>
    </w:p>
    <w:p w:rsidR="003D3A2C" w:rsidRPr="00453858" w:rsidRDefault="003D3A2C" w:rsidP="003D3A2C">
      <w:pPr>
        <w:ind w:firstLine="680"/>
        <w:jc w:val="both"/>
      </w:pPr>
      <w:r w:rsidRPr="00453858">
        <w:t>По налоговым и неналоговым доходам на 20</w:t>
      </w:r>
      <w:r>
        <w:t>20</w:t>
      </w:r>
      <w:r w:rsidRPr="00453858">
        <w:t xml:space="preserve"> год прогнозируется увеличение относительно 201</w:t>
      </w:r>
      <w:r>
        <w:t>9</w:t>
      </w:r>
      <w:r w:rsidRPr="00453858">
        <w:t xml:space="preserve"> года на </w:t>
      </w:r>
      <w:r>
        <w:t>5216</w:t>
      </w:r>
      <w:r w:rsidRPr="00453858">
        <w:t>,</w:t>
      </w:r>
      <w:r>
        <w:t>8</w:t>
      </w:r>
      <w:r w:rsidRPr="00453858">
        <w:t xml:space="preserve"> млн. руб. (+7,</w:t>
      </w:r>
      <w:r>
        <w:t>3</w:t>
      </w:r>
      <w:r w:rsidRPr="00453858">
        <w:t>%) при росте налоговых доходов на 7,</w:t>
      </w:r>
      <w:r>
        <w:t>4</w:t>
      </w:r>
      <w:r w:rsidRPr="00453858">
        <w:t xml:space="preserve">%, неналоговых - на </w:t>
      </w:r>
      <w:r>
        <w:t>1</w:t>
      </w:r>
      <w:r w:rsidRPr="00453858">
        <w:t xml:space="preserve"> процент. На 202</w:t>
      </w:r>
      <w:r>
        <w:t>1</w:t>
      </w:r>
      <w:r w:rsidR="00EF2BA6">
        <w:t xml:space="preserve"> год </w:t>
      </w:r>
      <w:r w:rsidRPr="00453858">
        <w:t>увеличение налоговых и неналоговых доходов относительно 20</w:t>
      </w:r>
      <w:r>
        <w:t>20</w:t>
      </w:r>
      <w:r w:rsidRPr="00453858">
        <w:t xml:space="preserve"> года </w:t>
      </w:r>
      <w:r w:rsidR="00EF2BA6">
        <w:t xml:space="preserve">запланировано </w:t>
      </w:r>
      <w:r w:rsidRPr="00453858">
        <w:t xml:space="preserve">на </w:t>
      </w:r>
      <w:r>
        <w:t>7</w:t>
      </w:r>
      <w:r w:rsidRPr="00453858">
        <w:t>4</w:t>
      </w:r>
      <w:r>
        <w:t>70</w:t>
      </w:r>
      <w:r w:rsidRPr="00453858">
        <w:t>,</w:t>
      </w:r>
      <w:r>
        <w:t>7</w:t>
      </w:r>
      <w:r w:rsidRPr="00453858">
        <w:t xml:space="preserve"> млн. руб. (+</w:t>
      </w:r>
      <w:r>
        <w:t>9</w:t>
      </w:r>
      <w:r w:rsidRPr="00453858">
        <w:t>,</w:t>
      </w:r>
      <w:r>
        <w:t>7</w:t>
      </w:r>
      <w:r w:rsidRPr="00453858">
        <w:t xml:space="preserve">%) за счет роста налоговых доходов на </w:t>
      </w:r>
      <w:r>
        <w:t>9</w:t>
      </w:r>
      <w:r w:rsidRPr="00453858">
        <w:t>,</w:t>
      </w:r>
      <w:r>
        <w:t>9</w:t>
      </w:r>
      <w:r w:rsidRPr="00453858">
        <w:t>%, неналоговых – на 0,</w:t>
      </w:r>
      <w:r>
        <w:t>9</w:t>
      </w:r>
      <w:r w:rsidRPr="00453858">
        <w:t xml:space="preserve"> процента. </w:t>
      </w:r>
    </w:p>
    <w:p w:rsidR="003D3A2C" w:rsidRDefault="003D3A2C" w:rsidP="003D3A2C">
      <w:pPr>
        <w:pStyle w:val="a5"/>
        <w:tabs>
          <w:tab w:val="num" w:pos="0"/>
        </w:tabs>
        <w:ind w:firstLine="680"/>
        <w:jc w:val="both"/>
        <w:outlineLvl w:val="0"/>
        <w:rPr>
          <w:b/>
          <w:i/>
        </w:rPr>
      </w:pPr>
      <w:r w:rsidRPr="00453858">
        <w:t xml:space="preserve">Проанализировав представленные расчеты по налоговым доходам и планируемые поступления неналоговых доходов,  </w:t>
      </w:r>
      <w:r w:rsidRPr="00BF7ACF">
        <w:rPr>
          <w:b/>
          <w:i/>
        </w:rPr>
        <w:t xml:space="preserve">КСП пришла к выводу, что </w:t>
      </w:r>
      <w:r w:rsidRPr="009438D1">
        <w:rPr>
          <w:b/>
          <w:i/>
        </w:rPr>
        <w:t>в основном</w:t>
      </w:r>
      <w:r w:rsidRPr="00BF7ACF">
        <w:rPr>
          <w:b/>
          <w:i/>
        </w:rPr>
        <w:t xml:space="preserve"> доходы на 2019 год спрогнозированы обоснованно. </w:t>
      </w:r>
    </w:p>
    <w:p w:rsidR="003D3A2C" w:rsidRPr="00683AA0" w:rsidRDefault="00EF2BA6" w:rsidP="003D3A2C">
      <w:pPr>
        <w:pStyle w:val="a5"/>
        <w:tabs>
          <w:tab w:val="num" w:pos="0"/>
        </w:tabs>
        <w:ind w:firstLine="680"/>
        <w:jc w:val="both"/>
        <w:outlineLvl w:val="0"/>
      </w:pPr>
      <w:r>
        <w:t>При этом п</w:t>
      </w:r>
      <w:r w:rsidR="003D3A2C">
        <w:t>о отдельным прогнозным назначениям необходимо отметить следующее.</w:t>
      </w:r>
    </w:p>
    <w:p w:rsidR="00D62CEE" w:rsidRDefault="00D62CEE" w:rsidP="00D62CEE">
      <w:pPr>
        <w:autoSpaceDE w:val="0"/>
        <w:autoSpaceDN w:val="0"/>
        <w:adjustRightInd w:val="0"/>
        <w:ind w:firstLine="680"/>
        <w:jc w:val="both"/>
      </w:pPr>
      <w:r>
        <w:t>П</w:t>
      </w:r>
      <w:r w:rsidRPr="00650690">
        <w:t xml:space="preserve">о оценке Администрации Волгоградской области поступления </w:t>
      </w:r>
      <w:r w:rsidRPr="00875A30">
        <w:rPr>
          <w:b/>
          <w:i/>
        </w:rPr>
        <w:t xml:space="preserve">налога на прибыль организаций </w:t>
      </w:r>
      <w:r>
        <w:t xml:space="preserve">в 2018 году ожидаются в размере 23079,5 млн. руб., или на 1404,4 млн. руб. больше </w:t>
      </w:r>
      <w:r w:rsidRPr="002C441E">
        <w:t>утвержденн</w:t>
      </w:r>
      <w:r>
        <w:t xml:space="preserve">ого прогнозного показателя (21675,1 млн. руб.). Исходя из поступлений налога за 9 месяцев 2018 года, перевыполнение ожидается, в том числе за счет прогнозного показателя по </w:t>
      </w:r>
      <w:r w:rsidRPr="00650690">
        <w:t xml:space="preserve">налогу на прибыль консолидированных групп налогоплательщиков </w:t>
      </w:r>
      <w:r>
        <w:t>(далее КГН) - на 634,6 млн. руб., или на 10,5% (при плане 6049,4 млн. руб. фактическое исполнение составило 6684 млн. руб.).</w:t>
      </w:r>
    </w:p>
    <w:p w:rsidR="00D62CEE" w:rsidRPr="00986DBF" w:rsidRDefault="00D62CEE" w:rsidP="00D62CEE">
      <w:pPr>
        <w:autoSpaceDE w:val="0"/>
        <w:autoSpaceDN w:val="0"/>
        <w:adjustRightInd w:val="0"/>
        <w:ind w:firstLine="680"/>
        <w:jc w:val="both"/>
        <w:rPr>
          <w:u w:val="single"/>
        </w:rPr>
      </w:pPr>
      <w:r w:rsidRPr="00650690">
        <w:t xml:space="preserve">На 2019 год </w:t>
      </w:r>
      <w:r>
        <w:t>запланированы прогнозные</w:t>
      </w:r>
      <w:r w:rsidRPr="00650690">
        <w:t xml:space="preserve"> назначени</w:t>
      </w:r>
      <w:r>
        <w:t>я</w:t>
      </w:r>
      <w:r w:rsidRPr="00650690">
        <w:t xml:space="preserve"> по налогу на прибыль организаций в </w:t>
      </w:r>
      <w:r>
        <w:t xml:space="preserve">размере </w:t>
      </w:r>
      <w:r w:rsidRPr="00650690">
        <w:t>23593,3 млн. руб.</w:t>
      </w:r>
      <w:r>
        <w:t xml:space="preserve"> с ростом к плану 2018 года на 1918,2 млн. руб. (+8,9%), к ожидаемым поступлениям - на 513,8 млн. руб. (+2,2%). При этом налог на прибыль организаций КГН запланирован с ростом на 1877 млн. руб. (+31%) к прогнозу на 2018 год и на 172,6 млн. руб. (+2,2%) к оценке </w:t>
      </w:r>
      <w:r w:rsidR="00986DBF">
        <w:t>текущего</w:t>
      </w:r>
      <w:r>
        <w:t xml:space="preserve"> года. Таким образом, </w:t>
      </w:r>
      <w:r w:rsidRPr="00986DBF">
        <w:rPr>
          <w:u w:val="single"/>
        </w:rPr>
        <w:t xml:space="preserve">увеличение прогнозных назначений на 2019 год к плановым назначениям 2018 года по данному налогу в основном предусмотрено </w:t>
      </w:r>
      <w:r w:rsidR="00986DBF" w:rsidRPr="00986DBF">
        <w:rPr>
          <w:u w:val="single"/>
        </w:rPr>
        <w:t>за с</w:t>
      </w:r>
      <w:r w:rsidR="00986DBF">
        <w:rPr>
          <w:u w:val="single"/>
        </w:rPr>
        <w:t>чет</w:t>
      </w:r>
      <w:r w:rsidRPr="00986DBF">
        <w:rPr>
          <w:u w:val="single"/>
        </w:rPr>
        <w:t xml:space="preserve"> поступлений </w:t>
      </w:r>
      <w:r w:rsidR="00986DBF">
        <w:rPr>
          <w:u w:val="single"/>
        </w:rPr>
        <w:t xml:space="preserve">от </w:t>
      </w:r>
      <w:r w:rsidRPr="00986DBF">
        <w:rPr>
          <w:u w:val="single"/>
        </w:rPr>
        <w:t>организаций</w:t>
      </w:r>
      <w:r w:rsidR="00986DBF">
        <w:rPr>
          <w:u w:val="single"/>
        </w:rPr>
        <w:t>, входящих в</w:t>
      </w:r>
      <w:r w:rsidRPr="00986DBF">
        <w:rPr>
          <w:u w:val="single"/>
        </w:rPr>
        <w:t xml:space="preserve"> КГН.</w:t>
      </w:r>
    </w:p>
    <w:p w:rsidR="00D62CEE" w:rsidRDefault="00D62CEE" w:rsidP="00D62CEE">
      <w:pPr>
        <w:autoSpaceDE w:val="0"/>
        <w:autoSpaceDN w:val="0"/>
        <w:adjustRightInd w:val="0"/>
        <w:ind w:firstLine="680"/>
        <w:jc w:val="both"/>
        <w:rPr>
          <w:rFonts w:eastAsia="Calibri"/>
          <w:bCs/>
          <w:iCs/>
          <w:lang w:eastAsia="en-US"/>
        </w:rPr>
      </w:pPr>
      <w:r>
        <w:t xml:space="preserve">Учитывая, что в состав КГН входят налогоплательщики, находящиеся на территории Волгоградской области и других субъектов РФ, и в регионе отсутствует информация о прогнозируемом финансовом результате налогоплательщиков других регионов, </w:t>
      </w:r>
      <w:r>
        <w:rPr>
          <w:rFonts w:eastAsia="Calibri"/>
          <w:bCs/>
          <w:iCs/>
          <w:lang w:eastAsia="en-US"/>
        </w:rPr>
        <w:t>прогнозные назначения по налогу на прибыль от КГН на 2019 год принимаются КСП по данным, рассчитанным комитетом финансов Волгоградской области. Фактические поступления от КГН в зависимости от экономической ситуации в России могут сложиться, как в сторону увеличения, так и уменьшения от прогнозного показателя.</w:t>
      </w:r>
    </w:p>
    <w:p w:rsidR="00D62CEE" w:rsidRPr="00292FEA" w:rsidRDefault="00986DBF" w:rsidP="00D62CEE">
      <w:pPr>
        <w:autoSpaceDE w:val="0"/>
        <w:autoSpaceDN w:val="0"/>
        <w:adjustRightInd w:val="0"/>
        <w:ind w:firstLine="680"/>
        <w:jc w:val="both"/>
      </w:pPr>
      <w:r>
        <w:t>Р</w:t>
      </w:r>
      <w:r w:rsidR="00D62CEE" w:rsidRPr="00292FEA">
        <w:t xml:space="preserve">ост </w:t>
      </w:r>
      <w:r w:rsidR="00D62CEE" w:rsidRPr="00D37D78">
        <w:t xml:space="preserve">поступлений </w:t>
      </w:r>
      <w:r w:rsidR="00D62CEE">
        <w:t>налога на прибыль организаций (за исключением КГН)</w:t>
      </w:r>
      <w:r>
        <w:t>, по оценке КСП,</w:t>
      </w:r>
      <w:r w:rsidR="00D62CEE">
        <w:t xml:space="preserve"> </w:t>
      </w:r>
      <w:r w:rsidR="00D62CEE" w:rsidRPr="00D37D78">
        <w:t xml:space="preserve">произойдет за счет увеличения налоговой базы крупных налогоплательщиков (АО «Каустик», АО «Волжский </w:t>
      </w:r>
      <w:proofErr w:type="spellStart"/>
      <w:r w:rsidR="00D62CEE" w:rsidRPr="00D37D78">
        <w:t>Оргсинтез</w:t>
      </w:r>
      <w:proofErr w:type="spellEnd"/>
      <w:r w:rsidR="00D62CEE" w:rsidRPr="00D37D78">
        <w:t>», ООО СП «</w:t>
      </w:r>
      <w:proofErr w:type="spellStart"/>
      <w:r w:rsidR="00D62CEE" w:rsidRPr="00D37D78">
        <w:t>Волгодеминойл</w:t>
      </w:r>
      <w:proofErr w:type="spellEnd"/>
      <w:r w:rsidR="00D62CEE" w:rsidRPr="00D37D78">
        <w:t>» и др.), а также</w:t>
      </w:r>
      <w:r w:rsidR="00D62CEE">
        <w:t xml:space="preserve"> </w:t>
      </w:r>
      <w:r>
        <w:t xml:space="preserve">в связи с </w:t>
      </w:r>
      <w:r w:rsidR="00D62CEE">
        <w:t>завершени</w:t>
      </w:r>
      <w:r>
        <w:t>ем</w:t>
      </w:r>
      <w:r w:rsidR="00D62CEE">
        <w:t xml:space="preserve"> реализации инвестиционных проектов</w:t>
      </w:r>
      <w:r w:rsidR="00D62CEE" w:rsidRPr="00292FEA">
        <w:t>.</w:t>
      </w:r>
      <w:r w:rsidR="00D62CEE">
        <w:t xml:space="preserve"> Так, в </w:t>
      </w:r>
      <w:r>
        <w:t>п</w:t>
      </w:r>
      <w:r w:rsidR="00D62CEE">
        <w:t xml:space="preserve">рогнозе СЭР отмечено, что в 2017 году закончена реализация 8-ми инвестиционных проектов в сфере промышленности с </w:t>
      </w:r>
      <w:r w:rsidR="00D62CEE">
        <w:lastRenderedPageBreak/>
        <w:t xml:space="preserve">объемом освоенных инвестиций 6,1 млрд. руб., в 2018 году </w:t>
      </w:r>
      <w:r>
        <w:t>-</w:t>
      </w:r>
      <w:r w:rsidR="00D62CEE">
        <w:t xml:space="preserve"> 16-ти инвестиционных проектов на общую сумму инвестиций 134,5 млрд. рублей. В частност</w:t>
      </w:r>
      <w:proofErr w:type="gramStart"/>
      <w:r w:rsidR="00D62CEE">
        <w:t>и ООО</w:t>
      </w:r>
      <w:proofErr w:type="gramEnd"/>
      <w:r w:rsidR="00D62CEE">
        <w:t xml:space="preserve"> «</w:t>
      </w:r>
      <w:proofErr w:type="spellStart"/>
      <w:r w:rsidR="00D62CEE">
        <w:t>ЕвроХим-ВолгаКалий</w:t>
      </w:r>
      <w:proofErr w:type="spellEnd"/>
      <w:r w:rsidR="00D62CEE">
        <w:t xml:space="preserve">» в 2018 году завершит реализацию 1-й очереди инвестиционного проекта по строительству горно-обогатительного комбината в </w:t>
      </w:r>
      <w:proofErr w:type="spellStart"/>
      <w:r w:rsidR="00D62CEE">
        <w:t>Котельниковском</w:t>
      </w:r>
      <w:proofErr w:type="spellEnd"/>
      <w:r w:rsidR="00D62CEE">
        <w:t xml:space="preserve"> районе.</w:t>
      </w:r>
    </w:p>
    <w:p w:rsidR="003D3A2C" w:rsidRPr="00EB1EB6" w:rsidRDefault="003D3A2C" w:rsidP="003D3A2C">
      <w:pPr>
        <w:tabs>
          <w:tab w:val="num" w:pos="0"/>
        </w:tabs>
        <w:ind w:firstLine="680"/>
        <w:jc w:val="both"/>
        <w:outlineLvl w:val="0"/>
      </w:pPr>
      <w:r w:rsidRPr="00EB1EB6">
        <w:t xml:space="preserve">Законопроектом предусматриваются прогнозные назначения </w:t>
      </w:r>
      <w:r w:rsidRPr="00C51F96">
        <w:rPr>
          <w:b/>
          <w:i/>
        </w:rPr>
        <w:t>по транспортному налогу</w:t>
      </w:r>
      <w:r w:rsidRPr="00EB1EB6">
        <w:t xml:space="preserve"> на 2019 год в размере 1826,2 млн. руб. (+8% к утвержденным назначениям 2018 года), на 2020 год – 1836 тыс. руб. (+1% к 2019 году)</w:t>
      </w:r>
      <w:r>
        <w:t>,</w:t>
      </w:r>
      <w:r w:rsidRPr="00EB1EB6">
        <w:t xml:space="preserve"> на 2021 год – 1846,9 млн. руб. (+1% к 2020 году).</w:t>
      </w:r>
      <w:r w:rsidR="00EF2BA6">
        <w:t xml:space="preserve"> </w:t>
      </w:r>
      <w:r w:rsidRPr="00EB1EB6">
        <w:t>Ожидаемые поступления по транспортному налогу в 2018 году по данным комитета финансов Волгоградской области состав</w:t>
      </w:r>
      <w:r w:rsidR="00EF2BA6">
        <w:t>ляют</w:t>
      </w:r>
      <w:r w:rsidRPr="00EB1EB6">
        <w:t xml:space="preserve"> 1804,9 млн. руб</w:t>
      </w:r>
      <w:r>
        <w:t>., или на 99,9 млн. руб. выше утвержденных законом о бюджете</w:t>
      </w:r>
      <w:r w:rsidRPr="00EB1EB6">
        <w:t xml:space="preserve"> </w:t>
      </w:r>
      <w:r>
        <w:t>(1705,0 млн. руб.).</w:t>
      </w:r>
    </w:p>
    <w:p w:rsidR="003D3A2C" w:rsidRDefault="003D3A2C" w:rsidP="003D3A2C">
      <w:pPr>
        <w:tabs>
          <w:tab w:val="num" w:pos="0"/>
        </w:tabs>
        <w:ind w:firstLine="680"/>
        <w:jc w:val="both"/>
        <w:outlineLvl w:val="0"/>
      </w:pPr>
      <w:proofErr w:type="gramStart"/>
      <w:r>
        <w:t xml:space="preserve">С учетом того, что </w:t>
      </w:r>
      <w:r w:rsidRPr="00A02F70">
        <w:t>с 2015 по 2017 г</w:t>
      </w:r>
      <w:r>
        <w:t>оды</w:t>
      </w:r>
      <w:r w:rsidRPr="00A02F70">
        <w:t xml:space="preserve"> отмечается динамика роста поступлений налога, уплачиваемого физическими лицами, от 8 до 14</w:t>
      </w:r>
      <w:r>
        <w:t xml:space="preserve">% и, исходя из фактических поступлений </w:t>
      </w:r>
      <w:r w:rsidRPr="00EB1EB6">
        <w:t xml:space="preserve">транспортного налога за 9 месяцев текущего года </w:t>
      </w:r>
      <w:r>
        <w:t>(</w:t>
      </w:r>
      <w:r w:rsidRPr="00EB1EB6">
        <w:t>837,4 млн. руб.</w:t>
      </w:r>
      <w:r>
        <w:t>), по оценке КСП</w:t>
      </w:r>
      <w:r w:rsidR="00EF2BA6">
        <w:t>,</w:t>
      </w:r>
      <w:r w:rsidRPr="00A77012">
        <w:t xml:space="preserve"> </w:t>
      </w:r>
      <w:r w:rsidRPr="00EB1EB6">
        <w:t>ожидаемые поступления налога за 2018 год составят 1891,2 млн. руб.</w:t>
      </w:r>
      <w:r>
        <w:t xml:space="preserve"> (учтен минимальный процент роста поступлений по налогу, уплачиваемому физическими лицами,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8% и оценочный объем поступлений налога, уплачиваемого юридическими лицами, рассчитанный комитетом финансов Волгоградской области, в размере 273 млн. руб.)</w:t>
      </w:r>
      <w:r w:rsidRPr="00EB1EB6">
        <w:t>, что на 8</w:t>
      </w:r>
      <w:r>
        <w:t>6,3</w:t>
      </w:r>
      <w:r w:rsidRPr="00EB1EB6">
        <w:t xml:space="preserve"> млн. руб. больше показателя</w:t>
      </w:r>
      <w:r>
        <w:t xml:space="preserve">, </w:t>
      </w:r>
      <w:r w:rsidR="00EF2BA6">
        <w:t>предусмотренного законопроектом</w:t>
      </w:r>
      <w:r w:rsidRPr="00A02F70">
        <w:t>.</w:t>
      </w:r>
    </w:p>
    <w:p w:rsidR="003D3A2C" w:rsidRPr="00EB1EB6" w:rsidRDefault="003D3A2C" w:rsidP="003D3A2C">
      <w:pPr>
        <w:tabs>
          <w:tab w:val="num" w:pos="0"/>
        </w:tabs>
        <w:ind w:firstLine="680"/>
        <w:jc w:val="both"/>
        <w:outlineLvl w:val="0"/>
      </w:pPr>
      <w:r>
        <w:t>Заданный процент роста поступлений налога, уплачиваемого физическими лицами, учтен и при расчете прогнозных назначений транспортного налога на 2019-2021 годы, которые</w:t>
      </w:r>
      <w:r w:rsidR="00BC1621">
        <w:t>,</w:t>
      </w:r>
      <w:r>
        <w:t xml:space="preserve"> по оценке КСП</w:t>
      </w:r>
      <w:r w:rsidR="00BC1621">
        <w:t>,</w:t>
      </w:r>
      <w:r>
        <w:t xml:space="preserve"> составят на 2019 год </w:t>
      </w:r>
      <w:r w:rsidRPr="00EB1EB6">
        <w:t xml:space="preserve">2029,9 млн. руб., 2020 год </w:t>
      </w:r>
      <w:r>
        <w:t>-</w:t>
      </w:r>
      <w:r w:rsidRPr="00EB1EB6">
        <w:t xml:space="preserve"> 2167,2 млн. руб., 2021 год </w:t>
      </w:r>
      <w:r>
        <w:t>-</w:t>
      </w:r>
      <w:r w:rsidRPr="00EB1EB6">
        <w:t xml:space="preserve"> 2316,4 млн. рублей. </w:t>
      </w:r>
    </w:p>
    <w:p w:rsidR="003D3A2C" w:rsidRPr="00BB1811" w:rsidRDefault="003D3A2C" w:rsidP="003D3A2C">
      <w:pPr>
        <w:ind w:firstLine="680"/>
        <w:jc w:val="both"/>
        <w:rPr>
          <w:b/>
          <w:i/>
        </w:rPr>
      </w:pPr>
      <w:r w:rsidRPr="00BB1811">
        <w:rPr>
          <w:b/>
          <w:i/>
        </w:rPr>
        <w:t xml:space="preserve">Таким образом, </w:t>
      </w:r>
      <w:r w:rsidR="00BC1621">
        <w:rPr>
          <w:b/>
          <w:i/>
        </w:rPr>
        <w:t xml:space="preserve">по расчетам </w:t>
      </w:r>
      <w:r w:rsidR="00195C92">
        <w:rPr>
          <w:b/>
          <w:i/>
        </w:rPr>
        <w:t>КСП</w:t>
      </w:r>
      <w:r w:rsidR="00BC1621">
        <w:rPr>
          <w:b/>
          <w:i/>
        </w:rPr>
        <w:t xml:space="preserve"> </w:t>
      </w:r>
      <w:r w:rsidRPr="00BB1811">
        <w:rPr>
          <w:b/>
          <w:i/>
        </w:rPr>
        <w:t>прогнозн</w:t>
      </w:r>
      <w:r w:rsidR="0098371B">
        <w:rPr>
          <w:b/>
          <w:i/>
        </w:rPr>
        <w:t>ы</w:t>
      </w:r>
      <w:r w:rsidR="00195C92">
        <w:rPr>
          <w:b/>
          <w:i/>
        </w:rPr>
        <w:t>е</w:t>
      </w:r>
      <w:r w:rsidR="0098371B">
        <w:rPr>
          <w:b/>
          <w:i/>
        </w:rPr>
        <w:t xml:space="preserve"> поступлени</w:t>
      </w:r>
      <w:r w:rsidR="00195C92">
        <w:rPr>
          <w:b/>
          <w:i/>
        </w:rPr>
        <w:t>я</w:t>
      </w:r>
      <w:r w:rsidRPr="00BB1811">
        <w:rPr>
          <w:b/>
          <w:i/>
        </w:rPr>
        <w:t xml:space="preserve"> по транспортному налогу на 2019 год</w:t>
      </w:r>
      <w:r w:rsidR="00195C92">
        <w:rPr>
          <w:b/>
          <w:i/>
        </w:rPr>
        <w:t xml:space="preserve"> занижены в законопроекте</w:t>
      </w:r>
      <w:r w:rsidRPr="00BB1811">
        <w:rPr>
          <w:b/>
          <w:i/>
        </w:rPr>
        <w:t xml:space="preserve"> </w:t>
      </w:r>
      <w:r w:rsidR="0098371B">
        <w:rPr>
          <w:b/>
          <w:i/>
        </w:rPr>
        <w:t xml:space="preserve">на сумму </w:t>
      </w:r>
      <w:r w:rsidRPr="00BB1811">
        <w:rPr>
          <w:b/>
          <w:i/>
        </w:rPr>
        <w:t>порядка 200 млн. руб</w:t>
      </w:r>
      <w:r>
        <w:rPr>
          <w:b/>
          <w:i/>
        </w:rPr>
        <w:t>лей.</w:t>
      </w:r>
    </w:p>
    <w:p w:rsidR="003D3A2C" w:rsidRPr="00B435EF" w:rsidRDefault="003D3A2C" w:rsidP="003D3A2C">
      <w:pPr>
        <w:tabs>
          <w:tab w:val="num" w:pos="0"/>
        </w:tabs>
        <w:ind w:firstLine="680"/>
        <w:jc w:val="both"/>
        <w:outlineLvl w:val="0"/>
      </w:pPr>
      <w:r w:rsidRPr="00B435EF">
        <w:t xml:space="preserve">Законопроектом предусматриваются прогнозные назначения </w:t>
      </w:r>
      <w:r w:rsidRPr="00B435EF">
        <w:rPr>
          <w:b/>
          <w:i/>
        </w:rPr>
        <w:t>по штрафам, санкциям, возмещению ущерба</w:t>
      </w:r>
      <w:r>
        <w:rPr>
          <w:b/>
          <w:i/>
        </w:rPr>
        <w:t xml:space="preserve"> </w:t>
      </w:r>
      <w:r w:rsidRPr="000D2DC1">
        <w:t>(далее штрафы)</w:t>
      </w:r>
      <w:r w:rsidRPr="00B435EF">
        <w:t xml:space="preserve"> на 2019 год в размере 1296,2 млн. руб.</w:t>
      </w:r>
      <w:r w:rsidR="006C124C">
        <w:t>, что на</w:t>
      </w:r>
      <w:r w:rsidRPr="00B435EF">
        <w:t xml:space="preserve"> 1,4% </w:t>
      </w:r>
      <w:r w:rsidR="006C124C">
        <w:t>ниже</w:t>
      </w:r>
      <w:r w:rsidRPr="00B435EF">
        <w:t xml:space="preserve"> утвержденны</w:t>
      </w:r>
      <w:r w:rsidR="006C124C">
        <w:t>х</w:t>
      </w:r>
      <w:r w:rsidRPr="00B435EF">
        <w:t xml:space="preserve"> и оценочны</w:t>
      </w:r>
      <w:r w:rsidR="006C124C">
        <w:t>х поступлений</w:t>
      </w:r>
      <w:r w:rsidRPr="00B435EF">
        <w:t xml:space="preserve"> 2018 года</w:t>
      </w:r>
      <w:r>
        <w:t xml:space="preserve"> </w:t>
      </w:r>
      <w:r w:rsidR="006C124C">
        <w:t>(</w:t>
      </w:r>
      <w:r w:rsidRPr="00676E99">
        <w:t>1315 млн. руб</w:t>
      </w:r>
      <w:r>
        <w:t>.</w:t>
      </w:r>
      <w:r w:rsidRPr="00B435EF">
        <w:t>), на 2020 год – 1297,4 млн. руб., на 2021 год – 1301,1 млн. руб</w:t>
      </w:r>
      <w:r w:rsidR="0004270F">
        <w:t>лей</w:t>
      </w:r>
      <w:r w:rsidRPr="00B435EF">
        <w:t>.</w:t>
      </w:r>
    </w:p>
    <w:p w:rsidR="003D3A2C" w:rsidRPr="00555088" w:rsidRDefault="003D3A2C" w:rsidP="003D3A2C">
      <w:pPr>
        <w:tabs>
          <w:tab w:val="num" w:pos="0"/>
        </w:tabs>
        <w:ind w:firstLine="680"/>
        <w:jc w:val="both"/>
        <w:outlineLvl w:val="0"/>
      </w:pPr>
      <w:r w:rsidRPr="00555088">
        <w:t xml:space="preserve">Снижение прогнозного показателя на 2019-2021 годы относительно прогнозных назначений 2018 года обусловлено тем, что пятью главными администраторами доходов </w:t>
      </w:r>
      <w:r>
        <w:t xml:space="preserve">областного бюджета (далее администратор </w:t>
      </w:r>
      <w:proofErr w:type="gramStart"/>
      <w:r>
        <w:t xml:space="preserve">доходов) </w:t>
      </w:r>
      <w:proofErr w:type="gramEnd"/>
      <w:r w:rsidRPr="00555088">
        <w:t>прогнозные назначения установлены ниже утвержденных назначений 2018 года, семью администраторами</w:t>
      </w:r>
      <w:r>
        <w:t xml:space="preserve"> доходов</w:t>
      </w:r>
      <w:r w:rsidRPr="00555088">
        <w:t xml:space="preserve"> прогнозные назначения на 2019-2021 годы не</w:t>
      </w:r>
      <w:r>
        <w:t xml:space="preserve"> определены.</w:t>
      </w:r>
    </w:p>
    <w:p w:rsidR="003D3A2C" w:rsidRPr="00676E99" w:rsidRDefault="003D3A2C" w:rsidP="003D3A2C">
      <w:pPr>
        <w:tabs>
          <w:tab w:val="num" w:pos="0"/>
        </w:tabs>
        <w:ind w:firstLine="680"/>
        <w:jc w:val="both"/>
        <w:outlineLvl w:val="0"/>
      </w:pPr>
      <w:r>
        <w:t xml:space="preserve">В составе документов к </w:t>
      </w:r>
      <w:r w:rsidR="0004270F">
        <w:t>з</w:t>
      </w:r>
      <w:r>
        <w:t xml:space="preserve">аконопроекту </w:t>
      </w:r>
      <w:r w:rsidRPr="00676E99">
        <w:t>представлены методики прогнозирования поступлений доходов в бюджет Волгоградской области администраторами</w:t>
      </w:r>
      <w:r>
        <w:t xml:space="preserve"> доходов</w:t>
      </w:r>
      <w:r w:rsidRPr="00676E99">
        <w:t xml:space="preserve"> (далее Методики)</w:t>
      </w:r>
      <w:r>
        <w:t>, которые</w:t>
      </w:r>
      <w:r w:rsidRPr="00676E99">
        <w:t xml:space="preserve"> разработаны в целях </w:t>
      </w:r>
      <w:proofErr w:type="gramStart"/>
      <w:r w:rsidRPr="00676E99">
        <w:t xml:space="preserve">формирования объективной оценки потенциала поступлений </w:t>
      </w:r>
      <w:r>
        <w:t>доходов</w:t>
      </w:r>
      <w:proofErr w:type="gramEnd"/>
      <w:r>
        <w:t xml:space="preserve"> </w:t>
      </w:r>
      <w:r w:rsidRPr="00676E99">
        <w:t xml:space="preserve">в </w:t>
      </w:r>
      <w:r w:rsidR="0004270F">
        <w:t xml:space="preserve">областной </w:t>
      </w:r>
      <w:r w:rsidRPr="00676E99">
        <w:t>бюджет</w:t>
      </w:r>
      <w:r>
        <w:t>.</w:t>
      </w:r>
    </w:p>
    <w:p w:rsidR="003D3A2C" w:rsidRPr="00676E99" w:rsidRDefault="003D3A2C" w:rsidP="003D3A2C">
      <w:pPr>
        <w:tabs>
          <w:tab w:val="num" w:pos="0"/>
        </w:tabs>
        <w:ind w:firstLine="680"/>
        <w:jc w:val="both"/>
        <w:outlineLvl w:val="0"/>
      </w:pPr>
      <w:r w:rsidRPr="00676E99">
        <w:t>КСП установлено, что прогнозирование поступлений дох</w:t>
      </w:r>
      <w:r>
        <w:t xml:space="preserve">одов по штрафам </w:t>
      </w:r>
      <w:r w:rsidRPr="00676E99">
        <w:t>отдельными администраторами</w:t>
      </w:r>
      <w:r>
        <w:t xml:space="preserve"> доходов</w:t>
      </w:r>
      <w:r w:rsidRPr="00676E99">
        <w:t xml:space="preserve"> </w:t>
      </w:r>
      <w:r>
        <w:t>(</w:t>
      </w:r>
      <w:r>
        <w:rPr>
          <w:bCs/>
        </w:rPr>
        <w:t>комитет</w:t>
      </w:r>
      <w:r w:rsidR="0004270F">
        <w:rPr>
          <w:bCs/>
        </w:rPr>
        <w:t>ами</w:t>
      </w:r>
      <w:r>
        <w:rPr>
          <w:bCs/>
        </w:rPr>
        <w:t xml:space="preserve"> по сельскому хозяйству,</w:t>
      </w:r>
      <w:r w:rsidRPr="00D50B71">
        <w:rPr>
          <w:bCs/>
        </w:rPr>
        <w:t xml:space="preserve"> </w:t>
      </w:r>
      <w:r w:rsidR="0004270F">
        <w:rPr>
          <w:bCs/>
        </w:rPr>
        <w:t xml:space="preserve">тарифного регулирования, </w:t>
      </w:r>
      <w:r w:rsidRPr="00D91E03">
        <w:rPr>
          <w:bCs/>
        </w:rPr>
        <w:t>по делам территориальных образований, внутренней и информационной политики</w:t>
      </w:r>
      <w:r>
        <w:rPr>
          <w:bCs/>
        </w:rPr>
        <w:t>, финансов и др.) о</w:t>
      </w:r>
      <w:r w:rsidRPr="00676E99">
        <w:t xml:space="preserve">существляется не в соответствии с утвержденными </w:t>
      </w:r>
      <w:r>
        <w:t>М</w:t>
      </w:r>
      <w:r w:rsidRPr="00676E99">
        <w:t>етодиками</w:t>
      </w:r>
      <w:r>
        <w:t>, в результате чего занижается объем прогнозных назначений по штрафам.</w:t>
      </w:r>
    </w:p>
    <w:p w:rsidR="003D3A2C" w:rsidRPr="00D57587" w:rsidRDefault="003D3A2C" w:rsidP="003D3A2C">
      <w:pPr>
        <w:tabs>
          <w:tab w:val="num" w:pos="0"/>
        </w:tabs>
        <w:ind w:firstLine="680"/>
        <w:jc w:val="both"/>
        <w:outlineLvl w:val="0"/>
      </w:pPr>
      <w:proofErr w:type="gramStart"/>
      <w:r>
        <w:t>Например,</w:t>
      </w:r>
      <w:r w:rsidRPr="00676E99">
        <w:t xml:space="preserve"> при прогнозировании штрафа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</w:t>
      </w:r>
      <w:r>
        <w:t>Ф</w:t>
      </w:r>
      <w:r w:rsidRPr="00676E99">
        <w:t xml:space="preserve">, </w:t>
      </w:r>
      <w:r>
        <w:t>к</w:t>
      </w:r>
      <w:r w:rsidRPr="00676E99">
        <w:t>омитетом тарифного регулирования Волгоградской области прогнозные назначения на 2019-2021 годы предусмотрены в сумме 0,4 млн. руб. на каждый год, что ниже прогнозного показателя 2018 года на 1</w:t>
      </w:r>
      <w:r>
        <w:t>,2</w:t>
      </w:r>
      <w:r w:rsidRPr="00676E99">
        <w:t xml:space="preserve"> млн. руб.</w:t>
      </w:r>
      <w:r w:rsidR="0004270F">
        <w:t>, или на</w:t>
      </w:r>
      <w:r w:rsidRPr="00676E99">
        <w:t xml:space="preserve"> </w:t>
      </w:r>
      <w:r w:rsidR="0004270F">
        <w:t>75 процентов</w:t>
      </w:r>
      <w:r>
        <w:t>.</w:t>
      </w:r>
      <w:proofErr w:type="gramEnd"/>
      <w:r>
        <w:t xml:space="preserve"> </w:t>
      </w:r>
      <w:r w:rsidRPr="00D57587">
        <w:t xml:space="preserve">При этом согласно Методике, утвержденной приказом названного комитета от 05.09.2016 №145-ВН, расчет прогнозного показателя по вышеуказанному коду определяется исходя из фактического количества установленных правонарушений </w:t>
      </w:r>
      <w:r w:rsidRPr="00D57587">
        <w:rPr>
          <w:u w:val="single"/>
        </w:rPr>
        <w:t>за три предшествующих года и суммы поступлений за выявленные правонарушения</w:t>
      </w:r>
      <w:r w:rsidRPr="00D57587">
        <w:t xml:space="preserve">. Поступления за три предшествующих года (2015-2017 годы) составили от 1,5 млн. руб. до 2,8 млн. рублей. Однако комитетом тарифного регулирования Волгоградской области </w:t>
      </w:r>
      <w:r w:rsidRPr="00D57587">
        <w:lastRenderedPageBreak/>
        <w:t>прогнозирование указанного вида дохода осуществляется, согласно пояснени</w:t>
      </w:r>
      <w:r w:rsidR="0004270F">
        <w:t>ям</w:t>
      </w:r>
      <w:r w:rsidRPr="00D57587">
        <w:t>, исходя из запланированного количества проверок на прогнозируемый год.</w:t>
      </w:r>
    </w:p>
    <w:p w:rsidR="003D3A2C" w:rsidRPr="00D57587" w:rsidRDefault="003460D3" w:rsidP="003D3A2C">
      <w:pPr>
        <w:ind w:firstLine="680"/>
        <w:jc w:val="both"/>
        <w:rPr>
          <w:b/>
          <w:bCs/>
          <w:i/>
        </w:rPr>
      </w:pPr>
      <w:r>
        <w:rPr>
          <w:b/>
          <w:i/>
        </w:rPr>
        <w:t>Н</w:t>
      </w:r>
      <w:r w:rsidR="003D3A2C" w:rsidRPr="00D57587">
        <w:rPr>
          <w:b/>
          <w:i/>
        </w:rPr>
        <w:t xml:space="preserve">есоблюдение положений Методик может привести к занижению прогнозных назначений по штрафам на 2019-2021 годы. </w:t>
      </w:r>
    </w:p>
    <w:p w:rsidR="00561DAD" w:rsidRDefault="00561DAD" w:rsidP="003D3A2C">
      <w:pPr>
        <w:shd w:val="clear" w:color="auto" w:fill="FFFFFF"/>
        <w:ind w:left="11" w:right="11" w:firstLine="680"/>
        <w:jc w:val="both"/>
        <w:rPr>
          <w:b/>
          <w:i/>
          <w:u w:val="single"/>
        </w:rPr>
      </w:pPr>
    </w:p>
    <w:p w:rsidR="003D3A2C" w:rsidRDefault="003D3A2C" w:rsidP="003D3A2C">
      <w:pPr>
        <w:shd w:val="clear" w:color="auto" w:fill="FFFFFF"/>
        <w:ind w:left="11" w:right="11" w:firstLine="680"/>
        <w:jc w:val="both"/>
        <w:rPr>
          <w:b/>
          <w:i/>
          <w:u w:val="single"/>
        </w:rPr>
      </w:pPr>
      <w:r>
        <w:rPr>
          <w:b/>
          <w:i/>
          <w:u w:val="single"/>
        </w:rPr>
        <w:t>Безвозмездные поступления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Согласно утвержденным бюджетным назначениям и по оценке Администрации Волгоградской области, представленной с проектом областного бюджета на 2019-2021 годы, в 2018 году Волгоградская область получит безвозмездных поступлений на общую сумму 28699,8 млн. рублей. 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</w:rPr>
      </w:pPr>
      <w:r>
        <w:rPr>
          <w:rFonts w:eastAsia="Calibri"/>
        </w:rPr>
        <w:t xml:space="preserve">По </w:t>
      </w:r>
      <w:r w:rsidR="00D323E1">
        <w:t>з</w:t>
      </w:r>
      <w:r>
        <w:rPr>
          <w:rFonts w:eastAsia="Calibri"/>
        </w:rPr>
        <w:t xml:space="preserve">аконопроекту прогноз безвозмездных поступлений на 2019 год составляет </w:t>
      </w:r>
      <w:r>
        <w:rPr>
          <w:rFonts w:eastAsia="Calibri"/>
          <w:bCs/>
        </w:rPr>
        <w:t xml:space="preserve">26564,1 </w:t>
      </w:r>
      <w:r>
        <w:rPr>
          <w:rFonts w:eastAsia="Calibri"/>
        </w:rPr>
        <w:t xml:space="preserve">млн. руб., что </w:t>
      </w:r>
      <w:r w:rsidR="00D323E1">
        <w:t xml:space="preserve">на 2135,7 млн. руб., или </w:t>
      </w:r>
      <w:r>
        <w:rPr>
          <w:rFonts w:eastAsia="Calibri"/>
        </w:rPr>
        <w:t xml:space="preserve">на 7,4% меньше </w:t>
      </w:r>
      <w:r w:rsidR="00D323E1">
        <w:t>плана</w:t>
      </w:r>
      <w:r>
        <w:rPr>
          <w:rFonts w:eastAsia="Calibri"/>
        </w:rPr>
        <w:t xml:space="preserve"> 2018 год</w:t>
      </w:r>
      <w:r w:rsidR="00D323E1">
        <w:t>а</w:t>
      </w:r>
      <w:r>
        <w:rPr>
          <w:rFonts w:eastAsia="Calibri"/>
        </w:rPr>
        <w:t>, из них: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</w:rPr>
      </w:pPr>
      <w:r>
        <w:rPr>
          <w:rFonts w:eastAsia="Calibri"/>
        </w:rPr>
        <w:t xml:space="preserve">-дотации – 11419,1 млн. руб., или на 15,4% ниже </w:t>
      </w:r>
      <w:r w:rsidR="00D323E1">
        <w:t>текущего</w:t>
      </w:r>
      <w:r>
        <w:rPr>
          <w:rFonts w:eastAsia="Calibri"/>
        </w:rPr>
        <w:t xml:space="preserve"> год</w:t>
      </w:r>
      <w:r w:rsidR="00D323E1">
        <w:t>а</w:t>
      </w:r>
      <w:r>
        <w:rPr>
          <w:rFonts w:eastAsia="Calibri"/>
        </w:rPr>
        <w:t xml:space="preserve"> (13501,7 млн. руб.);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</w:rPr>
      </w:pPr>
      <w:r>
        <w:rPr>
          <w:rFonts w:eastAsia="Calibri"/>
        </w:rPr>
        <w:t xml:space="preserve">-субсидии – </w:t>
      </w:r>
      <w:r>
        <w:rPr>
          <w:rFonts w:eastAsia="Calibri"/>
          <w:bCs/>
        </w:rPr>
        <w:t xml:space="preserve">6590,5 </w:t>
      </w:r>
      <w:r>
        <w:rPr>
          <w:rFonts w:eastAsia="Calibri"/>
        </w:rPr>
        <w:t xml:space="preserve">млн. руб., </w:t>
      </w:r>
      <w:r w:rsidR="00D323E1">
        <w:t>что</w:t>
      </w:r>
      <w:r>
        <w:rPr>
          <w:rFonts w:eastAsia="Calibri"/>
        </w:rPr>
        <w:t xml:space="preserve"> на 4,5% меньше 2018 года (6902,1 млн. руб.);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</w:rPr>
      </w:pPr>
      <w:r>
        <w:rPr>
          <w:rFonts w:eastAsia="Calibri"/>
        </w:rPr>
        <w:t>-субвенции – 5978,8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>млн. руб., или на 17,6% больше 2018 года (5083,1 млн. руб.);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</w:rPr>
      </w:pPr>
      <w:r>
        <w:rPr>
          <w:rFonts w:eastAsia="Calibri"/>
        </w:rPr>
        <w:t xml:space="preserve">-иные межбюджетные трансферты – </w:t>
      </w:r>
      <w:r>
        <w:rPr>
          <w:rFonts w:eastAsia="Calibri"/>
          <w:bCs/>
        </w:rPr>
        <w:t xml:space="preserve">2467,7 </w:t>
      </w:r>
      <w:r>
        <w:rPr>
          <w:rFonts w:eastAsia="Calibri"/>
        </w:rPr>
        <w:t>млн. руб., что на 19,6% меньше 2018 года (3069,5 млн. руб.);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  <w:bCs/>
        </w:rPr>
      </w:pPr>
      <w:r>
        <w:rPr>
          <w:rFonts w:eastAsia="Calibri"/>
        </w:rPr>
        <w:t xml:space="preserve">-безвозмездные поступления от негосударственных организаций - </w:t>
      </w:r>
      <w:r>
        <w:rPr>
          <w:rFonts w:eastAsia="Calibri"/>
          <w:bCs/>
        </w:rPr>
        <w:t xml:space="preserve">8,8 </w:t>
      </w:r>
      <w:r>
        <w:rPr>
          <w:rFonts w:eastAsia="Calibri"/>
        </w:rPr>
        <w:t>млн. руб., или на 35,3% меньше 2018 года (13,6 млн. руб.);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  <w:bCs/>
        </w:rPr>
      </w:pPr>
      <w:r>
        <w:rPr>
          <w:rFonts w:eastAsia="Calibri"/>
          <w:bCs/>
        </w:rPr>
        <w:t>-прочие безвозмездные поступления - 0,001 млн. руб., или на 99,5%</w:t>
      </w:r>
      <w:r>
        <w:rPr>
          <w:rFonts w:eastAsia="Calibri"/>
        </w:rPr>
        <w:t xml:space="preserve"> меньше оценки на 2018 год (</w:t>
      </w:r>
      <w:r w:rsidRPr="00756E52">
        <w:rPr>
          <w:rFonts w:eastAsia="Calibri"/>
        </w:rPr>
        <w:t>0,2 млн. руб.);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</w:rPr>
      </w:pPr>
      <w:r>
        <w:rPr>
          <w:rFonts w:eastAsia="Calibri"/>
        </w:rPr>
        <w:t>-доходы от возврата остатков субсидий, субвенций и иных межбюджетных трансфертов - 9</w:t>
      </w:r>
      <w:r>
        <w:rPr>
          <w:rFonts w:eastAsia="Calibri"/>
          <w:bCs/>
        </w:rPr>
        <w:t>9,2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млн. руб., что на 71,3% меньше оценки 2018 года (345,7 млн. руб.).</w:t>
      </w:r>
    </w:p>
    <w:p w:rsidR="003D3A2C" w:rsidRDefault="003D3A2C" w:rsidP="003D3A2C">
      <w:pPr>
        <w:pStyle w:val="Default"/>
        <w:ind w:firstLine="68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ab/>
      </w:r>
      <w:r w:rsidRPr="003602FE">
        <w:rPr>
          <w:rFonts w:eastAsia="Calibri"/>
          <w:bCs/>
        </w:rPr>
        <w:t>На 2019 год не планируются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>п</w:t>
      </w:r>
      <w:r>
        <w:rPr>
          <w:rFonts w:eastAsia="Calibri"/>
          <w:bCs/>
        </w:rPr>
        <w:t xml:space="preserve">рочие безвозмездные поступления от других бюджетов бюджетной системы РФ </w:t>
      </w:r>
      <w:r w:rsidR="004F0EEA">
        <w:rPr>
          <w:bCs/>
        </w:rPr>
        <w:t>(</w:t>
      </w:r>
      <w:r>
        <w:rPr>
          <w:rFonts w:eastAsia="Calibri"/>
        </w:rPr>
        <w:t xml:space="preserve">на 2018 год </w:t>
      </w:r>
      <w:r w:rsidR="004F0EEA">
        <w:t xml:space="preserve">они </w:t>
      </w:r>
      <w:r>
        <w:rPr>
          <w:rFonts w:eastAsia="Calibri"/>
        </w:rPr>
        <w:t xml:space="preserve">утверждены в сумме 0,4 млн. руб. и </w:t>
      </w:r>
      <w:r>
        <w:rPr>
          <w:rFonts w:eastAsia="Calibri"/>
          <w:bCs/>
        </w:rPr>
        <w:t xml:space="preserve">ожидаются за счет поступлений </w:t>
      </w:r>
      <w:r w:rsidR="004F0EEA">
        <w:rPr>
          <w:bCs/>
        </w:rPr>
        <w:t>из</w:t>
      </w:r>
      <w:r>
        <w:rPr>
          <w:rFonts w:eastAsia="Calibri"/>
          <w:bCs/>
        </w:rPr>
        <w:t xml:space="preserve"> бюджета Пенсионного фонда РФ</w:t>
      </w:r>
      <w:r w:rsidR="004F0EEA">
        <w:rPr>
          <w:bCs/>
        </w:rPr>
        <w:t>)</w:t>
      </w:r>
      <w:r>
        <w:rPr>
          <w:rFonts w:eastAsia="Calibri"/>
          <w:bCs/>
        </w:rPr>
        <w:t>.</w:t>
      </w:r>
    </w:p>
    <w:p w:rsidR="003D3A2C" w:rsidRPr="00F26930" w:rsidRDefault="003D3A2C" w:rsidP="003D3A2C">
      <w:pPr>
        <w:pStyle w:val="Default"/>
        <w:ind w:firstLine="68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Также необходимо отметить, что законопроектом, как и в предыдущие годы, не предусмотрены прогнозные назначения по безвозмездным </w:t>
      </w:r>
      <w:r>
        <w:rPr>
          <w:rFonts w:eastAsia="Calibri"/>
          <w:bCs/>
        </w:rPr>
        <w:t>поступлениям в виде в</w:t>
      </w:r>
      <w:r>
        <w:rPr>
          <w:rFonts w:eastAsia="Calibri"/>
        </w:rPr>
        <w:t xml:space="preserve">озврата в федеральный бюджет остатков неиспользованных субсидий, субвенций и иных межбюджетных трансфертов (по оценке </w:t>
      </w:r>
      <w:r w:rsidR="004F0EEA">
        <w:t>в</w:t>
      </w:r>
      <w:r>
        <w:rPr>
          <w:rFonts w:eastAsia="Calibri"/>
        </w:rPr>
        <w:t xml:space="preserve"> 2018 год</w:t>
      </w:r>
      <w:r w:rsidR="004F0EEA">
        <w:t>у</w:t>
      </w:r>
      <w:r>
        <w:rPr>
          <w:rFonts w:eastAsia="Calibri"/>
        </w:rPr>
        <w:t xml:space="preserve"> такие возвраты составляют (-)216,5 млн. рублей.</w:t>
      </w:r>
      <w:proofErr w:type="gramEnd"/>
      <w:r>
        <w:rPr>
          <w:rFonts w:eastAsia="Calibri"/>
        </w:rPr>
        <w:t xml:space="preserve"> </w:t>
      </w:r>
      <w:r w:rsidRPr="00F26930">
        <w:rPr>
          <w:rFonts w:eastAsia="Calibri"/>
        </w:rPr>
        <w:t xml:space="preserve">Данный факт </w:t>
      </w:r>
      <w:r w:rsidRPr="00F26930">
        <w:rPr>
          <w:rFonts w:eastAsia="Calibri"/>
          <w:bCs/>
        </w:rPr>
        <w:t xml:space="preserve">свидетельствует о несоблюдении принципа полноты отражения доходов бюджета, определенного статьей 32 БК РФ. </w:t>
      </w:r>
    </w:p>
    <w:p w:rsidR="003D3A2C" w:rsidRDefault="003D3A2C" w:rsidP="003D3A2C">
      <w:pPr>
        <w:ind w:firstLine="680"/>
        <w:jc w:val="both"/>
        <w:rPr>
          <w:b/>
          <w:i/>
          <w:color w:val="000000"/>
        </w:rPr>
      </w:pPr>
      <w:r w:rsidRPr="00F26930">
        <w:tab/>
        <w:t xml:space="preserve">Объемы возвращенных межбюджетных трансфертов за 2016, 2017 и 9 месяцев 2018 года составили соответственно </w:t>
      </w:r>
      <w:r w:rsidRPr="00F26930">
        <w:rPr>
          <w:color w:val="000000"/>
        </w:rPr>
        <w:t xml:space="preserve">(-)268 млн. руб., (-)65 млн. руб. и (-)216,5 млн. рублей. </w:t>
      </w:r>
      <w:r w:rsidRPr="00F26930">
        <w:rPr>
          <w:b/>
          <w:i/>
          <w:color w:val="000000"/>
        </w:rPr>
        <w:t xml:space="preserve">Указанные поступления со знаком «минус» уменьшают общую сумму доходов областного бюджета, </w:t>
      </w:r>
      <w:r w:rsidR="004F0EEA">
        <w:rPr>
          <w:b/>
          <w:i/>
          <w:color w:val="000000"/>
        </w:rPr>
        <w:t>что приводит к раз</w:t>
      </w:r>
      <w:r w:rsidRPr="00F26930">
        <w:rPr>
          <w:b/>
          <w:i/>
          <w:color w:val="000000"/>
        </w:rPr>
        <w:t>балансиров</w:t>
      </w:r>
      <w:r w:rsidR="004F0EEA">
        <w:rPr>
          <w:b/>
          <w:i/>
          <w:color w:val="000000"/>
        </w:rPr>
        <w:t>ке</w:t>
      </w:r>
      <w:r w:rsidRPr="00F26930">
        <w:rPr>
          <w:b/>
          <w:i/>
          <w:color w:val="000000"/>
        </w:rPr>
        <w:t xml:space="preserve"> доходов и расходов бюджета.</w:t>
      </w:r>
      <w:r>
        <w:rPr>
          <w:b/>
          <w:i/>
          <w:color w:val="000000"/>
        </w:rPr>
        <w:t xml:space="preserve">  </w:t>
      </w:r>
    </w:p>
    <w:p w:rsidR="003D3A2C" w:rsidRDefault="003D3A2C" w:rsidP="003D3A2C">
      <w:pPr>
        <w:ind w:firstLine="680"/>
      </w:pPr>
    </w:p>
    <w:p w:rsidR="001B2185" w:rsidRDefault="001B2185" w:rsidP="001B2185">
      <w:pPr>
        <w:jc w:val="center"/>
        <w:rPr>
          <w:b/>
          <w:i/>
          <w:u w:val="single"/>
        </w:rPr>
      </w:pPr>
      <w:r w:rsidRPr="004B2534">
        <w:rPr>
          <w:b/>
          <w:i/>
          <w:u w:val="single"/>
        </w:rPr>
        <w:t>Оценка налоговых льгот</w:t>
      </w:r>
      <w:r w:rsidR="00D82E7C" w:rsidRPr="004B2534">
        <w:rPr>
          <w:b/>
          <w:i/>
          <w:u w:val="single"/>
        </w:rPr>
        <w:t>.</w:t>
      </w:r>
    </w:p>
    <w:p w:rsidR="00561DAD" w:rsidRPr="004B2534" w:rsidRDefault="00561DAD" w:rsidP="001B2185">
      <w:pPr>
        <w:jc w:val="center"/>
        <w:rPr>
          <w:b/>
          <w:i/>
          <w:u w:val="single"/>
        </w:rPr>
      </w:pPr>
    </w:p>
    <w:p w:rsidR="004B2534" w:rsidRPr="00DE7BD4" w:rsidRDefault="004B2534" w:rsidP="004B2534">
      <w:pPr>
        <w:spacing w:line="240" w:lineRule="atLeast"/>
        <w:ind w:firstLine="567"/>
        <w:jc w:val="both"/>
      </w:pPr>
      <w:r w:rsidRPr="00DE7BD4">
        <w:tab/>
        <w:t>Налоговые льготы, предоставляемые отдельным категориям налогоплательщиков как федеральным, так и областным законодательством</w:t>
      </w:r>
      <w:r>
        <w:t>,</w:t>
      </w:r>
      <w:r w:rsidRPr="00DE7BD4">
        <w:t xml:space="preserve"> оказывают существенное влияние на доходную часть областного бюджета. </w:t>
      </w:r>
    </w:p>
    <w:p w:rsidR="004B2534" w:rsidRPr="00DE7BD4" w:rsidRDefault="004B2534" w:rsidP="004B2534">
      <w:pPr>
        <w:spacing w:line="240" w:lineRule="atLeast"/>
        <w:ind w:firstLine="567"/>
        <w:jc w:val="both"/>
      </w:pPr>
      <w:r w:rsidRPr="00DE7BD4">
        <w:tab/>
        <w:t xml:space="preserve">По оценке Администрации Волгоградской </w:t>
      </w:r>
      <w:proofErr w:type="gramStart"/>
      <w:r w:rsidRPr="00DE7BD4">
        <w:t>области</w:t>
      </w:r>
      <w:proofErr w:type="gramEnd"/>
      <w:r w:rsidRPr="00DE7BD4">
        <w:t xml:space="preserve"> выпадающие доходы областного бюджета от предоставления налоговых льгот в 201</w:t>
      </w:r>
      <w:r>
        <w:t>9</w:t>
      </w:r>
      <w:r w:rsidRPr="00DE7BD4">
        <w:t xml:space="preserve"> году составят </w:t>
      </w:r>
      <w:r>
        <w:t>7851,5</w:t>
      </w:r>
      <w:r w:rsidRPr="00DE7BD4">
        <w:t xml:space="preserve"> млн. руб., из которых в соответствии с федеральным законодательством – </w:t>
      </w:r>
      <w:r>
        <w:t>2563,3</w:t>
      </w:r>
      <w:r w:rsidRPr="00DE7BD4">
        <w:t xml:space="preserve"> млн. руб., или </w:t>
      </w:r>
      <w:r>
        <w:t>32,6</w:t>
      </w:r>
      <w:r w:rsidRPr="00DE7BD4">
        <w:t>% общей суммы льгот. В 20</w:t>
      </w:r>
      <w:r>
        <w:t>20</w:t>
      </w:r>
      <w:r w:rsidRPr="00DE7BD4">
        <w:t xml:space="preserve"> году общая сумма налоговых льгот прогнозируется в размере </w:t>
      </w:r>
      <w:r>
        <w:t>7831</w:t>
      </w:r>
      <w:r w:rsidRPr="00DE7BD4">
        <w:t>,</w:t>
      </w:r>
      <w:r>
        <w:t>7</w:t>
      </w:r>
      <w:r w:rsidRPr="00DE7BD4">
        <w:t xml:space="preserve"> млн. руб. (в том числе по федеральному законодательству – </w:t>
      </w:r>
      <w:r>
        <w:t>2713</w:t>
      </w:r>
      <w:r w:rsidRPr="00DE7BD4">
        <w:t>,</w:t>
      </w:r>
      <w:r>
        <w:t>1</w:t>
      </w:r>
      <w:r w:rsidRPr="00DE7BD4">
        <w:t xml:space="preserve"> млн. руб., или </w:t>
      </w:r>
      <w:r>
        <w:t>34,6</w:t>
      </w:r>
      <w:r w:rsidRPr="00DE7BD4">
        <w:t>%), в 20</w:t>
      </w:r>
      <w:r>
        <w:t>21</w:t>
      </w:r>
      <w:r w:rsidRPr="00DE7BD4">
        <w:t xml:space="preserve"> году –</w:t>
      </w:r>
      <w:r>
        <w:t xml:space="preserve"> 7607,1</w:t>
      </w:r>
      <w:r w:rsidRPr="00DE7BD4">
        <w:t xml:space="preserve"> млн. руб. (в том числе по федеральному законодательству – </w:t>
      </w:r>
      <w:r>
        <w:t>2911,3</w:t>
      </w:r>
      <w:r w:rsidRPr="00DE7BD4">
        <w:t xml:space="preserve"> млн. руб., или </w:t>
      </w:r>
      <w:r>
        <w:t>38,3</w:t>
      </w:r>
      <w:r w:rsidRPr="00DE7BD4">
        <w:t>%).</w:t>
      </w:r>
    </w:p>
    <w:p w:rsidR="004B2534" w:rsidRDefault="004B2534" w:rsidP="004B2534">
      <w:pPr>
        <w:spacing w:line="240" w:lineRule="atLeast"/>
        <w:ind w:firstLine="567"/>
        <w:jc w:val="both"/>
      </w:pPr>
      <w:r>
        <w:t xml:space="preserve"> </w:t>
      </w:r>
      <w:r w:rsidRPr="00DE7BD4">
        <w:t xml:space="preserve">Наибольшую долю в объеме федеральных льгот </w:t>
      </w:r>
      <w:r>
        <w:t>в 2019-2021 годах занимают льготы по НДФЛ: 1847,9 млн. руб. (72,1%), 1961,5 млн. руб. (72,3%) и 2106,8 млн. руб. (72,4%) соответственно.</w:t>
      </w:r>
    </w:p>
    <w:p w:rsidR="004B2534" w:rsidRPr="00DE7BD4" w:rsidRDefault="004B2534" w:rsidP="004B2534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DE7BD4">
        <w:lastRenderedPageBreak/>
        <w:tab/>
        <w:t>Объем налоговых льгот, предоставленных законодательством Волгоградской области, на 201</w:t>
      </w:r>
      <w:r>
        <w:t>9</w:t>
      </w:r>
      <w:r w:rsidRPr="00DE7BD4">
        <w:t xml:space="preserve"> год прогнозируется в сумме </w:t>
      </w:r>
      <w:r>
        <w:t>5288</w:t>
      </w:r>
      <w:r w:rsidRPr="00DE7BD4">
        <w:t>,</w:t>
      </w:r>
      <w:r>
        <w:t>2</w:t>
      </w:r>
      <w:r w:rsidRPr="00DE7BD4">
        <w:t xml:space="preserve"> млн. руб., на 20</w:t>
      </w:r>
      <w:r>
        <w:t>20</w:t>
      </w:r>
      <w:r w:rsidRPr="00DE7BD4">
        <w:t xml:space="preserve"> год – </w:t>
      </w:r>
      <w:r>
        <w:t>5118,6</w:t>
      </w:r>
      <w:r w:rsidRPr="00DE7BD4">
        <w:t xml:space="preserve"> млн. руб., на 20</w:t>
      </w:r>
      <w:r>
        <w:t>21</w:t>
      </w:r>
      <w:r w:rsidRPr="00DE7BD4">
        <w:t xml:space="preserve"> год – </w:t>
      </w:r>
      <w:r>
        <w:t>4695,8</w:t>
      </w:r>
      <w:r w:rsidRPr="00DE7BD4">
        <w:t xml:space="preserve"> млн. руб., или соответственно </w:t>
      </w:r>
      <w:r>
        <w:t>7,6</w:t>
      </w:r>
      <w:r w:rsidRPr="00DE7BD4">
        <w:t xml:space="preserve">%, </w:t>
      </w:r>
      <w:r>
        <w:t>6,8</w:t>
      </w:r>
      <w:r w:rsidRPr="00DE7BD4">
        <w:t xml:space="preserve">% и </w:t>
      </w:r>
      <w:r>
        <w:t>5,7</w:t>
      </w:r>
      <w:r w:rsidRPr="00DE7BD4">
        <w:t>% от налоговых доходов областного бюджета.</w:t>
      </w:r>
    </w:p>
    <w:p w:rsidR="004B2534" w:rsidRDefault="004B2534" w:rsidP="004B2534">
      <w:pPr>
        <w:ind w:firstLine="708"/>
        <w:jc w:val="both"/>
      </w:pPr>
      <w:r>
        <w:t>Основная доля потерь областного бюджета о</w:t>
      </w:r>
      <w:r w:rsidR="00891259">
        <w:t>жидается</w:t>
      </w:r>
      <w:r>
        <w:t xml:space="preserve"> от предоставления льготы по налогу на имущество организаций. Объем льгот по налогу на имущество, предусмотренных законодательством Волгоградской области, на 2019 год прогнозируется в сумме 4912,4 млн. руб., на 2020 год – 4861,6 млн. руб., в 2021 году – 4593,5 млн. руб., или соответственно 92,9%, 95% и 97,8% от суммы льгот, предоставленных региональным законодательством.</w:t>
      </w:r>
    </w:p>
    <w:p w:rsidR="004B2534" w:rsidRDefault="004B2534" w:rsidP="004B2534">
      <w:pPr>
        <w:ind w:firstLine="708"/>
        <w:jc w:val="both"/>
      </w:pPr>
      <w:proofErr w:type="gramStart"/>
      <w:r>
        <w:t xml:space="preserve">Как следует из оценки эффективности налоговых льгот, предоставленных </w:t>
      </w:r>
      <w:r w:rsidRPr="000708A3">
        <w:t>законодательством Волгоградской области за 201</w:t>
      </w:r>
      <w:r>
        <w:t>7</w:t>
      </w:r>
      <w:r w:rsidRPr="000708A3">
        <w:t xml:space="preserve"> год, основная сумма льгот приходится на</w:t>
      </w:r>
      <w:r w:rsidRPr="00837983">
        <w:t xml:space="preserve"> организации, реализующие инвестиционные проекты на территории Волгоградской области в соответствии с </w:t>
      </w:r>
      <w:hyperlink r:id="rId9" w:history="1">
        <w:r w:rsidRPr="00837983">
          <w:t>Законом</w:t>
        </w:r>
      </w:hyperlink>
      <w:r w:rsidRPr="00837983">
        <w:t xml:space="preserve"> Волгоградской области от 02</w:t>
      </w:r>
      <w:r>
        <w:t>.03.2010 №2010-ОД «</w:t>
      </w:r>
      <w:r w:rsidRPr="00837983">
        <w:t>О государственной поддержке инвестиционной деятельности на т</w:t>
      </w:r>
      <w:r>
        <w:t>ерритории Волгоградской области»</w:t>
      </w:r>
      <w:r w:rsidRPr="00837983">
        <w:t>, в отношении имущества, созданного в процессе реализации проекта.</w:t>
      </w:r>
      <w:r w:rsidRPr="00181CF5">
        <w:t xml:space="preserve"> </w:t>
      </w:r>
      <w:proofErr w:type="gramEnd"/>
    </w:p>
    <w:p w:rsidR="004B2534" w:rsidRPr="00837983" w:rsidRDefault="004B2534" w:rsidP="004B2534">
      <w:pPr>
        <w:ind w:firstLine="708"/>
        <w:jc w:val="both"/>
      </w:pPr>
      <w:r>
        <w:t xml:space="preserve">Крупнейшей организацией, реализующей инвестиционный проект на территории Волгоградской области, является </w:t>
      </w:r>
      <w:proofErr w:type="spellStart"/>
      <w:r>
        <w:t>ЕвроХим-Волгакалий</w:t>
      </w:r>
      <w:proofErr w:type="spellEnd"/>
      <w:r>
        <w:t>, на долю которой приходится наибольшая сумма выпадающих доходов от предоставления льгот по налогу на имущество в связи с планируемым вводом в эксплуатацию имущества, созданного для реализации инвестиционного проекта, учитываемого на балансе организации.</w:t>
      </w:r>
    </w:p>
    <w:p w:rsidR="004B2534" w:rsidRPr="00A7059F" w:rsidRDefault="004B2534" w:rsidP="004B2534">
      <w:pPr>
        <w:ind w:firstLine="709"/>
        <w:jc w:val="both"/>
        <w:rPr>
          <w:u w:val="single"/>
        </w:rPr>
      </w:pPr>
      <w:r w:rsidRPr="004445E7">
        <w:t xml:space="preserve">Таким образом, относительно 2018 года </w:t>
      </w:r>
      <w:r>
        <w:t xml:space="preserve">(льготы 3831,5 млн. руб.) </w:t>
      </w:r>
      <w:r w:rsidRPr="004445E7">
        <w:t>на 2019-2021 годы прогнозируется значительное увеличение потерь</w:t>
      </w:r>
      <w:r w:rsidRPr="00382B32">
        <w:t xml:space="preserve"> бюджета от предоставления льгот по налогу на имущество организациям, реализующим инвестиционные проекты. Вместе с тем в документах, вн</w:t>
      </w:r>
      <w:r w:rsidR="00A7059F">
        <w:t>есенных</w:t>
      </w:r>
      <w:r w:rsidRPr="00382B32">
        <w:t xml:space="preserve"> с </w:t>
      </w:r>
      <w:r w:rsidR="00A7059F">
        <w:t>з</w:t>
      </w:r>
      <w:r w:rsidRPr="00382B32">
        <w:t>аконопроектом (</w:t>
      </w:r>
      <w:r w:rsidR="00A7059F">
        <w:t>п</w:t>
      </w:r>
      <w:r w:rsidRPr="00382B32">
        <w:t xml:space="preserve">рогноз СЭР, расчеты или обоснования по статьям </w:t>
      </w:r>
      <w:hyperlink r:id="rId10" w:history="1">
        <w:r w:rsidRPr="00382B32">
          <w:t>классификации</w:t>
        </w:r>
      </w:hyperlink>
      <w:r w:rsidRPr="00382B32">
        <w:t xml:space="preserve"> доходов областного бюджета, </w:t>
      </w:r>
      <w:r w:rsidR="00A7059F">
        <w:t>п</w:t>
      </w:r>
      <w:r w:rsidRPr="00382B32">
        <w:t>ояснительная записка)</w:t>
      </w:r>
      <w:r>
        <w:t>,</w:t>
      </w:r>
      <w:r w:rsidRPr="00382B32">
        <w:t xml:space="preserve"> </w:t>
      </w:r>
      <w:r w:rsidRPr="00A7059F">
        <w:rPr>
          <w:u w:val="single"/>
        </w:rPr>
        <w:t xml:space="preserve">не приведены сведения о предполагаемых сроках и объемах вводимых в действие мощностей по инвестиционным проектам, в </w:t>
      </w:r>
      <w:proofErr w:type="gramStart"/>
      <w:r w:rsidRPr="00A7059F">
        <w:rPr>
          <w:u w:val="single"/>
        </w:rPr>
        <w:t>связи</w:t>
      </w:r>
      <w:proofErr w:type="gramEnd"/>
      <w:r w:rsidRPr="00A7059F">
        <w:rPr>
          <w:u w:val="single"/>
        </w:rPr>
        <w:t xml:space="preserve"> с чем невозможно оценить обоснованность прогнозируемых потерь от предоставления льгот.</w:t>
      </w:r>
    </w:p>
    <w:p w:rsidR="004B2534" w:rsidRDefault="004B2534" w:rsidP="004B2534">
      <w:pPr>
        <w:autoSpaceDE w:val="0"/>
        <w:autoSpaceDN w:val="0"/>
        <w:adjustRightInd w:val="0"/>
        <w:ind w:firstLine="540"/>
        <w:jc w:val="both"/>
      </w:pPr>
      <w:r>
        <w:t>Также прогнозируется</w:t>
      </w:r>
      <w:r w:rsidRPr="008960C0">
        <w:t xml:space="preserve"> </w:t>
      </w:r>
      <w:r>
        <w:t>увеличение выпадающих доходов</w:t>
      </w:r>
      <w:r w:rsidRPr="008960C0">
        <w:t xml:space="preserve"> </w:t>
      </w:r>
      <w:r>
        <w:t>относительно 2018 года</w:t>
      </w:r>
      <w:r w:rsidR="00A7059F">
        <w:t xml:space="preserve"> за счет предоставления региональным законодательством следующих льгот</w:t>
      </w:r>
      <w:r>
        <w:t>:</w:t>
      </w:r>
    </w:p>
    <w:p w:rsidR="004B2534" w:rsidRDefault="004B2534" w:rsidP="004B2534">
      <w:pPr>
        <w:autoSpaceDE w:val="0"/>
        <w:autoSpaceDN w:val="0"/>
        <w:adjustRightInd w:val="0"/>
        <w:ind w:firstLine="540"/>
        <w:jc w:val="both"/>
      </w:pPr>
      <w:r>
        <w:t xml:space="preserve">-по налогу, взимаемому </w:t>
      </w:r>
      <w:r w:rsidR="00A7059F">
        <w:t xml:space="preserve">в связи </w:t>
      </w:r>
      <w:r>
        <w:t xml:space="preserve">с применением упрощенной системы налогообложения, в 2019 году </w:t>
      </w:r>
      <w:r w:rsidR="00A7059F">
        <w:t xml:space="preserve">- </w:t>
      </w:r>
      <w:r>
        <w:t xml:space="preserve">на 9,5 млн. руб., в 2020 году </w:t>
      </w:r>
      <w:r w:rsidR="00A7059F">
        <w:t>-</w:t>
      </w:r>
      <w:r>
        <w:t xml:space="preserve"> на 11,6 млн. руб., в 2021 году - </w:t>
      </w:r>
      <w:proofErr w:type="gramStart"/>
      <w:r>
        <w:t>на</w:t>
      </w:r>
      <w:proofErr w:type="gramEnd"/>
      <w:r>
        <w:t xml:space="preserve"> </w:t>
      </w:r>
      <w:r w:rsidRPr="008960C0">
        <w:t>4,</w:t>
      </w:r>
      <w:r>
        <w:t>7 млн. рублей.</w:t>
      </w:r>
    </w:p>
    <w:p w:rsidR="004B2534" w:rsidRDefault="004B2534" w:rsidP="004B2534">
      <w:pPr>
        <w:autoSpaceDE w:val="0"/>
        <w:autoSpaceDN w:val="0"/>
        <w:adjustRightInd w:val="0"/>
        <w:ind w:firstLine="540"/>
        <w:jc w:val="both"/>
      </w:pPr>
      <w:r>
        <w:t xml:space="preserve">-по налогу на прибыль организаций в 2019 году </w:t>
      </w:r>
      <w:r w:rsidR="00A7059F">
        <w:t xml:space="preserve">- </w:t>
      </w:r>
      <w:r>
        <w:t xml:space="preserve">на 274,9 млн. руб., в 2020 году </w:t>
      </w:r>
      <w:r w:rsidR="00A7059F">
        <w:t>-</w:t>
      </w:r>
      <w:r>
        <w:t xml:space="preserve"> на 154 млн. руб., в 2021 году – 6,2 млн. рублей.</w:t>
      </w:r>
    </w:p>
    <w:p w:rsidR="00891259" w:rsidRDefault="00891259" w:rsidP="00891259">
      <w:pPr>
        <w:ind w:firstLine="708"/>
        <w:jc w:val="both"/>
      </w:pPr>
      <w:r w:rsidRPr="00DE7BD4">
        <w:t>В целом при сравнении про</w:t>
      </w:r>
      <w:r>
        <w:t>гнозных показателей 2019-2021 годов</w:t>
      </w:r>
      <w:r w:rsidRPr="00B417C1">
        <w:t xml:space="preserve"> </w:t>
      </w:r>
      <w:r w:rsidR="00A7059F">
        <w:t>отмеча</w:t>
      </w:r>
      <w:r w:rsidRPr="00B417C1">
        <w:t>ется у</w:t>
      </w:r>
      <w:r>
        <w:t>меньшение</w:t>
      </w:r>
      <w:r w:rsidRPr="00B417C1">
        <w:t xml:space="preserve"> выпадающих доходов бюджета от предоставления</w:t>
      </w:r>
      <w:r w:rsidRPr="00DE7BD4">
        <w:t xml:space="preserve"> льгот</w:t>
      </w:r>
      <w:r w:rsidR="00A7059F">
        <w:t>.</w:t>
      </w:r>
      <w:r w:rsidRPr="00DE7BD4">
        <w:t xml:space="preserve"> </w:t>
      </w:r>
      <w:r w:rsidR="00A7059F">
        <w:t>В</w:t>
      </w:r>
      <w:r>
        <w:t xml:space="preserve"> 2019 году </w:t>
      </w:r>
      <w:r w:rsidR="00A7059F">
        <w:t xml:space="preserve">объем выпадающих доходов снизится </w:t>
      </w:r>
      <w:r>
        <w:t>на 2399,1 млн. руб.</w:t>
      </w:r>
      <w:r w:rsidR="00A7059F">
        <w:t>, или на</w:t>
      </w:r>
      <w:r>
        <w:t xml:space="preserve"> 23,4% </w:t>
      </w:r>
      <w:r w:rsidR="00A7059F">
        <w:t xml:space="preserve">относительно 2018 года </w:t>
      </w:r>
      <w:r>
        <w:t xml:space="preserve">за счет снижения льгот, предоставленных федеральным законодательством по налогу на имущество и по налогу на прибыль. В 2020-2021 годах также прогнозируется снижение выпадающих доходов на 19,8 млн. руб. (-0,3%) и на 224,6 млн. руб. (-2,9%) соответственно. </w:t>
      </w:r>
    </w:p>
    <w:p w:rsidR="004B2534" w:rsidRPr="00DE7BD4" w:rsidRDefault="004B2534" w:rsidP="004B2534">
      <w:pPr>
        <w:ind w:firstLine="708"/>
        <w:jc w:val="both"/>
        <w:rPr>
          <w:highlight w:val="green"/>
        </w:rPr>
      </w:pPr>
      <w:r w:rsidRPr="00DE7BD4">
        <w:t>Данные о выпадающих доходах бюджета Волгоградской области в результате предоставления налоговых льгот на 201</w:t>
      </w:r>
      <w:r w:rsidR="00A7059F">
        <w:t>9</w:t>
      </w:r>
      <w:r w:rsidRPr="00DE7BD4">
        <w:t>-20</w:t>
      </w:r>
      <w:r>
        <w:t>2</w:t>
      </w:r>
      <w:r w:rsidR="00A7059F">
        <w:t>1</w:t>
      </w:r>
      <w:r w:rsidRPr="00DE7BD4">
        <w:t xml:space="preserve"> годы в разрезе конкретных видов налогов представлены в </w:t>
      </w:r>
      <w:r w:rsidRPr="00A7059F">
        <w:rPr>
          <w:b/>
          <w:i/>
          <w:u w:val="single"/>
        </w:rPr>
        <w:t>приложении №</w:t>
      </w:r>
      <w:r w:rsidR="00F1541B">
        <w:rPr>
          <w:b/>
          <w:i/>
          <w:u w:val="single"/>
        </w:rPr>
        <w:t>3</w:t>
      </w:r>
      <w:r w:rsidRPr="00A7059F">
        <w:rPr>
          <w:b/>
          <w:i/>
          <w:u w:val="single"/>
        </w:rPr>
        <w:t xml:space="preserve"> .</w:t>
      </w:r>
      <w:r w:rsidRPr="00DE7BD4">
        <w:rPr>
          <w:b/>
          <w:i/>
          <w:u w:val="single"/>
        </w:rPr>
        <w:t xml:space="preserve"> </w:t>
      </w:r>
    </w:p>
    <w:p w:rsidR="004B2534" w:rsidRPr="00AB2540" w:rsidRDefault="004B2534" w:rsidP="004B2534"/>
    <w:p w:rsidR="002143F6" w:rsidRDefault="00514C8C" w:rsidP="00514C8C">
      <w:pPr>
        <w:ind w:firstLine="708"/>
        <w:jc w:val="center"/>
        <w:rPr>
          <w:b/>
          <w:i/>
        </w:rPr>
      </w:pPr>
      <w:r w:rsidRPr="00A27310">
        <w:rPr>
          <w:b/>
          <w:i/>
        </w:rPr>
        <w:t>3.2. Общий объем расходов областного бюджета</w:t>
      </w:r>
      <w:r w:rsidR="002143F6">
        <w:rPr>
          <w:b/>
          <w:i/>
        </w:rPr>
        <w:t xml:space="preserve"> на 201</w:t>
      </w:r>
      <w:r w:rsidR="0003023B">
        <w:rPr>
          <w:b/>
          <w:i/>
        </w:rPr>
        <w:t>9</w:t>
      </w:r>
      <w:r w:rsidR="002143F6">
        <w:rPr>
          <w:b/>
          <w:i/>
        </w:rPr>
        <w:t xml:space="preserve"> год</w:t>
      </w:r>
    </w:p>
    <w:p w:rsidR="00514C8C" w:rsidRPr="00A27310" w:rsidRDefault="002143F6" w:rsidP="00514C8C">
      <w:pPr>
        <w:ind w:firstLine="708"/>
        <w:jc w:val="center"/>
        <w:rPr>
          <w:b/>
          <w:i/>
        </w:rPr>
      </w:pPr>
      <w:r>
        <w:rPr>
          <w:b/>
          <w:i/>
        </w:rPr>
        <w:t>и плановый период 20</w:t>
      </w:r>
      <w:r w:rsidR="0003023B">
        <w:rPr>
          <w:b/>
          <w:i/>
        </w:rPr>
        <w:t>20</w:t>
      </w:r>
      <w:r>
        <w:rPr>
          <w:b/>
          <w:i/>
        </w:rPr>
        <w:t xml:space="preserve"> и 20</w:t>
      </w:r>
      <w:r w:rsidR="00720D49">
        <w:rPr>
          <w:b/>
          <w:i/>
        </w:rPr>
        <w:t>2</w:t>
      </w:r>
      <w:r w:rsidR="0003023B">
        <w:rPr>
          <w:b/>
          <w:i/>
        </w:rPr>
        <w:t>1</w:t>
      </w:r>
      <w:r>
        <w:rPr>
          <w:b/>
          <w:i/>
        </w:rPr>
        <w:t xml:space="preserve"> годов</w:t>
      </w:r>
      <w:r w:rsidR="005B12E1" w:rsidRPr="00A27310">
        <w:rPr>
          <w:b/>
          <w:i/>
        </w:rPr>
        <w:t>.</w:t>
      </w:r>
    </w:p>
    <w:p w:rsidR="00387CD9" w:rsidRDefault="00387CD9" w:rsidP="00514C8C">
      <w:pPr>
        <w:jc w:val="center"/>
      </w:pPr>
    </w:p>
    <w:p w:rsidR="00FE180D" w:rsidRDefault="00FE180D" w:rsidP="00FE180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ab/>
      </w:r>
      <w:r w:rsidRPr="00CE6398">
        <w:t>В соответствии с частью 4 статьи 87 БК РФ реестр расходных обязательств субъекта РФ ведется в порядке, установленном высшим исполнительным органом государственной власти субъекта РФ. В Волгоградской области такой порядок установлен постановлением Администрации Волгоградской области от 22.12.2008 №204-п (</w:t>
      </w:r>
      <w:r>
        <w:t xml:space="preserve">далее </w:t>
      </w:r>
      <w:r w:rsidR="001D4EDE">
        <w:t>П</w:t>
      </w:r>
      <w:r>
        <w:t xml:space="preserve">орядок </w:t>
      </w:r>
      <w:r w:rsidR="001D4EDE">
        <w:t>№</w:t>
      </w:r>
      <w:r>
        <w:t>204-п</w:t>
      </w:r>
      <w:r w:rsidRPr="00CE6398">
        <w:t xml:space="preserve">). Указанным порядком установлено, что реестр расходных обязательств Волгоградской </w:t>
      </w:r>
      <w:r w:rsidRPr="00CE6398">
        <w:lastRenderedPageBreak/>
        <w:t xml:space="preserve">области (далее Реестр) - это свод </w:t>
      </w:r>
      <w:proofErr w:type="gramStart"/>
      <w:r w:rsidRPr="00CE6398">
        <w:t>реестров расходных обязательств главных распорядителей средств областного бюджета</w:t>
      </w:r>
      <w:proofErr w:type="gramEnd"/>
      <w:r w:rsidRPr="00CE6398">
        <w:t>. Этим же порядком установлена форма реестра главных распорядителей средств областного бюджета, которая не содержит пояснений относительно порядка отражения полномочий.</w:t>
      </w:r>
      <w:r>
        <w:t xml:space="preserve"> Пунктом 3 порядка установлено, что р</w:t>
      </w:r>
      <w:r>
        <w:rPr>
          <w:rFonts w:eastAsia="Calibri"/>
        </w:rPr>
        <w:t>еестр расходных обязатель</w:t>
      </w:r>
      <w:proofErr w:type="gramStart"/>
      <w:r>
        <w:rPr>
          <w:rFonts w:eastAsia="Calibri"/>
        </w:rPr>
        <w:t>ств гл</w:t>
      </w:r>
      <w:proofErr w:type="gramEnd"/>
      <w:r>
        <w:rPr>
          <w:rFonts w:eastAsia="Calibri"/>
        </w:rPr>
        <w:t xml:space="preserve">авного распорядителя средств областного бюджета составляется в соответствии с методическими указаниями комитета финансов Волгоградской области. Методические указания </w:t>
      </w:r>
      <w:r w:rsidR="00690090">
        <w:rPr>
          <w:rFonts w:eastAsia="Calibri"/>
        </w:rPr>
        <w:t xml:space="preserve">на 2019 год </w:t>
      </w:r>
      <w:r>
        <w:rPr>
          <w:rFonts w:eastAsia="Calibri"/>
        </w:rPr>
        <w:t>доведены главным распорядителям бюджетных средств письмом комитета финансов Волгоградской области 23 мая 2018 года.</w:t>
      </w:r>
    </w:p>
    <w:p w:rsidR="00FE180D" w:rsidRDefault="00FE180D" w:rsidP="00FE180D">
      <w:pPr>
        <w:autoSpaceDE w:val="0"/>
        <w:autoSpaceDN w:val="0"/>
        <w:adjustRightInd w:val="0"/>
        <w:ind w:firstLine="540"/>
        <w:jc w:val="both"/>
      </w:pPr>
      <w:r>
        <w:tab/>
      </w:r>
      <w:r w:rsidRPr="00CE6398">
        <w:t xml:space="preserve">Реестр ведется с целью учета расходных обязательств Волгоградской области и определения объема бюджетных ассигнований, необходимых для </w:t>
      </w:r>
      <w:proofErr w:type="gramStart"/>
      <w:r w:rsidR="001D4EDE">
        <w:t xml:space="preserve">их </w:t>
      </w:r>
      <w:r w:rsidRPr="00CE6398">
        <w:t xml:space="preserve">исполнения, </w:t>
      </w:r>
      <w:r>
        <w:t xml:space="preserve"> </w:t>
      </w:r>
      <w:r w:rsidRPr="00CE6398">
        <w:t>данные Реестра используются</w:t>
      </w:r>
      <w:proofErr w:type="gramEnd"/>
      <w:r w:rsidRPr="00CE6398">
        <w:t xml:space="preserve"> при разработке проекта закона об областном бюджете на очередной финансовый год и плановый период.</w:t>
      </w:r>
    </w:p>
    <w:p w:rsidR="00FE180D" w:rsidRPr="00971724" w:rsidRDefault="00FE180D" w:rsidP="00FE180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Следует отметить, что </w:t>
      </w:r>
      <w:r w:rsidR="001D4EDE">
        <w:t>П</w:t>
      </w:r>
      <w:r>
        <w:t xml:space="preserve">орядком </w:t>
      </w:r>
      <w:r w:rsidR="001D4EDE">
        <w:t>№</w:t>
      </w:r>
      <w:r w:rsidRPr="00971724">
        <w:t>204-п предусмотрено формирование 3-х реестров расходных обязательств - предварительного, планового и уточн</w:t>
      </w:r>
      <w:r w:rsidR="001D4EDE">
        <w:t>е</w:t>
      </w:r>
      <w:r w:rsidRPr="00971724">
        <w:t>нного, которые соответственно учитывают:</w:t>
      </w:r>
    </w:p>
    <w:p w:rsidR="00FE180D" w:rsidRPr="00971724" w:rsidRDefault="00FE180D" w:rsidP="00FE180D">
      <w:pPr>
        <w:autoSpaceDE w:val="0"/>
        <w:autoSpaceDN w:val="0"/>
        <w:adjustRightInd w:val="0"/>
        <w:ind w:firstLine="709"/>
        <w:jc w:val="both"/>
      </w:pPr>
      <w:r w:rsidRPr="00971724">
        <w:t xml:space="preserve">-прогнозируемые объемы средств областного бюджета, </w:t>
      </w:r>
      <w:r w:rsidRPr="00971724">
        <w:rPr>
          <w:u w:val="single"/>
        </w:rPr>
        <w:t>необходимые</w:t>
      </w:r>
      <w:r w:rsidRPr="00971724">
        <w:t xml:space="preserve"> для исполнения соответствующих расходных обязательств;</w:t>
      </w:r>
    </w:p>
    <w:p w:rsidR="00FE180D" w:rsidRPr="00971724" w:rsidRDefault="00FE180D" w:rsidP="00FE180D">
      <w:pPr>
        <w:autoSpaceDE w:val="0"/>
        <w:autoSpaceDN w:val="0"/>
        <w:adjustRightInd w:val="0"/>
        <w:ind w:firstLine="709"/>
        <w:jc w:val="both"/>
      </w:pPr>
      <w:r w:rsidRPr="00971724">
        <w:t xml:space="preserve">-прогнозируемые объемы средств областного бюджета, необходимые для исполнения расходных обязательств в очередном финансовом году и в плановом периоде, </w:t>
      </w:r>
      <w:r w:rsidRPr="00971724">
        <w:rPr>
          <w:u w:val="single"/>
        </w:rPr>
        <w:t xml:space="preserve">с учетом доведенных до главного распорядителя </w:t>
      </w:r>
      <w:proofErr w:type="gramStart"/>
      <w:r w:rsidRPr="00971724">
        <w:rPr>
          <w:u w:val="single"/>
        </w:rPr>
        <w:t>средств</w:t>
      </w:r>
      <w:r w:rsidRPr="00971724">
        <w:t xml:space="preserve"> областного бюджета основных показателей прогноза социально-экономического развития Волгоградской области</w:t>
      </w:r>
      <w:proofErr w:type="gramEnd"/>
      <w:r w:rsidRPr="00971724">
        <w:t>;</w:t>
      </w:r>
    </w:p>
    <w:p w:rsidR="00FE180D" w:rsidRPr="00971724" w:rsidRDefault="00FE180D" w:rsidP="00FE180D">
      <w:pPr>
        <w:autoSpaceDE w:val="0"/>
        <w:autoSpaceDN w:val="0"/>
        <w:adjustRightInd w:val="0"/>
        <w:ind w:firstLine="709"/>
        <w:jc w:val="both"/>
      </w:pPr>
      <w:r w:rsidRPr="00971724">
        <w:t>-</w:t>
      </w:r>
      <w:r w:rsidRPr="00971724">
        <w:rPr>
          <w:u w:val="single"/>
        </w:rPr>
        <w:t>утвержденные законом Волгоградской области об областном бюджете</w:t>
      </w:r>
      <w:r w:rsidRPr="00971724">
        <w:t xml:space="preserve"> на очередной финансовый год и плановый период объемы средств областного бюджета на исполнение соответствующих расходных обязательств.</w:t>
      </w:r>
    </w:p>
    <w:p w:rsidR="00FE180D" w:rsidRPr="00971724" w:rsidRDefault="00FE180D" w:rsidP="00FE180D">
      <w:pPr>
        <w:autoSpaceDE w:val="0"/>
        <w:autoSpaceDN w:val="0"/>
        <w:adjustRightInd w:val="0"/>
        <w:ind w:firstLine="709"/>
        <w:jc w:val="both"/>
      </w:pPr>
      <w:r w:rsidRPr="00971724">
        <w:t>Таким образом, понятию «реестр расходных обязательств», определ</w:t>
      </w:r>
      <w:r w:rsidR="001D4EDE">
        <w:t>е</w:t>
      </w:r>
      <w:r w:rsidRPr="00971724">
        <w:t>нному в Б</w:t>
      </w:r>
      <w:r w:rsidR="001D4EDE">
        <w:t>К</w:t>
      </w:r>
      <w:r w:rsidRPr="00971724">
        <w:t xml:space="preserve"> РФ и </w:t>
      </w:r>
      <w:r w:rsidR="001D4EDE">
        <w:t>в законе о бюджетном процессе в Волгоградской области</w:t>
      </w:r>
      <w:r w:rsidRPr="00971724">
        <w:t>, соответствует только «предварительный» реестр расходных обязательств.</w:t>
      </w:r>
    </w:p>
    <w:p w:rsidR="00FE180D" w:rsidRDefault="00FE180D" w:rsidP="00FE180D">
      <w:pPr>
        <w:autoSpaceDE w:val="0"/>
        <w:autoSpaceDN w:val="0"/>
        <w:adjustRightInd w:val="0"/>
        <w:ind w:firstLine="709"/>
        <w:jc w:val="both"/>
      </w:pPr>
      <w:proofErr w:type="gramStart"/>
      <w:r w:rsidRPr="00971724">
        <w:t>Вместе с тем с законопроектом представлен «плановый» реестр расходных обязательств, в котором объ</w:t>
      </w:r>
      <w:r w:rsidR="00F716C7">
        <w:t>е</w:t>
      </w:r>
      <w:r w:rsidRPr="00971724">
        <w:t xml:space="preserve">мы на исполнение расходных обязательств соответствуют проекту областного бюджета и не </w:t>
      </w:r>
      <w:r w:rsidR="00F716C7">
        <w:t>отражают</w:t>
      </w:r>
      <w:r w:rsidRPr="00971724">
        <w:t xml:space="preserve"> объем</w:t>
      </w:r>
      <w:r w:rsidR="00F716C7">
        <w:t>ы</w:t>
      </w:r>
      <w:r w:rsidRPr="00971724">
        <w:t xml:space="preserve"> бюджетных ассигнований, необходимы</w:t>
      </w:r>
      <w:r w:rsidR="00F716C7">
        <w:t>е</w:t>
      </w:r>
      <w:r w:rsidRPr="00971724">
        <w:t xml:space="preserve"> для исполнения </w:t>
      </w:r>
      <w:r w:rsidR="00F716C7">
        <w:t xml:space="preserve">действующих </w:t>
      </w:r>
      <w:r w:rsidRPr="00971724">
        <w:t>расходных обязательств</w:t>
      </w:r>
      <w:r w:rsidR="00F716C7">
        <w:t xml:space="preserve"> Волгоградской области, что делает невозможной</w:t>
      </w:r>
      <w:r>
        <w:t xml:space="preserve"> достоверн</w:t>
      </w:r>
      <w:r w:rsidR="00F716C7">
        <w:t>ую</w:t>
      </w:r>
      <w:r>
        <w:t xml:space="preserve"> оцен</w:t>
      </w:r>
      <w:r w:rsidR="00F716C7">
        <w:t>ку</w:t>
      </w:r>
      <w:r>
        <w:t xml:space="preserve"> </w:t>
      </w:r>
      <w:r w:rsidR="00F716C7">
        <w:t xml:space="preserve">их финансовой обеспеченности и, по сути, нивелирует смысловую нагрузку наличия в составе документов, представляемых одновременно </w:t>
      </w:r>
      <w:r w:rsidR="00A45140">
        <w:t xml:space="preserve">с </w:t>
      </w:r>
      <w:r w:rsidR="00F716C7">
        <w:t>проектом бюджета, самого Реестра</w:t>
      </w:r>
      <w:r>
        <w:t>.</w:t>
      </w:r>
      <w:proofErr w:type="gramEnd"/>
    </w:p>
    <w:p w:rsidR="00FE180D" w:rsidRDefault="00EB266E" w:rsidP="00FE180D">
      <w:pPr>
        <w:autoSpaceDE w:val="0"/>
        <w:autoSpaceDN w:val="0"/>
        <w:adjustRightInd w:val="0"/>
        <w:ind w:firstLine="709"/>
        <w:jc w:val="both"/>
      </w:pPr>
      <w:r>
        <w:t xml:space="preserve">Подтверждением этому служит </w:t>
      </w:r>
      <w:r w:rsidR="00FE180D">
        <w:t>то</w:t>
      </w:r>
      <w:r>
        <w:t xml:space="preserve"> обстоятельство</w:t>
      </w:r>
      <w:r w:rsidR="00FE180D">
        <w:t xml:space="preserve">, что представленный к проекту бюджета на 2018-2020 годы Реестр содержал расходные обязательства на 2018 год в объеме 78512,3 млн. руб., Реестр на 2019-2021 годы </w:t>
      </w:r>
      <w:r>
        <w:t xml:space="preserve">- </w:t>
      </w:r>
      <w:r w:rsidR="00FE180D">
        <w:t>на 95519,5 млн. руб., т</w:t>
      </w:r>
      <w:r>
        <w:t>.</w:t>
      </w:r>
      <w:r w:rsidR="00FE180D">
        <w:t xml:space="preserve"> е</w:t>
      </w:r>
      <w:r>
        <w:t>.</w:t>
      </w:r>
      <w:r w:rsidR="00FE180D">
        <w:t xml:space="preserve"> на 17007,2 млн. руб. больше, при отсутствии информации о дополнительно принятых областью расходных обязательствах.</w:t>
      </w:r>
    </w:p>
    <w:p w:rsidR="00FE180D" w:rsidRDefault="00FE180D" w:rsidP="00FE180D">
      <w:pPr>
        <w:autoSpaceDE w:val="0"/>
        <w:autoSpaceDN w:val="0"/>
        <w:adjustRightInd w:val="0"/>
        <w:ind w:firstLine="709"/>
        <w:jc w:val="both"/>
      </w:pPr>
      <w:r>
        <w:t xml:space="preserve">КСП </w:t>
      </w:r>
      <w:r w:rsidR="00571CBC">
        <w:t>при подготовке экспертных заключений на проекты бюджетов в течение уже нескольких лет</w:t>
      </w:r>
      <w:r>
        <w:t xml:space="preserve"> отмечает недостаток запланированных законопроектом ассигнований на образовательный процесс, который по оценке КСП на 2019 год составил 354,7 млн. руб., что не </w:t>
      </w:r>
      <w:r w:rsidR="00571CBC">
        <w:t>отражен</w:t>
      </w:r>
      <w:r>
        <w:t>о в представленном Реестре.</w:t>
      </w:r>
    </w:p>
    <w:p w:rsidR="00FE180D" w:rsidRDefault="00FE180D" w:rsidP="00FE180D">
      <w:pPr>
        <w:ind w:firstLine="709"/>
        <w:jc w:val="both"/>
      </w:pPr>
      <w:r>
        <w:t xml:space="preserve">Представленный в  </w:t>
      </w:r>
      <w:r w:rsidRPr="00CE6398">
        <w:t>соответствии со статьей 13 закона о бюджетном процессе в Волгоградской области</w:t>
      </w:r>
      <w:r>
        <w:t xml:space="preserve"> Реестр </w:t>
      </w:r>
      <w:r w:rsidRPr="00B63188">
        <w:t xml:space="preserve">сформирован </w:t>
      </w:r>
      <w:r>
        <w:t>с выделением</w:t>
      </w:r>
      <w:r w:rsidRPr="00B63188">
        <w:t xml:space="preserve"> 7 основных групп расходных обязательств (кодов):</w:t>
      </w:r>
    </w:p>
    <w:p w:rsidR="00FE180D" w:rsidRPr="00341C1B" w:rsidRDefault="00FE180D" w:rsidP="00FE180D">
      <w:pPr>
        <w:ind w:firstLine="709"/>
        <w:jc w:val="both"/>
        <w:rPr>
          <w:u w:val="single"/>
        </w:rPr>
      </w:pPr>
      <w:r>
        <w:t xml:space="preserve">-1000 – расходные обязательства, возникшие в результате принятия НПА субъекта РФ, заключения договоров (соглашений) </w:t>
      </w:r>
      <w:r w:rsidRPr="00341C1B">
        <w:rPr>
          <w:u w:val="single"/>
        </w:rPr>
        <w:t>по предметам совместного ведения РФ и субъектов РФ;</w:t>
      </w:r>
    </w:p>
    <w:p w:rsidR="00FE180D" w:rsidRDefault="00FE180D" w:rsidP="00FE180D">
      <w:pPr>
        <w:ind w:firstLine="709"/>
        <w:jc w:val="both"/>
      </w:pPr>
      <w:r>
        <w:t xml:space="preserve">-2000 - расходные обязательства, возникшие в результате принятия НПА субъекта РФ, </w:t>
      </w:r>
      <w:r w:rsidRPr="00341C1B">
        <w:rPr>
          <w:u w:val="single"/>
        </w:rPr>
        <w:t>по предметам ведения субъекта</w:t>
      </w:r>
      <w:r>
        <w:t xml:space="preserve"> </w:t>
      </w:r>
      <w:r w:rsidRPr="00341C1B">
        <w:rPr>
          <w:u w:val="single"/>
        </w:rPr>
        <w:t>РФ;</w:t>
      </w:r>
    </w:p>
    <w:p w:rsidR="00FE180D" w:rsidRDefault="00FE180D" w:rsidP="00FE180D">
      <w:pPr>
        <w:ind w:firstLine="709"/>
        <w:jc w:val="both"/>
      </w:pPr>
      <w:r>
        <w:lastRenderedPageBreak/>
        <w:t xml:space="preserve">-3000 - расходные обязательства, возникшие в результате принятия НПА субъекта РФ, </w:t>
      </w:r>
      <w:r w:rsidRPr="001E2DAE">
        <w:rPr>
          <w:u w:val="single"/>
        </w:rPr>
        <w:t>предусматривающих предоставление из бюджета субъекта РФ межбюджетных трансфертов</w:t>
      </w:r>
      <w:r w:rsidRPr="001E2DAE">
        <w:t>;</w:t>
      </w:r>
    </w:p>
    <w:p w:rsidR="00FE180D" w:rsidRPr="001E2DAE" w:rsidRDefault="00FE180D" w:rsidP="00FE180D">
      <w:pPr>
        <w:ind w:firstLine="709"/>
        <w:jc w:val="both"/>
      </w:pPr>
      <w:r>
        <w:t xml:space="preserve">-4000 - расходные обязательства, возникшие в результате принятия НПА субъекта РФ, </w:t>
      </w:r>
      <w:r w:rsidRPr="001E2DAE">
        <w:t>предусматривающих реализацию субъектом РФ переданных полномочий за счет субвенций из федерального бюджета;</w:t>
      </w:r>
    </w:p>
    <w:p w:rsidR="00FE180D" w:rsidRDefault="00FE180D" w:rsidP="00FE180D">
      <w:pPr>
        <w:ind w:firstLine="709"/>
        <w:jc w:val="both"/>
      </w:pPr>
      <w:proofErr w:type="gramStart"/>
      <w:r w:rsidRPr="00A562B1">
        <w:t xml:space="preserve">-5000 – полномочия </w:t>
      </w:r>
      <w:r w:rsidRPr="001E2DAE">
        <w:rPr>
          <w:u w:val="single"/>
        </w:rPr>
        <w:t>по предметам ведения РФ, а также совместного ведения</w:t>
      </w:r>
      <w:r w:rsidRPr="001E2DAE">
        <w:t xml:space="preserve"> </w:t>
      </w:r>
      <w:r w:rsidRPr="001E2DAE">
        <w:rPr>
          <w:u w:val="single"/>
        </w:rPr>
        <w:t>по решению вопросов, не указанных  в п</w:t>
      </w:r>
      <w:r w:rsidR="001E2DAE">
        <w:rPr>
          <w:u w:val="single"/>
        </w:rPr>
        <w:t>ункте 2</w:t>
      </w:r>
      <w:r w:rsidRPr="001E2DAE">
        <w:rPr>
          <w:u w:val="single"/>
        </w:rPr>
        <w:t xml:space="preserve"> ст</w:t>
      </w:r>
      <w:r w:rsidR="001E2DAE">
        <w:rPr>
          <w:u w:val="single"/>
        </w:rPr>
        <w:t>атьи</w:t>
      </w:r>
      <w:r w:rsidRPr="001E2DAE">
        <w:rPr>
          <w:u w:val="single"/>
        </w:rPr>
        <w:t xml:space="preserve"> 26.3</w:t>
      </w:r>
      <w:r w:rsidRPr="00A562B1">
        <w:t xml:space="preserve"> Федерального закона </w:t>
      </w:r>
      <w:r>
        <w:t>от 06.10.1999 №184-ФЗ «Об общих принципах организации законодательных (представительных) и исполнительных органов государственной власти субъектов РФ», если возможность осуществления расходов субъектов РФ на реализацию этих полномочий предусмотрена федеральными законами (в том числе полномочия этого кода делятся по источникам</w:t>
      </w:r>
      <w:proofErr w:type="gramEnd"/>
      <w:r>
        <w:t>: за счет средств субъекта и за счет федерального бюджета);</w:t>
      </w:r>
    </w:p>
    <w:p w:rsidR="00FE180D" w:rsidRPr="003E1E89" w:rsidRDefault="001E2DAE" w:rsidP="00FE180D">
      <w:pPr>
        <w:pStyle w:val="Default"/>
        <w:jc w:val="both"/>
      </w:pPr>
      <w:r>
        <w:tab/>
      </w:r>
      <w:r w:rsidR="00FE180D">
        <w:t xml:space="preserve">-6000 – </w:t>
      </w:r>
      <w:r w:rsidR="00FE180D" w:rsidRPr="001E2DAE">
        <w:rPr>
          <w:u w:val="single"/>
        </w:rPr>
        <w:t>установление дополнительных мер социальной поддержки и социальной помощи</w:t>
      </w:r>
      <w:r w:rsidR="00FE180D" w:rsidRPr="001E2DAE">
        <w:t xml:space="preserve"> </w:t>
      </w:r>
      <w:r w:rsidR="00FE180D">
        <w:t xml:space="preserve">для отдельных категорий граждан, </w:t>
      </w:r>
      <w:r w:rsidR="00FE180D" w:rsidRPr="00A562B1">
        <w:rPr>
          <w:u w:val="single"/>
        </w:rPr>
        <w:t xml:space="preserve">не предусмотренные </w:t>
      </w:r>
      <w:r w:rsidR="00FE180D" w:rsidRPr="003E1E89">
        <w:t xml:space="preserve">подпунктом 24 пункта 2 статьи 26.3 Федерального </w:t>
      </w:r>
      <w:r w:rsidR="00FB2AFD">
        <w:t>закона от 6 октября 1999 №</w:t>
      </w:r>
      <w:r w:rsidR="00FE180D" w:rsidRPr="003E1E89"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E180D" w:rsidRDefault="00FE180D" w:rsidP="00FE180D">
      <w:pPr>
        <w:ind w:firstLine="709"/>
        <w:jc w:val="both"/>
      </w:pPr>
      <w:r>
        <w:t xml:space="preserve">-7000 – расходные обязательства, </w:t>
      </w:r>
      <w:r w:rsidRPr="00B313C8">
        <w:t xml:space="preserve">возникшие в результате принятия законов субъекта РФ </w:t>
      </w:r>
      <w:r w:rsidRPr="001E2DAE">
        <w:rPr>
          <w:u w:val="single"/>
        </w:rPr>
        <w:t>по перераспределенным полномочиям между органами местного самоуправления  и органами государственной власти субъекта РФ</w:t>
      </w:r>
      <w:r>
        <w:t xml:space="preserve"> в соответствии с п</w:t>
      </w:r>
      <w:r w:rsidR="00FB2AFD">
        <w:t>унктом</w:t>
      </w:r>
      <w:r>
        <w:t xml:space="preserve"> 6.1 ст</w:t>
      </w:r>
      <w:r w:rsidR="00FB2AFD">
        <w:t>атьи</w:t>
      </w:r>
      <w:r>
        <w:t xml:space="preserve"> 26.3 </w:t>
      </w:r>
      <w:r w:rsidRPr="00A562B1">
        <w:t xml:space="preserve">Федерального закона </w:t>
      </w:r>
      <w:r>
        <w:t>от 06.10.1999 №184-ФЗ «Об общих принципах организации законодательных (представительных) и исполнительных органов государственной власти субъектов РФ».</w:t>
      </w:r>
    </w:p>
    <w:p w:rsidR="00FE180D" w:rsidRDefault="00FE180D" w:rsidP="00FE180D">
      <w:pPr>
        <w:ind w:firstLine="708"/>
        <w:jc w:val="both"/>
      </w:pPr>
      <w:r w:rsidRPr="005B1A43">
        <w:t>В целях оценки общего объема расходов областного бюджета на 20</w:t>
      </w:r>
      <w:r>
        <w:t>19</w:t>
      </w:r>
      <w:r w:rsidRPr="005B1A43">
        <w:t>-20</w:t>
      </w:r>
      <w:r>
        <w:t>21</w:t>
      </w:r>
      <w:r w:rsidRPr="005B1A43">
        <w:t xml:space="preserve"> годы</w:t>
      </w:r>
      <w:r>
        <w:t xml:space="preserve"> </w:t>
      </w:r>
      <w:r w:rsidRPr="005B1A43">
        <w:t xml:space="preserve">палатой </w:t>
      </w:r>
      <w:r>
        <w:t xml:space="preserve">проведен </w:t>
      </w:r>
      <w:r w:rsidRPr="00175BE8">
        <w:t xml:space="preserve">анализ </w:t>
      </w:r>
      <w:r>
        <w:t>представленного Реестра.</w:t>
      </w:r>
    </w:p>
    <w:p w:rsidR="00FE180D" w:rsidRDefault="00FE180D" w:rsidP="00FE180D">
      <w:pPr>
        <w:ind w:firstLine="708"/>
        <w:jc w:val="both"/>
        <w:rPr>
          <w:b/>
        </w:rPr>
      </w:pPr>
    </w:p>
    <w:tbl>
      <w:tblPr>
        <w:tblW w:w="9713" w:type="dxa"/>
        <w:tblInd w:w="98" w:type="dxa"/>
        <w:tblLook w:val="04A0"/>
      </w:tblPr>
      <w:tblGrid>
        <w:gridCol w:w="2072"/>
        <w:gridCol w:w="1340"/>
        <w:gridCol w:w="1276"/>
        <w:gridCol w:w="1276"/>
        <w:gridCol w:w="1501"/>
        <w:gridCol w:w="1124"/>
        <w:gridCol w:w="1124"/>
      </w:tblGrid>
      <w:tr w:rsidR="00FE180D" w:rsidRPr="00FE180D" w:rsidTr="00470020">
        <w:trPr>
          <w:trHeight w:val="501"/>
        </w:trPr>
        <w:tc>
          <w:tcPr>
            <w:tcW w:w="2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Код расходного обязательства</w:t>
            </w:r>
          </w:p>
        </w:tc>
        <w:tc>
          <w:tcPr>
            <w:tcW w:w="53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Объем и структура средств на исполнение расходных обязательств (млн. рублей)</w:t>
            </w: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Темпы роста, %</w:t>
            </w:r>
          </w:p>
        </w:tc>
      </w:tr>
      <w:tr w:rsidR="00FE180D" w:rsidRPr="00FE180D" w:rsidTr="00FE180D">
        <w:trPr>
          <w:trHeight w:val="347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 xml:space="preserve">2018 год </w:t>
            </w:r>
            <w:r w:rsidRPr="00FE180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E180D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E1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гр. 4/гр.3*100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гр. 5/гр.3*100</w:t>
            </w:r>
          </w:p>
        </w:tc>
      </w:tr>
      <w:tr w:rsidR="00FE180D" w:rsidRPr="00FE180D" w:rsidTr="00FE180D">
        <w:trPr>
          <w:trHeight w:val="15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7</w:t>
            </w:r>
          </w:p>
        </w:tc>
      </w:tr>
      <w:tr w:rsidR="00FE180D" w:rsidRPr="00FE180D" w:rsidTr="00FE180D">
        <w:trPr>
          <w:trHeight w:val="20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57 304,82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60 312,93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57 290,58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59 025,46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FE180D" w:rsidRPr="00FE180D" w:rsidTr="00FE180D">
        <w:trPr>
          <w:trHeight w:val="234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18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E180D">
              <w:rPr>
                <w:color w:val="000000"/>
                <w:sz w:val="20"/>
                <w:szCs w:val="20"/>
              </w:rPr>
              <w:t xml:space="preserve"> % к общему объему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180D" w:rsidRPr="00FE180D" w:rsidTr="00FE180D">
        <w:trPr>
          <w:trHeight w:val="25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1 805,35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2 143,70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3 208,55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5 765,93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269,0</w:t>
            </w:r>
          </w:p>
        </w:tc>
      </w:tr>
      <w:tr w:rsidR="00FE180D" w:rsidRPr="00FE180D" w:rsidTr="00FE180D">
        <w:trPr>
          <w:trHeight w:val="128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18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E180D">
              <w:rPr>
                <w:color w:val="000000"/>
                <w:sz w:val="20"/>
                <w:szCs w:val="20"/>
              </w:rPr>
              <w:t xml:space="preserve"> % к общему объему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180D" w:rsidRPr="00FE180D" w:rsidTr="00FE180D">
        <w:trPr>
          <w:trHeight w:val="159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29 713,09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28 328,01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24 324,07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27 545,51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FE180D" w:rsidRPr="00FE180D" w:rsidTr="00FE180D">
        <w:trPr>
          <w:trHeight w:val="192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18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E180D">
              <w:rPr>
                <w:color w:val="000000"/>
                <w:sz w:val="20"/>
                <w:szCs w:val="20"/>
              </w:rPr>
              <w:t xml:space="preserve"> % к общему объему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180D" w:rsidRPr="00FE180D" w:rsidTr="00FE180D">
        <w:trPr>
          <w:trHeight w:val="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4 785,84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4 689,58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4 758,64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4 782,38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FE180D" w:rsidRPr="00FE180D" w:rsidTr="00FE180D">
        <w:trPr>
          <w:trHeight w:val="114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18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E180D">
              <w:rPr>
                <w:color w:val="000000"/>
                <w:sz w:val="20"/>
                <w:szCs w:val="20"/>
              </w:rPr>
              <w:t xml:space="preserve"> % к общему объему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180D" w:rsidRPr="00FE180D" w:rsidTr="00FE180D">
        <w:trPr>
          <w:trHeight w:val="146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1 187,57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2 009,32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2 043,10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1 296,36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FE180D" w:rsidRPr="00FE180D" w:rsidTr="00FE180D">
        <w:trPr>
          <w:trHeight w:val="19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18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E180D">
              <w:rPr>
                <w:color w:val="000000"/>
                <w:sz w:val="20"/>
                <w:szCs w:val="20"/>
              </w:rPr>
              <w:t xml:space="preserve"> % к общему объему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180D" w:rsidRPr="00FE180D" w:rsidTr="00FE180D">
        <w:trPr>
          <w:trHeight w:val="82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592,13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562,94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FE180D" w:rsidRPr="00FE180D" w:rsidTr="00FE180D">
        <w:trPr>
          <w:trHeight w:val="113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18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E180D">
              <w:rPr>
                <w:color w:val="000000"/>
                <w:sz w:val="20"/>
                <w:szCs w:val="20"/>
              </w:rPr>
              <w:t xml:space="preserve"> % к общему объему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180D" w:rsidRPr="00FE180D" w:rsidTr="00FE180D">
        <w:trPr>
          <w:trHeight w:val="146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244,537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140,056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33,66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51,097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FE180D" w:rsidRPr="00FE180D" w:rsidTr="00FE180D">
        <w:trPr>
          <w:trHeight w:val="177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E18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E180D">
              <w:rPr>
                <w:color w:val="000000"/>
                <w:sz w:val="20"/>
                <w:szCs w:val="20"/>
              </w:rPr>
              <w:t xml:space="preserve"> % к общему объему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80D">
              <w:rPr>
                <w:i/>
                <w:iCs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180D" w:rsidRPr="00FE180D" w:rsidTr="00FE180D">
        <w:trPr>
          <w:trHeight w:val="210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95 519,46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98 215,73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92 250,59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80D">
              <w:rPr>
                <w:b/>
                <w:bCs/>
                <w:color w:val="000000"/>
                <w:sz w:val="20"/>
                <w:szCs w:val="20"/>
              </w:rPr>
              <w:t>99 029,66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80D" w:rsidRPr="00FE180D" w:rsidRDefault="00FE180D" w:rsidP="00470020">
            <w:pPr>
              <w:jc w:val="center"/>
              <w:rPr>
                <w:color w:val="000000"/>
                <w:sz w:val="20"/>
                <w:szCs w:val="20"/>
              </w:rPr>
            </w:pPr>
            <w:r w:rsidRPr="00FE180D">
              <w:rPr>
                <w:color w:val="000000"/>
                <w:sz w:val="20"/>
                <w:szCs w:val="20"/>
              </w:rPr>
              <w:t>100,8</w:t>
            </w:r>
          </w:p>
        </w:tc>
      </w:tr>
    </w:tbl>
    <w:p w:rsidR="00FE180D" w:rsidRDefault="00FE180D" w:rsidP="00FE180D">
      <w:pPr>
        <w:ind w:firstLine="709"/>
        <w:jc w:val="both"/>
        <w:outlineLvl w:val="1"/>
        <w:rPr>
          <w:b/>
        </w:rPr>
      </w:pPr>
    </w:p>
    <w:p w:rsidR="00FB2AFD" w:rsidRDefault="00FE180D" w:rsidP="00FE180D">
      <w:pPr>
        <w:ind w:firstLine="709"/>
        <w:jc w:val="both"/>
        <w:outlineLvl w:val="1"/>
      </w:pPr>
      <w:r w:rsidRPr="000863F3">
        <w:t xml:space="preserve">Анализ Реестра показал, что объем расходных обязательств Волгоградской области </w:t>
      </w:r>
      <w:r>
        <w:t>по сравнению с оценкой 2018 год</w:t>
      </w:r>
      <w:r w:rsidR="00FB2AFD">
        <w:t>а</w:t>
      </w:r>
      <w:r>
        <w:t xml:space="preserve"> растет</w:t>
      </w:r>
      <w:r w:rsidRPr="000863F3">
        <w:t xml:space="preserve">. Так, если на текущий год расходные обязательства составляют </w:t>
      </w:r>
      <w:r>
        <w:t>95,5</w:t>
      </w:r>
      <w:r w:rsidRPr="000863F3">
        <w:t xml:space="preserve"> млрд. руб., то планируемые расходные обязательства на 201</w:t>
      </w:r>
      <w:r>
        <w:t>9</w:t>
      </w:r>
      <w:r w:rsidRPr="000863F3">
        <w:t xml:space="preserve"> год </w:t>
      </w:r>
      <w:r>
        <w:t>больше</w:t>
      </w:r>
      <w:r w:rsidRPr="000863F3">
        <w:t xml:space="preserve"> на </w:t>
      </w:r>
      <w:r>
        <w:t>2,7 млрд</w:t>
      </w:r>
      <w:r w:rsidRPr="000863F3">
        <w:t>. рублей.</w:t>
      </w:r>
      <w:r>
        <w:t xml:space="preserve"> </w:t>
      </w:r>
    </w:p>
    <w:p w:rsidR="00FE180D" w:rsidRPr="00FB2AFD" w:rsidRDefault="00FE180D" w:rsidP="00FE180D">
      <w:pPr>
        <w:ind w:firstLine="709"/>
        <w:jc w:val="both"/>
        <w:outlineLvl w:val="1"/>
        <w:rPr>
          <w:u w:val="single"/>
        </w:rPr>
      </w:pPr>
      <w:proofErr w:type="gramStart"/>
      <w:r>
        <w:t xml:space="preserve">Согласно представленному Реестру в структуре расходных обязательств наблюдается устойчивый рост доли расходных обязательства, возникших в результате принятия НПА субъекта РФ </w:t>
      </w:r>
      <w:r w:rsidRPr="00F51C94">
        <w:t>по предметам ведения субъекта РФ</w:t>
      </w:r>
      <w:r>
        <w:t xml:space="preserve"> </w:t>
      </w:r>
      <w:r w:rsidR="00364CD1">
        <w:t>(</w:t>
      </w:r>
      <w:r>
        <w:t xml:space="preserve">с 1,9% в 2018 году до 5,8% </w:t>
      </w:r>
      <w:r>
        <w:lastRenderedPageBreak/>
        <w:t>в 2021 году</w:t>
      </w:r>
      <w:r w:rsidR="00364CD1">
        <w:t>), на что оказали влияние изменения, внесенные в 2018 году в Социальный кодекс Волгоградской области и некоторые другие нормативные правовые акты, устанавливающие дополнительные или увеличивающие действующие</w:t>
      </w:r>
      <w:proofErr w:type="gramEnd"/>
      <w:r w:rsidR="00364CD1">
        <w:t xml:space="preserve"> меры социальной поддержки отдельных категорий граждан.</w:t>
      </w:r>
      <w:r>
        <w:t xml:space="preserve"> </w:t>
      </w:r>
      <w:proofErr w:type="gramStart"/>
      <w:r w:rsidR="00FB2AFD">
        <w:t>При этом</w:t>
      </w:r>
      <w:r>
        <w:t xml:space="preserve"> </w:t>
      </w:r>
      <w:r w:rsidR="00FB2AFD">
        <w:t>в О</w:t>
      </w:r>
      <w:r>
        <w:t>сновны</w:t>
      </w:r>
      <w:r w:rsidR="00FB2AFD">
        <w:t>х</w:t>
      </w:r>
      <w:r>
        <w:t xml:space="preserve"> направления</w:t>
      </w:r>
      <w:r w:rsidR="00FB2AFD">
        <w:t>х</w:t>
      </w:r>
      <w:r>
        <w:t xml:space="preserve"> бюджетной и налоговой политики Волгоградской области на 2019 год и плановый период 2020 и 2021 годов </w:t>
      </w:r>
      <w:r w:rsidR="00FB2AFD">
        <w:t>заявлено</w:t>
      </w:r>
      <w:r>
        <w:t xml:space="preserve">, что </w:t>
      </w:r>
      <w:r w:rsidRPr="00B10170">
        <w:t>сбалансированност</w:t>
      </w:r>
      <w:r>
        <w:t>ь</w:t>
      </w:r>
      <w:r w:rsidRPr="00B10170">
        <w:t xml:space="preserve"> и устойчивост</w:t>
      </w:r>
      <w:r>
        <w:t>ь</w:t>
      </w:r>
      <w:r w:rsidRPr="00B10170">
        <w:t xml:space="preserve"> бюджетной системы Волгоградской области </w:t>
      </w:r>
      <w:r>
        <w:t>будут обеспечены</w:t>
      </w:r>
      <w:r w:rsidR="00FB2AFD">
        <w:t>,</w:t>
      </w:r>
      <w:r w:rsidRPr="00B10170">
        <w:t xml:space="preserve"> в том числе </w:t>
      </w:r>
      <w:r w:rsidRPr="00FB2AFD">
        <w:rPr>
          <w:u w:val="single"/>
        </w:rPr>
        <w:t>за счет недопущения установления расходных обязательств, не связанных с решением вопросов, отнесенных Конституцией РФ и федеральными законами к полномочиям органов государственной власти субъектов РФ.</w:t>
      </w:r>
      <w:proofErr w:type="gramEnd"/>
    </w:p>
    <w:p w:rsidR="00FE180D" w:rsidRDefault="00FE180D" w:rsidP="00FE180D">
      <w:pPr>
        <w:ind w:firstLine="709"/>
        <w:jc w:val="both"/>
        <w:outlineLvl w:val="1"/>
      </w:pPr>
      <w:r w:rsidRPr="006F0857">
        <w:t>КСП в своих заключениях на проекты бюджетов неоднократно указывала на невозможность оценки достоверности Реестра</w:t>
      </w:r>
      <w:r w:rsidR="00CA1DDE">
        <w:t>.</w:t>
      </w:r>
      <w:r w:rsidRPr="006F0857">
        <w:t xml:space="preserve"> </w:t>
      </w:r>
      <w:r w:rsidR="00CA1DDE">
        <w:t>П</w:t>
      </w:r>
      <w:r w:rsidRPr="006F0857">
        <w:t>ривед</w:t>
      </w:r>
      <w:r w:rsidR="00CA1DDE">
        <w:t>е</w:t>
      </w:r>
      <w:r w:rsidRPr="006F0857">
        <w:t xml:space="preserve">нные примеры в очередной раз </w:t>
      </w:r>
      <w:r w:rsidR="00CA1DDE">
        <w:t>подтверждают</w:t>
      </w:r>
      <w:r w:rsidRPr="006F0857">
        <w:t xml:space="preserve"> данный вывод</w:t>
      </w:r>
      <w:r w:rsidR="00CA1DDE">
        <w:t>.</w:t>
      </w:r>
      <w:r>
        <w:t xml:space="preserve">  </w:t>
      </w:r>
    </w:p>
    <w:p w:rsidR="00FE180D" w:rsidRDefault="00FE180D" w:rsidP="00514C8C">
      <w:pPr>
        <w:jc w:val="center"/>
      </w:pPr>
    </w:p>
    <w:p w:rsidR="00D002BB" w:rsidRDefault="003824C5" w:rsidP="00CC4A98">
      <w:pPr>
        <w:jc w:val="center"/>
        <w:rPr>
          <w:b/>
          <w:i/>
        </w:rPr>
      </w:pPr>
      <w:r>
        <w:rPr>
          <w:b/>
          <w:i/>
        </w:rPr>
        <w:t>4</w:t>
      </w:r>
      <w:r w:rsidR="004A2777">
        <w:rPr>
          <w:b/>
          <w:i/>
        </w:rPr>
        <w:t xml:space="preserve">. </w:t>
      </w:r>
      <w:r w:rsidR="00D002BB">
        <w:rPr>
          <w:b/>
          <w:i/>
        </w:rPr>
        <w:t xml:space="preserve"> </w:t>
      </w:r>
      <w:r w:rsidR="00BB0CDC">
        <w:rPr>
          <w:b/>
          <w:i/>
        </w:rPr>
        <w:t>Дефицит (</w:t>
      </w:r>
      <w:proofErr w:type="spellStart"/>
      <w:r w:rsidR="00BB0CDC">
        <w:rPr>
          <w:b/>
          <w:i/>
        </w:rPr>
        <w:t>профицит</w:t>
      </w:r>
      <w:proofErr w:type="spellEnd"/>
      <w:r w:rsidR="00BB0CDC">
        <w:rPr>
          <w:b/>
          <w:i/>
        </w:rPr>
        <w:t xml:space="preserve">) областного бюджета, </w:t>
      </w:r>
      <w:r w:rsidR="00B34847">
        <w:rPr>
          <w:b/>
          <w:i/>
        </w:rPr>
        <w:t xml:space="preserve">программа государственных внутренних заимствований, </w:t>
      </w:r>
      <w:r w:rsidR="00BB0CDC">
        <w:rPr>
          <w:b/>
          <w:i/>
        </w:rPr>
        <w:t>в</w:t>
      </w:r>
      <w:r w:rsidR="00D002BB" w:rsidRPr="00A97C74">
        <w:rPr>
          <w:b/>
          <w:i/>
        </w:rPr>
        <w:t>ерхний предел государственного внутреннего долга Волгоградской области</w:t>
      </w:r>
      <w:r w:rsidR="00BB0CDC">
        <w:rPr>
          <w:b/>
          <w:i/>
        </w:rPr>
        <w:t xml:space="preserve">, в том числе </w:t>
      </w:r>
      <w:r w:rsidR="00D002BB" w:rsidRPr="00A97C74">
        <w:rPr>
          <w:b/>
          <w:i/>
        </w:rPr>
        <w:t xml:space="preserve"> по государственным гарантиям.</w:t>
      </w:r>
    </w:p>
    <w:p w:rsidR="0003023B" w:rsidRDefault="0003023B" w:rsidP="00764CB7">
      <w:pPr>
        <w:ind w:firstLine="720"/>
        <w:jc w:val="both"/>
      </w:pPr>
    </w:p>
    <w:p w:rsidR="001E6FBD" w:rsidRPr="0040365E" w:rsidRDefault="001E6FBD" w:rsidP="001E6FBD">
      <w:pPr>
        <w:ind w:firstLine="680"/>
        <w:jc w:val="both"/>
      </w:pPr>
      <w:r w:rsidRPr="0040365E">
        <w:t xml:space="preserve">Проект областного бюджета сформирован </w:t>
      </w:r>
      <w:proofErr w:type="gramStart"/>
      <w:r>
        <w:t>бездефицитным</w:t>
      </w:r>
      <w:proofErr w:type="gramEnd"/>
      <w:r>
        <w:t xml:space="preserve"> на 2019 год и с </w:t>
      </w:r>
      <w:proofErr w:type="spellStart"/>
      <w:r>
        <w:t>профицитом</w:t>
      </w:r>
      <w:proofErr w:type="spellEnd"/>
      <w:r>
        <w:t xml:space="preserve"> в размере 200 млн. руб. на 2020-2021 годы.</w:t>
      </w:r>
    </w:p>
    <w:p w:rsidR="001E6FBD" w:rsidRDefault="001E6FBD" w:rsidP="001E6FBD">
      <w:pPr>
        <w:ind w:firstLine="680"/>
        <w:jc w:val="both"/>
      </w:pPr>
      <w:r w:rsidRPr="0040365E">
        <w:t>Основные параметры областного бюджета и источники финансирования дефицита бюджета на 2018-2021 годы приведены в следующей таблице</w:t>
      </w:r>
      <w:r w:rsidR="002434E6">
        <w:t>:</w:t>
      </w:r>
    </w:p>
    <w:p w:rsidR="001E6FBD" w:rsidRPr="001E6FBD" w:rsidRDefault="000E0C5F" w:rsidP="001E6FBD">
      <w:pPr>
        <w:ind w:left="778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E6FBD" w:rsidRPr="001E6FBD">
        <w:rPr>
          <w:sz w:val="22"/>
          <w:szCs w:val="22"/>
        </w:rPr>
        <w:t>млн. руб.</w:t>
      </w:r>
    </w:p>
    <w:tbl>
      <w:tblPr>
        <w:tblW w:w="9662" w:type="dxa"/>
        <w:tblInd w:w="85" w:type="dxa"/>
        <w:tblLook w:val="04A0"/>
      </w:tblPr>
      <w:tblGrid>
        <w:gridCol w:w="4276"/>
        <w:gridCol w:w="2126"/>
        <w:gridCol w:w="1134"/>
        <w:gridCol w:w="1033"/>
        <w:gridCol w:w="1093"/>
      </w:tblGrid>
      <w:tr w:rsidR="001E6FBD" w:rsidRPr="00A57982" w:rsidTr="001E6FBD">
        <w:trPr>
          <w:trHeight w:val="330"/>
        </w:trPr>
        <w:tc>
          <w:tcPr>
            <w:tcW w:w="42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6FBD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 xml:space="preserve">2018 год </w:t>
            </w:r>
          </w:p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 xml:space="preserve">(в редакции </w:t>
            </w:r>
            <w:r>
              <w:rPr>
                <w:b/>
                <w:bCs/>
                <w:sz w:val="22"/>
                <w:szCs w:val="22"/>
              </w:rPr>
              <w:t xml:space="preserve">от </w:t>
            </w:r>
            <w:r w:rsidRPr="00A57982">
              <w:rPr>
                <w:b/>
                <w:bCs/>
                <w:sz w:val="22"/>
                <w:szCs w:val="22"/>
              </w:rPr>
              <w:t>19.09.2018)</w:t>
            </w:r>
          </w:p>
        </w:tc>
        <w:tc>
          <w:tcPr>
            <w:tcW w:w="3260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EAF1DD" w:themeFill="accent3" w:themeFillTint="33"/>
            <w:vAlign w:val="bottom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Проект на 2019-2021 годы</w:t>
            </w:r>
          </w:p>
        </w:tc>
      </w:tr>
      <w:tr w:rsidR="001E6FBD" w:rsidRPr="00A57982" w:rsidTr="001E6FBD">
        <w:trPr>
          <w:trHeight w:val="181"/>
        </w:trPr>
        <w:tc>
          <w:tcPr>
            <w:tcW w:w="4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A57982" w:rsidRDefault="001E6FBD" w:rsidP="00F578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1E6FBD" w:rsidRPr="00A57982" w:rsidTr="00067A0E">
        <w:trPr>
          <w:trHeight w:val="187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F57822">
            <w:pPr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95 519,5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98 215,7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92 450,6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99 229,7</w:t>
            </w:r>
          </w:p>
        </w:tc>
      </w:tr>
      <w:tr w:rsidR="001E6FBD" w:rsidRPr="00A57982" w:rsidTr="00067A0E">
        <w:trPr>
          <w:trHeight w:val="201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F57822">
            <w:pPr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95 519,5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98 215,7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92 250,6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99 029,7</w:t>
            </w:r>
          </w:p>
        </w:tc>
      </w:tr>
      <w:tr w:rsidR="001E6FBD" w:rsidRPr="00A57982" w:rsidTr="00067A0E">
        <w:trPr>
          <w:trHeight w:val="220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F578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17C0D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517C0D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1E6FBD" w:rsidRPr="00A57982" w:rsidTr="00067A0E">
        <w:trPr>
          <w:trHeight w:val="365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F57822">
            <w:pPr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Источники внутреннего  финансирования дефицита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- 200,0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>- 200,0</w:t>
            </w:r>
          </w:p>
        </w:tc>
      </w:tr>
      <w:tr w:rsidR="001E6FBD" w:rsidRPr="00A57982" w:rsidTr="00067A0E">
        <w:trPr>
          <w:trHeight w:val="117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F57822">
            <w:pPr>
              <w:rPr>
                <w:b/>
                <w:bCs/>
                <w:sz w:val="20"/>
                <w:szCs w:val="20"/>
              </w:rPr>
            </w:pPr>
            <w:r w:rsidRPr="00517C0D">
              <w:rPr>
                <w:b/>
                <w:bCs/>
                <w:sz w:val="20"/>
                <w:szCs w:val="20"/>
              </w:rPr>
              <w:t xml:space="preserve">в т. ч. за счет: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6FBD" w:rsidRPr="00A57982" w:rsidTr="00067A0E">
        <w:trPr>
          <w:trHeight w:val="121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F57822">
            <w:pPr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 xml:space="preserve">-заимствований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-69,4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-477,7</w:t>
            </w:r>
          </w:p>
        </w:tc>
      </w:tr>
      <w:tr w:rsidR="001E6FBD" w:rsidRPr="00A57982" w:rsidTr="00E11DC1">
        <w:trPr>
          <w:trHeight w:val="139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F57822">
            <w:pPr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-изменения  остатков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547,6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107,2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277,7</w:t>
            </w:r>
          </w:p>
        </w:tc>
      </w:tr>
      <w:tr w:rsidR="001E6FBD" w:rsidRPr="00A57982" w:rsidTr="00E11DC1">
        <w:trPr>
          <w:trHeight w:val="427"/>
        </w:trPr>
        <w:tc>
          <w:tcPr>
            <w:tcW w:w="4276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-прочих источников (исполнение государственных гарантий)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-171,2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-478,2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-306,9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E6FBD" w:rsidRPr="00517C0D" w:rsidRDefault="001E6FBD" w:rsidP="001E6FBD">
            <w:pPr>
              <w:jc w:val="center"/>
              <w:rPr>
                <w:sz w:val="20"/>
                <w:szCs w:val="20"/>
              </w:rPr>
            </w:pPr>
            <w:r w:rsidRPr="00517C0D">
              <w:rPr>
                <w:sz w:val="20"/>
                <w:szCs w:val="20"/>
              </w:rPr>
              <w:t>0,0</w:t>
            </w:r>
          </w:p>
        </w:tc>
      </w:tr>
    </w:tbl>
    <w:p w:rsidR="00517C0D" w:rsidRDefault="00517C0D" w:rsidP="001E6FBD">
      <w:pPr>
        <w:ind w:firstLine="680"/>
        <w:jc w:val="both"/>
      </w:pPr>
    </w:p>
    <w:p w:rsidR="001E6FBD" w:rsidRDefault="001E6FBD" w:rsidP="001E6FBD">
      <w:pPr>
        <w:ind w:firstLine="680"/>
        <w:jc w:val="both"/>
      </w:pPr>
      <w:r w:rsidRPr="0040365E">
        <w:t>Как видно из представленных данных</w:t>
      </w:r>
      <w:r>
        <w:t>,</w:t>
      </w:r>
      <w:r w:rsidRPr="0040365E">
        <w:t xml:space="preserve"> расходы областного бюджета предполагается осуществлять за счет доходов, не привлекая на эти цели заимствовани</w:t>
      </w:r>
      <w:r>
        <w:t>й</w:t>
      </w:r>
      <w:r w:rsidRPr="0040365E">
        <w:t xml:space="preserve">. </w:t>
      </w:r>
    </w:p>
    <w:p w:rsidR="001E6FBD" w:rsidRPr="0040365E" w:rsidRDefault="001E6FBD" w:rsidP="001E6FBD">
      <w:pPr>
        <w:ind w:firstLine="680"/>
        <w:jc w:val="both"/>
      </w:pPr>
      <w:r w:rsidRPr="0040365E">
        <w:t xml:space="preserve">Структура заимствований и иных источников финансирования бюджета приведена в приложении 23 к </w:t>
      </w:r>
      <w:r>
        <w:t>з</w:t>
      </w:r>
      <w:r w:rsidRPr="0040365E">
        <w:t>аконопроекту и представлена в следующей таблице</w:t>
      </w:r>
      <w:r w:rsidR="00926AC4">
        <w:t>:</w:t>
      </w:r>
    </w:p>
    <w:p w:rsidR="001E6FBD" w:rsidRPr="001E6FBD" w:rsidRDefault="001E6FBD" w:rsidP="001E6FBD">
      <w:pPr>
        <w:ind w:firstLine="708"/>
        <w:jc w:val="center"/>
        <w:rPr>
          <w:sz w:val="22"/>
          <w:szCs w:val="22"/>
        </w:rPr>
      </w:pPr>
      <w:r w:rsidRPr="00465BA0">
        <w:rPr>
          <w:i/>
          <w:sz w:val="22"/>
          <w:szCs w:val="22"/>
        </w:rPr>
        <w:t xml:space="preserve">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  <w:r w:rsidRPr="00465BA0">
        <w:rPr>
          <w:i/>
          <w:sz w:val="22"/>
          <w:szCs w:val="22"/>
        </w:rPr>
        <w:t xml:space="preserve">     </w:t>
      </w:r>
      <w:r w:rsidR="000E0C5F">
        <w:rPr>
          <w:sz w:val="22"/>
          <w:szCs w:val="22"/>
        </w:rPr>
        <w:t xml:space="preserve">         </w:t>
      </w:r>
      <w:r w:rsidRPr="001E6FBD">
        <w:rPr>
          <w:sz w:val="22"/>
          <w:szCs w:val="22"/>
        </w:rPr>
        <w:t>млн. руб.</w:t>
      </w:r>
    </w:p>
    <w:tbl>
      <w:tblPr>
        <w:tblW w:w="9521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52"/>
        <w:gridCol w:w="1417"/>
        <w:gridCol w:w="1276"/>
        <w:gridCol w:w="1276"/>
      </w:tblGrid>
      <w:tr w:rsidR="001E6FBD" w:rsidRPr="00A57982" w:rsidTr="001E6FBD">
        <w:trPr>
          <w:trHeight w:val="345"/>
        </w:trPr>
        <w:tc>
          <w:tcPr>
            <w:tcW w:w="5552" w:type="dxa"/>
            <w:shd w:val="clear" w:color="auto" w:fill="EAF1DD" w:themeFill="accent3" w:themeFillTint="33"/>
            <w:vAlign w:val="center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Вид заимствований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  <w:hideMark/>
          </w:tcPr>
          <w:p w:rsidR="001E6FBD" w:rsidRPr="00A57982" w:rsidRDefault="001E6FBD" w:rsidP="00F57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57982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1E6FBD" w:rsidRPr="00A57982" w:rsidTr="00926AC4">
        <w:trPr>
          <w:trHeight w:val="76"/>
        </w:trPr>
        <w:tc>
          <w:tcPr>
            <w:tcW w:w="5552" w:type="dxa"/>
            <w:shd w:val="clear" w:color="000000" w:fill="DBE5F1"/>
            <w:vAlign w:val="bottom"/>
            <w:hideMark/>
          </w:tcPr>
          <w:p w:rsidR="001E6FBD" w:rsidRPr="00B76FB2" w:rsidRDefault="001E6FBD" w:rsidP="00F57822">
            <w:pPr>
              <w:rPr>
                <w:b/>
                <w:sz w:val="20"/>
                <w:szCs w:val="20"/>
              </w:rPr>
            </w:pPr>
            <w:r w:rsidRPr="00B76FB2">
              <w:rPr>
                <w:b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1417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-2 000</w:t>
            </w:r>
          </w:p>
        </w:tc>
        <w:tc>
          <w:tcPr>
            <w:tcW w:w="1276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3 750</w:t>
            </w:r>
          </w:p>
        </w:tc>
        <w:tc>
          <w:tcPr>
            <w:tcW w:w="1276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3 000</w:t>
            </w:r>
          </w:p>
        </w:tc>
      </w:tr>
      <w:tr w:rsidR="001E6FBD" w:rsidRPr="00A57982" w:rsidTr="00926AC4">
        <w:trPr>
          <w:trHeight w:val="109"/>
        </w:trPr>
        <w:tc>
          <w:tcPr>
            <w:tcW w:w="5552" w:type="dxa"/>
            <w:shd w:val="clear" w:color="auto" w:fill="auto"/>
            <w:vAlign w:val="bottom"/>
            <w:hideMark/>
          </w:tcPr>
          <w:p w:rsidR="001E6FBD" w:rsidRPr="001E6FBD" w:rsidRDefault="001E6FBD" w:rsidP="00F57822">
            <w:pPr>
              <w:rPr>
                <w:i/>
                <w:iCs/>
                <w:sz w:val="20"/>
                <w:szCs w:val="20"/>
              </w:rPr>
            </w:pPr>
            <w:r w:rsidRPr="001E6FBD">
              <w:rPr>
                <w:i/>
                <w:iCs/>
                <w:sz w:val="20"/>
                <w:szCs w:val="20"/>
              </w:rPr>
              <w:t>привлечение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9156F3" w:rsidP="0091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1E6FBD" w:rsidRPr="00A57982" w:rsidTr="00926AC4">
        <w:trPr>
          <w:trHeight w:val="154"/>
        </w:trPr>
        <w:tc>
          <w:tcPr>
            <w:tcW w:w="5552" w:type="dxa"/>
            <w:shd w:val="clear" w:color="auto" w:fill="auto"/>
            <w:vAlign w:val="bottom"/>
            <w:hideMark/>
          </w:tcPr>
          <w:p w:rsidR="001E6FBD" w:rsidRPr="001E6FBD" w:rsidRDefault="001E6FBD" w:rsidP="00F57822">
            <w:pPr>
              <w:rPr>
                <w:i/>
                <w:iCs/>
                <w:sz w:val="20"/>
                <w:szCs w:val="20"/>
              </w:rPr>
            </w:pPr>
            <w:r w:rsidRPr="001E6FBD">
              <w:rPr>
                <w:i/>
                <w:iCs/>
                <w:sz w:val="20"/>
                <w:szCs w:val="20"/>
              </w:rPr>
              <w:t>погашение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E6FBD" w:rsidRPr="001E6FBD" w:rsidRDefault="009156F3" w:rsidP="0091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9156F3" w:rsidP="0091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1 000</w:t>
            </w:r>
          </w:p>
        </w:tc>
      </w:tr>
      <w:tr w:rsidR="001E6FBD" w:rsidRPr="00A57982" w:rsidTr="00926AC4">
        <w:trPr>
          <w:trHeight w:val="201"/>
        </w:trPr>
        <w:tc>
          <w:tcPr>
            <w:tcW w:w="5552" w:type="dxa"/>
            <w:shd w:val="clear" w:color="000000" w:fill="DBE5F1"/>
            <w:vAlign w:val="bottom"/>
            <w:hideMark/>
          </w:tcPr>
          <w:p w:rsidR="001E6FBD" w:rsidRPr="00B76FB2" w:rsidRDefault="001E6FBD" w:rsidP="00F57822">
            <w:pPr>
              <w:rPr>
                <w:b/>
                <w:sz w:val="20"/>
                <w:szCs w:val="20"/>
              </w:rPr>
            </w:pPr>
            <w:r w:rsidRPr="00B76FB2">
              <w:rPr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shd w:val="clear" w:color="000000" w:fill="DBE5F1"/>
            <w:noWrap/>
            <w:vAlign w:val="bottom"/>
            <w:hideMark/>
          </w:tcPr>
          <w:p w:rsidR="001E6FBD" w:rsidRPr="001E6FBD" w:rsidRDefault="009156F3" w:rsidP="0091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-1 611,4</w:t>
            </w:r>
          </w:p>
        </w:tc>
        <w:tc>
          <w:tcPr>
            <w:tcW w:w="1276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800</w:t>
            </w:r>
          </w:p>
        </w:tc>
      </w:tr>
      <w:tr w:rsidR="001E6FBD" w:rsidRPr="00A57982" w:rsidTr="00926AC4">
        <w:trPr>
          <w:trHeight w:val="97"/>
        </w:trPr>
        <w:tc>
          <w:tcPr>
            <w:tcW w:w="5552" w:type="dxa"/>
            <w:shd w:val="clear" w:color="auto" w:fill="auto"/>
            <w:vAlign w:val="bottom"/>
            <w:hideMark/>
          </w:tcPr>
          <w:p w:rsidR="001E6FBD" w:rsidRPr="001E6FBD" w:rsidRDefault="001E6FBD" w:rsidP="00F57822">
            <w:pPr>
              <w:rPr>
                <w:i/>
                <w:iCs/>
                <w:sz w:val="20"/>
                <w:szCs w:val="20"/>
              </w:rPr>
            </w:pPr>
            <w:r w:rsidRPr="001E6FBD">
              <w:rPr>
                <w:i/>
                <w:iCs/>
                <w:sz w:val="20"/>
                <w:szCs w:val="20"/>
              </w:rPr>
              <w:t>привлечение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9 000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16 200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11 900</w:t>
            </w:r>
          </w:p>
        </w:tc>
      </w:tr>
      <w:tr w:rsidR="001E6FBD" w:rsidRPr="00A57982" w:rsidTr="00926AC4">
        <w:trPr>
          <w:trHeight w:val="136"/>
        </w:trPr>
        <w:tc>
          <w:tcPr>
            <w:tcW w:w="5552" w:type="dxa"/>
            <w:shd w:val="clear" w:color="auto" w:fill="auto"/>
            <w:vAlign w:val="bottom"/>
            <w:hideMark/>
          </w:tcPr>
          <w:p w:rsidR="001E6FBD" w:rsidRPr="001E6FBD" w:rsidRDefault="001E6FBD" w:rsidP="00F57822">
            <w:pPr>
              <w:rPr>
                <w:i/>
                <w:iCs/>
                <w:sz w:val="20"/>
                <w:szCs w:val="20"/>
              </w:rPr>
            </w:pPr>
            <w:r w:rsidRPr="001E6FBD">
              <w:rPr>
                <w:i/>
                <w:iCs/>
                <w:sz w:val="20"/>
                <w:szCs w:val="20"/>
              </w:rPr>
              <w:t>погашение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6 000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17 811,4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9156F3" w:rsidP="0091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11 100</w:t>
            </w:r>
          </w:p>
        </w:tc>
      </w:tr>
      <w:tr w:rsidR="001E6FBD" w:rsidRPr="00A57982" w:rsidTr="00926AC4">
        <w:trPr>
          <w:trHeight w:val="168"/>
        </w:trPr>
        <w:tc>
          <w:tcPr>
            <w:tcW w:w="5552" w:type="dxa"/>
            <w:shd w:val="clear" w:color="000000" w:fill="DBE5F1"/>
            <w:vAlign w:val="bottom"/>
            <w:hideMark/>
          </w:tcPr>
          <w:p w:rsidR="001E6FBD" w:rsidRPr="00B76FB2" w:rsidRDefault="001E6FBD" w:rsidP="00F57822">
            <w:pPr>
              <w:rPr>
                <w:b/>
                <w:sz w:val="20"/>
                <w:szCs w:val="20"/>
              </w:rPr>
            </w:pPr>
            <w:r w:rsidRPr="00B76FB2">
              <w:rPr>
                <w:b/>
                <w:sz w:val="20"/>
                <w:szCs w:val="20"/>
              </w:rPr>
              <w:t>Бюджетные кредиты</w:t>
            </w:r>
          </w:p>
        </w:tc>
        <w:tc>
          <w:tcPr>
            <w:tcW w:w="1417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-1 069,4</w:t>
            </w:r>
          </w:p>
        </w:tc>
        <w:tc>
          <w:tcPr>
            <w:tcW w:w="1276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-2 138,9</w:t>
            </w:r>
          </w:p>
        </w:tc>
        <w:tc>
          <w:tcPr>
            <w:tcW w:w="1276" w:type="dxa"/>
            <w:shd w:val="clear" w:color="000000" w:fill="DBE5F1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-4 277,7</w:t>
            </w:r>
          </w:p>
        </w:tc>
      </w:tr>
      <w:tr w:rsidR="001E6FBD" w:rsidRPr="00A57982" w:rsidTr="00926AC4">
        <w:trPr>
          <w:trHeight w:val="214"/>
        </w:trPr>
        <w:tc>
          <w:tcPr>
            <w:tcW w:w="5552" w:type="dxa"/>
            <w:shd w:val="clear" w:color="auto" w:fill="auto"/>
            <w:vAlign w:val="bottom"/>
            <w:hideMark/>
          </w:tcPr>
          <w:p w:rsidR="001E6FBD" w:rsidRPr="001E6FBD" w:rsidRDefault="001E6FBD" w:rsidP="00F57822">
            <w:pPr>
              <w:rPr>
                <w:i/>
                <w:iCs/>
                <w:sz w:val="20"/>
                <w:szCs w:val="20"/>
              </w:rPr>
            </w:pPr>
            <w:r w:rsidRPr="001E6FBD">
              <w:rPr>
                <w:i/>
                <w:iCs/>
                <w:sz w:val="20"/>
                <w:szCs w:val="20"/>
              </w:rPr>
              <w:t>привлечение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9156F3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5 000</w:t>
            </w:r>
          </w:p>
        </w:tc>
      </w:tr>
      <w:tr w:rsidR="001E6FBD" w:rsidRPr="00A57982" w:rsidTr="00926AC4">
        <w:trPr>
          <w:trHeight w:val="49"/>
        </w:trPr>
        <w:tc>
          <w:tcPr>
            <w:tcW w:w="5552" w:type="dxa"/>
            <w:shd w:val="clear" w:color="auto" w:fill="auto"/>
            <w:vAlign w:val="bottom"/>
            <w:hideMark/>
          </w:tcPr>
          <w:p w:rsidR="001E6FBD" w:rsidRPr="001E6FBD" w:rsidRDefault="001E6FBD" w:rsidP="00F57822">
            <w:pPr>
              <w:rPr>
                <w:i/>
                <w:iCs/>
                <w:sz w:val="20"/>
                <w:szCs w:val="20"/>
              </w:rPr>
            </w:pPr>
            <w:r w:rsidRPr="001E6FBD">
              <w:rPr>
                <w:i/>
                <w:iCs/>
                <w:sz w:val="20"/>
                <w:szCs w:val="20"/>
              </w:rPr>
              <w:t>погашение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6 069,4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7 138,9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E6FBD" w:rsidRPr="001E6FBD" w:rsidRDefault="001E6FBD" w:rsidP="001E6FBD">
            <w:pPr>
              <w:jc w:val="center"/>
              <w:rPr>
                <w:sz w:val="20"/>
                <w:szCs w:val="20"/>
              </w:rPr>
            </w:pPr>
            <w:r w:rsidRPr="001E6FBD">
              <w:rPr>
                <w:sz w:val="20"/>
                <w:szCs w:val="20"/>
              </w:rPr>
              <w:t>9 277,7</w:t>
            </w:r>
          </w:p>
        </w:tc>
      </w:tr>
    </w:tbl>
    <w:p w:rsidR="001E6FBD" w:rsidRPr="00A57982" w:rsidRDefault="00926AC4" w:rsidP="001E6FBD">
      <w:pPr>
        <w:ind w:firstLine="680"/>
        <w:jc w:val="both"/>
      </w:pPr>
      <w:r>
        <w:t xml:space="preserve"> </w:t>
      </w:r>
      <w:r w:rsidR="001E6FBD" w:rsidRPr="00A57982">
        <w:t xml:space="preserve">Как видно из представленных данных, в </w:t>
      </w:r>
      <w:r w:rsidR="00874564">
        <w:t>з</w:t>
      </w:r>
      <w:r w:rsidR="001E6FBD">
        <w:t>аконопроекте</w:t>
      </w:r>
      <w:r w:rsidR="001E6FBD" w:rsidRPr="00A57982">
        <w:t xml:space="preserve"> не предусмотрено получение в 2019-2021 годах бюджетных кредитов за исключением бюджетных кредитов на пополнение остатков средств на счетах бюджетов по 5000 млн. руб. ежегодно (для </w:t>
      </w:r>
      <w:r w:rsidR="001E6FBD" w:rsidRPr="00A57982">
        <w:lastRenderedPageBreak/>
        <w:t>финансирования кассовых разрывов). В соответствии со сложившейся политикой Минфина Р</w:t>
      </w:r>
      <w:r w:rsidR="00562E15">
        <w:t>Ф</w:t>
      </w:r>
      <w:r w:rsidR="001E6FBD" w:rsidRPr="00A57982">
        <w:t xml:space="preserve"> бюджетные кредиты бюджетам субъектов РФ включаются в закон о бюджете после принятия соответствующего решения о его выделении.</w:t>
      </w:r>
    </w:p>
    <w:p w:rsidR="001E6FBD" w:rsidRPr="00A57982" w:rsidRDefault="001E6FBD" w:rsidP="001E6FBD">
      <w:pPr>
        <w:ind w:firstLine="680"/>
        <w:jc w:val="both"/>
      </w:pPr>
      <w:r w:rsidRPr="00A57982">
        <w:t>Основным видом привлечения заимствований в 2019-2021 годах планируется получение кредитов коммерческих банков.</w:t>
      </w:r>
      <w:r>
        <w:t xml:space="preserve"> Сложившаяся в последнее время практика заимствований показала, что привлечение банковских кредитов более выгодно, чем выпуск ценных бумаг.</w:t>
      </w:r>
      <w:r w:rsidRPr="00D55175">
        <w:t xml:space="preserve"> </w:t>
      </w:r>
      <w:r w:rsidRPr="00A57982">
        <w:t>Так, по размещенным в июне 2017 года облигациям купонная ставка дохода (процент) составила 9,4% с постепенным снижением в течение 7 лет до 7,9 процента. По состоянию на 06.10.2018 процентная ставка по указанному выпуску облигаций составля</w:t>
      </w:r>
      <w:r>
        <w:t xml:space="preserve">ла </w:t>
      </w:r>
      <w:r w:rsidRPr="00A57982">
        <w:t xml:space="preserve"> 9,15 процент</w:t>
      </w:r>
      <w:r>
        <w:t>а</w:t>
      </w:r>
      <w:r w:rsidRPr="00A57982">
        <w:t xml:space="preserve">. В 2018 году облигации Волгоградской области не выпускались. По планируемым к привлечению в 2019-2021 годах коммерческим кредитам (согласно </w:t>
      </w:r>
      <w:r w:rsidR="00BD6F47">
        <w:t xml:space="preserve">представленным к законопроекту </w:t>
      </w:r>
      <w:r w:rsidRPr="00A57982">
        <w:t>расчетам на обслуживание госдолга) средняя процентная ставка составляет 8,5 процента. Таким образом, процентные ставки по находящимся в обращении ценным бумагам Волгоградской области на настоящий момент выше, чем проценты по коммерческим кредитам. При этом следует учитывать, что кредиты являются более «гибким» долговым инструментом</w:t>
      </w:r>
      <w:r w:rsidR="00F57822">
        <w:t>, так как</w:t>
      </w:r>
      <w:r w:rsidRPr="00A57982">
        <w:t xml:space="preserve"> их привлечение осуществляется по мере потребности, а </w:t>
      </w:r>
      <w:proofErr w:type="gramStart"/>
      <w:r w:rsidRPr="00A57982">
        <w:t>погашение</w:t>
      </w:r>
      <w:proofErr w:type="gramEnd"/>
      <w:r w:rsidRPr="00A57982">
        <w:t xml:space="preserve"> возможно производить досрочно по мере наличия средств в бюджете, в том числе и за счет выделяемых в течение года бюджетных кредитов. Данное обстоятельство позволяет иметь определенную экономию </w:t>
      </w:r>
      <w:r w:rsidR="0084129D">
        <w:t>в течение</w:t>
      </w:r>
      <w:r w:rsidRPr="00A57982">
        <w:t xml:space="preserve"> пользования заемными средствами.</w:t>
      </w:r>
    </w:p>
    <w:p w:rsidR="001E6FBD" w:rsidRPr="00A57982" w:rsidRDefault="001E6FBD" w:rsidP="001E6FBD">
      <w:pPr>
        <w:ind w:firstLine="680"/>
        <w:jc w:val="both"/>
      </w:pPr>
      <w:r w:rsidRPr="00A57982">
        <w:t xml:space="preserve">Параметры областного бюджета, прогнозируемые на 2018 год и предусмотренные </w:t>
      </w:r>
      <w:r w:rsidR="00F57822">
        <w:t>з</w:t>
      </w:r>
      <w:r w:rsidRPr="00A57982">
        <w:t>аконопроектом на 2019-2021 годы</w:t>
      </w:r>
      <w:r w:rsidR="00F57822">
        <w:t>,</w:t>
      </w:r>
      <w:r w:rsidRPr="00A57982">
        <w:t xml:space="preserve"> представлены в следующей таблице.</w:t>
      </w:r>
    </w:p>
    <w:p w:rsidR="001E6FBD" w:rsidRPr="00874564" w:rsidRDefault="001E6FBD" w:rsidP="001E6FBD">
      <w:pPr>
        <w:ind w:firstLine="708"/>
        <w:jc w:val="center"/>
        <w:rPr>
          <w:sz w:val="22"/>
          <w:szCs w:val="22"/>
        </w:rPr>
      </w:pPr>
      <w:r>
        <w:rPr>
          <w:i/>
        </w:rPr>
        <w:t xml:space="preserve">                                                                                                         </w:t>
      </w:r>
      <w:r w:rsidR="00874564">
        <w:t xml:space="preserve">          </w:t>
      </w:r>
      <w:r w:rsidRPr="00874564">
        <w:rPr>
          <w:sz w:val="22"/>
          <w:szCs w:val="22"/>
        </w:rPr>
        <w:t>млн. руб.</w:t>
      </w:r>
    </w:p>
    <w:tbl>
      <w:tblPr>
        <w:tblW w:w="9512" w:type="dxa"/>
        <w:tblInd w:w="94" w:type="dxa"/>
        <w:tblLook w:val="04A0"/>
      </w:tblPr>
      <w:tblGrid>
        <w:gridCol w:w="3983"/>
        <w:gridCol w:w="1400"/>
        <w:gridCol w:w="1400"/>
        <w:gridCol w:w="1320"/>
        <w:gridCol w:w="1409"/>
      </w:tblGrid>
      <w:tr w:rsidR="001E6FBD" w:rsidRPr="00513DD5" w:rsidTr="00874564">
        <w:trPr>
          <w:trHeight w:val="357"/>
        </w:trPr>
        <w:tc>
          <w:tcPr>
            <w:tcW w:w="398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noWrap/>
            <w:hideMark/>
          </w:tcPr>
          <w:p w:rsidR="001E6FBD" w:rsidRPr="008C2719" w:rsidRDefault="001E6FBD" w:rsidP="00F57822">
            <w:pPr>
              <w:jc w:val="center"/>
              <w:rPr>
                <w:b/>
                <w:sz w:val="20"/>
                <w:szCs w:val="20"/>
              </w:rPr>
            </w:pPr>
            <w:r w:rsidRPr="008C2719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noWrap/>
            <w:hideMark/>
          </w:tcPr>
          <w:p w:rsidR="001E6FBD" w:rsidRPr="008C2719" w:rsidRDefault="001E6FBD" w:rsidP="00F57822">
            <w:pPr>
              <w:jc w:val="center"/>
              <w:rPr>
                <w:b/>
                <w:sz w:val="20"/>
                <w:szCs w:val="20"/>
              </w:rPr>
            </w:pPr>
            <w:r w:rsidRPr="008C2719">
              <w:rPr>
                <w:b/>
                <w:sz w:val="20"/>
                <w:szCs w:val="20"/>
              </w:rPr>
              <w:t>01.01.2019</w:t>
            </w:r>
          </w:p>
        </w:tc>
        <w:tc>
          <w:tcPr>
            <w:tcW w:w="1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noWrap/>
            <w:hideMark/>
          </w:tcPr>
          <w:p w:rsidR="001E6FBD" w:rsidRPr="008C2719" w:rsidRDefault="001E6FBD" w:rsidP="00F57822">
            <w:pPr>
              <w:jc w:val="center"/>
              <w:rPr>
                <w:b/>
                <w:sz w:val="20"/>
                <w:szCs w:val="20"/>
              </w:rPr>
            </w:pPr>
            <w:r w:rsidRPr="008C2719">
              <w:rPr>
                <w:b/>
                <w:sz w:val="20"/>
                <w:szCs w:val="20"/>
              </w:rPr>
              <w:t>01.01.2020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noWrap/>
            <w:hideMark/>
          </w:tcPr>
          <w:p w:rsidR="001E6FBD" w:rsidRPr="008C2719" w:rsidRDefault="001E6FBD" w:rsidP="00F57822">
            <w:pPr>
              <w:jc w:val="center"/>
              <w:rPr>
                <w:b/>
                <w:sz w:val="20"/>
                <w:szCs w:val="20"/>
              </w:rPr>
            </w:pPr>
            <w:r w:rsidRPr="008C2719">
              <w:rPr>
                <w:b/>
                <w:sz w:val="20"/>
                <w:szCs w:val="20"/>
              </w:rPr>
              <w:t>01.01.2021</w:t>
            </w:r>
          </w:p>
        </w:tc>
        <w:tc>
          <w:tcPr>
            <w:tcW w:w="14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AF1DD" w:themeFill="accent3" w:themeFillTint="33"/>
            <w:noWrap/>
            <w:hideMark/>
          </w:tcPr>
          <w:p w:rsidR="001E6FBD" w:rsidRPr="008C2719" w:rsidRDefault="001E6FBD" w:rsidP="00F57822">
            <w:pPr>
              <w:jc w:val="center"/>
              <w:rPr>
                <w:b/>
                <w:sz w:val="20"/>
                <w:szCs w:val="20"/>
              </w:rPr>
            </w:pPr>
            <w:r w:rsidRPr="008C2719">
              <w:rPr>
                <w:b/>
                <w:sz w:val="20"/>
                <w:szCs w:val="20"/>
              </w:rPr>
              <w:t>01.01.2022</w:t>
            </w:r>
          </w:p>
        </w:tc>
      </w:tr>
      <w:tr w:rsidR="001E6FBD" w:rsidRPr="00DA7843" w:rsidTr="00874564">
        <w:trPr>
          <w:trHeight w:val="206"/>
        </w:trPr>
        <w:tc>
          <w:tcPr>
            <w:tcW w:w="39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74564" w:rsidRDefault="001E6FBD" w:rsidP="00F57822">
            <w:pPr>
              <w:rPr>
                <w:sz w:val="20"/>
                <w:szCs w:val="20"/>
              </w:rPr>
            </w:pPr>
            <w:r w:rsidRPr="0087456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66 819,7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71 651,6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76 868,4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84 339,1</w:t>
            </w:r>
          </w:p>
        </w:tc>
      </w:tr>
      <w:tr w:rsidR="001E6FBD" w:rsidRPr="00DA7843" w:rsidTr="00874564">
        <w:trPr>
          <w:trHeight w:val="225"/>
        </w:trPr>
        <w:tc>
          <w:tcPr>
            <w:tcW w:w="39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74564" w:rsidRDefault="001E6FBD" w:rsidP="00F57822">
            <w:pPr>
              <w:rPr>
                <w:sz w:val="20"/>
                <w:szCs w:val="20"/>
              </w:rPr>
            </w:pPr>
            <w:r w:rsidRPr="00874564">
              <w:rPr>
                <w:sz w:val="20"/>
                <w:szCs w:val="20"/>
              </w:rPr>
              <w:t>Верхний предел госдолга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53 289,7*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52 742,1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52 435,0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51 957,2</w:t>
            </w:r>
          </w:p>
        </w:tc>
      </w:tr>
      <w:tr w:rsidR="001E6FBD" w:rsidRPr="00DA7843" w:rsidTr="00874564">
        <w:trPr>
          <w:trHeight w:val="384"/>
        </w:trPr>
        <w:tc>
          <w:tcPr>
            <w:tcW w:w="39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74564" w:rsidRDefault="001E6FBD" w:rsidP="00F57822">
            <w:pPr>
              <w:rPr>
                <w:sz w:val="20"/>
                <w:szCs w:val="20"/>
              </w:rPr>
            </w:pPr>
            <w:r w:rsidRPr="00874564">
              <w:rPr>
                <w:sz w:val="20"/>
                <w:szCs w:val="20"/>
              </w:rPr>
              <w:t>Долг к доходам без учета безвозмездных поступлений</w:t>
            </w:r>
            <w:r w:rsidR="003C20A2">
              <w:rPr>
                <w:sz w:val="20"/>
                <w:szCs w:val="20"/>
              </w:rPr>
              <w:t>,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1E6FBD" w:rsidRPr="00DA7843" w:rsidTr="00874564">
        <w:trPr>
          <w:trHeight w:val="420"/>
        </w:trPr>
        <w:tc>
          <w:tcPr>
            <w:tcW w:w="398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74564" w:rsidRDefault="001E6FBD" w:rsidP="00F57822">
            <w:pPr>
              <w:rPr>
                <w:sz w:val="20"/>
                <w:szCs w:val="20"/>
              </w:rPr>
            </w:pPr>
            <w:r w:rsidRPr="00874564">
              <w:rPr>
                <w:sz w:val="20"/>
                <w:szCs w:val="20"/>
              </w:rPr>
              <w:t xml:space="preserve">Коммерческие заимствования к </w:t>
            </w:r>
            <w:proofErr w:type="gramStart"/>
            <w:r w:rsidRPr="00874564">
              <w:rPr>
                <w:sz w:val="20"/>
                <w:szCs w:val="20"/>
              </w:rPr>
              <w:t>налоговым</w:t>
            </w:r>
            <w:proofErr w:type="gramEnd"/>
            <w:r w:rsidRPr="00874564">
              <w:rPr>
                <w:sz w:val="20"/>
                <w:szCs w:val="20"/>
              </w:rPr>
              <w:t xml:space="preserve"> и неналоговым</w:t>
            </w:r>
            <w:r w:rsidR="003C20A2">
              <w:rPr>
                <w:sz w:val="20"/>
                <w:szCs w:val="20"/>
              </w:rPr>
              <w:t>,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E6FBD" w:rsidRPr="00874564" w:rsidRDefault="001E6FBD" w:rsidP="003C20A2">
            <w:pPr>
              <w:jc w:val="center"/>
              <w:rPr>
                <w:color w:val="000000"/>
                <w:sz w:val="20"/>
                <w:szCs w:val="20"/>
              </w:rPr>
            </w:pPr>
            <w:r w:rsidRPr="00874564">
              <w:rPr>
                <w:color w:val="000000"/>
                <w:sz w:val="20"/>
                <w:szCs w:val="20"/>
              </w:rPr>
              <w:t>44</w:t>
            </w:r>
          </w:p>
        </w:tc>
      </w:tr>
    </w:tbl>
    <w:p w:rsidR="001E6FBD" w:rsidRPr="0040365E" w:rsidRDefault="001E6FBD" w:rsidP="001E6FBD">
      <w:pPr>
        <w:ind w:firstLine="680"/>
        <w:jc w:val="both"/>
        <w:rPr>
          <w:sz w:val="20"/>
          <w:szCs w:val="20"/>
        </w:rPr>
      </w:pPr>
      <w:r w:rsidRPr="0040365E">
        <w:rPr>
          <w:sz w:val="20"/>
          <w:szCs w:val="20"/>
        </w:rPr>
        <w:t>*верхний предел государственного долга на 01.01.2019 выше утвержденного законом об областном бюджете на 2018 год на 176,2 млн. руб. в связи с изменением сроков погашения кредитов ООО «</w:t>
      </w:r>
      <w:proofErr w:type="spellStart"/>
      <w:r w:rsidRPr="0040365E">
        <w:rPr>
          <w:sz w:val="20"/>
          <w:szCs w:val="20"/>
        </w:rPr>
        <w:t>ТопАгро</w:t>
      </w:r>
      <w:proofErr w:type="spellEnd"/>
      <w:r w:rsidRPr="0040365E">
        <w:rPr>
          <w:sz w:val="20"/>
          <w:szCs w:val="20"/>
        </w:rPr>
        <w:t>».</w:t>
      </w:r>
    </w:p>
    <w:p w:rsidR="001E6FBD" w:rsidRDefault="001E6FBD" w:rsidP="001E6FBD">
      <w:pPr>
        <w:ind w:firstLine="680"/>
        <w:jc w:val="both"/>
      </w:pPr>
    </w:p>
    <w:p w:rsidR="001E6FBD" w:rsidRPr="0040365E" w:rsidRDefault="001E6FBD" w:rsidP="001E6FBD">
      <w:pPr>
        <w:ind w:firstLine="680"/>
        <w:jc w:val="both"/>
      </w:pPr>
      <w:r w:rsidRPr="0040365E">
        <w:t xml:space="preserve">Как видно из представленных данных, государственный долг Волгоградской области по отношению к налоговым и неналоговым доходам сокращается </w:t>
      </w:r>
      <w:r w:rsidR="00F57822">
        <w:t xml:space="preserve">- </w:t>
      </w:r>
      <w:r w:rsidRPr="0040365E">
        <w:t>с 79,8%  по итогам 2018 года до 61,6% по итогам 2021 года</w:t>
      </w:r>
      <w:r w:rsidR="00F57822">
        <w:t>, что обусловлено</w:t>
      </w:r>
      <w:r w:rsidRPr="0040365E">
        <w:t xml:space="preserve"> рост</w:t>
      </w:r>
      <w:r w:rsidR="00F57822">
        <w:t>ом</w:t>
      </w:r>
      <w:r w:rsidRPr="0040365E">
        <w:t xml:space="preserve"> налоговых и неналоговых доходов и отсутстви</w:t>
      </w:r>
      <w:r w:rsidR="00F57822">
        <w:t>ем</w:t>
      </w:r>
      <w:r w:rsidRPr="0040365E">
        <w:t xml:space="preserve"> роста государственного долга. Указанные параметры не превышают ограничение, установленное ст</w:t>
      </w:r>
      <w:r w:rsidR="00476473">
        <w:t xml:space="preserve">атьей </w:t>
      </w:r>
      <w:r w:rsidRPr="0040365E">
        <w:t>107 БК РФ на уровне 100 процентов.</w:t>
      </w:r>
    </w:p>
    <w:p w:rsidR="001E6FBD" w:rsidRPr="0040365E" w:rsidRDefault="001E6FBD" w:rsidP="001E6FBD">
      <w:pPr>
        <w:ind w:firstLine="680"/>
        <w:jc w:val="both"/>
      </w:pPr>
      <w:r w:rsidRPr="0040365E">
        <w:t xml:space="preserve">Также необходимо отметить, что в декабре 2017 года Волгоградской областью подписаны соглашения о реструктуризации ранее полученных бюджетных кредитов. Одними из условий соглашений является сокращение государственного долга Волгоградской области в пределах 88% от доходов бюджета без учета безвозмездных поступлений по итогам 2018 года и в пределах 71% по итогам 2021 года. Также соглашением предусмотрено ограничение по коммерческим заимствованиям – на уровне не более 50% доходов бюджета без учета безвозмездных поступлений. Как видно из </w:t>
      </w:r>
      <w:r w:rsidR="00F57822">
        <w:t>выше</w:t>
      </w:r>
      <w:r w:rsidRPr="0040365E">
        <w:t>приведенных данных</w:t>
      </w:r>
      <w:r w:rsidR="00F57822">
        <w:t>,</w:t>
      </w:r>
      <w:r w:rsidRPr="0040365E">
        <w:t xml:space="preserve"> эти ограничения Волгоградской областью соблюдены.</w:t>
      </w:r>
    </w:p>
    <w:p w:rsidR="007430AD" w:rsidRDefault="007430AD" w:rsidP="001E6FBD">
      <w:pPr>
        <w:jc w:val="center"/>
        <w:rPr>
          <w:b/>
          <w:i/>
          <w:color w:val="0070C0"/>
          <w:sz w:val="28"/>
          <w:szCs w:val="28"/>
        </w:rPr>
      </w:pPr>
    </w:p>
    <w:p w:rsidR="001E6FBD" w:rsidRPr="00F243DE" w:rsidRDefault="001E6FBD" w:rsidP="001E6FBD">
      <w:pPr>
        <w:jc w:val="center"/>
        <w:rPr>
          <w:b/>
          <w:i/>
          <w:u w:val="single"/>
        </w:rPr>
      </w:pPr>
      <w:r w:rsidRPr="00F243DE">
        <w:rPr>
          <w:b/>
          <w:i/>
          <w:u w:val="single"/>
        </w:rPr>
        <w:t>Верхний предел государственного внутреннего долга Волгоградской области</w:t>
      </w:r>
    </w:p>
    <w:p w:rsidR="001E6FBD" w:rsidRPr="0028310F" w:rsidRDefault="001E6FBD" w:rsidP="001E6FBD">
      <w:pPr>
        <w:ind w:firstLine="708"/>
        <w:jc w:val="center"/>
        <w:rPr>
          <w:b/>
          <w:i/>
        </w:rPr>
      </w:pPr>
      <w:r w:rsidRPr="00F243DE">
        <w:rPr>
          <w:b/>
          <w:i/>
          <w:u w:val="single"/>
        </w:rPr>
        <w:t>с указанием верхнего предела по государственным гарантиям</w:t>
      </w:r>
      <w:r w:rsidRPr="0028310F">
        <w:rPr>
          <w:b/>
          <w:i/>
        </w:rPr>
        <w:t>.</w:t>
      </w:r>
    </w:p>
    <w:p w:rsidR="00F1541B" w:rsidRDefault="00F1541B" w:rsidP="001E6FBD">
      <w:pPr>
        <w:ind w:firstLine="680"/>
        <w:jc w:val="both"/>
      </w:pPr>
    </w:p>
    <w:p w:rsidR="001E6FBD" w:rsidRPr="0028310F" w:rsidRDefault="001E6FBD" w:rsidP="001E6FBD">
      <w:pPr>
        <w:ind w:firstLine="680"/>
        <w:jc w:val="both"/>
      </w:pPr>
      <w:proofErr w:type="gramStart"/>
      <w:r w:rsidRPr="0028310F">
        <w:t xml:space="preserve">Согласно Основным направлениям бюджетной </w:t>
      </w:r>
      <w:r>
        <w:t xml:space="preserve">и налоговой политики </w:t>
      </w:r>
      <w:r w:rsidRPr="0028310F">
        <w:t xml:space="preserve">Волгоградской области на 2019 год и на плановый период 2020 и 2021 годов долговая политика Волгоградской области в 2019-2021 годах будет основываться на принципах безусловного </w:t>
      </w:r>
      <w:r w:rsidRPr="0028310F">
        <w:lastRenderedPageBreak/>
        <w:t>исполнения взятых на себя регионом обязательств по погашению и обслуживанию заемных средств в полном объеме и в установленные сроки.</w:t>
      </w:r>
      <w:proofErr w:type="gramEnd"/>
    </w:p>
    <w:p w:rsidR="001E6FBD" w:rsidRPr="0028310F" w:rsidRDefault="001E6FBD" w:rsidP="001E6FBD">
      <w:pPr>
        <w:ind w:firstLine="680"/>
        <w:jc w:val="both"/>
      </w:pPr>
      <w:r w:rsidRPr="0028310F">
        <w:t>Для достижения поставленной цели на предстоящий период  предусмотрено:</w:t>
      </w:r>
    </w:p>
    <w:p w:rsidR="001E6FBD" w:rsidRPr="0028310F" w:rsidRDefault="001E6FBD" w:rsidP="001E6FBD">
      <w:pPr>
        <w:ind w:firstLine="680"/>
        <w:jc w:val="both"/>
      </w:pPr>
      <w:r w:rsidRPr="0028310F">
        <w:t>-проводить максимально гибкую политику заимствований, позволяющую оперативно заменить одни долговые инструменты другими в зависимости от изменения условий на финансовых рынках в интересах областного бюджета;</w:t>
      </w:r>
    </w:p>
    <w:p w:rsidR="001E6FBD" w:rsidRPr="0028310F" w:rsidRDefault="001E6FBD" w:rsidP="001E6FBD">
      <w:pPr>
        <w:ind w:firstLine="680"/>
        <w:jc w:val="both"/>
      </w:pPr>
      <w:r w:rsidRPr="0028310F">
        <w:t>-соблюдать условия Соглашений с Министерством финансов РФ по предоставленным бюджету области бюджетным кредитам из федерального бюджета;</w:t>
      </w:r>
    </w:p>
    <w:p w:rsidR="001E6FBD" w:rsidRPr="0028310F" w:rsidRDefault="001E6FBD" w:rsidP="001E6FBD">
      <w:pPr>
        <w:ind w:firstLine="680"/>
        <w:jc w:val="both"/>
      </w:pPr>
      <w:r w:rsidRPr="0028310F">
        <w:t>-сохранять мораторий на предоставление новых государственных гарантий Волгоградской области.</w:t>
      </w:r>
    </w:p>
    <w:p w:rsidR="001E6FBD" w:rsidRPr="0028310F" w:rsidRDefault="001E6FBD" w:rsidP="001E6FBD">
      <w:pPr>
        <w:ind w:firstLine="680"/>
        <w:jc w:val="both"/>
      </w:pPr>
      <w:r w:rsidRPr="0028310F">
        <w:t>Предельный объем государственного долга Волгоградской области на 2019-2021 годы планируется в размере 70000 млн. руб. в 2019 году, 75000 млн. руб. в 2020 году и 80000 млн. руб. в 202</w:t>
      </w:r>
      <w:r>
        <w:t>1</w:t>
      </w:r>
      <w:r w:rsidRPr="0028310F">
        <w:t xml:space="preserve"> году. Размеры предельных объемов долга к объемам доходов областного бюджета без учета безвозмездных поступлений составляют по годам соответственно 97,7%, 97,6% и 94,9 процента. </w:t>
      </w:r>
    </w:p>
    <w:p w:rsidR="001E6FBD" w:rsidRPr="0028310F" w:rsidRDefault="001E6FBD" w:rsidP="001E6FBD">
      <w:pPr>
        <w:ind w:firstLine="680"/>
        <w:jc w:val="both"/>
      </w:pPr>
      <w:r w:rsidRPr="0028310F">
        <w:t>Планируемые размеры предельных объемов госдолга не превышают предельного значения, установленного пунктом 2 статьи 107 БК РФ, - утвержденный общий годовой объем доходов бюджета без учета утвержденного объема безвозмездных поступлений.</w:t>
      </w:r>
    </w:p>
    <w:p w:rsidR="001E6FBD" w:rsidRPr="0028310F" w:rsidRDefault="001E6FBD" w:rsidP="001E6FBD">
      <w:pPr>
        <w:ind w:firstLine="680"/>
        <w:jc w:val="both"/>
      </w:pPr>
      <w:r w:rsidRPr="0028310F">
        <w:t xml:space="preserve">Исходя из сложившегося государственного внутреннего долга на 01.01.2018, прогноза государственного долга </w:t>
      </w:r>
      <w:proofErr w:type="gramStart"/>
      <w:r w:rsidRPr="0028310F">
        <w:t>на конец</w:t>
      </w:r>
      <w:proofErr w:type="gramEnd"/>
      <w:r w:rsidRPr="0028310F">
        <w:t xml:space="preserve"> 2018 года и программ заимствований на 2019-2021 годы произведен расчет государственного долга Волгоградской области до конца 2021 года. Динамика рассчитанного государственного внутреннего долга по видам долговых обязательств и структура долга по видам заимствований представлена в таблице</w:t>
      </w:r>
      <w:r w:rsidR="001E44DE">
        <w:t>:</w:t>
      </w:r>
      <w:r w:rsidRPr="0028310F">
        <w:t xml:space="preserve"> </w:t>
      </w:r>
    </w:p>
    <w:p w:rsidR="001E6FBD" w:rsidRPr="00874564" w:rsidRDefault="001E6FBD" w:rsidP="001E6FBD">
      <w:pPr>
        <w:ind w:firstLine="720"/>
        <w:jc w:val="right"/>
        <w:rPr>
          <w:sz w:val="22"/>
          <w:szCs w:val="22"/>
        </w:rPr>
      </w:pPr>
      <w:r w:rsidRPr="00874564">
        <w:rPr>
          <w:sz w:val="22"/>
          <w:szCs w:val="22"/>
        </w:rPr>
        <w:t>млн. руб.</w:t>
      </w:r>
    </w:p>
    <w:tbl>
      <w:tblPr>
        <w:tblW w:w="10065" w:type="dxa"/>
        <w:tblInd w:w="-34" w:type="dxa"/>
        <w:tblLayout w:type="fixed"/>
        <w:tblLook w:val="04A0"/>
      </w:tblPr>
      <w:tblGrid>
        <w:gridCol w:w="1843"/>
        <w:gridCol w:w="851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</w:tblGrid>
      <w:tr w:rsidR="001E6FBD" w:rsidRPr="00854309" w:rsidTr="00874564">
        <w:trPr>
          <w:trHeight w:val="274"/>
        </w:trPr>
        <w:tc>
          <w:tcPr>
            <w:tcW w:w="184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20"/>
                <w:szCs w:val="20"/>
              </w:rPr>
            </w:pPr>
            <w:r w:rsidRPr="00854309">
              <w:rPr>
                <w:b/>
                <w:bCs/>
                <w:sz w:val="20"/>
                <w:szCs w:val="20"/>
              </w:rPr>
              <w:t>Вид обязательств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01.01.2017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01.01.2018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01.01.2019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01.01.2020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01.01.2021</w:t>
            </w:r>
          </w:p>
        </w:tc>
      </w:tr>
      <w:tr w:rsidR="001E6FBD" w:rsidRPr="00854309" w:rsidTr="00476473">
        <w:trPr>
          <w:trHeight w:val="495"/>
        </w:trPr>
        <w:tc>
          <w:tcPr>
            <w:tcW w:w="184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 xml:space="preserve">сумма      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 xml:space="preserve">сумма      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доля, 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 xml:space="preserve">сумма      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доля, 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 xml:space="preserve">сумма      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доля, 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 xml:space="preserve">сумма      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6FBD" w:rsidRPr="00854309" w:rsidRDefault="001E6FBD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54309">
              <w:rPr>
                <w:b/>
                <w:bCs/>
                <w:sz w:val="18"/>
                <w:szCs w:val="18"/>
              </w:rPr>
              <w:t>доля, %</w:t>
            </w:r>
          </w:p>
        </w:tc>
      </w:tr>
      <w:tr w:rsidR="001E6FBD" w:rsidRPr="00854309" w:rsidTr="00476473">
        <w:trPr>
          <w:trHeight w:val="555"/>
        </w:trPr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54309" w:rsidRDefault="001E6FBD" w:rsidP="00F57822">
            <w:pPr>
              <w:rPr>
                <w:sz w:val="20"/>
                <w:szCs w:val="20"/>
              </w:rPr>
            </w:pPr>
            <w:r w:rsidRPr="00854309">
              <w:rPr>
                <w:sz w:val="20"/>
                <w:szCs w:val="20"/>
              </w:rPr>
              <w:t>Государственные ценные бумаги по номинальной стоимости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17350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13250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left="-142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11250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hanging="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18000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874564">
            <w:pPr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34,6</w:t>
            </w:r>
          </w:p>
        </w:tc>
      </w:tr>
      <w:tr w:rsidR="001E6FBD" w:rsidRPr="00854309" w:rsidTr="00476473">
        <w:trPr>
          <w:trHeight w:val="315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54309" w:rsidRDefault="001E6FBD" w:rsidP="00F57822">
            <w:pPr>
              <w:rPr>
                <w:sz w:val="20"/>
                <w:szCs w:val="20"/>
              </w:rPr>
            </w:pPr>
            <w:r w:rsidRPr="00854309">
              <w:rPr>
                <w:sz w:val="20"/>
                <w:szCs w:val="20"/>
              </w:rPr>
              <w:t>Кредиты коммерческих банков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11811,4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16911,4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42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19911,4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hanging="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18300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36,8</w:t>
            </w:r>
          </w:p>
        </w:tc>
      </w:tr>
      <w:tr w:rsidR="001E6FBD" w:rsidRPr="00854309" w:rsidTr="00476473">
        <w:trPr>
          <w:trHeight w:val="540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54309" w:rsidRDefault="001E6FBD" w:rsidP="00F57822">
            <w:pPr>
              <w:rPr>
                <w:sz w:val="20"/>
                <w:szCs w:val="20"/>
              </w:rPr>
            </w:pPr>
            <w:r w:rsidRPr="00854309">
              <w:rPr>
                <w:sz w:val="20"/>
                <w:szCs w:val="20"/>
              </w:rPr>
              <w:t>Бюджетные кредиты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23412,7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22343,3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42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21273,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hanging="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19135,0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28,6</w:t>
            </w:r>
          </w:p>
        </w:tc>
      </w:tr>
      <w:tr w:rsidR="001E6FBD" w:rsidRPr="00854309" w:rsidTr="00476473">
        <w:trPr>
          <w:trHeight w:val="315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6FBD" w:rsidRPr="00854309" w:rsidRDefault="001E6FBD" w:rsidP="00F57822">
            <w:pPr>
              <w:rPr>
                <w:sz w:val="20"/>
                <w:szCs w:val="20"/>
              </w:rPr>
            </w:pPr>
            <w:r w:rsidRPr="00854309">
              <w:rPr>
                <w:sz w:val="20"/>
                <w:szCs w:val="20"/>
              </w:rPr>
              <w:t xml:space="preserve">Государственные гарантии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785,1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785,1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42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306,9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hanging="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sz w:val="20"/>
                <w:szCs w:val="20"/>
              </w:rPr>
            </w:pPr>
            <w:r w:rsidRPr="00560205">
              <w:rPr>
                <w:sz w:val="20"/>
                <w:szCs w:val="20"/>
              </w:rPr>
              <w:t>0,0</w:t>
            </w:r>
          </w:p>
        </w:tc>
      </w:tr>
      <w:tr w:rsidR="001E6FBD" w:rsidRPr="00854309" w:rsidTr="00476473">
        <w:trPr>
          <w:trHeight w:val="139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bottom"/>
            <w:hideMark/>
          </w:tcPr>
          <w:p w:rsidR="001E6FBD" w:rsidRPr="00854309" w:rsidRDefault="001E6FBD" w:rsidP="00874564">
            <w:pPr>
              <w:rPr>
                <w:b/>
                <w:bCs/>
                <w:sz w:val="20"/>
                <w:szCs w:val="20"/>
              </w:rPr>
            </w:pPr>
            <w:r w:rsidRPr="00854309">
              <w:rPr>
                <w:b/>
                <w:bCs/>
                <w:sz w:val="20"/>
                <w:szCs w:val="20"/>
              </w:rPr>
              <w:t>Итого госдолг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60205">
              <w:rPr>
                <w:b/>
                <w:bCs/>
                <w:sz w:val="20"/>
                <w:szCs w:val="20"/>
              </w:rPr>
              <w:t>53359,2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874564" w:rsidRDefault="001E6FBD" w:rsidP="0047647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7456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60205">
              <w:rPr>
                <w:b/>
                <w:bCs/>
                <w:sz w:val="20"/>
                <w:szCs w:val="20"/>
              </w:rPr>
              <w:t>53289,8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6FBD" w:rsidRPr="00874564" w:rsidRDefault="001E6FBD" w:rsidP="0047647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7456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874564" w:rsidRDefault="001E6FBD" w:rsidP="00476473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87456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60205">
              <w:rPr>
                <w:b/>
                <w:bCs/>
                <w:sz w:val="20"/>
                <w:szCs w:val="20"/>
              </w:rPr>
              <w:t>52435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874564" w:rsidRDefault="001E6FBD" w:rsidP="0047647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7456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b/>
                <w:bCs/>
                <w:sz w:val="20"/>
                <w:szCs w:val="20"/>
              </w:rPr>
            </w:pPr>
            <w:r w:rsidRPr="0056020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E6FBD" w:rsidRPr="00854309" w:rsidTr="00476473">
        <w:trPr>
          <w:trHeight w:val="555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bottom"/>
            <w:hideMark/>
          </w:tcPr>
          <w:p w:rsidR="001E6FBD" w:rsidRPr="00854309" w:rsidRDefault="001E6FBD" w:rsidP="00EC26CE">
            <w:pPr>
              <w:rPr>
                <w:b/>
                <w:bCs/>
                <w:sz w:val="20"/>
                <w:szCs w:val="20"/>
              </w:rPr>
            </w:pPr>
            <w:r w:rsidRPr="00854309">
              <w:rPr>
                <w:b/>
                <w:bCs/>
                <w:sz w:val="20"/>
                <w:szCs w:val="20"/>
              </w:rPr>
              <w:t xml:space="preserve">Верхний предел госдолга по </w:t>
            </w:r>
            <w:r w:rsidR="00874564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аконо</w:t>
            </w:r>
            <w:r w:rsidRPr="00854309">
              <w:rPr>
                <w:b/>
                <w:bCs/>
                <w:sz w:val="20"/>
                <w:szCs w:val="20"/>
              </w:rPr>
              <w:t>проекту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560205">
              <w:rPr>
                <w:b/>
                <w:bCs/>
                <w:sz w:val="20"/>
                <w:szCs w:val="20"/>
              </w:rPr>
              <w:t>52742,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60205">
              <w:rPr>
                <w:b/>
                <w:bCs/>
                <w:sz w:val="20"/>
                <w:szCs w:val="20"/>
              </w:rPr>
              <w:t>52435,0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C2335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1E6FBD" w:rsidRPr="00560205" w:rsidRDefault="001E6FBD" w:rsidP="00476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E6FBD" w:rsidRDefault="001E6FBD" w:rsidP="001E6FBD">
      <w:pPr>
        <w:ind w:firstLine="680"/>
        <w:jc w:val="both"/>
        <w:rPr>
          <w:bCs/>
        </w:rPr>
      </w:pPr>
    </w:p>
    <w:p w:rsidR="001E6FBD" w:rsidRPr="0028310F" w:rsidRDefault="001E6FBD" w:rsidP="001E6FBD">
      <w:pPr>
        <w:ind w:firstLine="680"/>
        <w:jc w:val="both"/>
      </w:pPr>
      <w:r w:rsidRPr="0028310F">
        <w:rPr>
          <w:bCs/>
        </w:rPr>
        <w:t>Из представленных в таблице данных видно, что показатели расчетного государственного внутреннего долга соответствуют показателям</w:t>
      </w:r>
      <w:r w:rsidRPr="0028310F">
        <w:t xml:space="preserve"> верхнего предела государственного внутреннего долга, утверждаемые в статье 2 законопроекта. </w:t>
      </w:r>
    </w:p>
    <w:p w:rsidR="001E6FBD" w:rsidRPr="00DA7843" w:rsidRDefault="001E6FBD" w:rsidP="001E6FBD">
      <w:pPr>
        <w:ind w:firstLine="680"/>
        <w:jc w:val="both"/>
        <w:rPr>
          <w:color w:val="0070C0"/>
          <w:sz w:val="28"/>
          <w:szCs w:val="28"/>
        </w:rPr>
      </w:pPr>
    </w:p>
    <w:p w:rsidR="00893015" w:rsidRDefault="003824C5" w:rsidP="00893015">
      <w:pPr>
        <w:ind w:firstLine="708"/>
        <w:jc w:val="center"/>
        <w:rPr>
          <w:b/>
          <w:i/>
        </w:rPr>
      </w:pPr>
      <w:r>
        <w:rPr>
          <w:b/>
          <w:i/>
        </w:rPr>
        <w:t>5</w:t>
      </w:r>
      <w:r w:rsidR="00893015" w:rsidRPr="00A27310">
        <w:rPr>
          <w:b/>
          <w:i/>
        </w:rPr>
        <w:t>. Общий объем межбюджетных трансфертов.</w:t>
      </w:r>
    </w:p>
    <w:p w:rsidR="004F130A" w:rsidRPr="00A27310" w:rsidRDefault="004F130A" w:rsidP="00893015">
      <w:pPr>
        <w:ind w:firstLine="708"/>
        <w:jc w:val="center"/>
        <w:rPr>
          <w:b/>
          <w:i/>
        </w:rPr>
      </w:pPr>
    </w:p>
    <w:p w:rsidR="00562E15" w:rsidRPr="00905350" w:rsidRDefault="00562E15" w:rsidP="00562E15">
      <w:pPr>
        <w:tabs>
          <w:tab w:val="left" w:pos="4820"/>
        </w:tabs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Объем межбюджетных трансфертов из областного бюджета местным бюджетам на 2019 год предусмотрен </w:t>
      </w:r>
      <w:r w:rsidRPr="00905350">
        <w:rPr>
          <w:rFonts w:eastAsia="TimesNewRomanPSMT"/>
        </w:rPr>
        <w:t xml:space="preserve">в сумме </w:t>
      </w:r>
      <w:r>
        <w:rPr>
          <w:rFonts w:eastAsia="TimesNewRomanPSMT"/>
        </w:rPr>
        <w:t>28497,3 млн. руб. с уменьшением к уровню 2018 года на 1376,2</w:t>
      </w:r>
      <w:r w:rsidRPr="00B07337">
        <w:rPr>
          <w:rFonts w:eastAsia="TimesNewRomanPSMT"/>
        </w:rPr>
        <w:t xml:space="preserve"> млн. руб., или </w:t>
      </w:r>
      <w:r>
        <w:rPr>
          <w:rFonts w:eastAsia="TimesNewRomanPSMT"/>
        </w:rPr>
        <w:t>4,6</w:t>
      </w:r>
      <w:r w:rsidRPr="00B07337">
        <w:rPr>
          <w:rFonts w:eastAsia="TimesNewRomanPSMT"/>
        </w:rPr>
        <w:t xml:space="preserve"> процента. Показатели</w:t>
      </w:r>
      <w:r w:rsidRPr="00905350">
        <w:rPr>
          <w:rFonts w:eastAsia="TimesNewRomanPSMT"/>
        </w:rPr>
        <w:t xml:space="preserve"> объемов межбюджетных трансфертов из </w:t>
      </w:r>
      <w:r w:rsidRPr="00905350">
        <w:rPr>
          <w:rFonts w:eastAsia="TimesNewRomanPSMT"/>
        </w:rPr>
        <w:lastRenderedPageBreak/>
        <w:t xml:space="preserve">областного </w:t>
      </w:r>
      <w:r>
        <w:rPr>
          <w:rFonts w:eastAsia="TimesNewRomanPSMT"/>
        </w:rPr>
        <w:t>бюджета местным бюджетам на 2019-2021</w:t>
      </w:r>
      <w:r w:rsidRPr="00905350">
        <w:rPr>
          <w:rFonts w:eastAsia="TimesNewRomanPSMT"/>
        </w:rPr>
        <w:t xml:space="preserve"> годы в сравнении </w:t>
      </w:r>
      <w:r>
        <w:rPr>
          <w:rFonts w:eastAsia="TimesNewRomanPSMT"/>
        </w:rPr>
        <w:t>с аналогичными показателями 2017-2018</w:t>
      </w:r>
      <w:r w:rsidRPr="00905350">
        <w:rPr>
          <w:rFonts w:eastAsia="TimesNewRomanPSMT"/>
        </w:rPr>
        <w:t xml:space="preserve"> годов приведены в таблице:</w:t>
      </w:r>
    </w:p>
    <w:p w:rsidR="00562E15" w:rsidRPr="00D25022" w:rsidRDefault="00562E15" w:rsidP="00562E15">
      <w:pPr>
        <w:ind w:firstLine="720"/>
        <w:jc w:val="right"/>
        <w:rPr>
          <w:rFonts w:eastAsia="TimesNewRomanPSMT"/>
          <w:sz w:val="20"/>
          <w:szCs w:val="20"/>
        </w:rPr>
      </w:pPr>
      <w:r w:rsidRPr="00D25022">
        <w:rPr>
          <w:rFonts w:eastAsia="TimesNewRomanPSMT"/>
          <w:sz w:val="20"/>
          <w:szCs w:val="20"/>
        </w:rPr>
        <w:t>млн. руб.</w:t>
      </w:r>
    </w:p>
    <w:tbl>
      <w:tblPr>
        <w:tblW w:w="959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61"/>
        <w:gridCol w:w="879"/>
        <w:gridCol w:w="878"/>
        <w:gridCol w:w="878"/>
        <w:gridCol w:w="878"/>
        <w:gridCol w:w="878"/>
        <w:gridCol w:w="854"/>
        <w:gridCol w:w="1090"/>
      </w:tblGrid>
      <w:tr w:rsidR="00562E15" w:rsidRPr="00E7654C" w:rsidTr="00F57822">
        <w:trPr>
          <w:trHeight w:val="255"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 w:rsidRPr="00E7654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E7654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E7654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E7654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7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E7654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E7654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9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 / 2018</w:t>
            </w:r>
            <w:r w:rsidRPr="00E7654C">
              <w:rPr>
                <w:sz w:val="18"/>
                <w:szCs w:val="18"/>
              </w:rPr>
              <w:t xml:space="preserve"> г.</w:t>
            </w:r>
          </w:p>
        </w:tc>
      </w:tr>
      <w:tr w:rsidR="00562E15" w:rsidRPr="00E7654C" w:rsidTr="00F57822">
        <w:trPr>
          <w:trHeight w:val="270"/>
        </w:trPr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2E15" w:rsidRPr="00E7654C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 w:rsidRPr="00E7654C">
              <w:rPr>
                <w:sz w:val="18"/>
                <w:szCs w:val="18"/>
              </w:rPr>
              <w:t>факт</w:t>
            </w:r>
          </w:p>
        </w:tc>
        <w:tc>
          <w:tcPr>
            <w:tcW w:w="8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1DAD" w:rsidP="00F57822">
            <w:pPr>
              <w:jc w:val="center"/>
              <w:rPr>
                <w:sz w:val="18"/>
                <w:szCs w:val="18"/>
              </w:rPr>
            </w:pPr>
            <w:r w:rsidRPr="00E7654C">
              <w:rPr>
                <w:sz w:val="18"/>
                <w:szCs w:val="18"/>
              </w:rPr>
              <w:t>П</w:t>
            </w:r>
            <w:r w:rsidR="00562E15" w:rsidRPr="00E7654C">
              <w:rPr>
                <w:sz w:val="18"/>
                <w:szCs w:val="18"/>
              </w:rPr>
              <w:t>лан</w:t>
            </w:r>
          </w:p>
        </w:tc>
        <w:tc>
          <w:tcPr>
            <w:tcW w:w="263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8E6755" w:rsidP="00F57822">
            <w:pPr>
              <w:jc w:val="center"/>
              <w:rPr>
                <w:sz w:val="18"/>
                <w:szCs w:val="18"/>
              </w:rPr>
            </w:pPr>
            <w:r w:rsidRPr="00E7654C">
              <w:rPr>
                <w:sz w:val="18"/>
                <w:szCs w:val="18"/>
              </w:rPr>
              <w:t>П</w:t>
            </w:r>
            <w:r w:rsidR="00562E15" w:rsidRPr="00E7654C">
              <w:rPr>
                <w:sz w:val="18"/>
                <w:szCs w:val="18"/>
              </w:rPr>
              <w:t>роект</w:t>
            </w:r>
          </w:p>
        </w:tc>
        <w:tc>
          <w:tcPr>
            <w:tcW w:w="85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ind w:left="-50" w:right="-108"/>
              <w:jc w:val="center"/>
              <w:rPr>
                <w:sz w:val="18"/>
                <w:szCs w:val="18"/>
              </w:rPr>
            </w:pPr>
            <w:r w:rsidRPr="00E7654C">
              <w:rPr>
                <w:sz w:val="18"/>
                <w:szCs w:val="18"/>
              </w:rPr>
              <w:t>млн. руб.</w:t>
            </w:r>
          </w:p>
        </w:tc>
        <w:tc>
          <w:tcPr>
            <w:tcW w:w="10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7654C" w:rsidRDefault="00562E15" w:rsidP="00F57822">
            <w:pPr>
              <w:jc w:val="center"/>
              <w:rPr>
                <w:sz w:val="18"/>
                <w:szCs w:val="18"/>
              </w:rPr>
            </w:pPr>
            <w:r w:rsidRPr="00E7654C">
              <w:rPr>
                <w:sz w:val="18"/>
                <w:szCs w:val="18"/>
              </w:rPr>
              <w:t>%</w:t>
            </w:r>
          </w:p>
        </w:tc>
      </w:tr>
      <w:tr w:rsidR="00562E15" w:rsidRPr="00E7654C" w:rsidTr="00F57822">
        <w:trPr>
          <w:trHeight w:val="232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b/>
                <w:bCs/>
                <w:sz w:val="18"/>
                <w:szCs w:val="18"/>
              </w:rPr>
            </w:pPr>
            <w:r w:rsidRPr="000A640E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1F20DA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26 111</w:t>
            </w:r>
            <w:r w:rsidRPr="001F20D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C57C51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5238EE">
              <w:rPr>
                <w:b/>
                <w:bCs/>
                <w:sz w:val="18"/>
                <w:szCs w:val="18"/>
              </w:rPr>
              <w:t>29</w:t>
            </w:r>
            <w:r>
              <w:rPr>
                <w:b/>
                <w:bCs/>
                <w:sz w:val="18"/>
                <w:szCs w:val="18"/>
              </w:rPr>
              <w:t> 873,5</w:t>
            </w:r>
          </w:p>
        </w:tc>
        <w:tc>
          <w:tcPr>
            <w:tcW w:w="87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28 497,3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24 495,6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27 669,7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 376,2</w:t>
            </w:r>
          </w:p>
        </w:tc>
        <w:tc>
          <w:tcPr>
            <w:tcW w:w="1090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-4,6</w:t>
            </w:r>
            <w:r w:rsidRPr="00800FE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562E15" w:rsidRPr="00EA385F" w:rsidTr="00F57822">
        <w:trPr>
          <w:trHeight w:val="20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sz w:val="18"/>
                <w:szCs w:val="18"/>
              </w:rPr>
            </w:pPr>
            <w:r w:rsidRPr="000A640E">
              <w:rPr>
                <w:sz w:val="18"/>
                <w:szCs w:val="18"/>
              </w:rPr>
              <w:t>в том числе:</w:t>
            </w:r>
          </w:p>
        </w:tc>
        <w:tc>
          <w:tcPr>
            <w:tcW w:w="87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color w:val="FF0000"/>
                <w:sz w:val="18"/>
                <w:szCs w:val="18"/>
                <w:highlight w:val="yellow"/>
              </w:rPr>
            </w:pPr>
            <w:r w:rsidRPr="001F20D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C57C51" w:rsidRDefault="00562E15" w:rsidP="00F57822">
            <w:pPr>
              <w:jc w:val="right"/>
              <w:rPr>
                <w:color w:val="FF0000"/>
                <w:sz w:val="18"/>
                <w:szCs w:val="18"/>
              </w:rPr>
            </w:pPr>
            <w:r w:rsidRPr="00C57C5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color w:val="FF0000"/>
                <w:sz w:val="18"/>
                <w:szCs w:val="18"/>
              </w:rPr>
            </w:pPr>
            <w:r w:rsidRPr="00800FE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color w:val="FF0000"/>
                <w:sz w:val="18"/>
                <w:szCs w:val="18"/>
              </w:rPr>
            </w:pPr>
            <w:r w:rsidRPr="00800FE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EB26BA" w:rsidRDefault="00562E15" w:rsidP="00F57822">
            <w:pPr>
              <w:jc w:val="right"/>
              <w:rPr>
                <w:color w:val="FF0000"/>
                <w:sz w:val="18"/>
                <w:szCs w:val="18"/>
              </w:rPr>
            </w:pPr>
            <w:r w:rsidRPr="00EB26B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B26BA" w:rsidRDefault="00562E15" w:rsidP="00F57822">
            <w:pPr>
              <w:jc w:val="right"/>
              <w:rPr>
                <w:color w:val="FF0000"/>
                <w:sz w:val="18"/>
                <w:szCs w:val="18"/>
              </w:rPr>
            </w:pPr>
            <w:r w:rsidRPr="00EB26BA">
              <w:rPr>
                <w:color w:val="FF0000"/>
                <w:sz w:val="18"/>
                <w:szCs w:val="18"/>
              </w:rPr>
              <w:t> </w:t>
            </w:r>
          </w:p>
        </w:tc>
      </w:tr>
      <w:tr w:rsidR="00562E15" w:rsidRPr="00E7654C" w:rsidTr="00F57822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b/>
                <w:bCs/>
                <w:sz w:val="18"/>
                <w:szCs w:val="18"/>
              </w:rPr>
            </w:pPr>
            <w:r w:rsidRPr="000A640E">
              <w:rPr>
                <w:b/>
                <w:bCs/>
                <w:sz w:val="18"/>
                <w:szCs w:val="18"/>
              </w:rPr>
              <w:t>Дотации: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7E5EC8">
              <w:rPr>
                <w:b/>
                <w:bCs/>
                <w:sz w:val="18"/>
                <w:szCs w:val="18"/>
              </w:rPr>
              <w:t>2 052,2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C57C51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2 228,4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1 462,0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1 137,5</w:t>
            </w:r>
          </w:p>
        </w:tc>
        <w:tc>
          <w:tcPr>
            <w:tcW w:w="8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1 111,2</w:t>
            </w:r>
          </w:p>
        </w:tc>
        <w:tc>
          <w:tcPr>
            <w:tcW w:w="85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-766</w:t>
            </w:r>
            <w:r w:rsidRPr="00800FE7">
              <w:rPr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109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-34,4</w:t>
            </w:r>
            <w:r w:rsidRPr="00800FE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562E15" w:rsidRPr="00E7654C" w:rsidTr="00F57822">
        <w:trPr>
          <w:trHeight w:val="20"/>
        </w:trPr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sz w:val="18"/>
                <w:szCs w:val="18"/>
              </w:rPr>
            </w:pPr>
            <w:r w:rsidRPr="000A640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B25D7C">
              <w:rPr>
                <w:sz w:val="18"/>
                <w:szCs w:val="18"/>
              </w:rPr>
              <w:t>1 257,2</w:t>
            </w:r>
          </w:p>
        </w:tc>
        <w:tc>
          <w:tcPr>
            <w:tcW w:w="8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C57C51">
              <w:rPr>
                <w:sz w:val="18"/>
                <w:szCs w:val="18"/>
              </w:rPr>
              <w:t>1 258,4</w:t>
            </w:r>
          </w:p>
        </w:tc>
        <w:tc>
          <w:tcPr>
            <w:tcW w:w="8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sz w:val="18"/>
                <w:szCs w:val="18"/>
              </w:rPr>
            </w:pPr>
            <w:r w:rsidRPr="00800FE7">
              <w:rPr>
                <w:sz w:val="18"/>
                <w:szCs w:val="18"/>
              </w:rPr>
              <w:t>1 122,0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sz w:val="18"/>
                <w:szCs w:val="18"/>
              </w:rPr>
            </w:pPr>
            <w:r w:rsidRPr="00800FE7">
              <w:rPr>
                <w:sz w:val="18"/>
                <w:szCs w:val="18"/>
              </w:rPr>
              <w:t>1 087,5</w:t>
            </w:r>
          </w:p>
        </w:tc>
        <w:tc>
          <w:tcPr>
            <w:tcW w:w="8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sz w:val="18"/>
                <w:szCs w:val="18"/>
              </w:rPr>
            </w:pPr>
            <w:r w:rsidRPr="00800FE7">
              <w:rPr>
                <w:sz w:val="18"/>
                <w:szCs w:val="18"/>
              </w:rPr>
              <w:t>1 061,2</w:t>
            </w:r>
          </w:p>
        </w:tc>
        <w:tc>
          <w:tcPr>
            <w:tcW w:w="8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EB26BA">
              <w:rPr>
                <w:sz w:val="18"/>
                <w:szCs w:val="18"/>
              </w:rPr>
              <w:t>-136,4</w:t>
            </w:r>
          </w:p>
        </w:tc>
        <w:tc>
          <w:tcPr>
            <w:tcW w:w="10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EB26BA" w:rsidRDefault="00562E15" w:rsidP="00F57822">
            <w:pPr>
              <w:jc w:val="right"/>
              <w:rPr>
                <w:sz w:val="18"/>
                <w:szCs w:val="18"/>
              </w:rPr>
            </w:pPr>
            <w:r w:rsidRPr="00EB26BA">
              <w:rPr>
                <w:sz w:val="18"/>
                <w:szCs w:val="18"/>
              </w:rPr>
              <w:t>-10,8%</w:t>
            </w:r>
          </w:p>
        </w:tc>
      </w:tr>
      <w:tr w:rsidR="00562E15" w:rsidRPr="00E7654C" w:rsidTr="00F57822">
        <w:trPr>
          <w:trHeight w:val="20"/>
        </w:trPr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i/>
                <w:iCs/>
                <w:sz w:val="18"/>
                <w:szCs w:val="18"/>
              </w:rPr>
            </w:pPr>
            <w:r w:rsidRPr="000A640E">
              <w:rPr>
                <w:i/>
                <w:iCs/>
                <w:sz w:val="18"/>
                <w:szCs w:val="18"/>
              </w:rPr>
              <w:t>ФФПП (в части гор</w:t>
            </w:r>
            <w:proofErr w:type="gramStart"/>
            <w:r w:rsidRPr="000A640E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0A640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0A640E">
              <w:rPr>
                <w:i/>
                <w:iCs/>
                <w:sz w:val="18"/>
                <w:szCs w:val="18"/>
              </w:rPr>
              <w:t>о</w:t>
            </w:r>
            <w:proofErr w:type="gramEnd"/>
            <w:r w:rsidRPr="000A640E">
              <w:rPr>
                <w:i/>
                <w:iCs/>
                <w:sz w:val="18"/>
                <w:szCs w:val="18"/>
              </w:rPr>
              <w:t>кругов)</w:t>
            </w:r>
          </w:p>
        </w:tc>
        <w:tc>
          <w:tcPr>
            <w:tcW w:w="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25D7C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B25D7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2322F9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2322F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4C2CD8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4C2CD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4C2CD8" w:rsidRDefault="00562E15" w:rsidP="00F57822">
            <w:pPr>
              <w:jc w:val="right"/>
              <w:rPr>
                <w:sz w:val="18"/>
                <w:szCs w:val="18"/>
              </w:rPr>
            </w:pPr>
            <w:r w:rsidRPr="004C2CD8">
              <w:rPr>
                <w:sz w:val="18"/>
                <w:szCs w:val="18"/>
              </w:rPr>
              <w:t>---</w:t>
            </w:r>
          </w:p>
        </w:tc>
      </w:tr>
      <w:tr w:rsidR="00562E15" w:rsidRPr="00E7654C" w:rsidTr="00F57822">
        <w:trPr>
          <w:trHeight w:val="20"/>
        </w:trPr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i/>
                <w:iCs/>
                <w:sz w:val="18"/>
                <w:szCs w:val="18"/>
              </w:rPr>
            </w:pPr>
            <w:r w:rsidRPr="000A640E">
              <w:rPr>
                <w:i/>
                <w:iCs/>
                <w:sz w:val="18"/>
                <w:szCs w:val="18"/>
              </w:rPr>
              <w:t>ФФПП (в части поселений)</w:t>
            </w:r>
          </w:p>
        </w:tc>
        <w:tc>
          <w:tcPr>
            <w:tcW w:w="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25D7C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B25D7C">
              <w:rPr>
                <w:i/>
                <w:iCs/>
                <w:sz w:val="18"/>
                <w:szCs w:val="18"/>
              </w:rPr>
              <w:t>1 066,4</w:t>
            </w:r>
          </w:p>
        </w:tc>
        <w:tc>
          <w:tcPr>
            <w:tcW w:w="8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i/>
                <w:iCs/>
                <w:sz w:val="18"/>
                <w:szCs w:val="18"/>
                <w:highlight w:val="yellow"/>
              </w:rPr>
            </w:pPr>
            <w:r w:rsidRPr="00C57C51">
              <w:rPr>
                <w:i/>
                <w:iCs/>
                <w:sz w:val="18"/>
                <w:szCs w:val="18"/>
              </w:rPr>
              <w:t>1 068,7</w:t>
            </w:r>
          </w:p>
        </w:tc>
        <w:tc>
          <w:tcPr>
            <w:tcW w:w="8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1 069,6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1 058,4</w:t>
            </w:r>
          </w:p>
        </w:tc>
        <w:tc>
          <w:tcPr>
            <w:tcW w:w="8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1 045,2</w:t>
            </w:r>
          </w:p>
        </w:tc>
        <w:tc>
          <w:tcPr>
            <w:tcW w:w="8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i/>
                <w:iCs/>
                <w:sz w:val="18"/>
                <w:szCs w:val="18"/>
                <w:highlight w:val="yellow"/>
              </w:rPr>
            </w:pPr>
            <w:r w:rsidRPr="00D018EF"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0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i/>
                <w:iCs/>
                <w:sz w:val="18"/>
                <w:szCs w:val="18"/>
                <w:highlight w:val="yellow"/>
              </w:rPr>
            </w:pPr>
            <w:r w:rsidRPr="00D018EF">
              <w:rPr>
                <w:i/>
                <w:iCs/>
                <w:sz w:val="18"/>
                <w:szCs w:val="18"/>
              </w:rPr>
              <w:t>0,1%</w:t>
            </w:r>
          </w:p>
        </w:tc>
      </w:tr>
      <w:tr w:rsidR="00562E15" w:rsidRPr="00F50C65" w:rsidTr="00F57822">
        <w:trPr>
          <w:trHeight w:val="20"/>
        </w:trPr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i/>
                <w:iCs/>
                <w:sz w:val="18"/>
                <w:szCs w:val="18"/>
              </w:rPr>
            </w:pPr>
            <w:r w:rsidRPr="000A640E">
              <w:rPr>
                <w:i/>
                <w:iCs/>
                <w:sz w:val="18"/>
                <w:szCs w:val="18"/>
              </w:rPr>
              <w:t>ФФП МР (ГО)</w:t>
            </w:r>
          </w:p>
        </w:tc>
        <w:tc>
          <w:tcPr>
            <w:tcW w:w="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i/>
                <w:iCs/>
                <w:sz w:val="18"/>
                <w:szCs w:val="18"/>
                <w:highlight w:val="yellow"/>
              </w:rPr>
            </w:pPr>
            <w:r w:rsidRPr="00B25D7C">
              <w:rPr>
                <w:i/>
                <w:iCs/>
                <w:sz w:val="18"/>
                <w:szCs w:val="18"/>
              </w:rPr>
              <w:t>190,8</w:t>
            </w:r>
          </w:p>
        </w:tc>
        <w:tc>
          <w:tcPr>
            <w:tcW w:w="8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i/>
                <w:iCs/>
                <w:sz w:val="18"/>
                <w:szCs w:val="18"/>
                <w:highlight w:val="yellow"/>
              </w:rPr>
            </w:pPr>
            <w:r w:rsidRPr="002322F9">
              <w:rPr>
                <w:i/>
                <w:iCs/>
                <w:sz w:val="18"/>
                <w:szCs w:val="18"/>
              </w:rPr>
              <w:t>189,7</w:t>
            </w:r>
          </w:p>
        </w:tc>
        <w:tc>
          <w:tcPr>
            <w:tcW w:w="8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52,4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29,1</w:t>
            </w:r>
          </w:p>
        </w:tc>
        <w:tc>
          <w:tcPr>
            <w:tcW w:w="8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800FE7">
              <w:rPr>
                <w:i/>
                <w:iCs/>
                <w:sz w:val="18"/>
                <w:szCs w:val="18"/>
              </w:rPr>
              <w:t>16,0</w:t>
            </w:r>
          </w:p>
        </w:tc>
        <w:tc>
          <w:tcPr>
            <w:tcW w:w="8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jc w:val="right"/>
              <w:rPr>
                <w:i/>
                <w:iCs/>
                <w:sz w:val="18"/>
                <w:szCs w:val="18"/>
              </w:rPr>
            </w:pPr>
            <w:r w:rsidRPr="006D0017">
              <w:rPr>
                <w:i/>
                <w:iCs/>
                <w:sz w:val="18"/>
                <w:szCs w:val="18"/>
              </w:rPr>
              <w:t xml:space="preserve"> -137,3</w:t>
            </w:r>
          </w:p>
        </w:tc>
        <w:tc>
          <w:tcPr>
            <w:tcW w:w="10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rPr>
                <w:i/>
                <w:iCs/>
                <w:sz w:val="18"/>
                <w:szCs w:val="18"/>
              </w:rPr>
            </w:pPr>
            <w:r w:rsidRPr="006D0017">
              <w:rPr>
                <w:i/>
                <w:iCs/>
                <w:sz w:val="18"/>
                <w:szCs w:val="18"/>
              </w:rPr>
              <w:t xml:space="preserve">   в 3,6 раза</w:t>
            </w:r>
          </w:p>
        </w:tc>
      </w:tr>
      <w:tr w:rsidR="00562E15" w:rsidRPr="00E7654C" w:rsidTr="00F57822">
        <w:trPr>
          <w:trHeight w:val="20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sz w:val="18"/>
                <w:szCs w:val="18"/>
              </w:rPr>
            </w:pPr>
            <w:r w:rsidRPr="000A640E">
              <w:rPr>
                <w:sz w:val="18"/>
                <w:szCs w:val="18"/>
              </w:rPr>
              <w:t>Дотации на поддержку мер по обеспечению сбалансированности</w:t>
            </w:r>
          </w:p>
        </w:tc>
        <w:tc>
          <w:tcPr>
            <w:tcW w:w="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B25D7C">
              <w:rPr>
                <w:sz w:val="18"/>
                <w:szCs w:val="18"/>
              </w:rPr>
              <w:t>795,0</w:t>
            </w:r>
          </w:p>
        </w:tc>
        <w:tc>
          <w:tcPr>
            <w:tcW w:w="8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62AF" w:rsidRDefault="00562E15" w:rsidP="00F57822">
            <w:pPr>
              <w:jc w:val="right"/>
              <w:rPr>
                <w:sz w:val="18"/>
                <w:szCs w:val="18"/>
              </w:rPr>
            </w:pPr>
            <w:r w:rsidRPr="006D62AF">
              <w:rPr>
                <w:sz w:val="18"/>
                <w:szCs w:val="18"/>
              </w:rPr>
              <w:t>970,0</w:t>
            </w:r>
          </w:p>
        </w:tc>
        <w:tc>
          <w:tcPr>
            <w:tcW w:w="8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6D62AF" w:rsidRDefault="00562E15" w:rsidP="00F57822">
            <w:pPr>
              <w:jc w:val="right"/>
              <w:rPr>
                <w:sz w:val="18"/>
                <w:szCs w:val="18"/>
              </w:rPr>
            </w:pPr>
            <w:r w:rsidRPr="006D62AF">
              <w:rPr>
                <w:sz w:val="18"/>
                <w:szCs w:val="18"/>
              </w:rPr>
              <w:t>340,0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6D62AF" w:rsidRDefault="00562E15" w:rsidP="00F57822">
            <w:pPr>
              <w:jc w:val="right"/>
              <w:rPr>
                <w:sz w:val="18"/>
                <w:szCs w:val="18"/>
              </w:rPr>
            </w:pPr>
            <w:r w:rsidRPr="006D62AF">
              <w:rPr>
                <w:sz w:val="18"/>
                <w:szCs w:val="18"/>
              </w:rPr>
              <w:t>50,0</w:t>
            </w:r>
          </w:p>
        </w:tc>
        <w:tc>
          <w:tcPr>
            <w:tcW w:w="87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62AF" w:rsidRDefault="00562E15" w:rsidP="00F57822">
            <w:pPr>
              <w:jc w:val="right"/>
              <w:rPr>
                <w:sz w:val="18"/>
                <w:szCs w:val="18"/>
              </w:rPr>
            </w:pPr>
            <w:r w:rsidRPr="006D62AF">
              <w:rPr>
                <w:sz w:val="18"/>
                <w:szCs w:val="18"/>
              </w:rPr>
              <w:t>50,0</w:t>
            </w:r>
          </w:p>
        </w:tc>
        <w:tc>
          <w:tcPr>
            <w:tcW w:w="8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6D62AF" w:rsidRDefault="00562E15" w:rsidP="00F57822">
            <w:pPr>
              <w:jc w:val="right"/>
              <w:rPr>
                <w:sz w:val="18"/>
                <w:szCs w:val="18"/>
              </w:rPr>
            </w:pPr>
            <w:r w:rsidRPr="006D62AF">
              <w:rPr>
                <w:sz w:val="18"/>
                <w:szCs w:val="18"/>
              </w:rPr>
              <w:t>-630,0</w:t>
            </w:r>
          </w:p>
        </w:tc>
        <w:tc>
          <w:tcPr>
            <w:tcW w:w="10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62AF" w:rsidRDefault="00562E15" w:rsidP="00F57822">
            <w:pPr>
              <w:jc w:val="right"/>
              <w:rPr>
                <w:sz w:val="18"/>
                <w:szCs w:val="18"/>
              </w:rPr>
            </w:pPr>
            <w:r w:rsidRPr="006D62AF">
              <w:rPr>
                <w:sz w:val="18"/>
                <w:szCs w:val="18"/>
              </w:rPr>
              <w:t>-65,0%</w:t>
            </w:r>
          </w:p>
        </w:tc>
      </w:tr>
      <w:tr w:rsidR="00562E15" w:rsidRPr="00E7654C" w:rsidTr="00F57822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b/>
                <w:bCs/>
                <w:sz w:val="18"/>
                <w:szCs w:val="18"/>
              </w:rPr>
            </w:pPr>
            <w:r w:rsidRPr="000A640E">
              <w:rPr>
                <w:b/>
                <w:bCs/>
                <w:sz w:val="18"/>
                <w:szCs w:val="18"/>
              </w:rPr>
              <w:t>Субвенции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7E5EC8">
              <w:rPr>
                <w:b/>
                <w:bCs/>
                <w:sz w:val="18"/>
                <w:szCs w:val="18"/>
              </w:rPr>
              <w:t>15 510,9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2322F9">
              <w:rPr>
                <w:b/>
                <w:bCs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</w:rPr>
              <w:t> 632,5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19 444,5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19 044,4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19 196,2</w:t>
            </w:r>
          </w:p>
        </w:tc>
        <w:tc>
          <w:tcPr>
            <w:tcW w:w="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812,0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4,4</w:t>
            </w:r>
            <w:r w:rsidRPr="006D001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562E15" w:rsidRPr="00F73CF0" w:rsidTr="00F57822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b/>
                <w:bCs/>
                <w:sz w:val="18"/>
                <w:szCs w:val="18"/>
              </w:rPr>
            </w:pPr>
            <w:r w:rsidRPr="000A640E">
              <w:rPr>
                <w:b/>
                <w:bCs/>
                <w:sz w:val="18"/>
                <w:szCs w:val="18"/>
              </w:rPr>
              <w:t>Объем субсидий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7E5EC8">
              <w:rPr>
                <w:b/>
                <w:bCs/>
                <w:sz w:val="18"/>
                <w:szCs w:val="18"/>
              </w:rPr>
              <w:t>7 356,4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2322F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 353,8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7 328, 9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4 309,2</w:t>
            </w:r>
          </w:p>
        </w:tc>
        <w:tc>
          <w:tcPr>
            <w:tcW w:w="8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800FE7" w:rsidRDefault="00562E15" w:rsidP="00F57822">
            <w:pPr>
              <w:jc w:val="center"/>
              <w:rPr>
                <w:b/>
                <w:bCs/>
                <w:sz w:val="18"/>
                <w:szCs w:val="18"/>
              </w:rPr>
            </w:pPr>
            <w:r w:rsidRPr="00800FE7">
              <w:rPr>
                <w:b/>
                <w:bCs/>
                <w:sz w:val="18"/>
                <w:szCs w:val="18"/>
              </w:rPr>
              <w:t>7 357,8</w:t>
            </w:r>
          </w:p>
        </w:tc>
        <w:tc>
          <w:tcPr>
            <w:tcW w:w="85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6D0017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1 024</w:t>
            </w:r>
            <w:r w:rsidRPr="006D001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-12,3</w:t>
            </w:r>
            <w:r w:rsidRPr="006D001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562E15" w:rsidRPr="00E7654C" w:rsidTr="00F57822">
        <w:trPr>
          <w:trHeight w:val="20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sz w:val="18"/>
                <w:szCs w:val="18"/>
              </w:rPr>
            </w:pPr>
            <w:r w:rsidRPr="000A640E">
              <w:rPr>
                <w:sz w:val="18"/>
                <w:szCs w:val="18"/>
              </w:rPr>
              <w:t>в т.ч. субсидии на обеспечение сбалансированности</w:t>
            </w:r>
          </w:p>
        </w:tc>
        <w:tc>
          <w:tcPr>
            <w:tcW w:w="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1857AD" w:rsidRDefault="00562E15" w:rsidP="00F57822">
            <w:pPr>
              <w:jc w:val="right"/>
              <w:rPr>
                <w:iCs/>
                <w:sz w:val="18"/>
                <w:szCs w:val="18"/>
                <w:highlight w:val="yellow"/>
              </w:rPr>
            </w:pPr>
            <w:r w:rsidRPr="001857AD">
              <w:rPr>
                <w:iCs/>
                <w:sz w:val="18"/>
                <w:szCs w:val="18"/>
              </w:rPr>
              <w:t>712,5</w:t>
            </w:r>
          </w:p>
        </w:tc>
        <w:tc>
          <w:tcPr>
            <w:tcW w:w="8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1857AD" w:rsidRDefault="00562E15" w:rsidP="00F57822">
            <w:pPr>
              <w:jc w:val="right"/>
              <w:rPr>
                <w:iCs/>
                <w:sz w:val="18"/>
                <w:szCs w:val="18"/>
              </w:rPr>
            </w:pPr>
            <w:r w:rsidRPr="001857AD">
              <w:rPr>
                <w:iCs/>
                <w:sz w:val="18"/>
                <w:szCs w:val="18"/>
              </w:rPr>
              <w:t>712,5</w:t>
            </w:r>
          </w:p>
        </w:tc>
        <w:tc>
          <w:tcPr>
            <w:tcW w:w="8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1857AD" w:rsidRDefault="00562E15" w:rsidP="00F57822">
            <w:pPr>
              <w:jc w:val="right"/>
              <w:rPr>
                <w:iCs/>
                <w:sz w:val="18"/>
                <w:szCs w:val="18"/>
              </w:rPr>
            </w:pPr>
            <w:r w:rsidRPr="001857AD">
              <w:rPr>
                <w:iCs/>
                <w:sz w:val="18"/>
                <w:szCs w:val="18"/>
              </w:rPr>
              <w:t>712,5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1857AD" w:rsidRDefault="00562E15" w:rsidP="00F57822">
            <w:pPr>
              <w:jc w:val="right"/>
              <w:rPr>
                <w:iCs/>
                <w:sz w:val="18"/>
                <w:szCs w:val="18"/>
              </w:rPr>
            </w:pPr>
            <w:r w:rsidRPr="001857AD">
              <w:rPr>
                <w:iCs/>
                <w:sz w:val="18"/>
                <w:szCs w:val="18"/>
              </w:rPr>
              <w:t>712,5</w:t>
            </w:r>
          </w:p>
        </w:tc>
        <w:tc>
          <w:tcPr>
            <w:tcW w:w="87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1857AD" w:rsidRDefault="00562E15" w:rsidP="00F57822">
            <w:pPr>
              <w:jc w:val="right"/>
              <w:rPr>
                <w:iCs/>
                <w:sz w:val="18"/>
                <w:szCs w:val="18"/>
              </w:rPr>
            </w:pPr>
            <w:r w:rsidRPr="001857AD">
              <w:rPr>
                <w:iCs/>
                <w:sz w:val="18"/>
                <w:szCs w:val="18"/>
              </w:rPr>
              <w:t>712,5</w:t>
            </w:r>
          </w:p>
        </w:tc>
        <w:tc>
          <w:tcPr>
            <w:tcW w:w="8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E15" w:rsidRPr="001857AD" w:rsidRDefault="00562E15" w:rsidP="00F57822">
            <w:pPr>
              <w:jc w:val="right"/>
              <w:rPr>
                <w:iCs/>
                <w:sz w:val="18"/>
                <w:szCs w:val="18"/>
              </w:rPr>
            </w:pPr>
            <w:r w:rsidRPr="001857AD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1857AD" w:rsidRDefault="00562E15" w:rsidP="00F57822">
            <w:pPr>
              <w:jc w:val="right"/>
              <w:rPr>
                <w:iCs/>
                <w:sz w:val="18"/>
                <w:szCs w:val="18"/>
              </w:rPr>
            </w:pPr>
            <w:r w:rsidRPr="001857AD">
              <w:rPr>
                <w:iCs/>
                <w:sz w:val="18"/>
                <w:szCs w:val="18"/>
              </w:rPr>
              <w:t>0,0%</w:t>
            </w:r>
          </w:p>
        </w:tc>
      </w:tr>
      <w:tr w:rsidR="00562E15" w:rsidRPr="00E7654C" w:rsidTr="00F57822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0A640E" w:rsidRDefault="00562E15" w:rsidP="00F57822">
            <w:pPr>
              <w:rPr>
                <w:b/>
                <w:bCs/>
                <w:sz w:val="18"/>
                <w:szCs w:val="18"/>
              </w:rPr>
            </w:pPr>
            <w:r w:rsidRPr="000A640E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7E5EC8">
              <w:rPr>
                <w:b/>
                <w:bCs/>
                <w:sz w:val="18"/>
                <w:szCs w:val="18"/>
              </w:rPr>
              <w:t>1 191,5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BC15B0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C57C51">
              <w:rPr>
                <w:b/>
                <w:bCs/>
                <w:sz w:val="18"/>
                <w:szCs w:val="18"/>
              </w:rPr>
              <w:t>658,8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62E15" w:rsidRPr="00753B6A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753B6A">
              <w:rPr>
                <w:b/>
                <w:bCs/>
                <w:sz w:val="18"/>
                <w:szCs w:val="18"/>
              </w:rPr>
              <w:t>261,9</w:t>
            </w:r>
          </w:p>
        </w:tc>
        <w:tc>
          <w:tcPr>
            <w:tcW w:w="8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62E15" w:rsidRPr="00753B6A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753B6A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753B6A" w:rsidRDefault="00562E15" w:rsidP="00F57822">
            <w:pPr>
              <w:jc w:val="right"/>
              <w:rPr>
                <w:b/>
                <w:bCs/>
                <w:sz w:val="18"/>
                <w:szCs w:val="18"/>
              </w:rPr>
            </w:pPr>
            <w:r w:rsidRPr="00753B6A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8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6D0017">
              <w:rPr>
                <w:b/>
                <w:bCs/>
                <w:sz w:val="18"/>
                <w:szCs w:val="18"/>
              </w:rPr>
              <w:t>-396,9</w:t>
            </w:r>
          </w:p>
        </w:tc>
        <w:tc>
          <w:tcPr>
            <w:tcW w:w="109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E15" w:rsidRPr="006D0017" w:rsidRDefault="00562E15" w:rsidP="00F5782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6D0017">
              <w:rPr>
                <w:b/>
                <w:bCs/>
                <w:sz w:val="18"/>
                <w:szCs w:val="18"/>
              </w:rPr>
              <w:t>-60,3%</w:t>
            </w:r>
          </w:p>
        </w:tc>
      </w:tr>
    </w:tbl>
    <w:p w:rsidR="00EE5BEC" w:rsidRDefault="00EE5BEC" w:rsidP="00562E15">
      <w:pPr>
        <w:ind w:firstLine="851"/>
        <w:jc w:val="both"/>
      </w:pPr>
    </w:p>
    <w:p w:rsidR="00562E15" w:rsidRPr="00C47AE1" w:rsidRDefault="00562E15" w:rsidP="00562E15">
      <w:pPr>
        <w:ind w:firstLine="851"/>
        <w:jc w:val="both"/>
      </w:pPr>
      <w:r w:rsidRPr="00C47AE1">
        <w:t>Уменьшение общего объема межбюджетных трансфертов местным бюджетам сложилось в основном за счет уменьшения  объема субсиди</w:t>
      </w:r>
      <w:r w:rsidR="001857AD">
        <w:t>й</w:t>
      </w:r>
      <w:r w:rsidRPr="00C47AE1">
        <w:t xml:space="preserve">  </w:t>
      </w:r>
      <w:r>
        <w:t>с 8353,8 млн. руб. до 7328,9 млн. руб., или на 1024,9 млн. руб. (- 12,3</w:t>
      </w:r>
      <w:r w:rsidRPr="00C47AE1">
        <w:t>%).</w:t>
      </w:r>
    </w:p>
    <w:p w:rsidR="00562E15" w:rsidRDefault="00562E15" w:rsidP="00562E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0CA">
        <w:rPr>
          <w:rFonts w:ascii="Times New Roman" w:hAnsi="Times New Roman"/>
          <w:sz w:val="24"/>
          <w:szCs w:val="24"/>
        </w:rPr>
        <w:t xml:space="preserve">Существенное снижение объема иных межбюджетных трансфертов в 2019 году </w:t>
      </w:r>
      <w:r w:rsidR="001857AD">
        <w:rPr>
          <w:rFonts w:ascii="Times New Roman" w:hAnsi="Times New Roman"/>
          <w:sz w:val="24"/>
          <w:szCs w:val="24"/>
        </w:rPr>
        <w:t>относительно</w:t>
      </w:r>
      <w:r w:rsidRPr="00C660CA">
        <w:rPr>
          <w:rFonts w:ascii="Times New Roman" w:hAnsi="Times New Roman"/>
          <w:sz w:val="24"/>
          <w:szCs w:val="24"/>
        </w:rPr>
        <w:t xml:space="preserve"> предусмотренн</w:t>
      </w:r>
      <w:r w:rsidR="001857AD">
        <w:rPr>
          <w:rFonts w:ascii="Times New Roman" w:hAnsi="Times New Roman"/>
          <w:sz w:val="24"/>
          <w:szCs w:val="24"/>
        </w:rPr>
        <w:t>ого объема</w:t>
      </w:r>
      <w:r w:rsidRPr="00C660CA">
        <w:rPr>
          <w:rFonts w:ascii="Times New Roman" w:hAnsi="Times New Roman"/>
          <w:sz w:val="24"/>
          <w:szCs w:val="24"/>
        </w:rPr>
        <w:t xml:space="preserve"> на 2018 год</w:t>
      </w:r>
      <w:r>
        <w:rPr>
          <w:rFonts w:ascii="Times New Roman" w:hAnsi="Times New Roman"/>
          <w:sz w:val="24"/>
          <w:szCs w:val="24"/>
        </w:rPr>
        <w:t xml:space="preserve"> на 396,9 млн. руб. (-60,3%)</w:t>
      </w:r>
      <w:r w:rsidRPr="00C660CA">
        <w:rPr>
          <w:rFonts w:ascii="Times New Roman" w:hAnsi="Times New Roman"/>
          <w:sz w:val="24"/>
          <w:szCs w:val="24"/>
        </w:rPr>
        <w:t xml:space="preserve"> обусловлено уменьшением </w:t>
      </w:r>
      <w:proofErr w:type="gramStart"/>
      <w:r w:rsidRPr="00C660CA">
        <w:rPr>
          <w:rFonts w:ascii="Times New Roman" w:hAnsi="Times New Roman"/>
          <w:sz w:val="24"/>
          <w:szCs w:val="24"/>
        </w:rPr>
        <w:t xml:space="preserve">объема финансирования  </w:t>
      </w:r>
      <w:r w:rsidRPr="00C660CA">
        <w:rPr>
          <w:rFonts w:ascii="Times New Roman" w:hAnsi="Times New Roman" w:cs="Times New Roman"/>
          <w:sz w:val="24"/>
          <w:szCs w:val="24"/>
        </w:rPr>
        <w:t>обеспечения дорожной деятельности город</w:t>
      </w:r>
      <w:r w:rsidR="001857AD">
        <w:rPr>
          <w:rFonts w:ascii="Times New Roman" w:hAnsi="Times New Roman" w:cs="Times New Roman"/>
          <w:sz w:val="24"/>
          <w:szCs w:val="24"/>
        </w:rPr>
        <w:t>ов</w:t>
      </w:r>
      <w:r w:rsidRPr="00C660CA">
        <w:rPr>
          <w:rFonts w:ascii="Times New Roman" w:hAnsi="Times New Roman" w:cs="Times New Roman"/>
          <w:sz w:val="24"/>
          <w:szCs w:val="24"/>
        </w:rPr>
        <w:t xml:space="preserve"> Волгограда</w:t>
      </w:r>
      <w:proofErr w:type="gramEnd"/>
      <w:r w:rsidRPr="00C660CA">
        <w:rPr>
          <w:rFonts w:ascii="Times New Roman" w:hAnsi="Times New Roman" w:cs="Times New Roman"/>
          <w:sz w:val="24"/>
          <w:szCs w:val="24"/>
        </w:rPr>
        <w:t xml:space="preserve"> и Волжского.</w:t>
      </w:r>
    </w:p>
    <w:p w:rsidR="00562E15" w:rsidRPr="00955E1A" w:rsidRDefault="00562E15" w:rsidP="00562E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сократился объем дотаций на поддержку мер по обеспечению сбалансированности в 2019 году по сравнению с 2018 годом на 630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(-65%).</w:t>
      </w:r>
    </w:p>
    <w:p w:rsidR="00562E15" w:rsidRPr="00486CAC" w:rsidRDefault="00562E15" w:rsidP="00562E15">
      <w:pPr>
        <w:ind w:firstLine="851"/>
        <w:jc w:val="both"/>
      </w:pPr>
      <w:r w:rsidRPr="00C47AE1">
        <w:t>Объемы и структура распределения</w:t>
      </w:r>
      <w:r w:rsidRPr="00065031">
        <w:t xml:space="preserve"> межбюджетных трансфертов по формам их предс</w:t>
      </w:r>
      <w:r>
        <w:t>тавления местным бюджетам в 2017-2019</w:t>
      </w:r>
      <w:r w:rsidRPr="00065031">
        <w:t xml:space="preserve"> годах наглядно представлена диаграммой</w:t>
      </w:r>
      <w:r w:rsidR="001857AD">
        <w:t>:</w:t>
      </w:r>
    </w:p>
    <w:p w:rsidR="00562E15" w:rsidRPr="00EE5BEC" w:rsidRDefault="00562E15" w:rsidP="00562E15">
      <w:pPr>
        <w:ind w:firstLine="720"/>
        <w:jc w:val="right"/>
        <w:rPr>
          <w:rFonts w:eastAsia="Calibri"/>
          <w:sz w:val="20"/>
          <w:szCs w:val="20"/>
        </w:rPr>
      </w:pPr>
      <w:r w:rsidRPr="00EE5BEC">
        <w:rPr>
          <w:rFonts w:eastAsia="Calibri"/>
          <w:sz w:val="20"/>
          <w:szCs w:val="20"/>
        </w:rPr>
        <w:t>млн. руб.</w:t>
      </w:r>
    </w:p>
    <w:p w:rsidR="00562E15" w:rsidRPr="003A2CF1" w:rsidRDefault="00562E15" w:rsidP="00562E15">
      <w:pPr>
        <w:jc w:val="both"/>
      </w:pPr>
      <w:r w:rsidRPr="00FC46EA">
        <w:rPr>
          <w:rFonts w:eastAsia="Calibri"/>
          <w:noProof/>
        </w:rPr>
        <w:drawing>
          <wp:inline distT="0" distB="0" distL="0" distR="0">
            <wp:extent cx="6185140" cy="2234242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022" w:rsidRDefault="00D25022" w:rsidP="00562E15">
      <w:pPr>
        <w:autoSpaceDE w:val="0"/>
        <w:autoSpaceDN w:val="0"/>
        <w:adjustRightInd w:val="0"/>
        <w:jc w:val="center"/>
        <w:outlineLvl w:val="1"/>
        <w:rPr>
          <w:b/>
          <w:i/>
          <w:u w:val="single"/>
        </w:rPr>
      </w:pPr>
    </w:p>
    <w:p w:rsidR="00562E15" w:rsidRPr="001857AD" w:rsidRDefault="00562E15" w:rsidP="00562E15">
      <w:pPr>
        <w:autoSpaceDE w:val="0"/>
        <w:autoSpaceDN w:val="0"/>
        <w:adjustRightInd w:val="0"/>
        <w:jc w:val="center"/>
        <w:outlineLvl w:val="1"/>
        <w:rPr>
          <w:b/>
          <w:i/>
          <w:u w:val="single"/>
        </w:rPr>
      </w:pPr>
      <w:r w:rsidRPr="001857AD">
        <w:rPr>
          <w:b/>
          <w:i/>
          <w:u w:val="single"/>
        </w:rPr>
        <w:t xml:space="preserve">Критерии выравнивания </w:t>
      </w:r>
    </w:p>
    <w:p w:rsidR="00562E15" w:rsidRPr="001857AD" w:rsidRDefault="00562E15" w:rsidP="00562E15">
      <w:pPr>
        <w:autoSpaceDE w:val="0"/>
        <w:autoSpaceDN w:val="0"/>
        <w:adjustRightInd w:val="0"/>
        <w:jc w:val="center"/>
        <w:outlineLvl w:val="1"/>
        <w:rPr>
          <w:b/>
          <w:i/>
          <w:u w:val="single"/>
        </w:rPr>
      </w:pPr>
      <w:r w:rsidRPr="001857AD">
        <w:rPr>
          <w:b/>
          <w:i/>
          <w:u w:val="single"/>
        </w:rPr>
        <w:t xml:space="preserve">расчетной бюджетной обеспеченности МР (ГО) </w:t>
      </w:r>
    </w:p>
    <w:p w:rsidR="00562E15" w:rsidRDefault="00562E15" w:rsidP="00562E15">
      <w:pPr>
        <w:autoSpaceDE w:val="0"/>
        <w:autoSpaceDN w:val="0"/>
        <w:adjustRightInd w:val="0"/>
        <w:jc w:val="center"/>
        <w:outlineLvl w:val="1"/>
        <w:rPr>
          <w:b/>
          <w:i/>
          <w:u w:val="single"/>
        </w:rPr>
      </w:pPr>
      <w:r w:rsidRPr="001857AD">
        <w:rPr>
          <w:b/>
          <w:i/>
          <w:u w:val="single"/>
        </w:rPr>
        <w:t>и финансовых возможностей поселений</w:t>
      </w:r>
    </w:p>
    <w:p w:rsidR="00F1541B" w:rsidRDefault="00F1541B" w:rsidP="00562E15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562E15" w:rsidRPr="00E87870" w:rsidRDefault="00562E15" w:rsidP="00562E15">
      <w:pPr>
        <w:autoSpaceDE w:val="0"/>
        <w:autoSpaceDN w:val="0"/>
        <w:adjustRightInd w:val="0"/>
        <w:ind w:firstLine="851"/>
        <w:jc w:val="both"/>
        <w:outlineLvl w:val="1"/>
      </w:pPr>
      <w:r w:rsidRPr="00E87870">
        <w:t xml:space="preserve">Расчет объемов дотаций из областных </w:t>
      </w:r>
      <w:r w:rsidRPr="00E87870">
        <w:rPr>
          <w:b/>
          <w:i/>
        </w:rPr>
        <w:t xml:space="preserve">фондов финансовой поддержки </w:t>
      </w:r>
      <w:r w:rsidRPr="00E87870">
        <w:t>(</w:t>
      </w:r>
      <w:r w:rsidRPr="00E87870">
        <w:rPr>
          <w:i/>
        </w:rPr>
        <w:t>ФФПП (в части городских округов), ФФПП (в части городских и сельских поселений) и ФФП МР (ГО))</w:t>
      </w:r>
      <w:r w:rsidRPr="00E87870">
        <w:t xml:space="preserve"> осуществлялся по методике, утвержд</w:t>
      </w:r>
      <w:r w:rsidR="001857AD">
        <w:t>е</w:t>
      </w:r>
      <w:r w:rsidRPr="00E87870">
        <w:t xml:space="preserve">нной  Законом Волгоградской области </w:t>
      </w:r>
      <w:r w:rsidRPr="00E87870">
        <w:rPr>
          <w:bCs/>
        </w:rPr>
        <w:t xml:space="preserve">от 26.07.2005 №1093-ОД «О межбюджетных отношениях </w:t>
      </w:r>
      <w:r w:rsidRPr="00E87870">
        <w:t>в Волгоградской области»</w:t>
      </w:r>
      <w:r>
        <w:t xml:space="preserve"> (далее Закон о межбюджетных отношениях №1093-ОД)</w:t>
      </w:r>
      <w:r w:rsidRPr="00E87870">
        <w:t>.</w:t>
      </w:r>
    </w:p>
    <w:p w:rsidR="00562E15" w:rsidRPr="008958A5" w:rsidRDefault="00562E15" w:rsidP="00562E15">
      <w:pPr>
        <w:autoSpaceDE w:val="0"/>
        <w:autoSpaceDN w:val="0"/>
        <w:adjustRightInd w:val="0"/>
        <w:ind w:firstLine="851"/>
        <w:jc w:val="both"/>
        <w:outlineLvl w:val="1"/>
        <w:rPr>
          <w:lang w:eastAsia="en-US"/>
        </w:rPr>
      </w:pPr>
      <w:r w:rsidRPr="00E87870">
        <w:rPr>
          <w:lang w:eastAsia="en-US"/>
        </w:rPr>
        <w:lastRenderedPageBreak/>
        <w:t xml:space="preserve">Значения критериев выравнивания </w:t>
      </w:r>
      <w:r w:rsidRPr="00FC5001">
        <w:rPr>
          <w:lang w:eastAsia="en-US"/>
        </w:rPr>
        <w:t>установлены статьей 3</w:t>
      </w:r>
      <w:r>
        <w:rPr>
          <w:lang w:eastAsia="en-US"/>
        </w:rPr>
        <w:t xml:space="preserve">7 </w:t>
      </w:r>
      <w:r w:rsidR="001857AD">
        <w:rPr>
          <w:lang w:eastAsia="en-US"/>
        </w:rPr>
        <w:t>з</w:t>
      </w:r>
      <w:r w:rsidRPr="00FC5001">
        <w:rPr>
          <w:lang w:eastAsia="en-US"/>
        </w:rPr>
        <w:t>аконопроекта</w:t>
      </w:r>
      <w:r w:rsidRPr="00E87870">
        <w:rPr>
          <w:lang w:eastAsia="en-US"/>
        </w:rPr>
        <w:t xml:space="preserve"> и </w:t>
      </w:r>
      <w:r w:rsidRPr="008958A5">
        <w:rPr>
          <w:lang w:eastAsia="en-US"/>
        </w:rPr>
        <w:t xml:space="preserve">представлены в </w:t>
      </w:r>
      <w:r w:rsidR="001857AD">
        <w:rPr>
          <w:lang w:eastAsia="en-US"/>
        </w:rPr>
        <w:t xml:space="preserve">следующей </w:t>
      </w:r>
      <w:r w:rsidRPr="008958A5">
        <w:rPr>
          <w:lang w:eastAsia="en-US"/>
        </w:rPr>
        <w:t>таблице:</w:t>
      </w:r>
    </w:p>
    <w:p w:rsidR="00562E15" w:rsidRPr="008958A5" w:rsidRDefault="00562E15" w:rsidP="00562E15">
      <w:pPr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</w:p>
    <w:tbl>
      <w:tblPr>
        <w:tblW w:w="967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1104"/>
        <w:gridCol w:w="1197"/>
        <w:gridCol w:w="1276"/>
        <w:gridCol w:w="1276"/>
        <w:gridCol w:w="1275"/>
      </w:tblGrid>
      <w:tr w:rsidR="00562E15" w:rsidRPr="008958A5" w:rsidTr="00F57822">
        <w:trPr>
          <w:trHeight w:val="227"/>
        </w:trPr>
        <w:tc>
          <w:tcPr>
            <w:tcW w:w="3544" w:type="dxa"/>
            <w:vMerge w:val="restart"/>
            <w:tcBorders>
              <w:top w:val="double" w:sz="6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jc w:val="center"/>
              <w:rPr>
                <w:b/>
                <w:sz w:val="20"/>
                <w:szCs w:val="20"/>
              </w:rPr>
            </w:pPr>
            <w:r w:rsidRPr="008958A5">
              <w:rPr>
                <w:b/>
                <w:sz w:val="20"/>
                <w:szCs w:val="20"/>
              </w:rPr>
              <w:t>Фонды финансовой поддержки</w:t>
            </w:r>
          </w:p>
        </w:tc>
        <w:tc>
          <w:tcPr>
            <w:tcW w:w="1104" w:type="dxa"/>
            <w:vMerge w:val="restart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jc w:val="center"/>
              <w:rPr>
                <w:b/>
                <w:sz w:val="20"/>
                <w:szCs w:val="20"/>
              </w:rPr>
            </w:pPr>
            <w:r w:rsidRPr="008958A5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958A5">
              <w:rPr>
                <w:b/>
                <w:sz w:val="20"/>
                <w:szCs w:val="20"/>
              </w:rPr>
              <w:t>изм</w:t>
            </w:r>
            <w:proofErr w:type="spellEnd"/>
            <w:r w:rsidRPr="008958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24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2E15" w:rsidRPr="008958A5" w:rsidRDefault="00562E15" w:rsidP="00F57822">
            <w:pPr>
              <w:jc w:val="center"/>
              <w:rPr>
                <w:b/>
                <w:sz w:val="20"/>
                <w:szCs w:val="20"/>
              </w:rPr>
            </w:pPr>
            <w:r w:rsidRPr="008958A5">
              <w:rPr>
                <w:b/>
                <w:sz w:val="20"/>
                <w:szCs w:val="20"/>
              </w:rPr>
              <w:t>критерий выравнивания на одного жителя</w:t>
            </w:r>
          </w:p>
        </w:tc>
      </w:tr>
      <w:tr w:rsidR="00562E15" w:rsidRPr="008958A5" w:rsidTr="00F57822">
        <w:trPr>
          <w:trHeight w:val="227"/>
        </w:trPr>
        <w:tc>
          <w:tcPr>
            <w:tcW w:w="354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2E15" w:rsidRPr="008958A5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 w:rsidRPr="008958A5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8958A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2E15" w:rsidRPr="008958A5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 w:rsidRPr="008958A5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  <w:r w:rsidRPr="008958A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2E15" w:rsidRPr="008958A5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r w:rsidRPr="008958A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562E15" w:rsidRPr="008958A5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Pr="008958A5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562E15" w:rsidRPr="008958A5" w:rsidTr="00F57822">
        <w:trPr>
          <w:trHeight w:hRule="exact" w:val="25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rPr>
                <w:sz w:val="20"/>
                <w:szCs w:val="20"/>
              </w:rPr>
            </w:pPr>
            <w:r w:rsidRPr="008958A5">
              <w:rPr>
                <w:sz w:val="20"/>
                <w:szCs w:val="20"/>
              </w:rPr>
              <w:t>ФФПП (в части ГО)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jc w:val="center"/>
              <w:rPr>
                <w:sz w:val="20"/>
                <w:szCs w:val="20"/>
              </w:rPr>
            </w:pPr>
            <w:r w:rsidRPr="008958A5">
              <w:rPr>
                <w:sz w:val="20"/>
                <w:szCs w:val="20"/>
              </w:rPr>
              <w:t>руб.</w:t>
            </w: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958A5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FA09E8" w:rsidRDefault="00562E15" w:rsidP="00F57822">
            <w:pPr>
              <w:jc w:val="center"/>
              <w:rPr>
                <w:sz w:val="18"/>
                <w:szCs w:val="18"/>
              </w:rPr>
            </w:pPr>
            <w:r w:rsidRPr="00FA09E8">
              <w:rPr>
                <w:sz w:val="18"/>
                <w:szCs w:val="18"/>
              </w:rPr>
              <w:t>1150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FA09E8" w:rsidRDefault="00562E15" w:rsidP="00F57822">
            <w:pPr>
              <w:jc w:val="center"/>
              <w:rPr>
                <w:sz w:val="18"/>
                <w:szCs w:val="18"/>
              </w:rPr>
            </w:pPr>
            <w:r w:rsidRPr="00FA09E8">
              <w:rPr>
                <w:sz w:val="18"/>
                <w:szCs w:val="18"/>
              </w:rPr>
              <w:t>1150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2E15" w:rsidRPr="00FA09E8" w:rsidRDefault="00562E15" w:rsidP="00F57822">
            <w:pPr>
              <w:jc w:val="center"/>
              <w:rPr>
                <w:sz w:val="18"/>
                <w:szCs w:val="18"/>
              </w:rPr>
            </w:pPr>
            <w:r w:rsidRPr="00FA09E8">
              <w:rPr>
                <w:sz w:val="18"/>
                <w:szCs w:val="18"/>
              </w:rPr>
              <w:t>1150</w:t>
            </w:r>
          </w:p>
        </w:tc>
      </w:tr>
      <w:tr w:rsidR="00562E15" w:rsidRPr="008958A5" w:rsidTr="00F57822">
        <w:trPr>
          <w:trHeight w:hRule="exact" w:val="25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rPr>
                <w:sz w:val="20"/>
                <w:szCs w:val="20"/>
              </w:rPr>
            </w:pPr>
            <w:r w:rsidRPr="008958A5">
              <w:rPr>
                <w:sz w:val="20"/>
                <w:szCs w:val="20"/>
              </w:rPr>
              <w:t>ФФПП (в части поселений)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jc w:val="center"/>
              <w:rPr>
                <w:sz w:val="20"/>
                <w:szCs w:val="20"/>
              </w:rPr>
            </w:pPr>
            <w:r w:rsidRPr="008958A5">
              <w:rPr>
                <w:sz w:val="20"/>
                <w:szCs w:val="20"/>
              </w:rPr>
              <w:t>руб.</w:t>
            </w: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958A5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FA09E8" w:rsidRDefault="00562E15" w:rsidP="00F57822">
            <w:pPr>
              <w:jc w:val="center"/>
              <w:rPr>
                <w:sz w:val="18"/>
                <w:szCs w:val="18"/>
              </w:rPr>
            </w:pPr>
            <w:r w:rsidRPr="00FA09E8">
              <w:rPr>
                <w:sz w:val="18"/>
                <w:szCs w:val="18"/>
              </w:rPr>
              <w:t>1150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E15" w:rsidRPr="00FA09E8" w:rsidRDefault="00562E15" w:rsidP="00F57822">
            <w:pPr>
              <w:jc w:val="center"/>
              <w:rPr>
                <w:sz w:val="18"/>
                <w:szCs w:val="18"/>
              </w:rPr>
            </w:pPr>
            <w:r w:rsidRPr="00FA09E8">
              <w:rPr>
                <w:sz w:val="18"/>
                <w:szCs w:val="18"/>
              </w:rPr>
              <w:t>1150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2E15" w:rsidRPr="00FA09E8" w:rsidRDefault="00562E15" w:rsidP="00F57822">
            <w:pPr>
              <w:jc w:val="center"/>
              <w:rPr>
                <w:sz w:val="18"/>
                <w:szCs w:val="18"/>
              </w:rPr>
            </w:pPr>
            <w:r w:rsidRPr="00FA09E8">
              <w:rPr>
                <w:sz w:val="18"/>
                <w:szCs w:val="18"/>
              </w:rPr>
              <w:t>1150</w:t>
            </w:r>
          </w:p>
        </w:tc>
      </w:tr>
      <w:tr w:rsidR="00562E15" w:rsidRPr="008958A5" w:rsidTr="00F57822">
        <w:trPr>
          <w:trHeight w:hRule="exact" w:val="255"/>
        </w:trPr>
        <w:tc>
          <w:tcPr>
            <w:tcW w:w="3544" w:type="dxa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rPr>
                <w:sz w:val="20"/>
                <w:szCs w:val="20"/>
              </w:rPr>
            </w:pPr>
            <w:r w:rsidRPr="008958A5">
              <w:rPr>
                <w:sz w:val="20"/>
                <w:szCs w:val="20"/>
              </w:rPr>
              <w:t>ФФП МР (ГО)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62E15" w:rsidRPr="008958A5" w:rsidRDefault="00562E15" w:rsidP="00F57822">
            <w:pPr>
              <w:rPr>
                <w:sz w:val="20"/>
                <w:szCs w:val="20"/>
              </w:rPr>
            </w:pPr>
            <w:proofErr w:type="spellStart"/>
            <w:r w:rsidRPr="008958A5">
              <w:rPr>
                <w:sz w:val="20"/>
                <w:szCs w:val="20"/>
              </w:rPr>
              <w:t>коэфф.-т</w:t>
            </w:r>
            <w:proofErr w:type="spellEnd"/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62E15" w:rsidRPr="000D5E71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62E15" w:rsidRPr="000D5E71" w:rsidRDefault="00562E15" w:rsidP="00F57822">
            <w:pPr>
              <w:jc w:val="center"/>
              <w:rPr>
                <w:sz w:val="18"/>
                <w:szCs w:val="18"/>
              </w:rPr>
            </w:pPr>
            <w:r w:rsidRPr="000D5E7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62E15" w:rsidRPr="000D5E71" w:rsidRDefault="00562E15" w:rsidP="00F57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</w:tcBorders>
            <w:vAlign w:val="center"/>
          </w:tcPr>
          <w:p w:rsidR="00562E15" w:rsidRPr="000D5E71" w:rsidRDefault="00562E15" w:rsidP="00F57822">
            <w:pPr>
              <w:jc w:val="center"/>
              <w:rPr>
                <w:sz w:val="18"/>
                <w:szCs w:val="18"/>
              </w:rPr>
            </w:pPr>
            <w:r w:rsidRPr="000D5E71">
              <w:rPr>
                <w:sz w:val="18"/>
                <w:szCs w:val="18"/>
              </w:rPr>
              <w:t>1,0</w:t>
            </w:r>
          </w:p>
        </w:tc>
      </w:tr>
    </w:tbl>
    <w:p w:rsidR="00562E15" w:rsidRDefault="00562E15" w:rsidP="00562E15">
      <w:pPr>
        <w:autoSpaceDE w:val="0"/>
        <w:autoSpaceDN w:val="0"/>
        <w:adjustRightInd w:val="0"/>
        <w:jc w:val="both"/>
        <w:outlineLvl w:val="1"/>
      </w:pPr>
    </w:p>
    <w:p w:rsidR="00D25022" w:rsidRPr="008958A5" w:rsidRDefault="00D25022" w:rsidP="00562E15">
      <w:pPr>
        <w:autoSpaceDE w:val="0"/>
        <w:autoSpaceDN w:val="0"/>
        <w:adjustRightInd w:val="0"/>
        <w:jc w:val="both"/>
        <w:outlineLvl w:val="1"/>
      </w:pPr>
    </w:p>
    <w:p w:rsidR="00562E15" w:rsidRPr="001857AD" w:rsidRDefault="00562E15" w:rsidP="00562E15">
      <w:pPr>
        <w:autoSpaceDE w:val="0"/>
        <w:autoSpaceDN w:val="0"/>
        <w:adjustRightInd w:val="0"/>
        <w:jc w:val="center"/>
        <w:outlineLvl w:val="1"/>
        <w:rPr>
          <w:b/>
          <w:i/>
          <w:u w:val="single"/>
        </w:rPr>
      </w:pPr>
      <w:r w:rsidRPr="001857AD">
        <w:rPr>
          <w:b/>
          <w:i/>
          <w:u w:val="single"/>
        </w:rPr>
        <w:t xml:space="preserve">Размеры областного фонда финансовой поддержки поселений </w:t>
      </w:r>
    </w:p>
    <w:p w:rsidR="00562E15" w:rsidRDefault="00562E15" w:rsidP="00562E15">
      <w:pPr>
        <w:autoSpaceDE w:val="0"/>
        <w:autoSpaceDN w:val="0"/>
        <w:adjustRightInd w:val="0"/>
        <w:jc w:val="center"/>
        <w:outlineLvl w:val="1"/>
        <w:rPr>
          <w:b/>
          <w:i/>
          <w:u w:val="single"/>
        </w:rPr>
      </w:pPr>
      <w:r w:rsidRPr="001857AD">
        <w:rPr>
          <w:b/>
          <w:i/>
          <w:u w:val="single"/>
        </w:rPr>
        <w:t>и областного фонда финансовой поддержки МР (ГО)</w:t>
      </w:r>
    </w:p>
    <w:p w:rsidR="00F1541B" w:rsidRPr="001857AD" w:rsidRDefault="00F1541B" w:rsidP="00562E15">
      <w:pPr>
        <w:autoSpaceDE w:val="0"/>
        <w:autoSpaceDN w:val="0"/>
        <w:adjustRightInd w:val="0"/>
        <w:jc w:val="center"/>
        <w:outlineLvl w:val="1"/>
        <w:rPr>
          <w:b/>
          <w:i/>
          <w:u w:val="single"/>
        </w:rPr>
      </w:pPr>
    </w:p>
    <w:p w:rsidR="00562E15" w:rsidRPr="005D3E26" w:rsidRDefault="00562E15" w:rsidP="00562E15">
      <w:pPr>
        <w:ind w:firstLine="851"/>
        <w:jc w:val="both"/>
      </w:pPr>
      <w:r w:rsidRPr="005D3E26">
        <w:t>Данные о расчетных объемах ФФПП (в части городских округов), ФФПП (в части городских и сельских поселений) и ФФП МР (ГО) на 201</w:t>
      </w:r>
      <w:r>
        <w:t>7-2021</w:t>
      </w:r>
      <w:r w:rsidRPr="005D3E26">
        <w:t xml:space="preserve"> годы </w:t>
      </w:r>
      <w:r w:rsidRPr="005D3E26">
        <w:rPr>
          <w:u w:val="single"/>
        </w:rPr>
        <w:t>до замены части дотаций</w:t>
      </w:r>
      <w:r w:rsidRPr="005D3E26">
        <w:t xml:space="preserve"> дополнительными нормативами отчислений от НДФЛ представлены диаграммой</w:t>
      </w:r>
      <w:r w:rsidR="001857AD">
        <w:t>:</w:t>
      </w:r>
    </w:p>
    <w:p w:rsidR="00562E15" w:rsidRPr="00712A2D" w:rsidRDefault="00562E15" w:rsidP="00562E15">
      <w:pPr>
        <w:ind w:firstLine="720"/>
        <w:jc w:val="both"/>
        <w:rPr>
          <w:highlight w:val="yellow"/>
        </w:rPr>
      </w:pPr>
    </w:p>
    <w:p w:rsidR="00562E15" w:rsidRPr="00712A2D" w:rsidRDefault="00562E15" w:rsidP="00562E15">
      <w:pPr>
        <w:jc w:val="both"/>
        <w:rPr>
          <w:color w:val="FF0000"/>
          <w:highlight w:val="yellow"/>
        </w:rPr>
      </w:pPr>
      <w:r w:rsidRPr="00712A2D">
        <w:rPr>
          <w:noProof/>
          <w:color w:val="FF0000"/>
          <w:highlight w:val="yellow"/>
        </w:rPr>
        <w:drawing>
          <wp:inline distT="0" distB="0" distL="0" distR="0">
            <wp:extent cx="6142007" cy="2268747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2E15" w:rsidRPr="006C61A3" w:rsidRDefault="00562E15" w:rsidP="00562E15">
      <w:pPr>
        <w:ind w:firstLine="709"/>
        <w:jc w:val="both"/>
      </w:pPr>
    </w:p>
    <w:p w:rsidR="00562E15" w:rsidRPr="00E67B60" w:rsidRDefault="00562E15" w:rsidP="00562E15">
      <w:pPr>
        <w:pStyle w:val="ConsPlusNormal"/>
        <w:ind w:firstLine="652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C3B3B">
        <w:rPr>
          <w:rFonts w:ascii="Times New Roman" w:hAnsi="Times New Roman" w:cs="Times New Roman"/>
          <w:sz w:val="24"/>
          <w:szCs w:val="24"/>
        </w:rPr>
        <w:t xml:space="preserve">Из диаграммы видно, что значительное уменьшение в 2019 году к уровню 2018 года </w:t>
      </w:r>
      <w:r w:rsidR="001857AD">
        <w:rPr>
          <w:rFonts w:ascii="Times New Roman" w:hAnsi="Times New Roman" w:cs="Times New Roman"/>
          <w:sz w:val="24"/>
          <w:szCs w:val="24"/>
        </w:rPr>
        <w:t xml:space="preserve">- </w:t>
      </w:r>
      <w:r w:rsidRPr="007C3B3B">
        <w:rPr>
          <w:rFonts w:ascii="Times New Roman" w:hAnsi="Times New Roman" w:cs="Times New Roman"/>
          <w:sz w:val="24"/>
          <w:szCs w:val="24"/>
        </w:rPr>
        <w:t xml:space="preserve">на 551,7 млн. руб., или на 12,4%  произошло по расчетному объему ФФП МР (ГО). Указанное уменьшение </w:t>
      </w:r>
      <w:r w:rsidRPr="00BA6375">
        <w:rPr>
          <w:rFonts w:ascii="Times New Roman" w:hAnsi="Times New Roman" w:cs="Times New Roman"/>
          <w:sz w:val="24"/>
          <w:szCs w:val="24"/>
        </w:rPr>
        <w:t xml:space="preserve">сложилось в связи с тем, что </w:t>
      </w:r>
      <w:r w:rsidR="001857AD">
        <w:rPr>
          <w:rFonts w:ascii="Times New Roman" w:hAnsi="Times New Roman" w:cs="Times New Roman"/>
          <w:sz w:val="24"/>
          <w:szCs w:val="24"/>
        </w:rPr>
        <w:t>з</w:t>
      </w:r>
      <w:r w:rsidRPr="00BA6375">
        <w:rPr>
          <w:rFonts w:ascii="Times New Roman" w:hAnsi="Times New Roman" w:cs="Times New Roman"/>
          <w:sz w:val="24"/>
          <w:szCs w:val="24"/>
        </w:rPr>
        <w:t>аконопроектом предусматриваются значения поправочного коэффициента</w:t>
      </w:r>
      <w:r w:rsidRPr="00F25664">
        <w:rPr>
          <w:rFonts w:ascii="Times New Roman" w:hAnsi="Times New Roman" w:cs="Times New Roman"/>
          <w:sz w:val="24"/>
          <w:szCs w:val="24"/>
        </w:rPr>
        <w:t>, используемого для расчета дотаций, компенсирующих разницу между дотациями планируемого и текущего финансового года,</w:t>
      </w:r>
      <w:r w:rsidR="001857AD">
        <w:rPr>
          <w:rFonts w:ascii="Times New Roman" w:hAnsi="Times New Roman" w:cs="Times New Roman"/>
          <w:sz w:val="24"/>
          <w:szCs w:val="24"/>
        </w:rPr>
        <w:t xml:space="preserve"> менее «1»,</w:t>
      </w:r>
      <w:r w:rsidRPr="00F25664">
        <w:rPr>
          <w:rFonts w:ascii="Times New Roman" w:hAnsi="Times New Roman" w:cs="Times New Roman"/>
          <w:sz w:val="24"/>
          <w:szCs w:val="24"/>
        </w:rPr>
        <w:t xml:space="preserve"> что привело  к уменьшению размера дотации на выравнивание бюджетной обеспеченности муниципальных районов (городских округов), в том числе:</w:t>
      </w:r>
      <w:r w:rsidRPr="00E67B6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562E15" w:rsidRPr="00351EF9" w:rsidRDefault="00562E15" w:rsidP="00562E15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351EF9">
        <w:rPr>
          <w:rFonts w:ascii="Times New Roman" w:hAnsi="Times New Roman"/>
          <w:sz w:val="26"/>
          <w:szCs w:val="26"/>
        </w:rPr>
        <w:t>-</w:t>
      </w:r>
      <w:r w:rsidRPr="00351EF9">
        <w:rPr>
          <w:rFonts w:ascii="Times New Roman" w:hAnsi="Times New Roman" w:cs="Times New Roman"/>
          <w:sz w:val="24"/>
          <w:szCs w:val="24"/>
        </w:rPr>
        <w:t>для муниципальных районов (городских округов),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 (п</w:t>
      </w:r>
      <w:r w:rsidR="001857AD">
        <w:rPr>
          <w:rFonts w:ascii="Times New Roman" w:hAnsi="Times New Roman" w:cs="Times New Roman"/>
          <w:sz w:val="24"/>
          <w:szCs w:val="24"/>
        </w:rPr>
        <w:t>ункт</w:t>
      </w:r>
      <w:r w:rsidRPr="00351EF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51EF9">
          <w:rPr>
            <w:rFonts w:ascii="Times New Roman" w:hAnsi="Times New Roman" w:cs="Times New Roman"/>
            <w:sz w:val="24"/>
            <w:szCs w:val="24"/>
          </w:rPr>
          <w:t>1 ст</w:t>
        </w:r>
        <w:r w:rsidR="001857AD">
          <w:rPr>
            <w:rFonts w:ascii="Times New Roman" w:hAnsi="Times New Roman" w:cs="Times New Roman"/>
            <w:sz w:val="24"/>
            <w:szCs w:val="24"/>
          </w:rPr>
          <w:t xml:space="preserve">атьи </w:t>
        </w:r>
        <w:r w:rsidRPr="00351EF9">
          <w:rPr>
            <w:rFonts w:ascii="Times New Roman" w:hAnsi="Times New Roman" w:cs="Times New Roman"/>
            <w:sz w:val="24"/>
            <w:szCs w:val="24"/>
          </w:rPr>
          <w:t>142.2</w:t>
        </w:r>
      </w:hyperlink>
      <w:r w:rsidRPr="00351EF9">
        <w:rPr>
          <w:rFonts w:ascii="Times New Roman" w:hAnsi="Times New Roman" w:cs="Times New Roman"/>
          <w:sz w:val="24"/>
          <w:szCs w:val="24"/>
        </w:rPr>
        <w:t xml:space="preserve"> БК РФ), - 0,01;</w:t>
      </w:r>
    </w:p>
    <w:p w:rsidR="00562E15" w:rsidRPr="00351EF9" w:rsidRDefault="00562E15" w:rsidP="00562E15">
      <w:pPr>
        <w:autoSpaceDE w:val="0"/>
        <w:autoSpaceDN w:val="0"/>
        <w:adjustRightInd w:val="0"/>
        <w:ind w:firstLine="567"/>
        <w:jc w:val="both"/>
      </w:pPr>
      <w:r w:rsidRPr="00351EF9">
        <w:t xml:space="preserve">-для муниципальных районов (городских округов), не указанных в </w:t>
      </w:r>
      <w:hyperlink r:id="rId14" w:history="1">
        <w:r w:rsidRPr="00351EF9">
          <w:t>пункте 1 статьи 142.2</w:t>
        </w:r>
      </w:hyperlink>
      <w:r w:rsidRPr="00351EF9">
        <w:t xml:space="preserve"> Б</w:t>
      </w:r>
      <w:r w:rsidR="001857AD">
        <w:t>К</w:t>
      </w:r>
      <w:r w:rsidRPr="00351EF9">
        <w:t xml:space="preserve"> РФ в зависимости от численности населения (от 0,1 до 0,9).</w:t>
      </w:r>
    </w:p>
    <w:p w:rsidR="00562E15" w:rsidRPr="00351EF9" w:rsidRDefault="00562E15" w:rsidP="00562E15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351EF9">
        <w:rPr>
          <w:rFonts w:ascii="Times New Roman" w:hAnsi="Times New Roman" w:cs="Times New Roman"/>
          <w:sz w:val="24"/>
          <w:szCs w:val="24"/>
        </w:rPr>
        <w:t>Установление поправочного коэффициента предусмотрено законопроектом Волгоградской области №112-2018з «О внесении изменений в Закон Волгоградской области от 26 июля 2005 г. №1093-ОД «О межбюджетных отношениях в Волгоградской области» (далее Законопроект №112-2018з).</w:t>
      </w:r>
    </w:p>
    <w:p w:rsidR="00562E15" w:rsidRPr="00351EF9" w:rsidRDefault="00562E15" w:rsidP="00562E15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351EF9">
        <w:rPr>
          <w:rFonts w:ascii="Times New Roman" w:hAnsi="Times New Roman" w:cs="Times New Roman"/>
          <w:sz w:val="24"/>
          <w:szCs w:val="24"/>
        </w:rPr>
        <w:t xml:space="preserve">В действующей редакции Закона о межбюджетных отношениях №1093-ОД установлены следующие показатели  поправочного коэффициента:  </w:t>
      </w:r>
    </w:p>
    <w:p w:rsidR="00562E15" w:rsidRPr="00351EF9" w:rsidRDefault="00562E15" w:rsidP="00562E15">
      <w:pPr>
        <w:autoSpaceDE w:val="0"/>
        <w:autoSpaceDN w:val="0"/>
        <w:adjustRightInd w:val="0"/>
        <w:ind w:firstLine="567"/>
        <w:jc w:val="both"/>
      </w:pPr>
      <w:r w:rsidRPr="00351EF9">
        <w:t xml:space="preserve"> -для муниципальных районов (городских округов), указанных в </w:t>
      </w:r>
      <w:hyperlink r:id="rId15" w:history="1">
        <w:r w:rsidRPr="00351EF9">
          <w:t>пункте 1 статьи 142.2</w:t>
        </w:r>
      </w:hyperlink>
      <w:r w:rsidRPr="00351EF9">
        <w:t xml:space="preserve"> Б</w:t>
      </w:r>
      <w:r w:rsidR="001857AD">
        <w:t>К</w:t>
      </w:r>
      <w:r w:rsidRPr="00351EF9">
        <w:t xml:space="preserve"> РФ, - 0,01;</w:t>
      </w:r>
    </w:p>
    <w:p w:rsidR="00562E15" w:rsidRPr="00351EF9" w:rsidRDefault="00562E15" w:rsidP="00562E15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351EF9">
        <w:rPr>
          <w:rFonts w:ascii="Times New Roman" w:hAnsi="Times New Roman" w:cs="Times New Roman"/>
          <w:sz w:val="24"/>
          <w:szCs w:val="24"/>
        </w:rPr>
        <w:t xml:space="preserve">-не указанных в </w:t>
      </w:r>
      <w:hyperlink r:id="rId16" w:history="1">
        <w:r w:rsidRPr="00351EF9">
          <w:rPr>
            <w:rFonts w:ascii="Times New Roman" w:hAnsi="Times New Roman" w:cs="Times New Roman"/>
            <w:sz w:val="24"/>
            <w:szCs w:val="24"/>
          </w:rPr>
          <w:t>п</w:t>
        </w:r>
        <w:r w:rsidR="001857AD">
          <w:rPr>
            <w:rFonts w:ascii="Times New Roman" w:hAnsi="Times New Roman" w:cs="Times New Roman"/>
            <w:sz w:val="24"/>
            <w:szCs w:val="24"/>
          </w:rPr>
          <w:t xml:space="preserve">ункте </w:t>
        </w:r>
        <w:r w:rsidRPr="00351EF9">
          <w:rPr>
            <w:rFonts w:ascii="Times New Roman" w:hAnsi="Times New Roman" w:cs="Times New Roman"/>
            <w:sz w:val="24"/>
            <w:szCs w:val="24"/>
          </w:rPr>
          <w:t>1 ст</w:t>
        </w:r>
        <w:r w:rsidR="001857AD">
          <w:rPr>
            <w:rFonts w:ascii="Times New Roman" w:hAnsi="Times New Roman" w:cs="Times New Roman"/>
            <w:sz w:val="24"/>
            <w:szCs w:val="24"/>
          </w:rPr>
          <w:t xml:space="preserve">атьи </w:t>
        </w:r>
        <w:r w:rsidRPr="00351EF9">
          <w:rPr>
            <w:rFonts w:ascii="Times New Roman" w:hAnsi="Times New Roman" w:cs="Times New Roman"/>
            <w:sz w:val="24"/>
            <w:szCs w:val="24"/>
          </w:rPr>
          <w:t>142.2</w:t>
        </w:r>
      </w:hyperlink>
      <w:r w:rsidRPr="00351EF9">
        <w:rPr>
          <w:rFonts w:ascii="Times New Roman" w:hAnsi="Times New Roman" w:cs="Times New Roman"/>
          <w:sz w:val="24"/>
          <w:szCs w:val="24"/>
        </w:rPr>
        <w:t xml:space="preserve"> БК РФ - 1.</w:t>
      </w:r>
    </w:p>
    <w:p w:rsidR="00562E15" w:rsidRPr="00351EF9" w:rsidRDefault="00562E15" w:rsidP="00562E15">
      <w:pPr>
        <w:tabs>
          <w:tab w:val="left" w:pos="0"/>
          <w:tab w:val="left" w:pos="2268"/>
          <w:tab w:val="left" w:pos="2694"/>
        </w:tabs>
        <w:ind w:firstLine="652"/>
        <w:jc w:val="both"/>
      </w:pPr>
      <w:proofErr w:type="gramStart"/>
      <w:r w:rsidRPr="00351EF9">
        <w:lastRenderedPageBreak/>
        <w:t>Кроме того, Законопроектом №112-2018з методика расчета объема областного ФФП МР (ГО) раздела «Расчет индекса налогового потенциала муниципального района (городского округа)» дополнена новым показателем «налог, взимаемый в связи с применением упрощенной системы налогообложения» и установлена налоговая база для его расчета, что обусловлено  передачей части норматива отчислений по налогу, взимаемому с применением упрощенной системы налогообложения, подлежащего зачислению в областной бюджет, в бюджеты</w:t>
      </w:r>
      <w:proofErr w:type="gramEnd"/>
      <w:r w:rsidRPr="00351EF9">
        <w:t xml:space="preserve"> муниципальных районов и городских округов Волгоградской области (по нормативу 5%), в связи с внесением изменений в Закон Волгоградской области от 29.11.2011 №2258-ОД  «Об установлении единых нормативов отчислений в местные бюджеты от налогов, подлежащих зачислению в областной бюджет» (далее Закон №2258-ОД).</w:t>
      </w:r>
    </w:p>
    <w:p w:rsidR="007E727C" w:rsidRDefault="00562E15" w:rsidP="00562E15">
      <w:pPr>
        <w:ind w:firstLine="851"/>
        <w:jc w:val="both"/>
      </w:pPr>
      <w:r>
        <w:t>В 2019 году</w:t>
      </w:r>
      <w:r w:rsidRPr="001D52C0">
        <w:t xml:space="preserve"> расчетный объем ФФПП (в части ГО) </w:t>
      </w:r>
      <w:r w:rsidR="006409A7" w:rsidRPr="001D52C0">
        <w:t>уменьшился к уровню 2018 года на 3,5 млн. руб., или на 0,5%</w:t>
      </w:r>
      <w:r w:rsidR="006409A7">
        <w:t>,</w:t>
      </w:r>
      <w:r w:rsidR="006409A7" w:rsidRPr="001D52C0">
        <w:t xml:space="preserve"> </w:t>
      </w:r>
      <w:r w:rsidRPr="001D52C0">
        <w:t>по причин</w:t>
      </w:r>
      <w:r>
        <w:t>е снижения численности жителей</w:t>
      </w:r>
      <w:r w:rsidRPr="001D52C0">
        <w:t xml:space="preserve">. </w:t>
      </w:r>
    </w:p>
    <w:p w:rsidR="00562E15" w:rsidRPr="00351EF9" w:rsidRDefault="00562E15" w:rsidP="00562E15">
      <w:pPr>
        <w:ind w:firstLine="851"/>
        <w:jc w:val="both"/>
      </w:pPr>
      <w:r w:rsidRPr="00351EF9">
        <w:t>Законопроектом предусмотрено предоставление областному бюджету субсидии из бюджета городского округа Волгоград (отрицательный трансферт) в размере 4,9 млн</w:t>
      </w:r>
      <w:proofErr w:type="gramStart"/>
      <w:r w:rsidRPr="00351EF9">
        <w:t>.р</w:t>
      </w:r>
      <w:proofErr w:type="gramEnd"/>
      <w:r w:rsidRPr="00351EF9">
        <w:t>уб., которая направлена на увеличение критерия выравнивания расчетной бюджетной обеспеченности муниципальных районов (городских округов), равного 1,0012  на периоды 2019-2021 год</w:t>
      </w:r>
      <w:r w:rsidR="006409A7">
        <w:t>ов</w:t>
      </w:r>
      <w:r w:rsidRPr="00351EF9">
        <w:t>.</w:t>
      </w:r>
    </w:p>
    <w:p w:rsidR="00562E15" w:rsidRPr="00351EF9" w:rsidRDefault="00562E15" w:rsidP="00562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EF9">
        <w:rPr>
          <w:rFonts w:ascii="Times New Roman" w:hAnsi="Times New Roman" w:cs="Times New Roman"/>
          <w:sz w:val="24"/>
          <w:szCs w:val="24"/>
        </w:rPr>
        <w:t xml:space="preserve">Поправками в Закон о межбюджетных отношениях №1093-ОД формула расчета субсидии, подлежащей перечислению из бюджета муниципального района (городского округа) в областной бюджет, установленная в 2018 году, продлена на 2019 год и на плановый период 2020 и 2021 годов. Согласно пояснительной записке данная мера позволит сократить в 2019 году расходы бюджета </w:t>
      </w:r>
      <w:proofErr w:type="gramStart"/>
      <w:r w:rsidRPr="00351E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1EF9">
        <w:rPr>
          <w:rFonts w:ascii="Times New Roman" w:hAnsi="Times New Roman" w:cs="Times New Roman"/>
          <w:sz w:val="24"/>
          <w:szCs w:val="24"/>
        </w:rPr>
        <w:t>. Волгограда по уплате отрицательного трансферта в бюджет Волгоградской области с 486 млн. рублей до 4,9 млн. рублей.</w:t>
      </w:r>
    </w:p>
    <w:p w:rsidR="00562E15" w:rsidRDefault="00562E15" w:rsidP="007E727C">
      <w:pPr>
        <w:ind w:firstLine="708"/>
        <w:jc w:val="both"/>
      </w:pPr>
      <w:r w:rsidRPr="00351EF9">
        <w:t>Предоставление областному бюджету субсидии из бюджета городского округа Волгоград обусловлено превышением в отчетном финансовом году расчетных налоговых доходов бюджета г</w:t>
      </w:r>
      <w:proofErr w:type="gramStart"/>
      <w:r w:rsidRPr="00351EF9">
        <w:t>.В</w:t>
      </w:r>
      <w:proofErr w:type="gramEnd"/>
      <w:r w:rsidRPr="00351EF9">
        <w:t>олгограда (без</w:t>
      </w:r>
      <w:r w:rsidRPr="00A31BDE">
        <w:t xml:space="preserve"> учета налоговых доходов по дополнительным нормативам отчислений) 1,3-кратного среднего уровня по муниципальным районам (городским округам) в расчете на одного </w:t>
      </w:r>
      <w:r w:rsidRPr="006723DC">
        <w:t>жителя в соответствии с п</w:t>
      </w:r>
      <w:r w:rsidR="007E727C">
        <w:t xml:space="preserve">унктом </w:t>
      </w:r>
      <w:r w:rsidRPr="006723DC">
        <w:t>1 ст</w:t>
      </w:r>
      <w:r w:rsidR="007E727C">
        <w:t xml:space="preserve">атьи </w:t>
      </w:r>
      <w:r w:rsidRPr="006723DC">
        <w:t xml:space="preserve">142.2 БК РФ. </w:t>
      </w:r>
      <w:r>
        <w:t>В результате г</w:t>
      </w:r>
      <w:proofErr w:type="gramStart"/>
      <w:r>
        <w:t>.В</w:t>
      </w:r>
      <w:proofErr w:type="gramEnd"/>
      <w:r>
        <w:t>олгоград</w:t>
      </w:r>
      <w:r w:rsidR="007E727C">
        <w:t>,</w:t>
      </w:r>
      <w:r>
        <w:t xml:space="preserve"> как и в 2018 году</w:t>
      </w:r>
      <w:r w:rsidR="007E727C">
        <w:t>, подпадает</w:t>
      </w:r>
      <w:r>
        <w:t xml:space="preserve"> </w:t>
      </w:r>
      <w:r w:rsidRPr="002C772C">
        <w:t>под условия п</w:t>
      </w:r>
      <w:r w:rsidR="007E727C">
        <w:t xml:space="preserve">ункта </w:t>
      </w:r>
      <w:r w:rsidRPr="002C772C">
        <w:t>3 ст</w:t>
      </w:r>
      <w:r w:rsidR="007E727C">
        <w:t xml:space="preserve">атьи </w:t>
      </w:r>
      <w:r w:rsidRPr="002C772C">
        <w:t xml:space="preserve">137 БК РФ, согласно </w:t>
      </w:r>
      <w:r>
        <w:t>которым</w:t>
      </w:r>
      <w:r w:rsidRPr="002C772C">
        <w:t xml:space="preserve"> право на получение  дотации  из ФФПП (ГО) имеют все городские поселения (включая городские округа), сельские поселения, внутригородские районы субъекта РФ, за исключением указанных в п</w:t>
      </w:r>
      <w:r w:rsidR="007E727C">
        <w:t xml:space="preserve">ункте </w:t>
      </w:r>
      <w:r w:rsidRPr="002C772C">
        <w:t>1 статьи 142.2 БК РФ.</w:t>
      </w:r>
    </w:p>
    <w:p w:rsidR="00562E15" w:rsidRPr="004E1031" w:rsidRDefault="00562E15" w:rsidP="00562E15">
      <w:pPr>
        <w:ind w:firstLine="851"/>
        <w:jc w:val="both"/>
      </w:pPr>
      <w:r w:rsidRPr="004E1031">
        <w:t>Часть дотаций на выравнивание уровня бюджетной обеспеченности из расчетных объемов ФФПП (в части городских округов) и ФФП МР (ГО) законопроектом предлагается заменить дополнительными нормативами отчислений от НДФЛ.</w:t>
      </w:r>
    </w:p>
    <w:p w:rsidR="00562E15" w:rsidRPr="00CF0633" w:rsidRDefault="00562E15" w:rsidP="00562E15">
      <w:pPr>
        <w:autoSpaceDE w:val="0"/>
        <w:autoSpaceDN w:val="0"/>
        <w:adjustRightInd w:val="0"/>
        <w:ind w:firstLine="851"/>
        <w:jc w:val="both"/>
      </w:pPr>
      <w:r w:rsidRPr="00CF0633">
        <w:t>Согласно законопроекту замена дотаций дополнительными нормативами отчислений от НДФЛ произведена, как и в 2018 году, всем муниципальным районам и городским округам области.</w:t>
      </w:r>
    </w:p>
    <w:p w:rsidR="00562E15" w:rsidRPr="00CF0633" w:rsidRDefault="00562E15" w:rsidP="00562E15">
      <w:pPr>
        <w:ind w:firstLine="851"/>
        <w:jc w:val="both"/>
      </w:pPr>
      <w:proofErr w:type="gramStart"/>
      <w:r w:rsidRPr="00CF0633">
        <w:t>В 2019 году</w:t>
      </w:r>
      <w:r w:rsidRPr="004E1031">
        <w:t xml:space="preserve"> расчетные дотации ФФП МР (ГО) и ФФПП (в части городских округов) предлагается заменить дополнительными нормативами отчислений от НДФЛ в сумме </w:t>
      </w:r>
      <w:r>
        <w:t>4539,8</w:t>
      </w:r>
      <w:r w:rsidRPr="002679FE">
        <w:t xml:space="preserve"> млн. руб. (в том числе ФФПП (в части городских округов) – 689 млн. руб. и ФФП МР</w:t>
      </w:r>
      <w:r w:rsidRPr="004E1031">
        <w:t xml:space="preserve"> (ГО) </w:t>
      </w:r>
      <w:r w:rsidRPr="00CF0633">
        <w:t>– 3850,8 млн. руб</w:t>
      </w:r>
      <w:r w:rsidRPr="002679FE">
        <w:t xml:space="preserve">.), что составляет </w:t>
      </w:r>
      <w:r>
        <w:t>98,9</w:t>
      </w:r>
      <w:r w:rsidRPr="002679FE">
        <w:t>% от общего расчетного объема указанных фондов финансовой поддержки (</w:t>
      </w:r>
      <w:r>
        <w:t>4589,</w:t>
      </w:r>
      <w:r w:rsidRPr="002D0DA3">
        <w:rPr>
          <w:color w:val="1F497D" w:themeColor="text2"/>
        </w:rPr>
        <w:t xml:space="preserve">3 </w:t>
      </w:r>
      <w:r w:rsidRPr="002679FE">
        <w:t>млн. руб.).</w:t>
      </w:r>
      <w:proofErr w:type="gramEnd"/>
      <w:r w:rsidRPr="002679FE">
        <w:t xml:space="preserve"> </w:t>
      </w:r>
      <w:r w:rsidRPr="004E1031">
        <w:t xml:space="preserve">Замена дотаций из ФФПП (в части городских и сельских поселений) на 2019 год и плановый период 2020 и 2021 годов дополнительными нормативами отчислений от </w:t>
      </w:r>
      <w:r w:rsidR="007E727C">
        <w:t>НДФЛ</w:t>
      </w:r>
      <w:r w:rsidRPr="00CF0633">
        <w:t xml:space="preserve"> не осуществлялась.</w:t>
      </w:r>
    </w:p>
    <w:p w:rsidR="00562E15" w:rsidRPr="00CF0633" w:rsidRDefault="00562E15" w:rsidP="00562E15">
      <w:pPr>
        <w:jc w:val="both"/>
      </w:pPr>
    </w:p>
    <w:p w:rsidR="00562E15" w:rsidRPr="000021E1" w:rsidRDefault="00562E15" w:rsidP="00562E15">
      <w:pPr>
        <w:ind w:firstLine="720"/>
        <w:jc w:val="center"/>
        <w:rPr>
          <w:rFonts w:eastAsia="Calibri"/>
          <w:b/>
          <w:bCs/>
          <w:i/>
          <w:iCs/>
          <w:u w:val="single"/>
        </w:rPr>
      </w:pPr>
      <w:r w:rsidRPr="000021E1">
        <w:rPr>
          <w:rFonts w:eastAsia="Calibri"/>
          <w:b/>
          <w:bCs/>
          <w:i/>
          <w:iCs/>
          <w:u w:val="single"/>
        </w:rPr>
        <w:t>Размеры иных дотаций, субвенций, субсидий</w:t>
      </w:r>
    </w:p>
    <w:p w:rsidR="00562E15" w:rsidRDefault="00562E15" w:rsidP="00562E15">
      <w:pPr>
        <w:ind w:firstLine="720"/>
        <w:jc w:val="center"/>
        <w:rPr>
          <w:rFonts w:eastAsia="Calibri"/>
          <w:b/>
          <w:bCs/>
          <w:i/>
          <w:iCs/>
          <w:u w:val="single"/>
        </w:rPr>
      </w:pPr>
      <w:r w:rsidRPr="000021E1">
        <w:rPr>
          <w:rFonts w:eastAsia="Calibri"/>
          <w:b/>
          <w:bCs/>
          <w:i/>
          <w:iCs/>
          <w:u w:val="single"/>
        </w:rPr>
        <w:t>и иных межбюджетных трансфертов</w:t>
      </w:r>
      <w:r w:rsidR="00BD6F47" w:rsidRPr="000021E1">
        <w:rPr>
          <w:rFonts w:eastAsia="Calibri"/>
          <w:b/>
          <w:bCs/>
          <w:i/>
          <w:iCs/>
          <w:u w:val="single"/>
        </w:rPr>
        <w:t>.</w:t>
      </w:r>
    </w:p>
    <w:p w:rsidR="00F1541B" w:rsidRPr="000021E1" w:rsidRDefault="00F1541B" w:rsidP="00562E15">
      <w:pPr>
        <w:ind w:firstLine="720"/>
        <w:jc w:val="center"/>
        <w:rPr>
          <w:rFonts w:eastAsia="Calibri"/>
          <w:b/>
          <w:bCs/>
          <w:i/>
          <w:iCs/>
          <w:u w:val="single"/>
        </w:rPr>
      </w:pPr>
    </w:p>
    <w:p w:rsidR="00562E15" w:rsidRPr="00FD1A2D" w:rsidRDefault="00562E15" w:rsidP="00562E15">
      <w:pPr>
        <w:autoSpaceDE w:val="0"/>
        <w:autoSpaceDN w:val="0"/>
        <w:adjustRightInd w:val="0"/>
        <w:ind w:firstLine="851"/>
        <w:jc w:val="both"/>
        <w:rPr>
          <w:rFonts w:eastAsia="Calibri"/>
          <w:iCs/>
        </w:rPr>
      </w:pPr>
      <w:proofErr w:type="gramStart"/>
      <w:r w:rsidRPr="00FD1A2D">
        <w:t xml:space="preserve">В соответствии со статьей 139.1 БК РФ в случаях и порядке, предусмотренных законами субъектов РФ и принимаемыми в соответствии с ними иными нормативными правовыми актами органов государственной власти субъектов РФ, местным бюджетам </w:t>
      </w:r>
      <w:r w:rsidRPr="00FD1A2D">
        <w:lastRenderedPageBreak/>
        <w:t>могут быть предоставлены иные межбюджетные трансферты из бюджета субъекта РФ, в том числе в форме дотаций в пределах 10% общего объема межбюджетных трансфертов местным бюджетам из бюджета субъекта</w:t>
      </w:r>
      <w:proofErr w:type="gramEnd"/>
      <w:r w:rsidRPr="00FD1A2D">
        <w:t xml:space="preserve"> РФ (за исключением субвенций)</w:t>
      </w:r>
      <w:r w:rsidRPr="00FD1A2D">
        <w:rPr>
          <w:rFonts w:eastAsia="Calibri"/>
          <w:iCs/>
        </w:rPr>
        <w:t xml:space="preserve"> и (или)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отчислений.</w:t>
      </w:r>
    </w:p>
    <w:p w:rsidR="00562E15" w:rsidRPr="00FD1A2D" w:rsidRDefault="00562E15" w:rsidP="00562E15">
      <w:pPr>
        <w:ind w:firstLine="851"/>
        <w:jc w:val="both"/>
      </w:pPr>
      <w:r w:rsidRPr="00FD1A2D">
        <w:t xml:space="preserve">Законопроектом предусмотрен </w:t>
      </w:r>
      <w:r w:rsidRPr="00FD1A2D">
        <w:rPr>
          <w:b/>
          <w:i/>
        </w:rPr>
        <w:t xml:space="preserve">нераспределенный объем дотаций муниципальным образованиям на поддержку мер по обеспечению сбалансированности местных бюджетов </w:t>
      </w:r>
      <w:r w:rsidRPr="00FD1A2D">
        <w:t xml:space="preserve">на 2019 год в </w:t>
      </w:r>
      <w:r w:rsidRPr="00FA6364">
        <w:t xml:space="preserve">сумме </w:t>
      </w:r>
      <w:r>
        <w:t>340</w:t>
      </w:r>
      <w:r w:rsidRPr="00FA6364">
        <w:t xml:space="preserve"> млн. рублей. Возможность</w:t>
      </w:r>
      <w:r w:rsidRPr="00FD1A2D">
        <w:t xml:space="preserve"> предоставления таких дотаций предусмотрена Законом Волгоградской области от 09.02.2011 №2151-ОД «О дотациях бюджетам муниципальных образований Волгоградской области на поддержку мер по обеспечению сбалансированности местных бюджетов».</w:t>
      </w:r>
    </w:p>
    <w:p w:rsidR="00562E15" w:rsidRPr="0069437A" w:rsidRDefault="00562E15" w:rsidP="00562E15">
      <w:pPr>
        <w:autoSpaceDE w:val="0"/>
        <w:autoSpaceDN w:val="0"/>
        <w:adjustRightInd w:val="0"/>
        <w:ind w:firstLine="851"/>
        <w:jc w:val="both"/>
        <w:outlineLvl w:val="0"/>
      </w:pPr>
      <w:r w:rsidRPr="005D7140">
        <w:t xml:space="preserve">Общий объем межбюджетных трансфертов местным бюджетам </w:t>
      </w:r>
      <w:r>
        <w:t>за исключением субвенций на 2019</w:t>
      </w:r>
      <w:r w:rsidRPr="005D7140">
        <w:t xml:space="preserve"> год предусмотрен в общей сумме 9052,8 млн. руб. (дотации – 1462 млн. руб., субсидии – 7328,9 млн. руб.</w:t>
      </w:r>
      <w:r w:rsidR="006F6C8F">
        <w:t>,</w:t>
      </w:r>
      <w:r w:rsidRPr="005D7140">
        <w:t xml:space="preserve"> иные межбюджетные трансферты – 261,9 млн. руб.).</w:t>
      </w:r>
      <w:r w:rsidRPr="00A942A6">
        <w:t xml:space="preserve"> Расчетный объем дотации на выравнивание бюджетной обеспеченности, замененной</w:t>
      </w:r>
      <w:r w:rsidRPr="0069437A">
        <w:t xml:space="preserve"> дополнительными нормативами отчислений от НДФЛ, на 2019 год предусмотрен в сумме </w:t>
      </w:r>
      <w:r w:rsidRPr="009C4419">
        <w:t>4539,8 млн. рублей</w:t>
      </w:r>
      <w:r w:rsidRPr="0002373F">
        <w:t>.</w:t>
      </w:r>
      <w:r w:rsidRPr="00EA513B">
        <w:rPr>
          <w:color w:val="FF0000"/>
        </w:rPr>
        <w:t xml:space="preserve"> </w:t>
      </w:r>
      <w:proofErr w:type="gramStart"/>
      <w:r w:rsidRPr="00EA513B">
        <w:t>О</w:t>
      </w:r>
      <w:r>
        <w:t xml:space="preserve">бъем </w:t>
      </w:r>
      <w:r w:rsidRPr="00EA513B">
        <w:t>межбюджетных трансфертов в форме дотаций на сбалансированность бюджетов муниципальных образований на 2019 год предусмотрен в размере 340 млн. руб.,</w:t>
      </w:r>
      <w:r w:rsidRPr="001D22FC">
        <w:t xml:space="preserve"> </w:t>
      </w:r>
      <w:r w:rsidRPr="00105DA4">
        <w:t>или 2,5%</w:t>
      </w:r>
      <w:r w:rsidRPr="00F318D0">
        <w:t xml:space="preserve"> </w:t>
      </w:r>
      <w:r w:rsidRPr="0069437A">
        <w:t>от общего объема межбюджетных трансфертов (за исключением субвенций)</w:t>
      </w:r>
      <w:r w:rsidRPr="0069437A">
        <w:rPr>
          <w:rFonts w:eastAsia="Calibri"/>
          <w:iCs/>
        </w:rPr>
        <w:t xml:space="preserve"> и расчетного объема дотации на выравнивание бюджетной обеспеченности, замененной дополнительными нормативами отчислений</w:t>
      </w:r>
      <w:r w:rsidRPr="0069437A">
        <w:t>, что не превышает предельный объем, установленный статьей 139.1 БК РФ.</w:t>
      </w:r>
      <w:proofErr w:type="gramEnd"/>
    </w:p>
    <w:p w:rsidR="00562E15" w:rsidRPr="00F318D0" w:rsidRDefault="00562E15" w:rsidP="00562E15">
      <w:pPr>
        <w:ind w:firstLine="851"/>
        <w:jc w:val="both"/>
      </w:pPr>
      <w:r w:rsidRPr="00F318D0">
        <w:t xml:space="preserve">В соответствии со статьей 139 БК РФ в составе областного бюджета предусмотрены субсидии, предоставляемые бюджетам муниципальных образований в целях </w:t>
      </w:r>
      <w:proofErr w:type="spellStart"/>
      <w:r w:rsidRPr="00F318D0">
        <w:t>софинансирования</w:t>
      </w:r>
      <w:proofErr w:type="spellEnd"/>
      <w:r w:rsidRPr="00F318D0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562E15" w:rsidRDefault="00562E15" w:rsidP="00562E15">
      <w:pPr>
        <w:ind w:firstLine="851"/>
        <w:jc w:val="both"/>
      </w:pPr>
      <w:r w:rsidRPr="00950501">
        <w:rPr>
          <w:rFonts w:eastAsia="TimesNewRomanPSMT"/>
          <w:b/>
          <w:i/>
        </w:rPr>
        <w:t>Общий объ</w:t>
      </w:r>
      <w:r w:rsidR="006F6C8F">
        <w:rPr>
          <w:rFonts w:eastAsia="TimesNewRomanPSMT"/>
          <w:b/>
          <w:i/>
        </w:rPr>
        <w:t>е</w:t>
      </w:r>
      <w:r w:rsidRPr="00950501">
        <w:rPr>
          <w:rFonts w:eastAsia="TimesNewRomanPSMT"/>
          <w:b/>
          <w:i/>
        </w:rPr>
        <w:t>м субсидий на 2019 год</w:t>
      </w:r>
      <w:r w:rsidRPr="00950501">
        <w:rPr>
          <w:rFonts w:eastAsia="TimesNewRomanPSMT"/>
        </w:rPr>
        <w:t xml:space="preserve"> предусмотрен </w:t>
      </w:r>
      <w:r w:rsidRPr="00105DA4">
        <w:rPr>
          <w:rFonts w:eastAsia="TimesNewRomanPSMT"/>
        </w:rPr>
        <w:t>в сумме 7328,9 млн. руб.</w:t>
      </w:r>
      <w:r w:rsidRPr="00105DA4">
        <w:t xml:space="preserve"> с уменьшением к объему 2018 года на 1024,9  млн. руб., или на 12,3 процента.</w:t>
      </w:r>
    </w:p>
    <w:p w:rsidR="00562E15" w:rsidRPr="00F55289" w:rsidRDefault="00562E15" w:rsidP="00562E15">
      <w:pPr>
        <w:ind w:firstLine="851"/>
        <w:jc w:val="both"/>
      </w:pPr>
      <w:r w:rsidRPr="00F55289">
        <w:t>В 2019 году исключена субсидия бюджету городского округа город-герой Волгоград на подготовку к проведению в 2018 году чемпионата мира по футболу в размере 1121 тыс</w:t>
      </w:r>
      <w:proofErr w:type="gramStart"/>
      <w:r w:rsidRPr="00F55289">
        <w:t>.р</w:t>
      </w:r>
      <w:proofErr w:type="gramEnd"/>
      <w:r w:rsidRPr="00F55289">
        <w:t>ублей.</w:t>
      </w:r>
    </w:p>
    <w:p w:rsidR="00562E15" w:rsidRPr="00F55289" w:rsidRDefault="00562E15" w:rsidP="00562E15">
      <w:pPr>
        <w:ind w:firstLine="851"/>
        <w:jc w:val="both"/>
        <w:rPr>
          <w:lang w:eastAsia="en-US"/>
        </w:rPr>
      </w:pPr>
      <w:r w:rsidRPr="00F55289">
        <w:t>Уменьшение объемов субсидии в абсолютных величинах отмечается по субсидии комплексное обустройство объектами социальной и инженерной инфраструктуры населенных пунктов, рас</w:t>
      </w:r>
      <w:r w:rsidR="006F6C8F">
        <w:t xml:space="preserve">положенных в сельской местности, - </w:t>
      </w:r>
      <w:r w:rsidRPr="00F55289">
        <w:rPr>
          <w:lang w:eastAsia="en-US"/>
        </w:rPr>
        <w:t>на  110,4 млн. руб. (со 159 до 48,6 млн. руб.).</w:t>
      </w:r>
    </w:p>
    <w:p w:rsidR="00562E15" w:rsidRDefault="00562E15" w:rsidP="00562E15">
      <w:pPr>
        <w:ind w:firstLine="851"/>
        <w:jc w:val="both"/>
        <w:rPr>
          <w:lang w:eastAsia="en-US"/>
        </w:rPr>
      </w:pPr>
      <w:r w:rsidRPr="00FD3B41">
        <w:t>Наибольшее увеличение</w:t>
      </w:r>
      <w:r w:rsidRPr="00360406">
        <w:t xml:space="preserve"> объемов субсидии в абсолютных величинах отмечается по субсидии местным бюджетам на </w:t>
      </w:r>
      <w:proofErr w:type="spellStart"/>
      <w:r w:rsidRPr="00360406">
        <w:t>софинансирование</w:t>
      </w:r>
      <w:proofErr w:type="spellEnd"/>
      <w:r w:rsidRPr="00360406">
        <w:t xml:space="preserve"> капитальных вложений в объекты муниципальной собственности (благоустройство набережных), которые осуществляются из местных бюджетов</w:t>
      </w:r>
      <w:r>
        <w:t>,</w:t>
      </w:r>
      <w:r w:rsidRPr="00360406">
        <w:rPr>
          <w:lang w:eastAsia="en-US"/>
        </w:rPr>
        <w:t xml:space="preserve"> - на  901,3 млн. руб. (с</w:t>
      </w:r>
      <w:r>
        <w:rPr>
          <w:lang w:eastAsia="en-US"/>
        </w:rPr>
        <w:t>о</w:t>
      </w:r>
      <w:r w:rsidRPr="00360406">
        <w:rPr>
          <w:lang w:eastAsia="en-US"/>
        </w:rPr>
        <w:t xml:space="preserve"> 126 млн</w:t>
      </w:r>
      <w:proofErr w:type="gramStart"/>
      <w:r w:rsidRPr="00360406">
        <w:rPr>
          <w:lang w:eastAsia="en-US"/>
        </w:rPr>
        <w:t>.р</w:t>
      </w:r>
      <w:proofErr w:type="gramEnd"/>
      <w:r w:rsidRPr="00360406">
        <w:rPr>
          <w:lang w:eastAsia="en-US"/>
        </w:rPr>
        <w:t>уб. до 1</w:t>
      </w:r>
      <w:r>
        <w:rPr>
          <w:lang w:eastAsia="en-US"/>
        </w:rPr>
        <w:t>027,3 млн. руб.</w:t>
      </w:r>
      <w:r w:rsidRPr="00360406">
        <w:rPr>
          <w:lang w:eastAsia="en-US"/>
        </w:rPr>
        <w:t>).</w:t>
      </w:r>
    </w:p>
    <w:p w:rsidR="00562E15" w:rsidRDefault="00562E15" w:rsidP="00562E15">
      <w:pPr>
        <w:ind w:firstLine="851"/>
        <w:jc w:val="both"/>
        <w:rPr>
          <w:lang w:eastAsia="en-US"/>
        </w:rPr>
      </w:pPr>
      <w:r>
        <w:t xml:space="preserve">Законопроектом предусмотрено </w:t>
      </w:r>
      <w:r w:rsidR="008E6755">
        <w:t xml:space="preserve">также </w:t>
      </w:r>
      <w:r>
        <w:t xml:space="preserve">финансирование </w:t>
      </w:r>
      <w:r w:rsidR="008E6755">
        <w:t xml:space="preserve">следующих </w:t>
      </w:r>
      <w:r>
        <w:t>новых видов субсидий, в том числе:</w:t>
      </w:r>
    </w:p>
    <w:p w:rsidR="00562E15" w:rsidRPr="00713911" w:rsidRDefault="00562E15" w:rsidP="00562E15">
      <w:pPr>
        <w:ind w:firstLine="851"/>
        <w:jc w:val="both"/>
        <w:rPr>
          <w:lang w:eastAsia="en-US"/>
        </w:rPr>
      </w:pPr>
      <w:r w:rsidRPr="00713911">
        <w:rPr>
          <w:lang w:eastAsia="en-US"/>
        </w:rPr>
        <w:t>-субсидии бюджетам муниципальных образований Волгоградской области на реализацию мероприятий в сфере дорожной деятельности в размере 1243,6 млн</w:t>
      </w:r>
      <w:proofErr w:type="gramStart"/>
      <w:r w:rsidRPr="00713911">
        <w:rPr>
          <w:lang w:eastAsia="en-US"/>
        </w:rPr>
        <w:t>.р</w:t>
      </w:r>
      <w:proofErr w:type="gramEnd"/>
      <w:r w:rsidRPr="00713911">
        <w:rPr>
          <w:lang w:eastAsia="en-US"/>
        </w:rPr>
        <w:t xml:space="preserve">уб.; </w:t>
      </w:r>
    </w:p>
    <w:p w:rsidR="00562E15" w:rsidRDefault="00562E15" w:rsidP="00562E15">
      <w:pPr>
        <w:ind w:firstLine="851"/>
        <w:jc w:val="both"/>
        <w:rPr>
          <w:lang w:eastAsia="en-US"/>
        </w:rPr>
      </w:pPr>
      <w:r w:rsidRPr="00713911">
        <w:rPr>
          <w:lang w:eastAsia="en-US"/>
        </w:rPr>
        <w:t xml:space="preserve">-субсидии бюджету городского округа город-герой Волгоград на решение вопросов местного значения в сфере транспортного обслуживания в размере 333 </w:t>
      </w:r>
      <w:r w:rsidR="007C4D60">
        <w:rPr>
          <w:lang w:eastAsia="en-US"/>
        </w:rPr>
        <w:t>млн</w:t>
      </w:r>
      <w:proofErr w:type="gramStart"/>
      <w:r w:rsidRPr="00713911">
        <w:rPr>
          <w:lang w:eastAsia="en-US"/>
        </w:rPr>
        <w:t>.р</w:t>
      </w:r>
      <w:proofErr w:type="gramEnd"/>
      <w:r w:rsidRPr="00713911">
        <w:rPr>
          <w:lang w:eastAsia="en-US"/>
        </w:rPr>
        <w:t>уб</w:t>
      </w:r>
      <w:r w:rsidR="008E6755">
        <w:rPr>
          <w:lang w:eastAsia="en-US"/>
        </w:rPr>
        <w:t>лей</w:t>
      </w:r>
      <w:r w:rsidRPr="00713911">
        <w:rPr>
          <w:lang w:eastAsia="en-US"/>
        </w:rPr>
        <w:t>.</w:t>
      </w:r>
    </w:p>
    <w:p w:rsidR="008E6755" w:rsidRDefault="008E6755" w:rsidP="00562E15">
      <w:pPr>
        <w:ind w:firstLine="851"/>
        <w:jc w:val="both"/>
        <w:rPr>
          <w:lang w:eastAsia="en-US"/>
        </w:rPr>
      </w:pPr>
      <w:r>
        <w:rPr>
          <w:lang w:eastAsia="en-US"/>
        </w:rPr>
        <w:t xml:space="preserve">Относительно новой </w:t>
      </w:r>
      <w:r w:rsidRPr="00713911">
        <w:rPr>
          <w:lang w:eastAsia="en-US"/>
        </w:rPr>
        <w:t>субсидии на реализацию мероприятий в сфере дорожной деятельности</w:t>
      </w:r>
      <w:r>
        <w:rPr>
          <w:lang w:eastAsia="en-US"/>
        </w:rPr>
        <w:t xml:space="preserve"> необходимо отметить следующее.</w:t>
      </w:r>
    </w:p>
    <w:p w:rsidR="00E066E9" w:rsidRPr="00D67ECC" w:rsidRDefault="00E066E9" w:rsidP="00E066E9">
      <w:pPr>
        <w:ind w:firstLine="709"/>
        <w:jc w:val="both"/>
      </w:pPr>
      <w:r>
        <w:t xml:space="preserve">  </w:t>
      </w:r>
      <w:r w:rsidRPr="00D67ECC">
        <w:t>В составе материалов к законопроекту представлен проект постановления Администрации Волгоградской области «О предоставлении из областного бюджета субсидий бюджетам муниципальных образований Волгоградской области на реализацию мероприятий в сфере дорожной деятельности в 2019 году». Проектом постановления запланированы к утверждению порядок предоставления, методика распределения указанных субсидий и методика оценк</w:t>
      </w:r>
      <w:r w:rsidR="007430AD">
        <w:t>и</w:t>
      </w:r>
      <w:r w:rsidRPr="00D67ECC">
        <w:t xml:space="preserve"> эффективности их предоставления.</w:t>
      </w:r>
    </w:p>
    <w:p w:rsidR="00E066E9" w:rsidRPr="00D67ECC" w:rsidRDefault="00E066E9" w:rsidP="00E066E9">
      <w:pPr>
        <w:ind w:firstLine="709"/>
        <w:jc w:val="both"/>
      </w:pPr>
      <w:r>
        <w:lastRenderedPageBreak/>
        <w:t xml:space="preserve"> </w:t>
      </w:r>
      <w:r w:rsidRPr="00D67ECC">
        <w:t xml:space="preserve">Согласно планируемому к утверждению порядку субсидии предоставляются в связи с перераспределением части </w:t>
      </w:r>
      <w:proofErr w:type="gramStart"/>
      <w:r w:rsidRPr="00D67ECC">
        <w:t xml:space="preserve">средств, передаваемых муниципальным образованиям из областного бюджета на </w:t>
      </w:r>
      <w:proofErr w:type="spellStart"/>
      <w:r w:rsidRPr="00D67ECC">
        <w:t>общебюджетные</w:t>
      </w:r>
      <w:proofErr w:type="spellEnd"/>
      <w:r w:rsidRPr="00D67ECC">
        <w:t xml:space="preserve"> расходы при формировании межбюджетных отношений и направляются</w:t>
      </w:r>
      <w:proofErr w:type="gramEnd"/>
      <w:r w:rsidRPr="00D67ECC">
        <w:t xml:space="preserve"> на </w:t>
      </w:r>
      <w:proofErr w:type="spellStart"/>
      <w:r w:rsidRPr="00D67ECC">
        <w:t>софинансирование</w:t>
      </w:r>
      <w:proofErr w:type="spellEnd"/>
      <w:r w:rsidRPr="00D67ECC">
        <w:t xml:space="preserve"> расходных обязательств муниципальных образований в сфере дорожной деятельности.</w:t>
      </w:r>
    </w:p>
    <w:p w:rsidR="00E066E9" w:rsidRPr="00D67ECC" w:rsidRDefault="00E066E9" w:rsidP="00E066E9">
      <w:pPr>
        <w:ind w:firstLine="709"/>
        <w:jc w:val="both"/>
      </w:pPr>
      <w:r>
        <w:t xml:space="preserve"> </w:t>
      </w:r>
      <w:r w:rsidRPr="00E066E9">
        <w:rPr>
          <w:u w:val="single"/>
        </w:rPr>
        <w:t xml:space="preserve">Размер субсидии бюджетам муниципальных образований, за исключением городского округа </w:t>
      </w:r>
      <w:proofErr w:type="gramStart"/>
      <w:r w:rsidRPr="00E066E9">
        <w:rPr>
          <w:u w:val="single"/>
        </w:rPr>
        <w:t>г</w:t>
      </w:r>
      <w:proofErr w:type="gramEnd"/>
      <w:r w:rsidRPr="00E066E9">
        <w:rPr>
          <w:u w:val="single"/>
        </w:rPr>
        <w:t>. Волгоград, рассчитывается как разница между объ</w:t>
      </w:r>
      <w:r w:rsidR="00640C2F">
        <w:rPr>
          <w:u w:val="single"/>
        </w:rPr>
        <w:t>е</w:t>
      </w:r>
      <w:r w:rsidRPr="00E066E9">
        <w:rPr>
          <w:u w:val="single"/>
        </w:rPr>
        <w:t>мами дотациями из областных фондов финансовой поддержки планируемого и текущего финансового года.</w:t>
      </w:r>
      <w:r w:rsidRPr="00D67ECC">
        <w:t xml:space="preserve"> Бюджету городского округа </w:t>
      </w:r>
      <w:proofErr w:type="gramStart"/>
      <w:r w:rsidRPr="00D67ECC">
        <w:t>г</w:t>
      </w:r>
      <w:proofErr w:type="gramEnd"/>
      <w:r w:rsidRPr="00D67ECC">
        <w:t xml:space="preserve">. Волгоград размер субсидии определен в сумме 500 млн. рублей. То есть фактически размер субсидии зависит от </w:t>
      </w:r>
      <w:proofErr w:type="spellStart"/>
      <w:r w:rsidRPr="00D67ECC">
        <w:t>общебюджетной</w:t>
      </w:r>
      <w:proofErr w:type="spellEnd"/>
      <w:r w:rsidRPr="00D67ECC">
        <w:t xml:space="preserve"> ситуации предыдущего периода в муниципальном образовании. Качественные и количественные характеристики дорожной сети, потребность ресурсов на реализацию каких-либо проектов либо отсутствие такой потребности на размер субсидии не влияет. </w:t>
      </w:r>
    </w:p>
    <w:p w:rsidR="00E066E9" w:rsidRPr="00D67ECC" w:rsidRDefault="003C5A1F" w:rsidP="00E066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</w:t>
      </w:r>
      <w:r w:rsidR="00E066E9" w:rsidRPr="00D67ECC">
        <w:t>При наличии специальной госпрограммы</w:t>
      </w:r>
      <w:r>
        <w:t xml:space="preserve"> </w:t>
      </w:r>
      <w:r w:rsidR="00E066E9" w:rsidRPr="00D67ECC">
        <w:rPr>
          <w:rFonts w:eastAsiaTheme="minorHAnsi"/>
          <w:lang w:eastAsia="en-US"/>
        </w:rPr>
        <w:t>«Развитие транспортной системы и обеспечение безопасности дорожного движения в Волгоградской области», утвержд</w:t>
      </w:r>
      <w:r>
        <w:rPr>
          <w:rFonts w:eastAsiaTheme="minorHAnsi"/>
          <w:lang w:eastAsia="en-US"/>
        </w:rPr>
        <w:t>е</w:t>
      </w:r>
      <w:r w:rsidR="00E066E9" w:rsidRPr="00D67ECC">
        <w:rPr>
          <w:rFonts w:eastAsiaTheme="minorHAnsi"/>
          <w:lang w:eastAsia="en-US"/>
        </w:rPr>
        <w:t>нной постановлением Администрации Волгоградской области от 23.01.2017 №16-п и нацеленной на развитие современной и эффективной транспортной инфраструктуры Волгоградской области, в том числе пут</w:t>
      </w:r>
      <w:r>
        <w:rPr>
          <w:rFonts w:eastAsiaTheme="minorHAnsi"/>
          <w:lang w:eastAsia="en-US"/>
        </w:rPr>
        <w:t>е</w:t>
      </w:r>
      <w:r w:rsidR="00E066E9" w:rsidRPr="00D67ECC">
        <w:rPr>
          <w:rFonts w:eastAsiaTheme="minorHAnsi"/>
          <w:lang w:eastAsia="en-US"/>
        </w:rPr>
        <w:t>м аккумулирован</w:t>
      </w:r>
      <w:r>
        <w:rPr>
          <w:rFonts w:eastAsiaTheme="minorHAnsi"/>
          <w:lang w:eastAsia="en-US"/>
        </w:rPr>
        <w:t>ия ассигнований дорожного фонда</w:t>
      </w:r>
      <w:r w:rsidR="00E066E9" w:rsidRPr="00D67ECC">
        <w:rPr>
          <w:rFonts w:eastAsiaTheme="minorHAnsi"/>
          <w:lang w:eastAsia="en-US"/>
        </w:rPr>
        <w:t xml:space="preserve">, </w:t>
      </w:r>
      <w:r w:rsidR="00E066E9" w:rsidRPr="000C3BD4">
        <w:rPr>
          <w:rFonts w:eastAsiaTheme="minorHAnsi"/>
          <w:u w:val="single"/>
          <w:lang w:eastAsia="en-US"/>
        </w:rPr>
        <w:t xml:space="preserve">предоставление рассматриваемых субсидий планируется в виде </w:t>
      </w:r>
      <w:proofErr w:type="spellStart"/>
      <w:r w:rsidR="00E066E9" w:rsidRPr="000C3BD4">
        <w:rPr>
          <w:rFonts w:eastAsiaTheme="minorHAnsi"/>
          <w:u w:val="single"/>
          <w:lang w:eastAsia="en-US"/>
        </w:rPr>
        <w:t>непрограммных</w:t>
      </w:r>
      <w:proofErr w:type="spellEnd"/>
      <w:r w:rsidR="00E066E9" w:rsidRPr="000C3BD4">
        <w:rPr>
          <w:rFonts w:eastAsiaTheme="minorHAnsi"/>
          <w:u w:val="single"/>
          <w:lang w:eastAsia="en-US"/>
        </w:rPr>
        <w:t xml:space="preserve"> расходов</w:t>
      </w:r>
      <w:r w:rsidR="00E066E9" w:rsidRPr="00D67ECC">
        <w:rPr>
          <w:rFonts w:eastAsiaTheme="minorHAnsi"/>
          <w:lang w:eastAsia="en-US"/>
        </w:rPr>
        <w:t>.</w:t>
      </w:r>
    </w:p>
    <w:p w:rsidR="00E066E9" w:rsidRPr="00D67ECC" w:rsidRDefault="00E066E9" w:rsidP="00E066E9">
      <w:pPr>
        <w:ind w:firstLine="709"/>
        <w:jc w:val="both"/>
      </w:pPr>
      <w:proofErr w:type="gramStart"/>
      <w:r w:rsidRPr="00D67ECC">
        <w:t>В нарушение п</w:t>
      </w:r>
      <w:r w:rsidR="000C3BD4">
        <w:t>ункта</w:t>
      </w:r>
      <w:r w:rsidRPr="00D67ECC">
        <w:t xml:space="preserve"> 8 Порядка формирования и использования бюджетных ассигнований дорожного фонда Волгоградской области, утвержденного постановлением Администрации Волгоградской области от 26.12.2011 №887-п, согласно которому распределение бюджетных ассигнований дорожного фонда на очередной финансовый год осуществляют комитет транспорта и дорожного хозяйства Волгоградской области и комитет информационных технологий Волгоградской области, </w:t>
      </w:r>
      <w:r w:rsidRPr="000C3BD4">
        <w:rPr>
          <w:u w:val="single"/>
        </w:rPr>
        <w:t>главным распорядителем бюджетных средств, направляемых на выплату субсидий, определен комитет финансов Волгоградской области</w:t>
      </w:r>
      <w:proofErr w:type="gramEnd"/>
      <w:r w:rsidR="000C3BD4" w:rsidRPr="00EA43D7">
        <w:rPr>
          <w:u w:val="single"/>
        </w:rPr>
        <w:t>,</w:t>
      </w:r>
      <w:r w:rsidRPr="00EA43D7">
        <w:rPr>
          <w:u w:val="single"/>
        </w:rPr>
        <w:t xml:space="preserve"> т</w:t>
      </w:r>
      <w:r w:rsidR="000C3BD4" w:rsidRPr="00EA43D7">
        <w:rPr>
          <w:u w:val="single"/>
        </w:rPr>
        <w:t>.</w:t>
      </w:r>
      <w:r w:rsidRPr="00EA43D7">
        <w:rPr>
          <w:u w:val="single"/>
        </w:rPr>
        <w:t xml:space="preserve"> е</w:t>
      </w:r>
      <w:r w:rsidR="000C3BD4" w:rsidRPr="00EA43D7">
        <w:rPr>
          <w:u w:val="single"/>
        </w:rPr>
        <w:t>.</w:t>
      </w:r>
      <w:r w:rsidRPr="00EA43D7">
        <w:rPr>
          <w:u w:val="single"/>
        </w:rPr>
        <w:t xml:space="preserve"> орган исполнительной власти, не надел</w:t>
      </w:r>
      <w:r w:rsidR="000C3BD4" w:rsidRPr="00EA43D7">
        <w:rPr>
          <w:u w:val="single"/>
        </w:rPr>
        <w:t>е</w:t>
      </w:r>
      <w:r w:rsidRPr="00EA43D7">
        <w:rPr>
          <w:u w:val="single"/>
        </w:rPr>
        <w:t>нный какими-либо полномочиями в сфере дорожной деятельности</w:t>
      </w:r>
      <w:r w:rsidRPr="00D67ECC">
        <w:t>.</w:t>
      </w:r>
    </w:p>
    <w:p w:rsidR="00E066E9" w:rsidRPr="00D67ECC" w:rsidRDefault="00E066E9" w:rsidP="00E066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D67ECC">
        <w:t xml:space="preserve">Совокупность изложенного о планируемом использовании значительной части </w:t>
      </w:r>
      <w:r w:rsidR="00EA43D7">
        <w:t xml:space="preserve">средств </w:t>
      </w:r>
      <w:r w:rsidRPr="00D67ECC">
        <w:t>дорожного фонда Волгоградской области (в 2019 году – 11,9%) свидетельствует  о нарушении принципа эффективности использования бюджетных средств, установленного ст</w:t>
      </w:r>
      <w:r w:rsidR="00EA43D7">
        <w:t>атьей</w:t>
      </w:r>
      <w:r w:rsidRPr="00D67ECC">
        <w:t xml:space="preserve"> 34 БК РФ, которое </w:t>
      </w:r>
      <w:r w:rsidR="00EA43D7">
        <w:t xml:space="preserve">может </w:t>
      </w:r>
      <w:r w:rsidRPr="00D67ECC">
        <w:t>приве</w:t>
      </w:r>
      <w:r w:rsidR="00EA43D7">
        <w:t>сти</w:t>
      </w:r>
      <w:r w:rsidRPr="00D67ECC">
        <w:t xml:space="preserve"> к распылению ассигнований </w:t>
      </w:r>
      <w:r w:rsidR="0091210C">
        <w:t xml:space="preserve">областного </w:t>
      </w:r>
      <w:r w:rsidRPr="00D67ECC">
        <w:t xml:space="preserve">дорожного фонда и </w:t>
      </w:r>
      <w:r w:rsidR="004C70D3">
        <w:t>не позволит</w:t>
      </w:r>
      <w:r w:rsidRPr="00D67ECC">
        <w:t xml:space="preserve"> </w:t>
      </w:r>
      <w:r w:rsidRPr="00D67ECC">
        <w:rPr>
          <w:rFonts w:eastAsiaTheme="minorHAnsi"/>
          <w:lang w:eastAsia="en-US"/>
        </w:rPr>
        <w:t>дости</w:t>
      </w:r>
      <w:r w:rsidR="004C70D3">
        <w:rPr>
          <w:rFonts w:eastAsiaTheme="minorHAnsi"/>
          <w:lang w:eastAsia="en-US"/>
        </w:rPr>
        <w:t>гнуть в полной мере</w:t>
      </w:r>
      <w:r w:rsidRPr="00D67ECC">
        <w:rPr>
          <w:rFonts w:eastAsiaTheme="minorHAnsi"/>
          <w:lang w:eastAsia="en-US"/>
        </w:rPr>
        <w:t xml:space="preserve"> цел</w:t>
      </w:r>
      <w:r w:rsidR="004C70D3">
        <w:rPr>
          <w:rFonts w:eastAsiaTheme="minorHAnsi"/>
          <w:lang w:eastAsia="en-US"/>
        </w:rPr>
        <w:t>и</w:t>
      </w:r>
      <w:r w:rsidRPr="00D67ECC">
        <w:rPr>
          <w:rFonts w:eastAsiaTheme="minorHAnsi"/>
          <w:lang w:eastAsia="en-US"/>
        </w:rPr>
        <w:t xml:space="preserve"> в сфере дорожной деятельности, определ</w:t>
      </w:r>
      <w:r w:rsidR="0091210C">
        <w:rPr>
          <w:rFonts w:eastAsiaTheme="minorHAnsi"/>
          <w:lang w:eastAsia="en-US"/>
        </w:rPr>
        <w:t>е</w:t>
      </w:r>
      <w:r w:rsidRPr="00D67ECC">
        <w:rPr>
          <w:rFonts w:eastAsiaTheme="minorHAnsi"/>
          <w:lang w:eastAsia="en-US"/>
        </w:rPr>
        <w:t>нны</w:t>
      </w:r>
      <w:r w:rsidR="004C70D3">
        <w:rPr>
          <w:rFonts w:eastAsiaTheme="minorHAnsi"/>
          <w:lang w:eastAsia="en-US"/>
        </w:rPr>
        <w:t>е</w:t>
      </w:r>
      <w:r w:rsidRPr="00D67ECC">
        <w:rPr>
          <w:rFonts w:eastAsiaTheme="minorHAnsi"/>
          <w:lang w:eastAsia="en-US"/>
        </w:rPr>
        <w:t xml:space="preserve"> Указом Президента РФ от 07.05.2018 №204 «О национальных целях</w:t>
      </w:r>
      <w:proofErr w:type="gramEnd"/>
      <w:r w:rsidRPr="00D67ECC">
        <w:rPr>
          <w:rFonts w:eastAsiaTheme="minorHAnsi"/>
          <w:lang w:eastAsia="en-US"/>
        </w:rPr>
        <w:t xml:space="preserve"> и стратегических </w:t>
      </w:r>
      <w:proofErr w:type="gramStart"/>
      <w:r w:rsidRPr="00D67ECC">
        <w:rPr>
          <w:rFonts w:eastAsiaTheme="minorHAnsi"/>
          <w:lang w:eastAsia="en-US"/>
        </w:rPr>
        <w:t>задачах</w:t>
      </w:r>
      <w:proofErr w:type="gramEnd"/>
      <w:r w:rsidRPr="00D67ECC">
        <w:rPr>
          <w:rFonts w:eastAsiaTheme="minorHAnsi"/>
          <w:lang w:eastAsia="en-US"/>
        </w:rPr>
        <w:t xml:space="preserve"> развития Российской Федерации на период до 2024 года».</w:t>
      </w:r>
    </w:p>
    <w:p w:rsidR="00562E15" w:rsidRPr="006D473C" w:rsidRDefault="00562E15" w:rsidP="00562E15">
      <w:pPr>
        <w:ind w:firstLine="851"/>
        <w:jc w:val="both"/>
      </w:pPr>
      <w:r w:rsidRPr="006D473C">
        <w:t xml:space="preserve">Нераспределенный объем субсидий на 2019 год, согласно информации, представленной комитетом финансов Волгоградской области, составляет 2313,1 млн. руб., или 31,6% от общего объема субсидий. </w:t>
      </w:r>
    </w:p>
    <w:p w:rsidR="00562E15" w:rsidRPr="006D473C" w:rsidRDefault="00562E15" w:rsidP="00562E15">
      <w:pPr>
        <w:ind w:firstLine="851"/>
        <w:jc w:val="both"/>
      </w:pPr>
      <w:r w:rsidRPr="006D473C">
        <w:t>В суммовом выражении наибольшие нераспределенные объемы (</w:t>
      </w:r>
      <w:r w:rsidR="00640C2F">
        <w:t xml:space="preserve">либо </w:t>
      </w:r>
      <w:r w:rsidRPr="006D473C">
        <w:t>нераспределен</w:t>
      </w:r>
      <w:r w:rsidR="00640C2F">
        <w:t>н</w:t>
      </w:r>
      <w:r w:rsidRPr="006D473C">
        <w:t>ы</w:t>
      </w:r>
      <w:r w:rsidR="00640C2F">
        <w:t>е</w:t>
      </w:r>
      <w:r w:rsidRPr="006D473C">
        <w:t xml:space="preserve"> в полном объеме) сложились по следующим видам субсидий:</w:t>
      </w:r>
    </w:p>
    <w:p w:rsidR="00562E15" w:rsidRPr="006D473C" w:rsidRDefault="00562E15" w:rsidP="00562E15">
      <w:pPr>
        <w:ind w:firstLine="720"/>
        <w:jc w:val="both"/>
      </w:pPr>
      <w:r w:rsidRPr="006D473C">
        <w:t>-915,4 млн. руб. - субсидии на формирование муниципальных дорожных фондов;</w:t>
      </w:r>
    </w:p>
    <w:p w:rsidR="00562E15" w:rsidRPr="00713911" w:rsidRDefault="00562E15" w:rsidP="00562E15">
      <w:pPr>
        <w:ind w:firstLine="720"/>
        <w:jc w:val="both"/>
      </w:pPr>
      <w:r w:rsidRPr="006D473C">
        <w:t xml:space="preserve">-412,4 млн. руб. </w:t>
      </w:r>
      <w:r w:rsidR="00640C2F">
        <w:t>-</w:t>
      </w:r>
      <w:r w:rsidRPr="006D473C">
        <w:t xml:space="preserve"> субсидии из областного бюджета местным бюджетам в целях </w:t>
      </w:r>
      <w:proofErr w:type="spellStart"/>
      <w:r w:rsidRPr="006D473C">
        <w:t>софинансирования</w:t>
      </w:r>
      <w:proofErr w:type="spellEnd"/>
      <w:r w:rsidRPr="006D473C">
        <w:t xml:space="preserve"> муниципальных программ формирования современной городской среды</w:t>
      </w:r>
      <w:r>
        <w:t>.</w:t>
      </w:r>
    </w:p>
    <w:p w:rsidR="00562E15" w:rsidRPr="00B8226B" w:rsidRDefault="00562E15" w:rsidP="00562E15">
      <w:pPr>
        <w:ind w:firstLine="851"/>
        <w:jc w:val="both"/>
        <w:rPr>
          <w:rFonts w:eastAsia="TimesNewRomanPSMT"/>
        </w:rPr>
      </w:pPr>
      <w:r w:rsidRPr="00B8226B">
        <w:t xml:space="preserve">В составе субсидий местным бюджетам из областного бюджета предусмотрены </w:t>
      </w:r>
      <w:r w:rsidR="00640C2F">
        <w:t xml:space="preserve">также </w:t>
      </w:r>
      <w:r w:rsidRPr="00B8226B">
        <w:t>субсидии на обеспечение сбалансированности местных бюджетов в общей сумме 712,5 млн. руб</w:t>
      </w:r>
      <w:r w:rsidRPr="00B8226B">
        <w:rPr>
          <w:rFonts w:eastAsia="TimesNewRomanPSMT"/>
        </w:rPr>
        <w:t>лей.</w:t>
      </w:r>
      <w:r w:rsidRPr="00B8226B">
        <w:t xml:space="preserve"> </w:t>
      </w:r>
    </w:p>
    <w:p w:rsidR="00562E15" w:rsidRPr="006C3356" w:rsidRDefault="00562E15" w:rsidP="00562E15">
      <w:pPr>
        <w:autoSpaceDE w:val="0"/>
        <w:autoSpaceDN w:val="0"/>
        <w:adjustRightInd w:val="0"/>
        <w:ind w:firstLine="851"/>
        <w:jc w:val="both"/>
      </w:pPr>
      <w:r w:rsidRPr="006C3356">
        <w:t xml:space="preserve">С </w:t>
      </w:r>
      <w:r w:rsidR="00640C2F">
        <w:t>з</w:t>
      </w:r>
      <w:r w:rsidRPr="006C3356">
        <w:t>аконопроектом представлен проект постановления Администрации Волгоградской области «</w:t>
      </w:r>
      <w:r w:rsidRPr="006C3356">
        <w:rPr>
          <w:bCs/>
        </w:rPr>
        <w:t>О предоставлении в 2019 году</w:t>
      </w:r>
      <w:r w:rsidRPr="006C3356">
        <w:rPr>
          <w:b/>
          <w:bCs/>
        </w:rPr>
        <w:t xml:space="preserve"> </w:t>
      </w:r>
      <w:r w:rsidRPr="006C3356">
        <w:rPr>
          <w:bCs/>
        </w:rPr>
        <w:t>из областного бюджета бюджетам муниципальных образований Волгоградской области субсидий на обеспечение сбалансированности местных бюджетов</w:t>
      </w:r>
      <w:r w:rsidRPr="006C3356">
        <w:t>».</w:t>
      </w:r>
      <w:r w:rsidRPr="006C3356">
        <w:rPr>
          <w:color w:val="FF0000"/>
        </w:rPr>
        <w:t xml:space="preserve"> </w:t>
      </w:r>
      <w:r w:rsidRPr="006C3356">
        <w:t xml:space="preserve">Проектом постановления предусмотрены порядок предоставления субсидий, методика распределения и методика оценки эффективности их предоставления. Право на получение субсидий в 2019 году </w:t>
      </w:r>
      <w:r w:rsidR="00640C2F">
        <w:t>будет предоставлено</w:t>
      </w:r>
      <w:r w:rsidRPr="006C3356">
        <w:t xml:space="preserve"> муниципальным районам Волгоградской области, у которых отсутствуют обязательства по </w:t>
      </w:r>
      <w:r w:rsidRPr="006C3356">
        <w:lastRenderedPageBreak/>
        <w:t xml:space="preserve">перечислению субсидий в областной бюджет в соответствии со статьей 142.2 БК РФ.  Субсидии предоставляются в целях </w:t>
      </w:r>
      <w:proofErr w:type="spellStart"/>
      <w:r w:rsidRPr="006C3356">
        <w:t>софинансирования</w:t>
      </w:r>
      <w:proofErr w:type="spellEnd"/>
      <w:r w:rsidRPr="006C3356">
        <w:t xml:space="preserve"> расходных обязательств муниципальных образований Волгоградской области, возникающих при выполнении полномочий органов местного самоуправления по </w:t>
      </w:r>
      <w:r w:rsidRPr="006C3356">
        <w:rPr>
          <w:bCs/>
        </w:rPr>
        <w:t xml:space="preserve">вопросам местного значения. </w:t>
      </w:r>
      <w:proofErr w:type="gramStart"/>
      <w:r w:rsidRPr="006C3356">
        <w:t xml:space="preserve">Объем субсидии конкретному муниципальному образованию предлагается формировать как сумму субсидии бюджетам поселений, входящих в состав соответствующих муниципальных районов Волгоградской области, предусмотренной на 2018 год в соответствии с таблицей 3 приложения 20 к Закону Волгоградской области от 15.12.2017 №124-ОД «Об областном бюджете на 2018 год и плановый период 2019 и 2020 годов». </w:t>
      </w:r>
      <w:proofErr w:type="gramEnd"/>
    </w:p>
    <w:p w:rsidR="00562E15" w:rsidRPr="0009360B" w:rsidRDefault="00562E15" w:rsidP="00562E1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09360B">
        <w:t xml:space="preserve">В 2019 году </w:t>
      </w:r>
      <w:proofErr w:type="gramStart"/>
      <w:r w:rsidRPr="0009360B">
        <w:t>также</w:t>
      </w:r>
      <w:r w:rsidR="00640C2F">
        <w:t>,</w:t>
      </w:r>
      <w:r w:rsidRPr="0009360B">
        <w:t xml:space="preserve"> как</w:t>
      </w:r>
      <w:proofErr w:type="gramEnd"/>
      <w:r w:rsidRPr="0009360B">
        <w:t xml:space="preserve"> и в 2018 году</w:t>
      </w:r>
      <w:r w:rsidR="00640C2F">
        <w:t>,</w:t>
      </w:r>
      <w:r w:rsidRPr="0009360B">
        <w:t xml:space="preserve"> планируется, что весь объем</w:t>
      </w:r>
      <w:r>
        <w:t xml:space="preserve"> субсидии, представляемый в 2019</w:t>
      </w:r>
      <w:r w:rsidRPr="0009360B">
        <w:t xml:space="preserve"> году бюджетам поселений, в полном объеме будет передан муниципальным районам, что позволит муниципальным районам самостоятельно распреде</w:t>
      </w:r>
      <w:r>
        <w:t>лять средства между поселениями</w:t>
      </w:r>
      <w:r w:rsidRPr="0009360B">
        <w:t xml:space="preserve"> в силу объективных обстоятельств более нуждающи</w:t>
      </w:r>
      <w:r w:rsidR="00640C2F">
        <w:t>м</w:t>
      </w:r>
      <w:r w:rsidRPr="0009360B">
        <w:t xml:space="preserve">ся в финансовой поддержке. </w:t>
      </w:r>
    </w:p>
    <w:p w:rsidR="00562E15" w:rsidRDefault="00562E15" w:rsidP="00562E15">
      <w:pPr>
        <w:ind w:firstLine="851"/>
        <w:jc w:val="both"/>
      </w:pPr>
      <w:r w:rsidRPr="00970D0D">
        <w:t xml:space="preserve">В ходе подготовки </w:t>
      </w:r>
      <w:r w:rsidR="00640C2F">
        <w:t xml:space="preserve">настоящего </w:t>
      </w:r>
      <w:r w:rsidRPr="00970D0D">
        <w:t>экс</w:t>
      </w:r>
      <w:r>
        <w:t>пертного заключения произведено</w:t>
      </w:r>
      <w:r w:rsidRPr="00970D0D">
        <w:t xml:space="preserve"> сопоставление объемов финансовой помощи муниципальным образованиям в 2018-2019 годах, не имеющей целевого характера (расчетные объемы ФФП и субсидии на обеспечение сбалансированности). Сопоставление выполнено без учета объемов отчислений от НДФЛ в местные бюджеты в связи с тем, что нормативы отчислений, установленные БК РФ, Законом Волгоградской области от 28.11.2014 №156-ОД и Законом</w:t>
      </w:r>
      <w:r>
        <w:t xml:space="preserve"> </w:t>
      </w:r>
      <w:r w:rsidRPr="00970D0D">
        <w:t>№2258-ОД</w:t>
      </w:r>
      <w:r w:rsidR="00640C2F">
        <w:t>,</w:t>
      </w:r>
      <w:r w:rsidRPr="00970D0D">
        <w:t xml:space="preserve"> не изменяются. Результаты сопоставления представлены в таблице</w:t>
      </w:r>
      <w:r w:rsidR="0016723B">
        <w:t>:</w:t>
      </w:r>
    </w:p>
    <w:p w:rsidR="00562E15" w:rsidRPr="002679FE" w:rsidRDefault="00562E15" w:rsidP="00562E15">
      <w:pPr>
        <w:ind w:firstLine="720"/>
        <w:jc w:val="right"/>
        <w:rPr>
          <w:i/>
          <w:sz w:val="20"/>
          <w:szCs w:val="20"/>
        </w:rPr>
      </w:pPr>
      <w:r w:rsidRPr="0016723B">
        <w:rPr>
          <w:sz w:val="20"/>
          <w:szCs w:val="20"/>
        </w:rPr>
        <w:t>млн. руб</w:t>
      </w:r>
      <w:r w:rsidRPr="002679FE">
        <w:rPr>
          <w:i/>
          <w:sz w:val="20"/>
          <w:szCs w:val="20"/>
        </w:rPr>
        <w:t>.</w:t>
      </w:r>
    </w:p>
    <w:tbl>
      <w:tblPr>
        <w:tblW w:w="9652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415"/>
        <w:gridCol w:w="1559"/>
        <w:gridCol w:w="920"/>
        <w:gridCol w:w="1000"/>
        <w:gridCol w:w="1180"/>
        <w:gridCol w:w="1578"/>
      </w:tblGrid>
      <w:tr w:rsidR="00562E15" w:rsidRPr="00470452" w:rsidTr="00F57822">
        <w:trPr>
          <w:trHeight w:val="20"/>
        </w:trPr>
        <w:tc>
          <w:tcPr>
            <w:tcW w:w="49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2679FE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 w:rsidRPr="002679FE">
              <w:rPr>
                <w:b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2E15" w:rsidRPr="002679FE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 w:rsidRPr="002679FE">
              <w:rPr>
                <w:b/>
                <w:sz w:val="18"/>
                <w:szCs w:val="18"/>
              </w:rPr>
              <w:t>Районы</w:t>
            </w:r>
          </w:p>
        </w:tc>
        <w:tc>
          <w:tcPr>
            <w:tcW w:w="10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2E15" w:rsidRPr="002679FE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 w:rsidRPr="002679FE">
              <w:rPr>
                <w:b/>
                <w:sz w:val="18"/>
                <w:szCs w:val="18"/>
              </w:rPr>
              <w:t>Города</w:t>
            </w:r>
          </w:p>
        </w:tc>
        <w:tc>
          <w:tcPr>
            <w:tcW w:w="11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2E15" w:rsidRPr="002679FE" w:rsidRDefault="00562E15" w:rsidP="00F57822">
            <w:pPr>
              <w:jc w:val="center"/>
              <w:rPr>
                <w:b/>
                <w:sz w:val="18"/>
                <w:szCs w:val="18"/>
              </w:rPr>
            </w:pPr>
            <w:r w:rsidRPr="002679FE">
              <w:rPr>
                <w:b/>
                <w:sz w:val="18"/>
                <w:szCs w:val="18"/>
              </w:rPr>
              <w:t>Поселения</w:t>
            </w: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2679FE" w:rsidRDefault="00562E15" w:rsidP="00766CF6">
            <w:pPr>
              <w:ind w:left="-57" w:right="-57"/>
              <w:rPr>
                <w:b/>
                <w:sz w:val="18"/>
                <w:szCs w:val="18"/>
              </w:rPr>
            </w:pPr>
            <w:r w:rsidRPr="002679FE">
              <w:rPr>
                <w:b/>
                <w:sz w:val="18"/>
                <w:szCs w:val="18"/>
              </w:rPr>
              <w:t>Всего по области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 xml:space="preserve">Дотации из ФФП поселений </w:t>
            </w:r>
          </w:p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(расчетный объем.)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2018 год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692,2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1 068,7</w:t>
            </w:r>
          </w:p>
        </w:tc>
        <w:tc>
          <w:tcPr>
            <w:tcW w:w="15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1 760,9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2019 год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688,7</w:t>
            </w:r>
          </w:p>
        </w:tc>
        <w:tc>
          <w:tcPr>
            <w:tcW w:w="1180" w:type="dxa"/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1 069,6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1 758,3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отклонение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-3,5</w:t>
            </w:r>
          </w:p>
        </w:tc>
        <w:tc>
          <w:tcPr>
            <w:tcW w:w="1180" w:type="dxa"/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0,9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470452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1B778F">
              <w:rPr>
                <w:sz w:val="18"/>
                <w:szCs w:val="18"/>
              </w:rPr>
              <w:t>-2,6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%%</w:t>
            </w: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562E15" w:rsidRPr="002679FE" w:rsidRDefault="00562E15" w:rsidP="00F57822">
            <w:pPr>
              <w:jc w:val="right"/>
              <w:rPr>
                <w:sz w:val="18"/>
                <w:szCs w:val="18"/>
              </w:rPr>
            </w:pPr>
            <w:r w:rsidRPr="002679FE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noWrap/>
            <w:vAlign w:val="center"/>
          </w:tcPr>
          <w:p w:rsidR="00562E15" w:rsidRPr="002679FE" w:rsidRDefault="00562E15" w:rsidP="00492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562E15" w:rsidRPr="001B778F" w:rsidRDefault="00562E15" w:rsidP="0049254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0,1</w:t>
            </w:r>
          </w:p>
        </w:tc>
        <w:tc>
          <w:tcPr>
            <w:tcW w:w="15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470452" w:rsidRDefault="00562E15" w:rsidP="00492542">
            <w:pPr>
              <w:jc w:val="right"/>
              <w:rPr>
                <w:sz w:val="18"/>
                <w:szCs w:val="18"/>
                <w:highlight w:val="yellow"/>
              </w:rPr>
            </w:pPr>
            <w:r w:rsidRPr="001B778F">
              <w:rPr>
                <w:sz w:val="18"/>
                <w:szCs w:val="18"/>
              </w:rPr>
              <w:t>-0,2</w:t>
            </w:r>
          </w:p>
        </w:tc>
      </w:tr>
      <w:tr w:rsidR="00562E15" w:rsidRPr="00470452" w:rsidTr="00F57822">
        <w:trPr>
          <w:trHeight w:val="270"/>
        </w:trPr>
        <w:tc>
          <w:tcPr>
            <w:tcW w:w="34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 xml:space="preserve">Дотации из ФФП МР (ГО) </w:t>
            </w:r>
          </w:p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(расчетный объем)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2018 год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3 527,4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924,9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0,0</w:t>
            </w:r>
          </w:p>
        </w:tc>
        <w:tc>
          <w:tcPr>
            <w:tcW w:w="15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470452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1B778F">
              <w:rPr>
                <w:sz w:val="18"/>
                <w:szCs w:val="18"/>
              </w:rPr>
              <w:t>4 452,3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2019 год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3 358,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541,8</w:t>
            </w:r>
          </w:p>
        </w:tc>
        <w:tc>
          <w:tcPr>
            <w:tcW w:w="1180" w:type="dxa"/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0,0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470452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1B778F">
              <w:rPr>
                <w:sz w:val="18"/>
                <w:szCs w:val="18"/>
              </w:rPr>
              <w:t>3 900,</w:t>
            </w:r>
            <w:r>
              <w:rPr>
                <w:sz w:val="18"/>
                <w:szCs w:val="18"/>
              </w:rPr>
              <w:t>6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отклонение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-168,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0" w:type="dxa"/>
            <w:noWrap/>
            <w:vAlign w:val="center"/>
          </w:tcPr>
          <w:p w:rsidR="00562E15" w:rsidRPr="00470452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1B778F">
              <w:rPr>
                <w:sz w:val="18"/>
                <w:szCs w:val="18"/>
              </w:rPr>
              <w:t>-383,1</w:t>
            </w:r>
          </w:p>
        </w:tc>
        <w:tc>
          <w:tcPr>
            <w:tcW w:w="1180" w:type="dxa"/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0,0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470452" w:rsidRDefault="00562E15" w:rsidP="00F57822">
            <w:pPr>
              <w:jc w:val="right"/>
              <w:rPr>
                <w:sz w:val="18"/>
                <w:szCs w:val="18"/>
                <w:highlight w:val="yellow"/>
              </w:rPr>
            </w:pPr>
            <w:r w:rsidRPr="00233C1B">
              <w:rPr>
                <w:sz w:val="18"/>
                <w:szCs w:val="18"/>
              </w:rPr>
              <w:t>-551,</w:t>
            </w:r>
            <w:r>
              <w:rPr>
                <w:sz w:val="18"/>
                <w:szCs w:val="18"/>
              </w:rPr>
              <w:t>7</w:t>
            </w:r>
          </w:p>
        </w:tc>
      </w:tr>
      <w:tr w:rsidR="00562E15" w:rsidRPr="00233C1B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%%</w:t>
            </w: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562E15" w:rsidRPr="001B778F" w:rsidRDefault="00562E15" w:rsidP="0049254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-4,8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noWrap/>
            <w:vAlign w:val="center"/>
          </w:tcPr>
          <w:p w:rsidR="00562E15" w:rsidRPr="00470452" w:rsidRDefault="00562E15" w:rsidP="00492542">
            <w:pPr>
              <w:jc w:val="right"/>
              <w:rPr>
                <w:sz w:val="18"/>
                <w:szCs w:val="18"/>
                <w:highlight w:val="yellow"/>
              </w:rPr>
            </w:pPr>
            <w:r w:rsidRPr="001B778F">
              <w:rPr>
                <w:sz w:val="18"/>
                <w:szCs w:val="18"/>
              </w:rPr>
              <w:t>-41,4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562E15" w:rsidRPr="001B778F" w:rsidRDefault="00562E15" w:rsidP="00F57822">
            <w:pPr>
              <w:jc w:val="right"/>
              <w:rPr>
                <w:sz w:val="18"/>
                <w:szCs w:val="18"/>
              </w:rPr>
            </w:pPr>
            <w:r w:rsidRPr="001B778F">
              <w:rPr>
                <w:sz w:val="18"/>
                <w:szCs w:val="18"/>
              </w:rPr>
              <w:t>0,0</w:t>
            </w:r>
          </w:p>
        </w:tc>
        <w:tc>
          <w:tcPr>
            <w:tcW w:w="15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233C1B" w:rsidRDefault="00562E15" w:rsidP="0049254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-12,4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Субсидии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2018 год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562E15" w:rsidRPr="00233C1B" w:rsidRDefault="00562E15" w:rsidP="00F5782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noWrap/>
            <w:vAlign w:val="center"/>
          </w:tcPr>
          <w:p w:rsidR="00562E15" w:rsidRPr="00233C1B" w:rsidRDefault="00562E15" w:rsidP="00F5782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562E15" w:rsidRPr="008A1066" w:rsidRDefault="00562E15" w:rsidP="00F57822">
            <w:pPr>
              <w:jc w:val="right"/>
              <w:rPr>
                <w:sz w:val="18"/>
                <w:szCs w:val="18"/>
              </w:rPr>
            </w:pPr>
            <w:r w:rsidRPr="008A1066">
              <w:rPr>
                <w:sz w:val="18"/>
                <w:szCs w:val="18"/>
              </w:rPr>
              <w:t>712,5</w:t>
            </w:r>
          </w:p>
        </w:tc>
        <w:tc>
          <w:tcPr>
            <w:tcW w:w="15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8A1066" w:rsidRDefault="00562E15" w:rsidP="00F57822">
            <w:pPr>
              <w:jc w:val="right"/>
              <w:rPr>
                <w:sz w:val="18"/>
                <w:szCs w:val="18"/>
              </w:rPr>
            </w:pPr>
            <w:r w:rsidRPr="008A1066">
              <w:rPr>
                <w:sz w:val="18"/>
                <w:szCs w:val="18"/>
              </w:rPr>
              <w:t>712,5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2019 год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233C1B" w:rsidRDefault="00562E15" w:rsidP="00F5782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noWrap/>
            <w:vAlign w:val="center"/>
          </w:tcPr>
          <w:p w:rsidR="00562E15" w:rsidRPr="00233C1B" w:rsidRDefault="00562E15" w:rsidP="00F5782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noWrap/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712,5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712,5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отклонение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233C1B" w:rsidRDefault="00562E15" w:rsidP="00F5782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noWrap/>
            <w:vAlign w:val="center"/>
          </w:tcPr>
          <w:p w:rsidR="00562E15" w:rsidRPr="00233C1B" w:rsidRDefault="00562E15" w:rsidP="00F5782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noWrap/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0,0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0,0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%%</w:t>
            </w: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562E15" w:rsidRPr="00233C1B" w:rsidRDefault="00562E15" w:rsidP="0049254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noWrap/>
            <w:vAlign w:val="center"/>
          </w:tcPr>
          <w:p w:rsidR="00562E15" w:rsidRPr="00233C1B" w:rsidRDefault="00562E15" w:rsidP="00492542">
            <w:pPr>
              <w:jc w:val="right"/>
              <w:rPr>
                <w:sz w:val="18"/>
                <w:szCs w:val="18"/>
              </w:rPr>
            </w:pPr>
            <w:r w:rsidRPr="00233C1B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562E15" w:rsidRPr="002316DF" w:rsidRDefault="00562E15" w:rsidP="0049254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0,0</w:t>
            </w:r>
          </w:p>
        </w:tc>
        <w:tc>
          <w:tcPr>
            <w:tcW w:w="15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2316DF" w:rsidRDefault="00562E15" w:rsidP="0049254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0,0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ИТОГО                                             финансовая помощь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2018 год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562E15" w:rsidRPr="008A1066" w:rsidRDefault="00562E15" w:rsidP="00F57822">
            <w:pPr>
              <w:jc w:val="right"/>
              <w:rPr>
                <w:sz w:val="18"/>
                <w:szCs w:val="18"/>
              </w:rPr>
            </w:pPr>
            <w:r w:rsidRPr="008A1066">
              <w:rPr>
                <w:sz w:val="18"/>
                <w:szCs w:val="18"/>
              </w:rPr>
              <w:t>3 527,4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noWrap/>
            <w:vAlign w:val="center"/>
          </w:tcPr>
          <w:p w:rsidR="00562E15" w:rsidRPr="008A1066" w:rsidRDefault="00562E15" w:rsidP="00F57822">
            <w:pPr>
              <w:jc w:val="right"/>
              <w:rPr>
                <w:sz w:val="18"/>
                <w:szCs w:val="18"/>
              </w:rPr>
            </w:pPr>
            <w:r w:rsidRPr="008A1066">
              <w:rPr>
                <w:sz w:val="18"/>
                <w:szCs w:val="18"/>
              </w:rPr>
              <w:t>1 617,1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1 781,2</w:t>
            </w:r>
          </w:p>
        </w:tc>
        <w:tc>
          <w:tcPr>
            <w:tcW w:w="15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6 925,7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2019 год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8A1066" w:rsidRDefault="00562E15" w:rsidP="00F57822">
            <w:pPr>
              <w:jc w:val="right"/>
              <w:rPr>
                <w:sz w:val="18"/>
                <w:szCs w:val="18"/>
              </w:rPr>
            </w:pPr>
            <w:r w:rsidRPr="008A1066">
              <w:rPr>
                <w:sz w:val="18"/>
                <w:szCs w:val="18"/>
              </w:rPr>
              <w:t>3 358,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noWrap/>
            <w:vAlign w:val="center"/>
          </w:tcPr>
          <w:p w:rsidR="00562E15" w:rsidRPr="00970D0D" w:rsidRDefault="00562E15" w:rsidP="00F57822">
            <w:pPr>
              <w:jc w:val="right"/>
              <w:rPr>
                <w:sz w:val="18"/>
                <w:szCs w:val="18"/>
              </w:rPr>
            </w:pPr>
            <w:r w:rsidRPr="00970D0D">
              <w:rPr>
                <w:sz w:val="18"/>
                <w:szCs w:val="18"/>
              </w:rPr>
              <w:t>1 230,5</w:t>
            </w:r>
          </w:p>
        </w:tc>
        <w:tc>
          <w:tcPr>
            <w:tcW w:w="1180" w:type="dxa"/>
            <w:noWrap/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1 782,1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6 371,</w:t>
            </w:r>
            <w:r>
              <w:rPr>
                <w:sz w:val="18"/>
                <w:szCs w:val="18"/>
              </w:rPr>
              <w:t>4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отклонение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noWrap/>
            <w:vAlign w:val="center"/>
          </w:tcPr>
          <w:p w:rsidR="00562E15" w:rsidRPr="008A1066" w:rsidRDefault="00562E15" w:rsidP="00F57822">
            <w:pPr>
              <w:jc w:val="right"/>
              <w:rPr>
                <w:sz w:val="18"/>
                <w:szCs w:val="18"/>
              </w:rPr>
            </w:pPr>
            <w:r w:rsidRPr="008A1066">
              <w:rPr>
                <w:sz w:val="18"/>
                <w:szCs w:val="18"/>
              </w:rPr>
              <w:t>-168,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0" w:type="dxa"/>
            <w:noWrap/>
            <w:vAlign w:val="center"/>
          </w:tcPr>
          <w:p w:rsidR="00562E15" w:rsidRPr="00970D0D" w:rsidRDefault="00562E15" w:rsidP="00F57822">
            <w:pPr>
              <w:jc w:val="right"/>
              <w:rPr>
                <w:sz w:val="18"/>
                <w:szCs w:val="18"/>
              </w:rPr>
            </w:pPr>
            <w:r w:rsidRPr="00970D0D">
              <w:rPr>
                <w:sz w:val="18"/>
                <w:szCs w:val="18"/>
              </w:rPr>
              <w:t>-38</w:t>
            </w:r>
            <w:r>
              <w:rPr>
                <w:sz w:val="18"/>
                <w:szCs w:val="18"/>
              </w:rPr>
              <w:t>6,6</w:t>
            </w:r>
          </w:p>
        </w:tc>
        <w:tc>
          <w:tcPr>
            <w:tcW w:w="1180" w:type="dxa"/>
            <w:noWrap/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0,9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562E15" w:rsidRPr="002316DF" w:rsidRDefault="00562E15" w:rsidP="00F5782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-554,</w:t>
            </w:r>
            <w:r>
              <w:rPr>
                <w:sz w:val="18"/>
                <w:szCs w:val="18"/>
              </w:rPr>
              <w:t>3</w:t>
            </w:r>
          </w:p>
        </w:tc>
      </w:tr>
      <w:tr w:rsidR="00562E15" w:rsidRPr="00470452" w:rsidTr="00F57822">
        <w:trPr>
          <w:trHeight w:val="20"/>
        </w:trPr>
        <w:tc>
          <w:tcPr>
            <w:tcW w:w="34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E15" w:rsidRPr="0069437A" w:rsidRDefault="00562E15" w:rsidP="00F578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69437A" w:rsidRDefault="00562E15" w:rsidP="00F57822">
            <w:pPr>
              <w:jc w:val="center"/>
              <w:rPr>
                <w:sz w:val="18"/>
                <w:szCs w:val="18"/>
              </w:rPr>
            </w:pPr>
            <w:r w:rsidRPr="0069437A">
              <w:rPr>
                <w:sz w:val="18"/>
                <w:szCs w:val="18"/>
              </w:rPr>
              <w:t>%%</w:t>
            </w: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562E15" w:rsidRPr="008A1066" w:rsidRDefault="00562E15" w:rsidP="00492542">
            <w:pPr>
              <w:jc w:val="right"/>
              <w:rPr>
                <w:sz w:val="18"/>
                <w:szCs w:val="18"/>
              </w:rPr>
            </w:pPr>
            <w:r w:rsidRPr="008A1066">
              <w:rPr>
                <w:sz w:val="18"/>
                <w:szCs w:val="18"/>
              </w:rPr>
              <w:t>-4,8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noWrap/>
            <w:vAlign w:val="center"/>
          </w:tcPr>
          <w:p w:rsidR="00562E15" w:rsidRPr="00470452" w:rsidRDefault="00562E15" w:rsidP="00492542">
            <w:pPr>
              <w:jc w:val="right"/>
              <w:rPr>
                <w:sz w:val="18"/>
                <w:szCs w:val="18"/>
                <w:highlight w:val="yellow"/>
              </w:rPr>
            </w:pPr>
            <w:r w:rsidRPr="00970D0D">
              <w:rPr>
                <w:sz w:val="18"/>
                <w:szCs w:val="18"/>
              </w:rPr>
              <w:t>-23,9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562E15" w:rsidRPr="002316DF" w:rsidRDefault="00562E15" w:rsidP="0049254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0,1</w:t>
            </w:r>
          </w:p>
        </w:tc>
        <w:tc>
          <w:tcPr>
            <w:tcW w:w="15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E15" w:rsidRPr="002316DF" w:rsidRDefault="00562E15" w:rsidP="00492542">
            <w:pPr>
              <w:jc w:val="right"/>
              <w:rPr>
                <w:sz w:val="18"/>
                <w:szCs w:val="18"/>
              </w:rPr>
            </w:pPr>
            <w:r w:rsidRPr="002316DF">
              <w:rPr>
                <w:sz w:val="18"/>
                <w:szCs w:val="18"/>
              </w:rPr>
              <w:t>-8,0</w:t>
            </w:r>
          </w:p>
        </w:tc>
      </w:tr>
    </w:tbl>
    <w:p w:rsidR="00766CF6" w:rsidRDefault="00766CF6" w:rsidP="00562E15">
      <w:pPr>
        <w:autoSpaceDE w:val="0"/>
        <w:autoSpaceDN w:val="0"/>
        <w:adjustRightInd w:val="0"/>
        <w:ind w:firstLine="708"/>
        <w:jc w:val="both"/>
      </w:pPr>
    </w:p>
    <w:p w:rsidR="00562E15" w:rsidRDefault="00562E15" w:rsidP="00562E15">
      <w:pPr>
        <w:autoSpaceDE w:val="0"/>
        <w:autoSpaceDN w:val="0"/>
        <w:adjustRightInd w:val="0"/>
        <w:ind w:firstLine="708"/>
        <w:jc w:val="both"/>
      </w:pPr>
      <w:r w:rsidRPr="008F039B">
        <w:t>В 2019 году о</w:t>
      </w:r>
      <w:r w:rsidRPr="008F039B">
        <w:rPr>
          <w:bCs/>
        </w:rPr>
        <w:t xml:space="preserve">бщее изменение финансового положения местных бюджетов характеризуется уменьшением финансовых возможностей муниципалитетов на </w:t>
      </w:r>
      <w:r>
        <w:rPr>
          <w:bCs/>
        </w:rPr>
        <w:t>554,3</w:t>
      </w:r>
      <w:r w:rsidRPr="008F039B">
        <w:rPr>
          <w:bCs/>
        </w:rPr>
        <w:t xml:space="preserve"> млн. руб., или на 8</w:t>
      </w:r>
      <w:r>
        <w:rPr>
          <w:bCs/>
        </w:rPr>
        <w:t xml:space="preserve"> процентов</w:t>
      </w:r>
      <w:r w:rsidRPr="008F039B">
        <w:rPr>
          <w:bCs/>
        </w:rPr>
        <w:t>. Объем финансовой помощи сельским поселениям увеличен на 0,9 млн. руб. (+0,1%)</w:t>
      </w:r>
      <w:r w:rsidRPr="008F039B">
        <w:t>.</w:t>
      </w:r>
      <w:r>
        <w:t xml:space="preserve"> </w:t>
      </w:r>
    </w:p>
    <w:p w:rsidR="00562E15" w:rsidRPr="00311813" w:rsidRDefault="00562E15" w:rsidP="00562E15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8F039B">
        <w:rPr>
          <w:bCs/>
        </w:rPr>
        <w:t>Финансовая помощь</w:t>
      </w:r>
      <w:r>
        <w:rPr>
          <w:bCs/>
        </w:rPr>
        <w:t xml:space="preserve"> </w:t>
      </w:r>
      <w:r w:rsidRPr="00F25664">
        <w:rPr>
          <w:bCs/>
        </w:rPr>
        <w:t>в виде дотаций на выравнивание бюджетной обеспеченности муниципальным районам в 2019 году по сравн</w:t>
      </w:r>
      <w:r>
        <w:rPr>
          <w:bCs/>
        </w:rPr>
        <w:t>ению с</w:t>
      </w:r>
      <w:r w:rsidRPr="00F25664">
        <w:rPr>
          <w:bCs/>
        </w:rPr>
        <w:t xml:space="preserve"> 2018 </w:t>
      </w:r>
      <w:r>
        <w:rPr>
          <w:bCs/>
        </w:rPr>
        <w:t xml:space="preserve">годом </w:t>
      </w:r>
      <w:r w:rsidRPr="00F25664">
        <w:rPr>
          <w:bCs/>
        </w:rPr>
        <w:t>уменьшилась на 168,6 млн</w:t>
      </w:r>
      <w:proofErr w:type="gramStart"/>
      <w:r w:rsidRPr="00F25664">
        <w:rPr>
          <w:bCs/>
        </w:rPr>
        <w:t>.р</w:t>
      </w:r>
      <w:proofErr w:type="gramEnd"/>
      <w:r w:rsidRPr="00F25664">
        <w:rPr>
          <w:bCs/>
        </w:rPr>
        <w:t xml:space="preserve">уб. (-4,8%), по городским округам </w:t>
      </w:r>
      <w:r w:rsidR="00492542">
        <w:rPr>
          <w:bCs/>
        </w:rPr>
        <w:t xml:space="preserve">- </w:t>
      </w:r>
      <w:r w:rsidRPr="00F25664">
        <w:rPr>
          <w:bCs/>
        </w:rPr>
        <w:t>на 386,6 млн. руб. (-23,9%) по причине</w:t>
      </w:r>
      <w:r w:rsidRPr="008F039B">
        <w:rPr>
          <w:bCs/>
        </w:rPr>
        <w:t xml:space="preserve"> </w:t>
      </w:r>
      <w:r>
        <w:rPr>
          <w:bCs/>
        </w:rPr>
        <w:t xml:space="preserve">установления </w:t>
      </w:r>
      <w:r w:rsidR="00492542">
        <w:rPr>
          <w:bCs/>
        </w:rPr>
        <w:t>з</w:t>
      </w:r>
      <w:r w:rsidRPr="00351EF9">
        <w:t>аконопроектом понижающего поправочного коэффициента, используемого для расчета дотаций, компенсирующих</w:t>
      </w:r>
      <w:r w:rsidRPr="0093505C">
        <w:t xml:space="preserve"> разницу между дотациями планируемого и текущего финансового </w:t>
      </w:r>
      <w:r w:rsidRPr="002316DF">
        <w:t>года</w:t>
      </w:r>
      <w:r>
        <w:t xml:space="preserve">, </w:t>
      </w:r>
      <w:r w:rsidRPr="008077D5">
        <w:t>чем не соблюден</w:t>
      </w:r>
      <w:r w:rsidR="008077D5">
        <w:t>ы</w:t>
      </w:r>
      <w:r w:rsidRPr="008077D5">
        <w:t xml:space="preserve"> </w:t>
      </w:r>
      <w:r w:rsidR="00492542">
        <w:t xml:space="preserve">требования </w:t>
      </w:r>
      <w:r w:rsidRPr="008077D5">
        <w:t>п</w:t>
      </w:r>
      <w:r w:rsidR="008077D5">
        <w:t>ункт</w:t>
      </w:r>
      <w:r w:rsidR="00492542">
        <w:t>а</w:t>
      </w:r>
      <w:r w:rsidRPr="008077D5">
        <w:t xml:space="preserve"> 6 ст</w:t>
      </w:r>
      <w:r w:rsidR="008077D5">
        <w:t xml:space="preserve">атьи </w:t>
      </w:r>
      <w:proofErr w:type="gramStart"/>
      <w:r w:rsidRPr="008077D5">
        <w:t>137</w:t>
      </w:r>
      <w:r w:rsidR="00492542">
        <w:t xml:space="preserve"> и</w:t>
      </w:r>
      <w:r w:rsidRPr="008077D5">
        <w:t xml:space="preserve"> </w:t>
      </w:r>
      <w:r w:rsidR="008077D5">
        <w:t>пункт</w:t>
      </w:r>
      <w:r w:rsidR="00492542">
        <w:t>а</w:t>
      </w:r>
      <w:r w:rsidR="008077D5">
        <w:t xml:space="preserve"> 6 статьи </w:t>
      </w:r>
      <w:r w:rsidRPr="008077D5">
        <w:t>138 БК РФ,</w:t>
      </w:r>
      <w:r w:rsidRPr="00351EF9">
        <w:t xml:space="preserve"> согласно котор</w:t>
      </w:r>
      <w:r w:rsidR="008077D5">
        <w:t>ы</w:t>
      </w:r>
      <w:r w:rsidRPr="00351EF9">
        <w:t xml:space="preserve">м размер дотации на выравнивание бюджетной обеспеченности муниципальных районов (городских округов) бюджету каждого муниципального района (городского округа) и размер дотации на выравнивание бюджетной обеспеченности поселений (внутригородских районов) бюджету каждого городского, сельского поселения, внутригородского района на очередной финансовый год и первый год планового периода </w:t>
      </w:r>
      <w:r w:rsidRPr="008077D5">
        <w:rPr>
          <w:u w:val="single"/>
        </w:rPr>
        <w:t>не может быть меньше размера дотации на выравнивание</w:t>
      </w:r>
      <w:proofErr w:type="gramEnd"/>
      <w:r w:rsidRPr="008077D5">
        <w:rPr>
          <w:u w:val="single"/>
        </w:rPr>
        <w:t xml:space="preserve"> бюджетной </w:t>
      </w:r>
      <w:r w:rsidRPr="008077D5">
        <w:rPr>
          <w:u w:val="single"/>
        </w:rPr>
        <w:lastRenderedPageBreak/>
        <w:t>обеспеченности, утвержденного соответственно на первый год планового периода и второй год планового периода</w:t>
      </w:r>
      <w:r w:rsidRPr="00351EF9">
        <w:t xml:space="preserve"> в бюджете субъекта РФ на текущий финансовый год и плановый период, </w:t>
      </w:r>
      <w:r w:rsidRPr="00311813">
        <w:rPr>
          <w:u w:val="single"/>
        </w:rPr>
        <w:t>за исключением случаев внесения федеральными законами изменений, приводящих к увеличению расходов и (или) снижению доходов бюджетов субъектов РФ.</w:t>
      </w:r>
    </w:p>
    <w:p w:rsidR="00165007" w:rsidRDefault="00492542" w:rsidP="00165007">
      <w:pPr>
        <w:ind w:firstLine="709"/>
        <w:jc w:val="both"/>
      </w:pPr>
      <w:r>
        <w:t xml:space="preserve">Комитет финансов Волгоградской области </w:t>
      </w:r>
      <w:r w:rsidR="00165007">
        <w:t xml:space="preserve">считает </w:t>
      </w:r>
      <w:r>
        <w:t xml:space="preserve">таким случаем </w:t>
      </w:r>
      <w:r w:rsidR="00165007">
        <w:t xml:space="preserve">изменения, внесенные с </w:t>
      </w:r>
      <w:r w:rsidR="00165007" w:rsidRPr="00165007">
        <w:t xml:space="preserve">01.01.2019 </w:t>
      </w:r>
      <w:r w:rsidR="00165007">
        <w:t>в</w:t>
      </w:r>
      <w:r w:rsidR="00165007" w:rsidRPr="00165007">
        <w:t xml:space="preserve"> стать</w:t>
      </w:r>
      <w:r w:rsidR="00165007">
        <w:t>ю</w:t>
      </w:r>
      <w:r w:rsidR="00165007" w:rsidRPr="00165007">
        <w:t xml:space="preserve"> 179.4 БК РФ, согласно которым в объем бюджетных ассигнований дорожного фонда субъекта РФ включаются доходы от денежных взысканий (штрафов) за нарушения законодательства РФ о безопасности дорожного движения. </w:t>
      </w:r>
    </w:p>
    <w:p w:rsidR="0013473D" w:rsidRDefault="00165007" w:rsidP="00165007">
      <w:pPr>
        <w:ind w:firstLine="709"/>
        <w:jc w:val="both"/>
      </w:pPr>
      <w:r>
        <w:t xml:space="preserve">КСП по данному вопросу придерживается иного мнения – поскольку средства дорожного фонда в соответствии с </w:t>
      </w:r>
      <w:r w:rsidR="0013473D">
        <w:t>действующим</w:t>
      </w:r>
      <w:r>
        <w:t xml:space="preserve"> законодательством консолидируются в бюджете</w:t>
      </w:r>
      <w:r w:rsidR="0013473D">
        <w:t xml:space="preserve"> субъекта РФ</w:t>
      </w:r>
      <w:r>
        <w:t xml:space="preserve">, принятые изменения не влияют в целом на доходную часть </w:t>
      </w:r>
      <w:r w:rsidR="00803BA3">
        <w:t xml:space="preserve">консолидированного </w:t>
      </w:r>
      <w:r>
        <w:t>бюджета Волгоградской области.</w:t>
      </w:r>
    </w:p>
    <w:p w:rsidR="00D87EBA" w:rsidRPr="00165007" w:rsidRDefault="00D87EBA" w:rsidP="00D87EBA">
      <w:pPr>
        <w:ind w:firstLine="709"/>
        <w:jc w:val="both"/>
      </w:pPr>
      <w:r>
        <w:t>Необходимо также отметить, что н</w:t>
      </w:r>
      <w:r w:rsidRPr="00165007">
        <w:t>а дату подготовки настоящего заключения соответствующие изменения в Закон Волгоградской области от 07.11.2011 №2246-ОД «О дорожном фонде Волгоградской области» не внесены.</w:t>
      </w:r>
      <w:r>
        <w:t xml:space="preserve"> </w:t>
      </w:r>
    </w:p>
    <w:p w:rsidR="00D87EBA" w:rsidRDefault="00D87EBA" w:rsidP="00D87EBA">
      <w:pPr>
        <w:ind w:firstLine="709"/>
        <w:jc w:val="both"/>
      </w:pPr>
      <w:r w:rsidRPr="00165007">
        <w:t>В 2019 году прогнозный объем указанных доходов предусмотрен проектом бюджета в сумме 1265,2 млн. рублей.</w:t>
      </w:r>
      <w:r>
        <w:t xml:space="preserve"> </w:t>
      </w:r>
    </w:p>
    <w:p w:rsidR="00562E15" w:rsidRPr="004E1031" w:rsidRDefault="00D87EBA" w:rsidP="00562E15">
      <w:pPr>
        <w:ind w:firstLine="851"/>
        <w:jc w:val="both"/>
      </w:pPr>
      <w:r>
        <w:t xml:space="preserve"> </w:t>
      </w:r>
      <w:r w:rsidR="00562E15" w:rsidRPr="004E1031">
        <w:t xml:space="preserve">Законопроектом </w:t>
      </w:r>
      <w:r w:rsidR="00562E15" w:rsidRPr="004E1031">
        <w:rPr>
          <w:b/>
          <w:i/>
        </w:rPr>
        <w:t>общий объем субвенций бюджетам муниципальных образований</w:t>
      </w:r>
      <w:r w:rsidR="00562E15" w:rsidRPr="004E1031">
        <w:t xml:space="preserve"> на 201</w:t>
      </w:r>
      <w:r w:rsidR="00562E15">
        <w:t>9</w:t>
      </w:r>
      <w:r w:rsidR="00562E15" w:rsidRPr="004E1031">
        <w:t xml:space="preserve"> год </w:t>
      </w:r>
      <w:r w:rsidR="00562E15" w:rsidRPr="004D4578">
        <w:t>предусмотрен в сумме 19444,5 млн</w:t>
      </w:r>
      <w:r w:rsidR="00562E15" w:rsidRPr="00950501">
        <w:t xml:space="preserve">. руб. с увеличением </w:t>
      </w:r>
      <w:r w:rsidR="00562E15" w:rsidRPr="004E1031">
        <w:t xml:space="preserve">к объему 2018 года на </w:t>
      </w:r>
      <w:r w:rsidR="00562E15" w:rsidRPr="004D4578">
        <w:t>812  млн. руб., или на 4,4 процента</w:t>
      </w:r>
      <w:r w:rsidR="00562E15" w:rsidRPr="00CB33A2">
        <w:t>.</w:t>
      </w:r>
      <w:r w:rsidR="00562E15" w:rsidRPr="00CB33A2">
        <w:rPr>
          <w:color w:val="FF0000"/>
        </w:rPr>
        <w:t xml:space="preserve"> </w:t>
      </w:r>
      <w:r w:rsidR="00562E15" w:rsidRPr="00CB33A2">
        <w:t>Субвенции</w:t>
      </w:r>
      <w:r w:rsidR="00562E15" w:rsidRPr="004E1031">
        <w:t xml:space="preserve"> предоставляются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полномочий, переданных для осуществления органам местного самоуправления.</w:t>
      </w:r>
    </w:p>
    <w:p w:rsidR="00562E15" w:rsidRPr="00A33F88" w:rsidRDefault="00562E15" w:rsidP="00562E15">
      <w:pPr>
        <w:ind w:firstLine="851"/>
        <w:jc w:val="both"/>
      </w:pPr>
      <w:r w:rsidRPr="004E1031">
        <w:t xml:space="preserve">В 2019 году планируется </w:t>
      </w:r>
      <w:r w:rsidRPr="00FB0631">
        <w:t xml:space="preserve">финансирование 29 субвенций. </w:t>
      </w:r>
      <w:proofErr w:type="gramStart"/>
      <w:r w:rsidRPr="00FB0631">
        <w:t>По</w:t>
      </w:r>
      <w:r w:rsidRPr="004E1031">
        <w:t xml:space="preserve"> сравнению с 2018 годом </w:t>
      </w:r>
      <w:r w:rsidRPr="00A33F88">
        <w:t>их количество</w:t>
      </w:r>
      <w:r>
        <w:t xml:space="preserve"> не изменилось </w:t>
      </w:r>
      <w:r w:rsidRPr="00332A61">
        <w:t>за счет исключения субвенции</w:t>
      </w:r>
      <w:r w:rsidRPr="00A33F88">
        <w:rPr>
          <w:sz w:val="20"/>
          <w:szCs w:val="20"/>
        </w:rPr>
        <w:t xml:space="preserve"> </w:t>
      </w:r>
      <w:r w:rsidRPr="00A33F88">
        <w:t>на осуществление органом местного самоуправления муниципального образования Волгоградской области – городской округ город-герой Волгоград отдельного государственного полномочия Волгоградской области в сфере развития физической культур</w:t>
      </w:r>
      <w:r>
        <w:t>ы и включения нового вида с</w:t>
      </w:r>
      <w:r w:rsidRPr="00FB0631">
        <w:t>убвенции на осуществление органами местного самоуправления Волгоградской области государственных полномочий по оказанию мер социальной поддержки специалистам физкультурно-спортивных учреждений по оплате</w:t>
      </w:r>
      <w:proofErr w:type="gramEnd"/>
      <w:r w:rsidRPr="00FB0631">
        <w:t xml:space="preserve"> жилого помещения и коммунальных услуг за счет средств областного бюджета</w:t>
      </w:r>
      <w:r>
        <w:t xml:space="preserve">, </w:t>
      </w:r>
      <w:r w:rsidRPr="00F25664">
        <w:t xml:space="preserve">которое </w:t>
      </w:r>
      <w:r w:rsidRPr="00FB0631">
        <w:t xml:space="preserve">будет осуществлено по итогам принятия заявлений </w:t>
      </w:r>
      <w:r w:rsidRPr="00C1194B">
        <w:rPr>
          <w:color w:val="1F497D" w:themeColor="text2"/>
        </w:rPr>
        <w:t xml:space="preserve">от </w:t>
      </w:r>
      <w:r w:rsidRPr="00FB0631">
        <w:t>специалистов физкультурно-спортивных учреждений и определения численности получателей мер по муниципальным учреждениям.</w:t>
      </w:r>
    </w:p>
    <w:p w:rsidR="00562E15" w:rsidRDefault="00562E15" w:rsidP="00562E15">
      <w:pPr>
        <w:ind w:firstLine="851"/>
        <w:jc w:val="both"/>
      </w:pPr>
      <w:r w:rsidRPr="00950501">
        <w:t>Наибольшее увеличение объемов в абсолютных величинах отмечается по следующим субвенциям:</w:t>
      </w:r>
    </w:p>
    <w:p w:rsidR="00562E15" w:rsidRDefault="00562E15" w:rsidP="00562E15">
      <w:pPr>
        <w:ind w:firstLine="851"/>
        <w:jc w:val="both"/>
        <w:rPr>
          <w:lang w:eastAsia="en-US"/>
        </w:rPr>
      </w:pPr>
      <w:r>
        <w:rPr>
          <w:bCs/>
        </w:rPr>
        <w:t>-</w:t>
      </w:r>
      <w:r w:rsidRPr="00A33F88">
        <w:rPr>
          <w:bCs/>
        </w:rPr>
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</w:r>
      <w:r>
        <w:rPr>
          <w:lang w:eastAsia="en-US"/>
        </w:rPr>
        <w:t xml:space="preserve"> </w:t>
      </w:r>
      <w:r w:rsidR="0013473D">
        <w:rPr>
          <w:lang w:eastAsia="en-US"/>
        </w:rPr>
        <w:t xml:space="preserve">- </w:t>
      </w:r>
      <w:r>
        <w:rPr>
          <w:lang w:eastAsia="en-US"/>
        </w:rPr>
        <w:t>на 470,1 млн. руб. (с 10031,4 млн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уб. до 10501,5 млн. руб.</w:t>
      </w:r>
      <w:r w:rsidRPr="00950501">
        <w:rPr>
          <w:lang w:eastAsia="en-US"/>
        </w:rPr>
        <w:t>);</w:t>
      </w:r>
    </w:p>
    <w:p w:rsidR="0013473D" w:rsidRDefault="00562E15" w:rsidP="00562E15">
      <w:pPr>
        <w:ind w:firstLine="851"/>
        <w:jc w:val="both"/>
        <w:rPr>
          <w:bCs/>
        </w:rPr>
      </w:pPr>
      <w:r w:rsidRPr="00232B90">
        <w:rPr>
          <w:lang w:eastAsia="en-US"/>
        </w:rPr>
        <w:t>-</w:t>
      </w:r>
      <w:r w:rsidRPr="00232B90">
        <w:rPr>
          <w:bCs/>
        </w:rPr>
        <w:t>на реализацию Закона Волгоградской области от 10</w:t>
      </w:r>
      <w:r>
        <w:rPr>
          <w:bCs/>
        </w:rPr>
        <w:t>.11.2005</w:t>
      </w:r>
      <w:r w:rsidRPr="00232B90">
        <w:rPr>
          <w:bCs/>
        </w:rPr>
        <w:t xml:space="preserve"> №1111-ОД «Об организации питания обучающихся (1 - 11 классы) в общеобразовательных организациях Волгоградской области»</w:t>
      </w:r>
      <w:r>
        <w:rPr>
          <w:bCs/>
        </w:rPr>
        <w:t xml:space="preserve"> </w:t>
      </w:r>
      <w:r w:rsidR="0013473D">
        <w:rPr>
          <w:bCs/>
        </w:rPr>
        <w:t xml:space="preserve">- </w:t>
      </w:r>
      <w:r>
        <w:rPr>
          <w:bCs/>
        </w:rPr>
        <w:t>на 133,3 млн</w:t>
      </w:r>
      <w:proofErr w:type="gramStart"/>
      <w:r>
        <w:rPr>
          <w:bCs/>
        </w:rPr>
        <w:t>.р</w:t>
      </w:r>
      <w:proofErr w:type="gramEnd"/>
      <w:r>
        <w:rPr>
          <w:bCs/>
        </w:rPr>
        <w:t>уб. (со 189,3 млн.руб. до 322,6 млн.руб.);</w:t>
      </w:r>
    </w:p>
    <w:p w:rsidR="00562E15" w:rsidRPr="00950501" w:rsidRDefault="00562E15" w:rsidP="00562E15">
      <w:pPr>
        <w:ind w:firstLine="851"/>
        <w:jc w:val="both"/>
        <w:rPr>
          <w:lang w:eastAsia="en-US"/>
        </w:rPr>
      </w:pPr>
      <w:r>
        <w:rPr>
          <w:lang w:eastAsia="en-US"/>
        </w:rPr>
        <w:t>-</w:t>
      </w:r>
      <w:r w:rsidRPr="00232B90">
        <w:rPr>
          <w:rFonts w:ascii="Times New Roman CYR" w:hAnsi="Times New Roman CYR" w:cs="Times New Roman CYR"/>
          <w:bCs/>
        </w:rPr>
        <w:t>на выплату пособий по опеке и попечительству</w:t>
      </w:r>
      <w:r>
        <w:rPr>
          <w:rFonts w:ascii="Times New Roman CYR" w:hAnsi="Times New Roman CYR" w:cs="Times New Roman CYR"/>
          <w:bCs/>
        </w:rPr>
        <w:t xml:space="preserve"> </w:t>
      </w:r>
      <w:r w:rsidR="0013473D">
        <w:rPr>
          <w:rFonts w:ascii="Times New Roman CYR" w:hAnsi="Times New Roman CYR" w:cs="Times New Roman CYR"/>
          <w:bCs/>
        </w:rPr>
        <w:t xml:space="preserve">- </w:t>
      </w:r>
      <w:r>
        <w:rPr>
          <w:rFonts w:ascii="Times New Roman CYR" w:hAnsi="Times New Roman CYR" w:cs="Times New Roman CYR"/>
          <w:bCs/>
        </w:rPr>
        <w:t>на 91,7 млн</w:t>
      </w:r>
      <w:proofErr w:type="gramStart"/>
      <w:r>
        <w:rPr>
          <w:rFonts w:ascii="Times New Roman CYR" w:hAnsi="Times New Roman CYR" w:cs="Times New Roman CYR"/>
          <w:bCs/>
        </w:rPr>
        <w:t>.р</w:t>
      </w:r>
      <w:proofErr w:type="gramEnd"/>
      <w:r>
        <w:rPr>
          <w:rFonts w:ascii="Times New Roman CYR" w:hAnsi="Times New Roman CYR" w:cs="Times New Roman CYR"/>
          <w:bCs/>
        </w:rPr>
        <w:t>уб. (с 538,3 млн.руб. до 630,0 млн.руб.).</w:t>
      </w:r>
    </w:p>
    <w:p w:rsidR="00D25022" w:rsidRDefault="00D25022" w:rsidP="00D2502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Вопросу достаточности объема </w:t>
      </w:r>
      <w:r w:rsidR="000B5146">
        <w:rPr>
          <w:lang w:eastAsia="en-US"/>
        </w:rPr>
        <w:t>субвенций</w:t>
      </w:r>
      <w:r>
        <w:rPr>
          <w:lang w:eastAsia="en-US"/>
        </w:rPr>
        <w:t>, передаваемых областью муниципальным образованиям на выполнение государственных полномочий в отраслях социальной сферы, палатой в ходе экспертизы законопроекта уделяется особое внимание. Анализом указанных трансфертов на 2019 год установлено следующее.</w:t>
      </w:r>
    </w:p>
    <w:p w:rsidR="00D25022" w:rsidRPr="009E4488" w:rsidRDefault="00D25022" w:rsidP="00D25022">
      <w:pPr>
        <w:ind w:firstLine="709"/>
        <w:jc w:val="both"/>
        <w:rPr>
          <w:u w:val="single"/>
        </w:rPr>
      </w:pPr>
      <w:r w:rsidRPr="009E4488">
        <w:rPr>
          <w:u w:val="single"/>
        </w:rPr>
        <w:t xml:space="preserve">Предусмотренный законопроектом общий объем </w:t>
      </w:r>
      <w:r w:rsidR="000B5146">
        <w:rPr>
          <w:u w:val="single"/>
        </w:rPr>
        <w:t>субвенций</w:t>
      </w:r>
      <w:r w:rsidRPr="009E4488">
        <w:rPr>
          <w:u w:val="single"/>
        </w:rPr>
        <w:t xml:space="preserve"> для обеспечения государственных полномочий Волгоградской области в отраслях социальной сферы составляет 18</w:t>
      </w:r>
      <w:r w:rsidR="000B5146">
        <w:rPr>
          <w:u w:val="single"/>
        </w:rPr>
        <w:t>462,1</w:t>
      </w:r>
      <w:r w:rsidRPr="009E4488">
        <w:rPr>
          <w:u w:val="single"/>
        </w:rPr>
        <w:t xml:space="preserve"> млн. руб., что на 605 млн. руб., или на 3,2% меньше расчетного размера субвенций (19</w:t>
      </w:r>
      <w:r w:rsidR="000B5146">
        <w:rPr>
          <w:u w:val="single"/>
        </w:rPr>
        <w:t>067,1</w:t>
      </w:r>
      <w:r w:rsidRPr="009E4488">
        <w:rPr>
          <w:u w:val="single"/>
        </w:rPr>
        <w:t xml:space="preserve"> млн. руб.).</w:t>
      </w:r>
    </w:p>
    <w:p w:rsidR="00D25022" w:rsidRPr="00D25022" w:rsidRDefault="00D25022" w:rsidP="00D25022">
      <w:pPr>
        <w:ind w:firstLine="709"/>
        <w:jc w:val="both"/>
      </w:pPr>
      <w:r w:rsidRPr="00D25022">
        <w:lastRenderedPageBreak/>
        <w:t xml:space="preserve">Основная необеспеченность сложилась по субвенции на осуществление образовательного процесса по реализации образовательных программ муниципальными образовательными организациями </w:t>
      </w:r>
      <w:r>
        <w:t xml:space="preserve">- </w:t>
      </w:r>
      <w:r w:rsidRPr="00D25022">
        <w:t xml:space="preserve">на 354,7 млн. руб., или на 2,2% от расчетной потребности. По указанной субвенции обеспеченность по видам расходов составляет от 100% </w:t>
      </w:r>
      <w:r>
        <w:t xml:space="preserve">- </w:t>
      </w:r>
      <w:r w:rsidRPr="00D25022">
        <w:t>на оплату труда для категорий, предусмотренных Указом Президента РФ от 07.05.2012 №597 «О мероприятиях по реализации государственно</w:t>
      </w:r>
      <w:r>
        <w:t xml:space="preserve">й социальной политики», </w:t>
      </w:r>
      <w:r w:rsidRPr="00D25022">
        <w:t xml:space="preserve">до 18,1% </w:t>
      </w:r>
      <w:r>
        <w:t xml:space="preserve">- </w:t>
      </w:r>
      <w:r w:rsidRPr="00D25022">
        <w:t>на обеспечение учебного процесса.</w:t>
      </w:r>
    </w:p>
    <w:p w:rsidR="00D25022" w:rsidRPr="00D25022" w:rsidRDefault="00D25022" w:rsidP="00E876E8">
      <w:pPr>
        <w:ind w:firstLine="709"/>
        <w:jc w:val="both"/>
      </w:pPr>
      <w:r w:rsidRPr="00D25022">
        <w:t xml:space="preserve">По иным субвенциям обеспеченность от потребности варьируется от 100% (8 субвенций) до 82,1% (по 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области) </w:t>
      </w:r>
      <w:r w:rsidRPr="009E4488">
        <w:rPr>
          <w:b/>
          <w:i/>
          <w:color w:val="000000" w:themeColor="text1"/>
        </w:rPr>
        <w:t>(приложение №</w:t>
      </w:r>
      <w:r w:rsidR="00561DAD">
        <w:rPr>
          <w:b/>
          <w:i/>
          <w:color w:val="000000" w:themeColor="text1"/>
        </w:rPr>
        <w:t>4</w:t>
      </w:r>
      <w:proofErr w:type="gramStart"/>
      <w:r w:rsidR="009E4488">
        <w:rPr>
          <w:b/>
          <w:i/>
          <w:color w:val="000000" w:themeColor="text1"/>
        </w:rPr>
        <w:t xml:space="preserve"> </w:t>
      </w:r>
      <w:r w:rsidRPr="009E4488">
        <w:rPr>
          <w:b/>
          <w:i/>
          <w:color w:val="000000" w:themeColor="text1"/>
        </w:rPr>
        <w:t>)</w:t>
      </w:r>
      <w:proofErr w:type="gramEnd"/>
      <w:r w:rsidRPr="009E4488">
        <w:rPr>
          <w:b/>
          <w:i/>
          <w:color w:val="000000" w:themeColor="text1"/>
        </w:rPr>
        <w:t>.</w:t>
      </w:r>
      <w:r w:rsidRPr="00D25022">
        <w:t xml:space="preserve"> </w:t>
      </w:r>
    </w:p>
    <w:p w:rsidR="00076232" w:rsidRDefault="00D25022" w:rsidP="00076232">
      <w:pPr>
        <w:ind w:firstLine="709"/>
        <w:jc w:val="both"/>
      </w:pPr>
      <w:proofErr w:type="gramStart"/>
      <w:r w:rsidRPr="00D25022">
        <w:t>По субвенции на реализацию Закона Волгоградской области от 10.11.2005 №1111-ОД «Об организации питания обучающихся (1-11 классы) в общеобразовательных организациях Волгоградской области» ассигнования на 2019 год на 133,4 млн. руб., или 41,3 % превышают ассигнования на эти цели в Законе об областном бюджете на 2018 год (189,3 млн. руб.), что обеспечит дополнительную потребность на реализацию дополнительных мер поддержки семей с детьми инициированных</w:t>
      </w:r>
      <w:proofErr w:type="gramEnd"/>
      <w:r w:rsidRPr="00D25022">
        <w:t xml:space="preserve"> Губернатором Волгоградской области в части обеспечения с 1 января 2019 года всех первоклассников бесплатными школьными завтраками, а также увеличения размера компенсации стоимости питания школьникам из семей, имеющих право на такую поддержку.</w:t>
      </w:r>
    </w:p>
    <w:p w:rsidR="00076232" w:rsidRDefault="00562E15" w:rsidP="00076232">
      <w:pPr>
        <w:ind w:firstLine="709"/>
        <w:jc w:val="both"/>
      </w:pPr>
      <w:r w:rsidRPr="00B97EB9">
        <w:t xml:space="preserve">Нераспределенный объем субвенций на 2019 год составляет 54,5 млн. руб., или 0,3% от общего объема субвенций. </w:t>
      </w:r>
      <w:r w:rsidR="000E0C97">
        <w:t>Н</w:t>
      </w:r>
      <w:r w:rsidRPr="00B97EB9">
        <w:t xml:space="preserve">ераспределенный объем субвенций приходится </w:t>
      </w:r>
      <w:proofErr w:type="gramStart"/>
      <w:r w:rsidRPr="00B97EB9">
        <w:t>на</w:t>
      </w:r>
      <w:proofErr w:type="gramEnd"/>
      <w:r w:rsidRPr="00B97EB9">
        <w:t xml:space="preserve">: </w:t>
      </w:r>
    </w:p>
    <w:p w:rsidR="00562E15" w:rsidRPr="001A6654" w:rsidRDefault="00562E15" w:rsidP="00076232">
      <w:pPr>
        <w:ind w:firstLine="709"/>
        <w:jc w:val="both"/>
      </w:pPr>
      <w:proofErr w:type="gramStart"/>
      <w:r w:rsidRPr="001A6654">
        <w:t>-</w:t>
      </w:r>
      <w:r>
        <w:rPr>
          <w:bCs/>
        </w:rPr>
        <w:t>субвенцию</w:t>
      </w:r>
      <w:r w:rsidRPr="001A6654">
        <w:rPr>
          <w:bCs/>
        </w:rPr>
        <w:t xml:space="preserve"> на предоставление гражданам субсидий на оплату жилого помещения и коммунальных услуг в соответствии с Законом Волгоградской области от 12</w:t>
      </w:r>
      <w:r w:rsidR="000D2EEB">
        <w:rPr>
          <w:bCs/>
        </w:rPr>
        <w:t>.12.</w:t>
      </w:r>
      <w:r w:rsidRPr="001A6654">
        <w:rPr>
          <w:bCs/>
        </w:rPr>
        <w:t>2005 №1145-ОД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</w:r>
      <w:r w:rsidRPr="001A6654">
        <w:t xml:space="preserve"> (49,9 млн. руб.) в связи с заявочным принципом расходования;</w:t>
      </w:r>
      <w:proofErr w:type="gramEnd"/>
    </w:p>
    <w:p w:rsidR="00562E15" w:rsidRPr="00AB6CFB" w:rsidRDefault="00562E15" w:rsidP="00562E1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-субвенцию</w:t>
      </w:r>
      <w:r w:rsidRPr="00AB6CFB">
        <w:t xml:space="preserve"> бюджетам муниципальных образований на осуществление полномочий по составлению (изменению) списков кандидатов в присяжные заседатели федеральных судов общей юрисдикции в РФ (1</w:t>
      </w:r>
      <w:r>
        <w:t xml:space="preserve">,9 </w:t>
      </w:r>
      <w:r w:rsidRPr="00AB6CFB">
        <w:t>млн</w:t>
      </w:r>
      <w:proofErr w:type="gramStart"/>
      <w:r w:rsidRPr="00AB6CFB">
        <w:t>.р</w:t>
      </w:r>
      <w:proofErr w:type="gramEnd"/>
      <w:r w:rsidRPr="00AB6CFB">
        <w:t>уб.</w:t>
      </w:r>
      <w:r>
        <w:t>, не распределена в полном объеме)</w:t>
      </w:r>
      <w:r w:rsidRPr="00AB6CFB">
        <w:t xml:space="preserve">, </w:t>
      </w:r>
      <w:r w:rsidRPr="00AB6CFB">
        <w:rPr>
          <w:rFonts w:eastAsia="Calibri"/>
        </w:rPr>
        <w:t>распределение которой будет осуществляться после направления председателями судов Губернатору Волгоградской области представления о необходимом числе кандидатов в присяжные заседатели</w:t>
      </w:r>
      <w:r w:rsidRPr="00AB6CFB">
        <w:t>;</w:t>
      </w:r>
    </w:p>
    <w:p w:rsidR="00562E15" w:rsidRPr="001A6654" w:rsidRDefault="00562E15" w:rsidP="00562E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-субвенцию</w:t>
      </w:r>
      <w:r w:rsidRPr="00AB6CFB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органам местного самоуправления полномочий РФ на государственную регистрацию актов гражданского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(1,9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уб.) </w:t>
      </w:r>
      <w:r w:rsidRPr="001A6654">
        <w:rPr>
          <w:rFonts w:ascii="Times New Roman" w:hAnsi="Times New Roman" w:cs="Times New Roman"/>
          <w:sz w:val="24"/>
          <w:szCs w:val="24"/>
        </w:rPr>
        <w:t>в связи с заявочным принципом расходования;</w:t>
      </w:r>
    </w:p>
    <w:p w:rsidR="00562E15" w:rsidRPr="001A6654" w:rsidRDefault="00562E15" w:rsidP="00562E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A6654">
        <w:rPr>
          <w:rFonts w:ascii="Times New Roman" w:hAnsi="Times New Roman" w:cs="Times New Roman"/>
          <w:sz w:val="24"/>
          <w:szCs w:val="24"/>
        </w:rPr>
        <w:t>-</w:t>
      </w:r>
      <w:r w:rsidRPr="001A665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убвенцию</w:t>
      </w:r>
      <w:r w:rsidRPr="00FB0631">
        <w:rPr>
          <w:rFonts w:ascii="Times New Roman" w:hAnsi="Times New Roman"/>
          <w:sz w:val="24"/>
          <w:szCs w:val="24"/>
        </w:rPr>
        <w:t xml:space="preserve"> на осуществление органами местного самоуправления Волгоградской области государственных полномочий по оказанию мер социальной поддержки специалистам физкультурно-спортивных учреждений по оплате жилого помещения и коммунальных услуг за счет средств областного бюджета </w:t>
      </w:r>
      <w:r>
        <w:rPr>
          <w:rFonts w:ascii="Times New Roman" w:hAnsi="Times New Roman"/>
          <w:sz w:val="24"/>
          <w:szCs w:val="24"/>
        </w:rPr>
        <w:t>(0,1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уб.,</w:t>
      </w:r>
      <w:r w:rsidRPr="009A1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распределена в полном объеме), </w:t>
      </w:r>
      <w:r w:rsidRPr="001A6654">
        <w:rPr>
          <w:rFonts w:ascii="Times New Roman" w:hAnsi="Times New Roman"/>
          <w:sz w:val="24"/>
          <w:szCs w:val="24"/>
        </w:rPr>
        <w:t>р</w:t>
      </w:r>
      <w:r w:rsidRPr="001A6654">
        <w:rPr>
          <w:rFonts w:ascii="Times New Roman" w:eastAsia="Calibri" w:hAnsi="Times New Roman"/>
          <w:sz w:val="24"/>
          <w:szCs w:val="24"/>
        </w:rPr>
        <w:t>аспределение  которой будет осуществлено по итогам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A6654">
        <w:rPr>
          <w:rFonts w:ascii="Times New Roman" w:eastAsia="Calibri" w:hAnsi="Times New Roman"/>
          <w:sz w:val="24"/>
          <w:szCs w:val="24"/>
        </w:rPr>
        <w:t xml:space="preserve">принятия заявлений </w:t>
      </w: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Pr="001A6654">
        <w:rPr>
          <w:rFonts w:ascii="Times New Roman" w:eastAsia="Calibri" w:hAnsi="Times New Roman"/>
          <w:sz w:val="24"/>
          <w:szCs w:val="24"/>
        </w:rPr>
        <w:t>специалистов физкультурно-спортивных учреждений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A6654">
        <w:rPr>
          <w:rFonts w:ascii="Times New Roman" w:eastAsia="Calibri" w:hAnsi="Times New Roman"/>
          <w:sz w:val="24"/>
          <w:szCs w:val="24"/>
        </w:rPr>
        <w:t>определения численности получателей мер по муниципальным учреждениям</w:t>
      </w:r>
      <w:r w:rsidR="0013473D">
        <w:rPr>
          <w:rFonts w:ascii="Times New Roman" w:eastAsia="Calibri" w:hAnsi="Times New Roman"/>
          <w:sz w:val="24"/>
          <w:szCs w:val="24"/>
        </w:rPr>
        <w:t>;</w:t>
      </w:r>
    </w:p>
    <w:p w:rsidR="00562E15" w:rsidRPr="00F21F6F" w:rsidRDefault="00562E15" w:rsidP="00562E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F6F">
        <w:rPr>
          <w:rFonts w:ascii="Times New Roman" w:hAnsi="Times New Roman" w:cs="Times New Roman"/>
          <w:sz w:val="24"/>
          <w:szCs w:val="24"/>
        </w:rPr>
        <w:t>-</w:t>
      </w:r>
      <w:r w:rsidRPr="00F21F6F">
        <w:t>с</w:t>
      </w:r>
      <w:r w:rsidRPr="00F21F6F">
        <w:rPr>
          <w:rFonts w:ascii="Times New Roman" w:hAnsi="Times New Roman" w:cs="Times New Roman"/>
          <w:sz w:val="24"/>
          <w:szCs w:val="24"/>
        </w:rPr>
        <w:t>убвенцию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(0,7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уб.,</w:t>
      </w:r>
      <w:r w:rsidRPr="009A1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распределена в полном объеме).</w:t>
      </w:r>
    </w:p>
    <w:p w:rsidR="00562E15" w:rsidRDefault="00562E15" w:rsidP="0014208C"/>
    <w:p w:rsidR="00F11552" w:rsidRPr="00A27310" w:rsidRDefault="00F11552" w:rsidP="00F11552">
      <w:pPr>
        <w:ind w:firstLine="709"/>
        <w:jc w:val="both"/>
        <w:rPr>
          <w:b/>
          <w:i/>
        </w:rPr>
      </w:pPr>
      <w:r w:rsidRPr="00A27310">
        <w:lastRenderedPageBreak/>
        <w:t>По результатам экспертизы законопроекта «Об областном бюджете на 201</w:t>
      </w:r>
      <w:r w:rsidR="0003023B">
        <w:t>9</w:t>
      </w:r>
      <w:r w:rsidRPr="00A27310">
        <w:t xml:space="preserve"> год и на плановый период 20</w:t>
      </w:r>
      <w:r w:rsidR="0003023B">
        <w:t>20</w:t>
      </w:r>
      <w:r w:rsidR="0094428F">
        <w:t xml:space="preserve"> </w:t>
      </w:r>
      <w:r w:rsidRPr="00A27310">
        <w:t>и 20</w:t>
      </w:r>
      <w:r w:rsidR="00720D49">
        <w:t>2</w:t>
      </w:r>
      <w:r w:rsidR="0003023B">
        <w:t>1</w:t>
      </w:r>
      <w:r w:rsidRPr="00A27310">
        <w:t xml:space="preserve"> годов», проведенной </w:t>
      </w:r>
      <w:r w:rsidR="008545B5">
        <w:t>КСП</w:t>
      </w:r>
      <w:r w:rsidRPr="00A27310">
        <w:t xml:space="preserve"> к 1 чтению, можно сделать </w:t>
      </w:r>
      <w:r w:rsidRPr="00A27310">
        <w:rPr>
          <w:b/>
          <w:i/>
          <w:u w:val="single"/>
        </w:rPr>
        <w:t xml:space="preserve">следующие </w:t>
      </w:r>
      <w:r w:rsidR="0003023B">
        <w:rPr>
          <w:b/>
          <w:i/>
          <w:u w:val="single"/>
        </w:rPr>
        <w:t xml:space="preserve">основные </w:t>
      </w:r>
      <w:r w:rsidRPr="00A27310">
        <w:rPr>
          <w:b/>
          <w:i/>
          <w:u w:val="single"/>
        </w:rPr>
        <w:t>выводы</w:t>
      </w:r>
      <w:r w:rsidRPr="00A27310">
        <w:rPr>
          <w:b/>
          <w:i/>
        </w:rPr>
        <w:t>:</w:t>
      </w:r>
    </w:p>
    <w:p w:rsidR="00F11552" w:rsidRPr="004C005C" w:rsidRDefault="00F11552" w:rsidP="00BA5F9E">
      <w:pPr>
        <w:ind w:firstLine="708"/>
        <w:jc w:val="center"/>
        <w:rPr>
          <w:b/>
          <w:i/>
          <w:sz w:val="16"/>
          <w:szCs w:val="16"/>
        </w:rPr>
      </w:pPr>
    </w:p>
    <w:p w:rsidR="00292C2A" w:rsidRDefault="00292C2A" w:rsidP="00292C2A">
      <w:pPr>
        <w:ind w:firstLine="708"/>
        <w:jc w:val="both"/>
        <w:rPr>
          <w:b/>
          <w:i/>
        </w:rPr>
      </w:pPr>
      <w:r w:rsidRPr="00A27310">
        <w:t>-</w:t>
      </w:r>
      <w:r w:rsidRPr="00A27310">
        <w:rPr>
          <w:b/>
          <w:i/>
        </w:rPr>
        <w:t>по концепции законопроекта</w:t>
      </w:r>
    </w:p>
    <w:p w:rsidR="000C4E78" w:rsidRPr="000C4E78" w:rsidRDefault="000C4E78" w:rsidP="00292C2A">
      <w:pPr>
        <w:ind w:firstLine="708"/>
        <w:jc w:val="both"/>
      </w:pPr>
      <w:r w:rsidRPr="000C4E78">
        <w:rPr>
          <w:b/>
        </w:rPr>
        <w:t>1.</w:t>
      </w:r>
      <w:r>
        <w:t xml:space="preserve"> Статьей 48 законопроекта предусмотрено 13 дополнительных оснований </w:t>
      </w:r>
      <w:proofErr w:type="gramStart"/>
      <w:r>
        <w:t>для внесения изменений в сводную бюджетную роспись областного бюджета по решению руководителя финансового органа без внесения соответствующих изменений в закон</w:t>
      </w:r>
      <w:proofErr w:type="gramEnd"/>
      <w:r>
        <w:t xml:space="preserve"> о бюджете, в результате общее количество таких оснований составит  в 2019-2021 годах 30, из них 20 – в соответствии с областным законодательством. И хотя в течение 2018 года по рекомендации КСП количество оснований для самостоятельного изменения финансовым органом сводной бюджетной росписи несколько сокращено (в 2017 году было 37 оснований), оно по-прежнему остается достаточно значительным.  </w:t>
      </w:r>
    </w:p>
    <w:p w:rsidR="00CD1B94" w:rsidRDefault="00CD1B94" w:rsidP="004F7C73">
      <w:pPr>
        <w:autoSpaceDE w:val="0"/>
        <w:autoSpaceDN w:val="0"/>
        <w:adjustRightInd w:val="0"/>
        <w:ind w:firstLine="709"/>
        <w:jc w:val="both"/>
      </w:pPr>
    </w:p>
    <w:p w:rsidR="003C5879" w:rsidRPr="003C5879" w:rsidRDefault="000C4E78" w:rsidP="003C5879">
      <w:pPr>
        <w:ind w:firstLine="709"/>
        <w:jc w:val="both"/>
      </w:pPr>
      <w:r>
        <w:rPr>
          <w:b/>
        </w:rPr>
        <w:t>2</w:t>
      </w:r>
      <w:r w:rsidR="00975794" w:rsidRPr="00535F85">
        <w:rPr>
          <w:b/>
        </w:rPr>
        <w:t>.</w:t>
      </w:r>
      <w:r w:rsidR="00975794">
        <w:t xml:space="preserve"> </w:t>
      </w:r>
      <w:proofErr w:type="gramStart"/>
      <w:r w:rsidR="00975794">
        <w:t xml:space="preserve">В нарушение статьи 179.4 БК РФ, согласно которой объем бюджетных ассигнований дорожного фонда утверждается законом субъекта РФ о бюджете на очередной финансовый год и плановый период </w:t>
      </w:r>
      <w:r w:rsidR="00975794" w:rsidRPr="00535F85">
        <w:t>в размере не менее прогнозируемого объема установленных законом субъекта РФ доходов дорожного фонда</w:t>
      </w:r>
      <w:r w:rsidR="00975794">
        <w:t>, объем бюджетных ассигнований дорожного фонда Волгоградской области на 2019 год предлагается утвердить в сумме 10471,1 млн. руб., что меньше прогнозируемого объема</w:t>
      </w:r>
      <w:proofErr w:type="gramEnd"/>
      <w:r w:rsidR="00975794">
        <w:t xml:space="preserve"> соответствующих доходов на 600 млн. рублей. </w:t>
      </w:r>
      <w:proofErr w:type="gramStart"/>
      <w:r w:rsidR="00975794">
        <w:t>Учитывая же, что статьей 35 закона</w:t>
      </w:r>
      <w:r w:rsidR="008429D9">
        <w:t xml:space="preserve"> об областном бюджете на текущий год</w:t>
      </w:r>
      <w:r w:rsidR="00975794">
        <w:t xml:space="preserve"> </w:t>
      </w:r>
      <w:r w:rsidR="008429D9">
        <w:t>неиспользованные в 2018 году бюджетные ассигнования</w:t>
      </w:r>
      <w:r w:rsidR="00975794" w:rsidRPr="003A2395">
        <w:t xml:space="preserve"> дорожного фонда в сумме 2300 </w:t>
      </w:r>
      <w:r w:rsidR="00975794">
        <w:t>млн. руб.</w:t>
      </w:r>
      <w:r w:rsidR="00975794" w:rsidRPr="003A2395">
        <w:t xml:space="preserve"> </w:t>
      </w:r>
      <w:r w:rsidR="008429D9">
        <w:t xml:space="preserve">предусмотрено </w:t>
      </w:r>
      <w:r w:rsidR="00975794">
        <w:t>н</w:t>
      </w:r>
      <w:r w:rsidR="00975794" w:rsidRPr="003A2395">
        <w:t>аправить на увеличение бюджетных ассигнований дорожного фонда в 2019 году</w:t>
      </w:r>
      <w:r w:rsidR="00975794">
        <w:t xml:space="preserve">, </w:t>
      </w:r>
      <w:r w:rsidR="008429D9">
        <w:t xml:space="preserve">а также требования пункта 4 статьи 179.4 БК РФ об увеличении бюджетных ассигнований текущего и (или) планового года </w:t>
      </w:r>
      <w:r w:rsidR="008429D9" w:rsidRPr="006D7DD9">
        <w:t>на положительную разницу между фактически поступившим</w:t>
      </w:r>
      <w:proofErr w:type="gramEnd"/>
      <w:r w:rsidR="008429D9" w:rsidRPr="006D7DD9">
        <w:t xml:space="preserve"> </w:t>
      </w:r>
      <w:r w:rsidR="008429D9">
        <w:t xml:space="preserve">в текущем году </w:t>
      </w:r>
      <w:r w:rsidR="008429D9" w:rsidRPr="006D7DD9">
        <w:t>и прогнозировавшимся объемом доходов дорожного фонда</w:t>
      </w:r>
      <w:r w:rsidR="008429D9">
        <w:t xml:space="preserve">, </w:t>
      </w:r>
      <w:r w:rsidR="003C5879" w:rsidRPr="003C5879">
        <w:t>объем бюджетных ассигнований дорожного фонда на 2019 год должен составлять не менее 13471,1 млн. руб., что на 3000 млн. руб., или на 28,6% больше объема, предлагаемого к утверждению</w:t>
      </w:r>
      <w:r w:rsidR="003C5879">
        <w:t xml:space="preserve"> </w:t>
      </w:r>
      <w:r w:rsidR="003C5879" w:rsidRPr="003C5879">
        <w:t>(10471,1 млн. руб.).</w:t>
      </w:r>
    </w:p>
    <w:p w:rsidR="003C5879" w:rsidRDefault="003C5879" w:rsidP="003C58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Кроме того, в нарушение пункта 1 статьи 24 Закона Волгоградской области от 09.12.2014 №169-ОД «О нормативных правовых актах Волгоградской области» </w:t>
      </w:r>
      <w:r w:rsidRPr="003C5879">
        <w:rPr>
          <w:rFonts w:eastAsiaTheme="minorHAnsi"/>
          <w:lang w:eastAsia="en-US"/>
        </w:rPr>
        <w:t xml:space="preserve">положения </w:t>
      </w:r>
      <w:r w:rsidRPr="003C5879">
        <w:t>статьи 35 законопроекта</w:t>
      </w:r>
      <w:r w:rsidRPr="003C5879">
        <w:rPr>
          <w:rFonts w:eastAsiaTheme="minorHAnsi"/>
          <w:lang w:eastAsia="en-US"/>
        </w:rPr>
        <w:t xml:space="preserve"> сформулированы</w:t>
      </w:r>
      <w:r>
        <w:rPr>
          <w:rFonts w:eastAsiaTheme="minorHAnsi"/>
          <w:lang w:eastAsia="en-US"/>
        </w:rPr>
        <w:t xml:space="preserve"> </w:t>
      </w:r>
      <w:r w:rsidRPr="003C5879">
        <w:rPr>
          <w:rFonts w:eastAsiaTheme="minorHAnsi"/>
          <w:lang w:eastAsia="en-US"/>
        </w:rPr>
        <w:t>нечетко, что не исключает возможности их двойного толкования</w:t>
      </w:r>
      <w:r>
        <w:rPr>
          <w:rFonts w:eastAsiaTheme="minorHAnsi"/>
          <w:lang w:eastAsia="en-US"/>
        </w:rPr>
        <w:t>, и соответственно требуют переработки.</w:t>
      </w:r>
    </w:p>
    <w:p w:rsidR="00AE2677" w:rsidRDefault="00AE2677" w:rsidP="003C58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4F7C73" w:rsidRDefault="00AE3E25" w:rsidP="004F7C73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27310">
        <w:rPr>
          <w:b/>
          <w:i/>
        </w:rPr>
        <w:t>-по прогнозу социально-экономического развития Волгоградской области</w:t>
      </w:r>
    </w:p>
    <w:p w:rsidR="00F1541B" w:rsidRDefault="00C2335E" w:rsidP="00F1541B">
      <w:pPr>
        <w:pStyle w:val="Style5"/>
        <w:spacing w:line="247" w:lineRule="auto"/>
        <w:jc w:val="both"/>
      </w:pPr>
      <w:r w:rsidRPr="00E74858">
        <w:rPr>
          <w:b/>
        </w:rPr>
        <w:t>3.</w:t>
      </w:r>
      <w:r w:rsidR="002B2DA6">
        <w:rPr>
          <w:b/>
        </w:rPr>
        <w:t xml:space="preserve"> </w:t>
      </w:r>
      <w:r w:rsidR="002B2DA6">
        <w:t>Анализ прогноза социально-экономического развития Волгоградской области</w:t>
      </w:r>
      <w:r w:rsidR="002B2DA6" w:rsidRPr="00DF539B">
        <w:t xml:space="preserve"> показал, что в 2019-2021 годах</w:t>
      </w:r>
      <w:r w:rsidRPr="00E74858">
        <w:rPr>
          <w:b/>
        </w:rPr>
        <w:t xml:space="preserve"> </w:t>
      </w:r>
      <w:r w:rsidR="00F1541B" w:rsidRPr="00DF539B">
        <w:t xml:space="preserve">практически по всем основным макроэкономическим показателям ожидается рост. Снижение темпов роста по сравнению с предыдущим периодом </w:t>
      </w:r>
      <w:r w:rsidR="002B2DA6">
        <w:t>предусмотрено</w:t>
      </w:r>
      <w:r w:rsidR="00F1541B" w:rsidRPr="00DF539B">
        <w:t xml:space="preserve"> </w:t>
      </w:r>
      <w:r w:rsidR="00F1541B">
        <w:t xml:space="preserve">в 2019 году по </w:t>
      </w:r>
      <w:r w:rsidR="00F1541B" w:rsidRPr="00DF539B">
        <w:t>фонду заработной платы работников организаций</w:t>
      </w:r>
      <w:r w:rsidR="00F1541B">
        <w:t>,</w:t>
      </w:r>
      <w:r w:rsidR="00F1541B" w:rsidRPr="00DF539B">
        <w:t xml:space="preserve"> в 2019</w:t>
      </w:r>
      <w:r w:rsidR="00F1541B">
        <w:t xml:space="preserve">-2020 годах - </w:t>
      </w:r>
      <w:r w:rsidR="00F1541B" w:rsidRPr="00DF539B">
        <w:t xml:space="preserve">по прибыли прибыльных организаций, </w:t>
      </w:r>
      <w:r w:rsidR="00F1541B">
        <w:t>в 2020 году - по продукции сельского хозяйств, в 2019 и 2021 годах отмечен рост индекса потребительских цен.</w:t>
      </w:r>
    </w:p>
    <w:p w:rsidR="00F1541B" w:rsidRPr="007D12AE" w:rsidRDefault="002B2DA6" w:rsidP="00F1541B">
      <w:pPr>
        <w:ind w:firstLine="680"/>
        <w:jc w:val="both"/>
      </w:pPr>
      <w:r>
        <w:t>По оценке КСП с</w:t>
      </w:r>
      <w:r w:rsidR="00F1541B" w:rsidRPr="00FB61E8">
        <w:t xml:space="preserve">уществует риск </w:t>
      </w:r>
      <w:proofErr w:type="spellStart"/>
      <w:r w:rsidR="00F1541B" w:rsidRPr="00FB61E8">
        <w:t>недостижения</w:t>
      </w:r>
      <w:proofErr w:type="spellEnd"/>
      <w:r w:rsidR="00F1541B" w:rsidRPr="00FB61E8">
        <w:t xml:space="preserve"> </w:t>
      </w:r>
      <w:r w:rsidR="00F1541B">
        <w:t xml:space="preserve">показателя </w:t>
      </w:r>
      <w:r w:rsidR="00F1541B" w:rsidRPr="00FB61E8">
        <w:t>индекса физического объема инвестиций в прогнозируемом периоде</w:t>
      </w:r>
      <w:r w:rsidR="00F1541B">
        <w:t xml:space="preserve"> в</w:t>
      </w:r>
      <w:r w:rsidR="00F1541B" w:rsidRPr="008267A1">
        <w:t xml:space="preserve"> условиях снижения кредитной активности экономических</w:t>
      </w:r>
      <w:r w:rsidR="00F1541B">
        <w:t xml:space="preserve"> субъектов</w:t>
      </w:r>
      <w:r w:rsidR="00F1541B" w:rsidRPr="008267A1">
        <w:t xml:space="preserve"> и негативных настроений бизнеса, </w:t>
      </w:r>
      <w:r w:rsidR="00F1541B">
        <w:t xml:space="preserve">а также планируемого уменьшения указанного показателя в 2018 году на </w:t>
      </w:r>
      <w:r w:rsidR="00F1541B" w:rsidRPr="007D12AE">
        <w:t>4,9 процента.</w:t>
      </w:r>
    </w:p>
    <w:p w:rsidR="00F1541B" w:rsidRDefault="00F1541B" w:rsidP="00F1541B">
      <w:pPr>
        <w:ind w:firstLine="680"/>
        <w:jc w:val="both"/>
      </w:pPr>
      <w:r>
        <w:t>С учетом наметившейся динамики снижения в 2017 году</w:t>
      </w:r>
      <w:r w:rsidR="002B2DA6">
        <w:t xml:space="preserve"> и </w:t>
      </w:r>
      <w:r>
        <w:t xml:space="preserve">текущем периоде 2018 года </w:t>
      </w:r>
      <w:r w:rsidRPr="00143AD5">
        <w:t>показателя количества малых и средних предприятий</w:t>
      </w:r>
      <w:r>
        <w:t xml:space="preserve"> (</w:t>
      </w:r>
      <w:r w:rsidRPr="00143AD5">
        <w:t xml:space="preserve">включая </w:t>
      </w:r>
      <w:proofErr w:type="spellStart"/>
      <w:r w:rsidRPr="00143AD5">
        <w:t>микропредприяти</w:t>
      </w:r>
      <w:r>
        <w:t>я</w:t>
      </w:r>
      <w:proofErr w:type="spellEnd"/>
      <w:r>
        <w:t xml:space="preserve">) вызывает сомнение </w:t>
      </w:r>
      <w:r w:rsidR="002B2DA6">
        <w:t xml:space="preserve">также </w:t>
      </w:r>
      <w:r>
        <w:t>рост указанного показателя в прогнозируемом периоде</w:t>
      </w:r>
      <w:r w:rsidRPr="004501FF">
        <w:t xml:space="preserve"> </w:t>
      </w:r>
      <w:r>
        <w:t>(</w:t>
      </w:r>
      <w:r w:rsidRPr="00143AD5">
        <w:t>с 28,87</w:t>
      </w:r>
      <w:r>
        <w:t xml:space="preserve"> </w:t>
      </w:r>
      <w:r w:rsidRPr="00143AD5">
        <w:t>тыс. ед. в 2017 году до 28,96 тыс. ед. в 2021 году</w:t>
      </w:r>
      <w:r>
        <w:t>).</w:t>
      </w:r>
    </w:p>
    <w:p w:rsidR="00363260" w:rsidRDefault="002B2DA6" w:rsidP="002B2DA6">
      <w:pPr>
        <w:pStyle w:val="Style20"/>
        <w:widowControl/>
        <w:jc w:val="both"/>
      </w:pPr>
      <w:r>
        <w:tab/>
      </w:r>
    </w:p>
    <w:p w:rsidR="00F1541B" w:rsidRDefault="00363260" w:rsidP="002B2DA6">
      <w:pPr>
        <w:pStyle w:val="Style20"/>
        <w:widowControl/>
        <w:jc w:val="both"/>
        <w:rPr>
          <w:bCs/>
        </w:rPr>
      </w:pPr>
      <w:r>
        <w:tab/>
      </w:r>
      <w:r w:rsidR="002B2DA6" w:rsidRPr="002B2DA6">
        <w:rPr>
          <w:b/>
        </w:rPr>
        <w:t>4.</w:t>
      </w:r>
      <w:r w:rsidR="002B2DA6">
        <w:t xml:space="preserve"> </w:t>
      </w:r>
      <w:r w:rsidR="00F1541B" w:rsidRPr="0026324A">
        <w:t>Недостатк</w:t>
      </w:r>
      <w:r w:rsidR="00F1541B">
        <w:t>ами</w:t>
      </w:r>
      <w:r w:rsidR="00F1541B" w:rsidRPr="0026324A">
        <w:t xml:space="preserve"> </w:t>
      </w:r>
      <w:r w:rsidR="002B2DA6">
        <w:t xml:space="preserve">представленного </w:t>
      </w:r>
      <w:r w:rsidR="00F1541B" w:rsidRPr="0026324A">
        <w:t>Прогноза СЭР</w:t>
      </w:r>
      <w:r w:rsidR="002B2DA6">
        <w:t>,</w:t>
      </w:r>
      <w:r w:rsidR="00F1541B" w:rsidRPr="0026324A">
        <w:t xml:space="preserve"> </w:t>
      </w:r>
      <w:r w:rsidR="002B2DA6">
        <w:t xml:space="preserve">по мнению КСП, </w:t>
      </w:r>
      <w:r w:rsidR="00F1541B">
        <w:t>являю</w:t>
      </w:r>
      <w:r w:rsidR="00F1541B" w:rsidRPr="0026324A">
        <w:t>тся</w:t>
      </w:r>
      <w:r w:rsidR="00F1541B">
        <w:t>:</w:t>
      </w:r>
      <w:r w:rsidR="002B2DA6">
        <w:t xml:space="preserve"> отсутствие в нем</w:t>
      </w:r>
      <w:r w:rsidR="00F1541B" w:rsidRPr="0026324A">
        <w:t xml:space="preserve"> факторов и ограничений экономического роста региона (за исключением сфер</w:t>
      </w:r>
      <w:r w:rsidR="00F1541B">
        <w:t>ы развития сельского хозяйства);</w:t>
      </w:r>
      <w:r w:rsidR="00F1541B" w:rsidRPr="0026324A">
        <w:t xml:space="preserve"> </w:t>
      </w:r>
      <w:r w:rsidR="00F1541B">
        <w:rPr>
          <w:bCs/>
        </w:rPr>
        <w:t xml:space="preserve">конкретных мероприятий </w:t>
      </w:r>
      <w:r w:rsidR="00F1541B" w:rsidRPr="00C84922">
        <w:rPr>
          <w:bCs/>
        </w:rPr>
        <w:t>или прогнозны</w:t>
      </w:r>
      <w:r w:rsidR="00F1541B">
        <w:rPr>
          <w:bCs/>
        </w:rPr>
        <w:t>х</w:t>
      </w:r>
      <w:r w:rsidR="00F1541B" w:rsidRPr="00C84922">
        <w:rPr>
          <w:bCs/>
        </w:rPr>
        <w:t xml:space="preserve"> гипотез</w:t>
      </w:r>
      <w:r w:rsidR="00F1541B">
        <w:rPr>
          <w:bCs/>
        </w:rPr>
        <w:t xml:space="preserve"> </w:t>
      </w:r>
      <w:r w:rsidR="00F1541B">
        <w:rPr>
          <w:bCs/>
        </w:rPr>
        <w:lastRenderedPageBreak/>
        <w:t>развития отраслей в прогнозируемом периоде</w:t>
      </w:r>
      <w:r w:rsidR="00F1541B" w:rsidRPr="00844B0D">
        <w:rPr>
          <w:bCs/>
        </w:rPr>
        <w:t xml:space="preserve"> </w:t>
      </w:r>
      <w:r w:rsidR="00F1541B">
        <w:rPr>
          <w:bCs/>
        </w:rPr>
        <w:t xml:space="preserve">(по отдельным </w:t>
      </w:r>
      <w:r w:rsidR="00F1541B" w:rsidRPr="002D5432">
        <w:rPr>
          <w:bCs/>
        </w:rPr>
        <w:t>сферам</w:t>
      </w:r>
      <w:r w:rsidR="00F1541B">
        <w:rPr>
          <w:bCs/>
        </w:rPr>
        <w:t xml:space="preserve"> экономики и направлениям развития), данных</w:t>
      </w:r>
      <w:r w:rsidR="00F1541B" w:rsidRPr="00D94A45">
        <w:rPr>
          <w:bCs/>
        </w:rPr>
        <w:t xml:space="preserve"> </w:t>
      </w:r>
      <w:r w:rsidR="00F1541B">
        <w:rPr>
          <w:bCs/>
        </w:rPr>
        <w:t>о планируемых объемах освоения инвестиций и рабочих местах в 2019-2021 годах</w:t>
      </w:r>
      <w:r w:rsidR="00F1541B" w:rsidRPr="00D94A45">
        <w:rPr>
          <w:bCs/>
        </w:rPr>
        <w:t xml:space="preserve"> </w:t>
      </w:r>
      <w:r w:rsidR="00F1541B">
        <w:rPr>
          <w:bCs/>
        </w:rPr>
        <w:t xml:space="preserve">и </w:t>
      </w:r>
      <w:r w:rsidR="00F1541B" w:rsidRPr="00D94A45">
        <w:rPr>
          <w:bCs/>
        </w:rPr>
        <w:t>об ожидаем</w:t>
      </w:r>
      <w:r w:rsidR="00F1541B">
        <w:rPr>
          <w:bCs/>
        </w:rPr>
        <w:t>ом бюджетном эффекте от реализации инвестиционных проектов</w:t>
      </w:r>
      <w:r w:rsidR="00F1541B" w:rsidRPr="00844B0D">
        <w:rPr>
          <w:bCs/>
        </w:rPr>
        <w:t xml:space="preserve"> </w:t>
      </w:r>
      <w:r w:rsidR="00F1541B">
        <w:rPr>
          <w:bCs/>
        </w:rPr>
        <w:t>(в разделе «Привлечение инвестиций»).</w:t>
      </w:r>
    </w:p>
    <w:p w:rsidR="00C2335E" w:rsidRPr="00C2335E" w:rsidRDefault="00C2335E" w:rsidP="008D28EC">
      <w:pPr>
        <w:autoSpaceDE w:val="0"/>
        <w:autoSpaceDN w:val="0"/>
        <w:adjustRightInd w:val="0"/>
        <w:ind w:firstLine="720"/>
        <w:jc w:val="both"/>
        <w:outlineLvl w:val="0"/>
      </w:pPr>
    </w:p>
    <w:p w:rsidR="008D28EC" w:rsidRDefault="00CB7BDC" w:rsidP="008D28EC">
      <w:pPr>
        <w:autoSpaceDE w:val="0"/>
        <w:autoSpaceDN w:val="0"/>
        <w:adjustRightInd w:val="0"/>
        <w:ind w:firstLine="720"/>
        <w:jc w:val="both"/>
        <w:outlineLvl w:val="0"/>
        <w:rPr>
          <w:b/>
          <w:i/>
        </w:rPr>
      </w:pPr>
      <w:r w:rsidRPr="00A27310">
        <w:rPr>
          <w:b/>
          <w:i/>
        </w:rPr>
        <w:t>-по доходной части областного бюджета</w:t>
      </w:r>
    </w:p>
    <w:p w:rsidR="00C2335E" w:rsidRDefault="002B2DA6" w:rsidP="00C2335E">
      <w:pPr>
        <w:pStyle w:val="Default"/>
        <w:ind w:firstLine="708"/>
        <w:jc w:val="both"/>
        <w:rPr>
          <w:rFonts w:eastAsia="Calibri"/>
        </w:rPr>
      </w:pPr>
      <w:r>
        <w:rPr>
          <w:b/>
        </w:rPr>
        <w:t>5</w:t>
      </w:r>
      <w:r w:rsidR="00E74858" w:rsidRPr="00E74858">
        <w:rPr>
          <w:b/>
        </w:rPr>
        <w:t>.</w:t>
      </w:r>
      <w:r w:rsidR="00E74858">
        <w:t xml:space="preserve"> </w:t>
      </w:r>
      <w:r w:rsidR="00C2335E" w:rsidRPr="00340EDE">
        <w:rPr>
          <w:rFonts w:eastAsia="Calibri"/>
        </w:rPr>
        <w:t>Проанализировав представленные расчеты по налоговым</w:t>
      </w:r>
      <w:r w:rsidR="00C2335E" w:rsidRPr="00453858">
        <w:rPr>
          <w:rFonts w:eastAsia="Calibri"/>
        </w:rPr>
        <w:t xml:space="preserve"> доходам и планируемые поступления неналоговых доходов,  </w:t>
      </w:r>
      <w:r w:rsidR="00C2335E" w:rsidRPr="00235046">
        <w:rPr>
          <w:rFonts w:eastAsia="Calibri"/>
        </w:rPr>
        <w:t>КСП пришла к выводу, что в основном доходы на 201</w:t>
      </w:r>
      <w:r w:rsidR="00C2335E">
        <w:rPr>
          <w:rFonts w:eastAsia="Calibri"/>
        </w:rPr>
        <w:t>9</w:t>
      </w:r>
      <w:r w:rsidR="00C2335E" w:rsidRPr="00235046">
        <w:rPr>
          <w:rFonts w:eastAsia="Calibri"/>
        </w:rPr>
        <w:t xml:space="preserve"> год спрогнозированы обоснованно. Вместе с тем</w:t>
      </w:r>
      <w:r w:rsidR="00C2335E">
        <w:rPr>
          <w:rFonts w:eastAsia="Calibri"/>
        </w:rPr>
        <w:t xml:space="preserve"> </w:t>
      </w:r>
      <w:r w:rsidR="00D57A49">
        <w:t>по оценке палаты</w:t>
      </w:r>
      <w:r w:rsidR="00C2335E">
        <w:rPr>
          <w:rFonts w:eastAsia="Calibri"/>
        </w:rPr>
        <w:t xml:space="preserve"> </w:t>
      </w:r>
      <w:r w:rsidR="00C2335E" w:rsidRPr="00235046">
        <w:rPr>
          <w:rFonts w:eastAsia="Calibri"/>
        </w:rPr>
        <w:t xml:space="preserve">прогноз поступлений по </w:t>
      </w:r>
      <w:r w:rsidR="00C2335E">
        <w:rPr>
          <w:rFonts w:eastAsia="Calibri"/>
        </w:rPr>
        <w:t>транспортному налогу занижен ориентировочно на 200 млн. рублей</w:t>
      </w:r>
      <w:r w:rsidR="00C2335E" w:rsidRPr="00235046">
        <w:rPr>
          <w:rFonts w:eastAsia="Calibri"/>
        </w:rPr>
        <w:t>.</w:t>
      </w:r>
      <w:r w:rsidR="00C2335E">
        <w:rPr>
          <w:rFonts w:eastAsia="Calibri"/>
        </w:rPr>
        <w:t xml:space="preserve"> </w:t>
      </w:r>
    </w:p>
    <w:p w:rsidR="00C2335E" w:rsidRPr="00340EDE" w:rsidRDefault="00C2335E" w:rsidP="00C2335E">
      <w:pPr>
        <w:ind w:firstLine="680"/>
        <w:jc w:val="both"/>
        <w:rPr>
          <w:bCs/>
        </w:rPr>
      </w:pPr>
      <w:r>
        <w:t xml:space="preserve">Кроме того, </w:t>
      </w:r>
      <w:r w:rsidR="00D57A49">
        <w:t xml:space="preserve">в качестве недостатка при формировании доходной части областного бюджета на 2019 год следует отметить, что </w:t>
      </w:r>
      <w:r w:rsidRPr="00676E99">
        <w:t xml:space="preserve">прогнозирование </w:t>
      </w:r>
      <w:r>
        <w:t xml:space="preserve">по </w:t>
      </w:r>
      <w:r w:rsidRPr="00340EDE">
        <w:t>штрафам, санкциям</w:t>
      </w:r>
      <w:r w:rsidR="00D57A49">
        <w:t xml:space="preserve"> и</w:t>
      </w:r>
      <w:r w:rsidRPr="00340EDE">
        <w:t xml:space="preserve"> возмещению ущерба </w:t>
      </w:r>
      <w:r w:rsidRPr="00676E99">
        <w:t>отдельными администраторами</w:t>
      </w:r>
      <w:r>
        <w:t xml:space="preserve"> доходов</w:t>
      </w:r>
      <w:r w:rsidRPr="00676E99">
        <w:t xml:space="preserve"> осуществл</w:t>
      </w:r>
      <w:r w:rsidR="00D57A49">
        <w:t>ено</w:t>
      </w:r>
      <w:r w:rsidRPr="00676E99">
        <w:t xml:space="preserve"> не в соответствии с утвержденными</w:t>
      </w:r>
      <w:r>
        <w:t xml:space="preserve"> ими</w:t>
      </w:r>
      <w:r w:rsidRPr="00676E99">
        <w:t xml:space="preserve"> </w:t>
      </w:r>
      <w:r>
        <w:t>методиками</w:t>
      </w:r>
      <w:r w:rsidR="00493037">
        <w:t>, не</w:t>
      </w:r>
      <w:r w:rsidR="00D57A49">
        <w:t>соблюдение которых</w:t>
      </w:r>
      <w:r w:rsidRPr="00340EDE">
        <w:t xml:space="preserve"> прив</w:t>
      </w:r>
      <w:r w:rsidR="00D57A49">
        <w:t>одит</w:t>
      </w:r>
      <w:r w:rsidRPr="00340EDE">
        <w:t xml:space="preserve"> к занижению прогнозных назначений по </w:t>
      </w:r>
      <w:r w:rsidR="00493037">
        <w:t>данному виду доходов</w:t>
      </w:r>
      <w:r w:rsidRPr="00340EDE">
        <w:t xml:space="preserve">. </w:t>
      </w:r>
    </w:p>
    <w:p w:rsidR="00E74858" w:rsidRDefault="00C2335E" w:rsidP="00C2335E">
      <w:pPr>
        <w:pStyle w:val="Default"/>
        <w:ind w:firstLine="708"/>
        <w:jc w:val="both"/>
      </w:pPr>
      <w:r>
        <w:rPr>
          <w:rFonts w:eastAsia="Calibri"/>
        </w:rPr>
        <w:t xml:space="preserve">Также </w:t>
      </w:r>
      <w:r w:rsidR="00493037">
        <w:t>з</w:t>
      </w:r>
      <w:r w:rsidRPr="00453858">
        <w:rPr>
          <w:rFonts w:eastAsia="Calibri"/>
        </w:rPr>
        <w:t xml:space="preserve">аконопроектом не предусмотрены прогнозные назначения по </w:t>
      </w:r>
      <w:r w:rsidRPr="00453858">
        <w:rPr>
          <w:rFonts w:eastAsia="Calibri"/>
          <w:bCs/>
        </w:rPr>
        <w:t>в</w:t>
      </w:r>
      <w:r w:rsidRPr="00453858">
        <w:rPr>
          <w:rFonts w:eastAsia="Calibri"/>
        </w:rPr>
        <w:t>озврат</w:t>
      </w:r>
      <w:r>
        <w:rPr>
          <w:rFonts w:eastAsia="Calibri"/>
        </w:rPr>
        <w:t>у</w:t>
      </w:r>
      <w:r w:rsidRPr="00453858">
        <w:rPr>
          <w:rFonts w:eastAsia="Calibri"/>
        </w:rPr>
        <w:t xml:space="preserve"> </w:t>
      </w:r>
      <w:r>
        <w:rPr>
          <w:rFonts w:eastAsia="Calibri"/>
        </w:rPr>
        <w:t xml:space="preserve">в федеральный бюджет </w:t>
      </w:r>
      <w:r w:rsidRPr="00453858">
        <w:rPr>
          <w:rFonts w:eastAsia="Calibri"/>
        </w:rPr>
        <w:t>остатков</w:t>
      </w:r>
      <w:r>
        <w:rPr>
          <w:rFonts w:eastAsia="Calibri"/>
        </w:rPr>
        <w:t xml:space="preserve"> неиспользованных</w:t>
      </w:r>
      <w:r w:rsidRPr="00453858">
        <w:rPr>
          <w:rFonts w:eastAsia="Calibri"/>
        </w:rPr>
        <w:t xml:space="preserve"> </w:t>
      </w:r>
      <w:r>
        <w:rPr>
          <w:rFonts w:eastAsia="Calibri"/>
        </w:rPr>
        <w:t xml:space="preserve">в текущем году </w:t>
      </w:r>
      <w:r w:rsidRPr="00453858">
        <w:rPr>
          <w:rFonts w:eastAsia="Calibri"/>
        </w:rPr>
        <w:t>субсидий, субвенций и иных межбюджетных</w:t>
      </w:r>
      <w:r>
        <w:rPr>
          <w:rFonts w:eastAsia="Calibri"/>
        </w:rPr>
        <w:t xml:space="preserve"> трансфертов, которые </w:t>
      </w:r>
      <w:r w:rsidRPr="00235046">
        <w:rPr>
          <w:rFonts w:eastAsia="Calibri"/>
        </w:rPr>
        <w:t>уменьшают общую сумму доходов областного бюджета</w:t>
      </w:r>
      <w:r w:rsidR="00493037">
        <w:t xml:space="preserve"> на очередной финансовый </w:t>
      </w:r>
      <w:proofErr w:type="gramStart"/>
      <w:r w:rsidR="00493037">
        <w:t>год</w:t>
      </w:r>
      <w:proofErr w:type="gramEnd"/>
      <w:r w:rsidR="00493037">
        <w:t xml:space="preserve"> и</w:t>
      </w:r>
      <w:r>
        <w:rPr>
          <w:rFonts w:eastAsia="Calibri"/>
        </w:rPr>
        <w:t xml:space="preserve"> приводит к </w:t>
      </w:r>
      <w:r w:rsidR="00701D6E">
        <w:t>раз</w:t>
      </w:r>
      <w:r w:rsidRPr="00235046">
        <w:rPr>
          <w:rFonts w:eastAsia="Calibri"/>
        </w:rPr>
        <w:t>балансиров</w:t>
      </w:r>
      <w:r w:rsidR="00701D6E">
        <w:t>ке</w:t>
      </w:r>
      <w:r w:rsidRPr="00235046">
        <w:rPr>
          <w:rFonts w:eastAsia="Calibri"/>
        </w:rPr>
        <w:t xml:space="preserve"> бюджета. </w:t>
      </w:r>
    </w:p>
    <w:p w:rsidR="00C2335E" w:rsidRPr="00235046" w:rsidRDefault="00C2335E" w:rsidP="00C2335E">
      <w:pPr>
        <w:pStyle w:val="Default"/>
        <w:ind w:firstLine="708"/>
        <w:jc w:val="both"/>
        <w:rPr>
          <w:rFonts w:eastAsia="Calibri"/>
        </w:rPr>
      </w:pPr>
      <w:r w:rsidRPr="00235046">
        <w:rPr>
          <w:rFonts w:eastAsia="Calibri"/>
        </w:rPr>
        <w:t xml:space="preserve"> </w:t>
      </w:r>
    </w:p>
    <w:p w:rsidR="00C2335E" w:rsidRDefault="002B2DA6" w:rsidP="00C2335E">
      <w:pPr>
        <w:ind w:firstLine="708"/>
        <w:jc w:val="both"/>
      </w:pPr>
      <w:r>
        <w:rPr>
          <w:b/>
        </w:rPr>
        <w:t>6</w:t>
      </w:r>
      <w:r w:rsidR="00C2335E" w:rsidRPr="00E74858">
        <w:rPr>
          <w:b/>
        </w:rPr>
        <w:t>.</w:t>
      </w:r>
      <w:r w:rsidR="00C2335E" w:rsidRPr="00A850FC">
        <w:t xml:space="preserve"> </w:t>
      </w:r>
      <w:r w:rsidR="00073E28">
        <w:t>Выпадающие доходы</w:t>
      </w:r>
      <w:r w:rsidR="00C2335E" w:rsidRPr="00A850FC">
        <w:t xml:space="preserve"> областного бюджета от предоставления налоговых льгот составят </w:t>
      </w:r>
      <w:r w:rsidR="00073E28">
        <w:t xml:space="preserve">в 2019 году </w:t>
      </w:r>
      <w:r w:rsidR="00C2335E" w:rsidRPr="00A850FC">
        <w:t>7851,5 млн. руб., что на 2399,1 млн.</w:t>
      </w:r>
      <w:r w:rsidR="00C2335E">
        <w:t xml:space="preserve"> </w:t>
      </w:r>
      <w:r w:rsidR="00C2335E" w:rsidRPr="00A850FC">
        <w:t xml:space="preserve">руб. меньше, чем </w:t>
      </w:r>
      <w:r w:rsidR="00073E28">
        <w:t>в 2018 году</w:t>
      </w:r>
      <w:r w:rsidR="00C2335E" w:rsidRPr="00A850FC">
        <w:t xml:space="preserve"> (</w:t>
      </w:r>
      <w:r w:rsidR="00073E28">
        <w:t xml:space="preserve">по оценке - </w:t>
      </w:r>
      <w:r w:rsidR="00C2335E" w:rsidRPr="00A850FC">
        <w:t>10</w:t>
      </w:r>
      <w:r w:rsidR="00C2335E">
        <w:t xml:space="preserve">250,6 млн. </w:t>
      </w:r>
      <w:r w:rsidR="00C2335E" w:rsidRPr="00A850FC">
        <w:t xml:space="preserve">руб.). </w:t>
      </w:r>
      <w:r w:rsidR="00C2335E" w:rsidRPr="00915A14">
        <w:t xml:space="preserve">Из общей суммы выпадающих доходов в 2019 году </w:t>
      </w:r>
      <w:r w:rsidR="00073E28">
        <w:t>наибольшую сумму составят льготы</w:t>
      </w:r>
      <w:r w:rsidR="00C2335E" w:rsidRPr="00915A14">
        <w:t xml:space="preserve"> по налогу на имущество организаций </w:t>
      </w:r>
      <w:r w:rsidR="00073E28">
        <w:t>-</w:t>
      </w:r>
      <w:r w:rsidR="00C2335E" w:rsidRPr="00915A14">
        <w:t xml:space="preserve"> </w:t>
      </w:r>
      <w:r w:rsidR="00C2335E">
        <w:t>5070,9 млн. руб.</w:t>
      </w:r>
      <w:r w:rsidR="00073E28">
        <w:t>, или</w:t>
      </w:r>
      <w:r w:rsidR="00C2335E">
        <w:t xml:space="preserve"> 64,5%</w:t>
      </w:r>
      <w:r w:rsidR="00073E28">
        <w:t xml:space="preserve"> от общей суммы</w:t>
      </w:r>
      <w:r w:rsidR="00C2335E">
        <w:t xml:space="preserve">, в том числе от предоставленных региональным законодательством - </w:t>
      </w:r>
      <w:r w:rsidR="00C2335E" w:rsidRPr="00915A14">
        <w:t xml:space="preserve">4912,4 млн. руб. </w:t>
      </w:r>
      <w:r w:rsidR="00C2335E" w:rsidRPr="000B15F8">
        <w:t xml:space="preserve">(62,6%), что связано </w:t>
      </w:r>
      <w:r w:rsidR="00C2335E">
        <w:t xml:space="preserve">в основном с </w:t>
      </w:r>
      <w:r w:rsidR="00C2335E" w:rsidRPr="00382B32">
        <w:t>предоставлени</w:t>
      </w:r>
      <w:r w:rsidR="00C2335E">
        <w:t>ем</w:t>
      </w:r>
      <w:r w:rsidR="00C2335E" w:rsidRPr="00382B32">
        <w:t xml:space="preserve"> льгот организациям, реализующим инвестиционные проекты. </w:t>
      </w:r>
    </w:p>
    <w:p w:rsidR="00C2335E" w:rsidRDefault="00073E28" w:rsidP="00C2335E">
      <w:pPr>
        <w:ind w:firstLine="709"/>
        <w:jc w:val="both"/>
      </w:pPr>
      <w:r>
        <w:t xml:space="preserve">При этом </w:t>
      </w:r>
      <w:r w:rsidR="00C2335E" w:rsidRPr="00382B32">
        <w:t xml:space="preserve">в документах, вносимых одновременно с </w:t>
      </w:r>
      <w:r>
        <w:t>з</w:t>
      </w:r>
      <w:r w:rsidR="00C2335E" w:rsidRPr="00382B32">
        <w:t>аконопроектом</w:t>
      </w:r>
      <w:r w:rsidR="00C2335E">
        <w:t>,</w:t>
      </w:r>
      <w:r w:rsidR="00C2335E" w:rsidRPr="00382B32">
        <w:t xml:space="preserve"> не приведены сведения о</w:t>
      </w:r>
      <w:r w:rsidR="00C2335E" w:rsidRPr="00506564">
        <w:t xml:space="preserve"> </w:t>
      </w:r>
      <w:r w:rsidR="00C2335E">
        <w:t>предполагаемых сроках и объемах вводимых в действие мощностей</w:t>
      </w:r>
      <w:r w:rsidR="00C2335E" w:rsidRPr="00382B32">
        <w:t xml:space="preserve"> </w:t>
      </w:r>
      <w:r w:rsidR="00C2335E">
        <w:t xml:space="preserve">по </w:t>
      </w:r>
      <w:r w:rsidR="00C2335E" w:rsidRPr="00382B32">
        <w:t>инвестиционн</w:t>
      </w:r>
      <w:r w:rsidR="00C2335E">
        <w:t>ым</w:t>
      </w:r>
      <w:r w:rsidR="00C2335E" w:rsidRPr="00382B32">
        <w:t xml:space="preserve"> проект</w:t>
      </w:r>
      <w:r w:rsidR="00C2335E">
        <w:t xml:space="preserve">ам, в </w:t>
      </w:r>
      <w:proofErr w:type="gramStart"/>
      <w:r w:rsidR="00C2335E">
        <w:t>связи</w:t>
      </w:r>
      <w:proofErr w:type="gramEnd"/>
      <w:r w:rsidR="00C2335E">
        <w:t xml:space="preserve"> с чем невозможно оценить обоснованность прогнозируемых потерь от предоставления льгот.</w:t>
      </w:r>
    </w:p>
    <w:p w:rsidR="000474E0" w:rsidRDefault="000474E0" w:rsidP="00C93A11">
      <w:pPr>
        <w:ind w:firstLine="720"/>
        <w:jc w:val="both"/>
      </w:pPr>
    </w:p>
    <w:p w:rsidR="00292C2A" w:rsidRDefault="00292C2A" w:rsidP="00C93A11">
      <w:pPr>
        <w:ind w:firstLine="720"/>
        <w:jc w:val="both"/>
        <w:rPr>
          <w:b/>
          <w:i/>
        </w:rPr>
      </w:pPr>
      <w:r w:rsidRPr="00A27310">
        <w:rPr>
          <w:b/>
          <w:i/>
        </w:rPr>
        <w:t xml:space="preserve">-по общему объему расходов </w:t>
      </w:r>
      <w:r w:rsidR="00CB7BDC" w:rsidRPr="00A27310">
        <w:rPr>
          <w:b/>
          <w:i/>
        </w:rPr>
        <w:t xml:space="preserve">областного </w:t>
      </w:r>
      <w:r w:rsidRPr="00A27310">
        <w:rPr>
          <w:b/>
          <w:i/>
        </w:rPr>
        <w:t>бюджета</w:t>
      </w:r>
    </w:p>
    <w:p w:rsidR="00470020" w:rsidRDefault="002B2DA6" w:rsidP="00470020">
      <w:pPr>
        <w:autoSpaceDE w:val="0"/>
        <w:autoSpaceDN w:val="0"/>
        <w:adjustRightInd w:val="0"/>
        <w:ind w:firstLine="709"/>
        <w:jc w:val="both"/>
      </w:pPr>
      <w:r>
        <w:rPr>
          <w:b/>
        </w:rPr>
        <w:t>7</w:t>
      </w:r>
      <w:r w:rsidR="00E74858" w:rsidRPr="00E74858">
        <w:rPr>
          <w:b/>
        </w:rPr>
        <w:t>.</w:t>
      </w:r>
      <w:r w:rsidR="00E74858">
        <w:t xml:space="preserve"> </w:t>
      </w:r>
      <w:r w:rsidR="00F60E77">
        <w:t>В целях</w:t>
      </w:r>
      <w:r w:rsidR="00470020">
        <w:t xml:space="preserve"> экспертной оценки достаточности доходов областного бюджета для </w:t>
      </w:r>
      <w:r w:rsidR="00F508CA">
        <w:t xml:space="preserve">полного финансового </w:t>
      </w:r>
      <w:r w:rsidR="00470020">
        <w:t>обеспечения в очередном финансовом году и плановом периоде действующих расходных обязательств Волгоградской области КСП в ходе подготовки заключения на законопроект проводит анализ</w:t>
      </w:r>
      <w:r w:rsidR="00F60E77">
        <w:t xml:space="preserve"> реестра расходных обязательств, представляемого в составе документов одновременно с проектом бюджета. </w:t>
      </w:r>
      <w:r w:rsidR="00470020">
        <w:t xml:space="preserve"> </w:t>
      </w:r>
    </w:p>
    <w:p w:rsidR="00470020" w:rsidRDefault="00470020" w:rsidP="00470020">
      <w:pPr>
        <w:autoSpaceDE w:val="0"/>
        <w:autoSpaceDN w:val="0"/>
        <w:adjustRightInd w:val="0"/>
        <w:ind w:firstLine="709"/>
        <w:jc w:val="both"/>
      </w:pPr>
      <w:proofErr w:type="gramStart"/>
      <w:r>
        <w:t>С</w:t>
      </w:r>
      <w:r w:rsidRPr="00971724">
        <w:t xml:space="preserve"> </w:t>
      </w:r>
      <w:r w:rsidR="00F60E77">
        <w:t xml:space="preserve">настоящим </w:t>
      </w:r>
      <w:r w:rsidRPr="00971724">
        <w:t>законопроектом представлен «плановый» реестр расходных обязательств, в котором объ</w:t>
      </w:r>
      <w:r>
        <w:t>е</w:t>
      </w:r>
      <w:r w:rsidRPr="00971724">
        <w:t xml:space="preserve">мы на исполнение расходных обязательств </w:t>
      </w:r>
      <w:r w:rsidR="00F60E77">
        <w:t xml:space="preserve">Волгоградской области </w:t>
      </w:r>
      <w:r w:rsidRPr="00971724">
        <w:t xml:space="preserve">соответствуют </w:t>
      </w:r>
      <w:r w:rsidR="00F508CA">
        <w:t xml:space="preserve">ассигнованиям, предусмотренным в </w:t>
      </w:r>
      <w:r w:rsidRPr="00971724">
        <w:t>проект</w:t>
      </w:r>
      <w:r w:rsidR="00F508CA">
        <w:t>е</w:t>
      </w:r>
      <w:r w:rsidRPr="00971724">
        <w:t xml:space="preserve"> бюджета и </w:t>
      </w:r>
      <w:r w:rsidR="00F508CA">
        <w:t xml:space="preserve">при этом </w:t>
      </w:r>
      <w:r w:rsidRPr="00971724">
        <w:t xml:space="preserve">не </w:t>
      </w:r>
      <w:r>
        <w:t>отражают</w:t>
      </w:r>
      <w:r w:rsidRPr="00971724">
        <w:t xml:space="preserve"> объем</w:t>
      </w:r>
      <w:r>
        <w:t>ы</w:t>
      </w:r>
      <w:r w:rsidRPr="00971724">
        <w:t xml:space="preserve"> бюджетных ассигнований, необходимы</w:t>
      </w:r>
      <w:r>
        <w:t>е</w:t>
      </w:r>
      <w:r w:rsidRPr="00971724">
        <w:t xml:space="preserve"> для исполнения </w:t>
      </w:r>
      <w:r>
        <w:t xml:space="preserve">действующих </w:t>
      </w:r>
      <w:r w:rsidRPr="00971724">
        <w:t>расходных обязательств</w:t>
      </w:r>
      <w:r>
        <w:t>, что делает невозможной достоверную оценку их финансовой обеспеченности и, по сути, нивелирует смысловую нагрузку наличия в составе документов, представляемых с</w:t>
      </w:r>
      <w:r w:rsidR="009A1C99">
        <w:t xml:space="preserve"> </w:t>
      </w:r>
      <w:r>
        <w:t>проектом бюджета, самого</w:t>
      </w:r>
      <w:proofErr w:type="gramEnd"/>
      <w:r>
        <w:t xml:space="preserve"> </w:t>
      </w:r>
      <w:r w:rsidR="00073E28">
        <w:t>р</w:t>
      </w:r>
      <w:r>
        <w:t>еестра.</w:t>
      </w:r>
    </w:p>
    <w:p w:rsidR="0003023B" w:rsidRDefault="0003023B" w:rsidP="00C93A11">
      <w:pPr>
        <w:ind w:firstLine="720"/>
        <w:jc w:val="both"/>
        <w:rPr>
          <w:b/>
          <w:i/>
        </w:rPr>
      </w:pPr>
    </w:p>
    <w:p w:rsidR="00A4618E" w:rsidRDefault="00650706" w:rsidP="00C93A11">
      <w:pPr>
        <w:ind w:firstLine="720"/>
        <w:jc w:val="both"/>
        <w:rPr>
          <w:b/>
          <w:i/>
        </w:rPr>
      </w:pPr>
      <w:r w:rsidRPr="00A27310">
        <w:rPr>
          <w:b/>
          <w:i/>
        </w:rPr>
        <w:t>-по дефициту областного бюджета</w:t>
      </w:r>
      <w:r w:rsidR="008E04A6">
        <w:rPr>
          <w:b/>
          <w:i/>
        </w:rPr>
        <w:t xml:space="preserve">, программе государственных внутренних заимствований </w:t>
      </w:r>
      <w:r w:rsidRPr="00A27310">
        <w:rPr>
          <w:b/>
          <w:i/>
        </w:rPr>
        <w:t xml:space="preserve"> и верхнему пределу государственного долга Волгоградской области</w:t>
      </w:r>
    </w:p>
    <w:p w:rsidR="00AE2677" w:rsidRPr="00E73B2A" w:rsidRDefault="002B2DA6" w:rsidP="00AE2677">
      <w:pPr>
        <w:ind w:firstLine="680"/>
        <w:jc w:val="both"/>
        <w:rPr>
          <w:color w:val="0070C0"/>
        </w:rPr>
      </w:pPr>
      <w:r>
        <w:rPr>
          <w:b/>
        </w:rPr>
        <w:t>8</w:t>
      </w:r>
      <w:r w:rsidR="00AE2677" w:rsidRPr="00073E28">
        <w:rPr>
          <w:b/>
        </w:rPr>
        <w:t>.</w:t>
      </w:r>
      <w:r w:rsidR="00AE2677">
        <w:t xml:space="preserve"> </w:t>
      </w:r>
      <w:r w:rsidR="00AE2677" w:rsidRPr="00E73B2A">
        <w:t xml:space="preserve">Проект областного бюджета сформирован </w:t>
      </w:r>
      <w:proofErr w:type="gramStart"/>
      <w:r w:rsidR="00AE2677" w:rsidRPr="00E73B2A">
        <w:t>бездефицитным</w:t>
      </w:r>
      <w:proofErr w:type="gramEnd"/>
      <w:r w:rsidR="00AE2677" w:rsidRPr="00E73B2A">
        <w:t xml:space="preserve"> на 2019 год и с </w:t>
      </w:r>
      <w:proofErr w:type="spellStart"/>
      <w:r w:rsidR="00AE2677" w:rsidRPr="00E73B2A">
        <w:t>профицитом</w:t>
      </w:r>
      <w:proofErr w:type="spellEnd"/>
      <w:r w:rsidR="00AE2677" w:rsidRPr="00E73B2A">
        <w:t xml:space="preserve"> </w:t>
      </w:r>
      <w:r w:rsidR="00246CF1">
        <w:t xml:space="preserve">в размере 200 млн. руб. </w:t>
      </w:r>
      <w:r w:rsidR="00AE2677" w:rsidRPr="00E73B2A">
        <w:t>на 2020</w:t>
      </w:r>
      <w:r w:rsidR="00246CF1">
        <w:t xml:space="preserve"> и </w:t>
      </w:r>
      <w:r w:rsidR="00AE2677" w:rsidRPr="00E73B2A">
        <w:t>2021 годы.</w:t>
      </w:r>
      <w:r w:rsidR="00AE2677" w:rsidRPr="00E73B2A">
        <w:rPr>
          <w:color w:val="0070C0"/>
        </w:rPr>
        <w:t xml:space="preserve"> </w:t>
      </w:r>
    </w:p>
    <w:p w:rsidR="00AE2677" w:rsidRDefault="00AE2677" w:rsidP="00AE2677">
      <w:pPr>
        <w:ind w:firstLine="680"/>
        <w:jc w:val="both"/>
      </w:pPr>
      <w:r w:rsidRPr="00E73B2A">
        <w:t xml:space="preserve">Анализ основных параметров бюджета и источников финансирования его дефицита показал, что расходы областного бюджета предполагается осуществлять за счет доходов, не привлекая на эти цели заимствования. </w:t>
      </w:r>
    </w:p>
    <w:p w:rsidR="00AE2677" w:rsidRPr="00E73B2A" w:rsidRDefault="00AE2677" w:rsidP="00AE2677">
      <w:pPr>
        <w:ind w:firstLine="680"/>
        <w:jc w:val="both"/>
      </w:pPr>
      <w:r w:rsidRPr="00E73B2A">
        <w:lastRenderedPageBreak/>
        <w:t xml:space="preserve">Государственный долг Волгоградской области по отношению к налоговым и неналоговым доходам сократится с 79,8% </w:t>
      </w:r>
      <w:r>
        <w:t xml:space="preserve">на 01.01.2019 </w:t>
      </w:r>
      <w:r w:rsidRPr="00E73B2A">
        <w:t xml:space="preserve">до 73,6% </w:t>
      </w:r>
      <w:r>
        <w:t xml:space="preserve">на 01.01.2020 </w:t>
      </w:r>
      <w:r w:rsidRPr="00E73B2A">
        <w:t>за счет роста налоговых и неналоговых доходов и снижения суммы госдолга. В дальнейшем запланировано поэтапное сокращение этого показателя и к 01.01.2022 отношение государственного долга к налоговым и неналоговым доходам составит 61,6 процента.</w:t>
      </w:r>
    </w:p>
    <w:p w:rsidR="0003023B" w:rsidRPr="00AE2677" w:rsidRDefault="0003023B" w:rsidP="001507E9">
      <w:pPr>
        <w:ind w:firstLine="720"/>
        <w:jc w:val="both"/>
      </w:pPr>
    </w:p>
    <w:p w:rsidR="001507E9" w:rsidRDefault="00650706" w:rsidP="001507E9">
      <w:pPr>
        <w:ind w:firstLine="720"/>
        <w:jc w:val="both"/>
        <w:rPr>
          <w:b/>
          <w:i/>
        </w:rPr>
      </w:pPr>
      <w:r w:rsidRPr="00A27310">
        <w:rPr>
          <w:b/>
          <w:i/>
        </w:rPr>
        <w:t>-по общему объему межбюджетных трансфертов</w:t>
      </w:r>
    </w:p>
    <w:p w:rsidR="000021E1" w:rsidRDefault="002B2DA6" w:rsidP="000021E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</w:t>
      </w:r>
      <w:r w:rsidR="000021E1">
        <w:rPr>
          <w:b/>
        </w:rPr>
        <w:t xml:space="preserve">. </w:t>
      </w:r>
      <w:proofErr w:type="gramStart"/>
      <w:r w:rsidR="000021E1">
        <w:rPr>
          <w:bCs/>
        </w:rPr>
        <w:t xml:space="preserve">В связи с </w:t>
      </w:r>
      <w:r w:rsidR="000021E1" w:rsidRPr="007B5AA5">
        <w:rPr>
          <w:bCs/>
        </w:rPr>
        <w:t>установлени</w:t>
      </w:r>
      <w:r w:rsidR="000021E1">
        <w:rPr>
          <w:bCs/>
        </w:rPr>
        <w:t>ем</w:t>
      </w:r>
      <w:r w:rsidR="000021E1" w:rsidRPr="007B5AA5">
        <w:rPr>
          <w:bCs/>
        </w:rPr>
        <w:t xml:space="preserve"> </w:t>
      </w:r>
      <w:r w:rsidR="000021E1">
        <w:rPr>
          <w:bCs/>
        </w:rPr>
        <w:t>з</w:t>
      </w:r>
      <w:r w:rsidR="000021E1" w:rsidRPr="007B5AA5">
        <w:t>аконопроектом понижающего поправочного коэффициента, используемого для расчета дотаций, компенсирующих разницу между дотациями планируемого и текущего финансового года</w:t>
      </w:r>
      <w:r w:rsidR="000021E1">
        <w:t>, д</w:t>
      </w:r>
      <w:r w:rsidR="000021E1">
        <w:rPr>
          <w:bCs/>
        </w:rPr>
        <w:t xml:space="preserve">отации </w:t>
      </w:r>
      <w:r w:rsidR="000021E1" w:rsidRPr="007B5AA5">
        <w:rPr>
          <w:bCs/>
        </w:rPr>
        <w:t>на выравнивание бюджетной обеспеченности муниципальным районам в 2019 году по сравнению с 2018 годом уменьш</w:t>
      </w:r>
      <w:r w:rsidR="000021E1">
        <w:rPr>
          <w:bCs/>
        </w:rPr>
        <w:t>ены</w:t>
      </w:r>
      <w:r w:rsidR="000021E1" w:rsidRPr="007B5AA5">
        <w:rPr>
          <w:bCs/>
        </w:rPr>
        <w:t xml:space="preserve"> на 168,6 млн.</w:t>
      </w:r>
      <w:r w:rsidR="000021E1">
        <w:rPr>
          <w:bCs/>
        </w:rPr>
        <w:t xml:space="preserve"> </w:t>
      </w:r>
      <w:r w:rsidR="000021E1" w:rsidRPr="007B5AA5">
        <w:rPr>
          <w:bCs/>
        </w:rPr>
        <w:t>руб.</w:t>
      </w:r>
      <w:r w:rsidR="000021E1">
        <w:rPr>
          <w:bCs/>
        </w:rPr>
        <w:t>, или на</w:t>
      </w:r>
      <w:r w:rsidR="000021E1" w:rsidRPr="007B5AA5">
        <w:rPr>
          <w:bCs/>
        </w:rPr>
        <w:t xml:space="preserve"> 4,8%, по городским округам </w:t>
      </w:r>
      <w:r w:rsidR="000021E1">
        <w:rPr>
          <w:bCs/>
        </w:rPr>
        <w:t xml:space="preserve">- </w:t>
      </w:r>
      <w:r w:rsidR="000021E1" w:rsidRPr="007B5AA5">
        <w:rPr>
          <w:bCs/>
        </w:rPr>
        <w:t>на 386,6 млн. руб. (-23,9%)</w:t>
      </w:r>
      <w:r w:rsidR="000021E1" w:rsidRPr="007B5AA5">
        <w:t>, чем не соблюден</w:t>
      </w:r>
      <w:r w:rsidR="00113B19">
        <w:t>ы</w:t>
      </w:r>
      <w:r w:rsidR="000021E1" w:rsidRPr="007B5AA5">
        <w:t xml:space="preserve"> п</w:t>
      </w:r>
      <w:r w:rsidR="000021E1">
        <w:t>ункт</w:t>
      </w:r>
      <w:r w:rsidR="000021E1" w:rsidRPr="007B5AA5">
        <w:t xml:space="preserve"> </w:t>
      </w:r>
      <w:r w:rsidR="000021E1" w:rsidRPr="00113B19">
        <w:rPr>
          <w:color w:val="000000" w:themeColor="text1"/>
        </w:rPr>
        <w:t>6 статьи 137</w:t>
      </w:r>
      <w:r w:rsidR="00113B19">
        <w:rPr>
          <w:color w:val="000000" w:themeColor="text1"/>
        </w:rPr>
        <w:t>, пункт</w:t>
      </w:r>
      <w:proofErr w:type="gramEnd"/>
      <w:r w:rsidR="00113B19">
        <w:rPr>
          <w:color w:val="000000" w:themeColor="text1"/>
        </w:rPr>
        <w:t xml:space="preserve"> </w:t>
      </w:r>
      <w:proofErr w:type="gramStart"/>
      <w:r w:rsidR="00113B19">
        <w:rPr>
          <w:color w:val="000000" w:themeColor="text1"/>
        </w:rPr>
        <w:t>6</w:t>
      </w:r>
      <w:r w:rsidR="000021E1" w:rsidRPr="00113B19">
        <w:rPr>
          <w:color w:val="000000" w:themeColor="text1"/>
        </w:rPr>
        <w:t xml:space="preserve"> 138 БК РФ</w:t>
      </w:r>
      <w:r w:rsidR="000021E1">
        <w:t>,</w:t>
      </w:r>
      <w:r w:rsidR="000021E1" w:rsidRPr="007B5AA5">
        <w:t xml:space="preserve"> согласно которому размер дотации  на выравнивание бюджетной обеспеченности муниципальных районов (городских округов) бюджету каждого муниципального района (городского округа) и размер дотации на выравнивание бюджетной обеспеченности поселений (внутригородских районов) бюджету каждого городского, сельского поселения,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обеспеченности, утвержденного соответственно</w:t>
      </w:r>
      <w:proofErr w:type="gramEnd"/>
      <w:r w:rsidR="000021E1" w:rsidRPr="007B5AA5">
        <w:t xml:space="preserve"> на первый год планового периода и второй год планового периода в бюджете субъекта РФ на текущий финансовый год и плановый период</w:t>
      </w:r>
      <w:r w:rsidR="000021E1">
        <w:t>.</w:t>
      </w:r>
    </w:p>
    <w:p w:rsidR="000021E1" w:rsidRDefault="000021E1" w:rsidP="007622D2">
      <w:pPr>
        <w:ind w:firstLine="709"/>
        <w:jc w:val="both"/>
        <w:rPr>
          <w:b/>
        </w:rPr>
      </w:pPr>
    </w:p>
    <w:p w:rsidR="007622D2" w:rsidRDefault="002B2DA6" w:rsidP="007622D2">
      <w:pPr>
        <w:ind w:firstLine="709"/>
        <w:jc w:val="both"/>
      </w:pPr>
      <w:r>
        <w:rPr>
          <w:b/>
        </w:rPr>
        <w:t>10</w:t>
      </w:r>
      <w:r w:rsidR="007622D2" w:rsidRPr="007622D2">
        <w:rPr>
          <w:b/>
        </w:rPr>
        <w:t>.</w:t>
      </w:r>
      <w:r w:rsidR="007622D2">
        <w:t xml:space="preserve"> Законопроектом предусмотрено предоставление с 2019 года бюджетам городских округов и муниципальных районов субсидий на реализацию мероприятий в сфере дорожной деятельности в 2019 году в сумме 1243,6 млн. руб., в 2020 году - 1900 млн. руб., в 2021 году - 1300 млн. рублей. Субсидии предоставляются за счет ассигнований дорожного фонда Волгоградской области.</w:t>
      </w:r>
    </w:p>
    <w:p w:rsidR="007622D2" w:rsidRDefault="007622D2" w:rsidP="007622D2">
      <w:pPr>
        <w:ind w:firstLine="709"/>
        <w:jc w:val="both"/>
      </w:pPr>
      <w:proofErr w:type="gramStart"/>
      <w:r>
        <w:t>В нарушение пункта 8 Порядка формирования и использования бюджетных ассигнований дорожного фонда Волгоградской области, утвержденного постановлением Администрации Волгоградской области от 26.12.2011 №887-п, согласно которому распределение бюджетных ассигнований дорожного фонда на очередной финансовый год осуществляют комитет транспорта и дорожного хозяйства Волгоградской области и комитет информационных технологий Волгоградской области, главным распорядителем бюджетных средств, направляемых на выплату субсидий, определен комитет финансов Волгоградской области</w:t>
      </w:r>
      <w:proofErr w:type="gramEnd"/>
      <w:r>
        <w:t>, т. е. орган исполнительной власти, не наделенный какими-либо полномочиями в сфере дорожной деятельности.</w:t>
      </w:r>
    </w:p>
    <w:p w:rsidR="007622D2" w:rsidRDefault="00EB2545" w:rsidP="007622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И</w:t>
      </w:r>
      <w:r w:rsidR="007622D2">
        <w:t>спользовани</w:t>
      </w:r>
      <w:r>
        <w:t>е</w:t>
      </w:r>
      <w:r w:rsidR="007622D2">
        <w:t xml:space="preserve"> значительной части ассигнований дорожного фонда Волгоградской области (в 2019 году – 11,9%) </w:t>
      </w:r>
      <w:r>
        <w:t xml:space="preserve">вне программных мероприятий и в отсутствие контроля со стороны уполномоченного органа исполнительной власти в сфере дорожного хозяйства </w:t>
      </w:r>
      <w:r w:rsidR="007622D2">
        <w:t xml:space="preserve">может привести к распылению </w:t>
      </w:r>
      <w:r>
        <w:t>средств</w:t>
      </w:r>
      <w:r w:rsidR="007622D2">
        <w:t xml:space="preserve"> </w:t>
      </w:r>
      <w:r>
        <w:t xml:space="preserve">областного </w:t>
      </w:r>
      <w:r w:rsidR="007622D2">
        <w:t xml:space="preserve">дорожного фонда и </w:t>
      </w:r>
      <w:r w:rsidR="007D316C">
        <w:t>не позволит</w:t>
      </w:r>
      <w:r w:rsidR="007622D2">
        <w:t xml:space="preserve"> </w:t>
      </w:r>
      <w:r w:rsidR="007622D2">
        <w:rPr>
          <w:rFonts w:eastAsiaTheme="minorHAnsi"/>
          <w:lang w:eastAsia="en-US"/>
        </w:rPr>
        <w:t>дости</w:t>
      </w:r>
      <w:r w:rsidR="007D316C">
        <w:rPr>
          <w:rFonts w:eastAsiaTheme="minorHAnsi"/>
          <w:lang w:eastAsia="en-US"/>
        </w:rPr>
        <w:t>чь</w:t>
      </w:r>
      <w:r w:rsidR="007622D2">
        <w:rPr>
          <w:rFonts w:eastAsiaTheme="minorHAnsi"/>
          <w:lang w:eastAsia="en-US"/>
        </w:rPr>
        <w:t xml:space="preserve"> </w:t>
      </w:r>
      <w:r w:rsidR="00081C92">
        <w:rPr>
          <w:rFonts w:eastAsiaTheme="minorHAnsi"/>
          <w:lang w:eastAsia="en-US"/>
        </w:rPr>
        <w:t xml:space="preserve">в полной мере </w:t>
      </w:r>
      <w:r w:rsidR="007622D2">
        <w:rPr>
          <w:rFonts w:eastAsiaTheme="minorHAnsi"/>
          <w:lang w:eastAsia="en-US"/>
        </w:rPr>
        <w:t>цел</w:t>
      </w:r>
      <w:r w:rsidR="007D316C">
        <w:rPr>
          <w:rFonts w:eastAsiaTheme="minorHAnsi"/>
          <w:lang w:eastAsia="en-US"/>
        </w:rPr>
        <w:t>и</w:t>
      </w:r>
      <w:r w:rsidR="007622D2">
        <w:rPr>
          <w:rFonts w:eastAsiaTheme="minorHAnsi"/>
          <w:lang w:eastAsia="en-US"/>
        </w:rPr>
        <w:t xml:space="preserve"> в сфере дорожной деятельности, определенны</w:t>
      </w:r>
      <w:r w:rsidR="007D316C">
        <w:rPr>
          <w:rFonts w:eastAsiaTheme="minorHAnsi"/>
          <w:lang w:eastAsia="en-US"/>
        </w:rPr>
        <w:t>е</w:t>
      </w:r>
      <w:r w:rsidR="007622D2">
        <w:rPr>
          <w:rFonts w:eastAsiaTheme="minorHAnsi"/>
          <w:lang w:eastAsia="en-US"/>
        </w:rPr>
        <w:t xml:space="preserve"> Указом Президента РФ от 07.05.2018 №204 «О национальных целях и</w:t>
      </w:r>
      <w:proofErr w:type="gramEnd"/>
      <w:r w:rsidR="007622D2">
        <w:rPr>
          <w:rFonts w:eastAsiaTheme="minorHAnsi"/>
          <w:lang w:eastAsia="en-US"/>
        </w:rPr>
        <w:t xml:space="preserve"> стратегических </w:t>
      </w:r>
      <w:proofErr w:type="gramStart"/>
      <w:r w:rsidR="007622D2">
        <w:rPr>
          <w:rFonts w:eastAsiaTheme="minorHAnsi"/>
          <w:lang w:eastAsia="en-US"/>
        </w:rPr>
        <w:t>задачах</w:t>
      </w:r>
      <w:proofErr w:type="gramEnd"/>
      <w:r w:rsidR="007622D2">
        <w:rPr>
          <w:rFonts w:eastAsiaTheme="minorHAnsi"/>
          <w:lang w:eastAsia="en-US"/>
        </w:rPr>
        <w:t xml:space="preserve"> развития Российской Федерации на период до 2024 года».</w:t>
      </w:r>
    </w:p>
    <w:p w:rsidR="007622D2" w:rsidRDefault="007622D2" w:rsidP="007622D2"/>
    <w:p w:rsidR="009E4488" w:rsidRPr="009E4488" w:rsidRDefault="002B2DA6" w:rsidP="009E4488">
      <w:pPr>
        <w:ind w:firstLine="709"/>
        <w:jc w:val="both"/>
      </w:pPr>
      <w:r>
        <w:rPr>
          <w:b/>
        </w:rPr>
        <w:t>11</w:t>
      </w:r>
      <w:r w:rsidR="009E4488" w:rsidRPr="009E4488">
        <w:rPr>
          <w:b/>
        </w:rPr>
        <w:t>.</w:t>
      </w:r>
      <w:r w:rsidR="009E4488">
        <w:t xml:space="preserve"> </w:t>
      </w:r>
      <w:r w:rsidR="009E4488" w:rsidRPr="009E4488">
        <w:t xml:space="preserve">Предусмотренный законопроектом общий объем </w:t>
      </w:r>
      <w:r w:rsidR="00A1478A">
        <w:t>субвенций</w:t>
      </w:r>
      <w:r w:rsidR="009E4488">
        <w:t>, передаваемых из областного бюджета муниципальным образованиям</w:t>
      </w:r>
      <w:r w:rsidR="009E4488" w:rsidRPr="009E4488">
        <w:t xml:space="preserve"> для обеспечения государственных полномочий Волгоградской области в отраслях социальной сферы</w:t>
      </w:r>
      <w:r w:rsidR="009E4488">
        <w:t>,</w:t>
      </w:r>
      <w:r w:rsidR="009E4488" w:rsidRPr="009E4488">
        <w:t xml:space="preserve"> составляет 18</w:t>
      </w:r>
      <w:r w:rsidR="00A1478A">
        <w:t>462,1</w:t>
      </w:r>
      <w:r w:rsidR="009E4488" w:rsidRPr="009E4488">
        <w:t xml:space="preserve"> млн. руб., что на 605 млн. руб., или на 3,2% меньше расчетного размера субвенций.</w:t>
      </w:r>
    </w:p>
    <w:p w:rsidR="009E4488" w:rsidRDefault="00491771" w:rsidP="00491771">
      <w:pPr>
        <w:jc w:val="both"/>
      </w:pPr>
      <w:r>
        <w:tab/>
      </w:r>
      <w:r w:rsidRPr="00D25022">
        <w:t xml:space="preserve">Основная необеспеченность сложилась по субвенции на осуществление образовательного процесса по реализации образовательных программ муниципальными образовательными организациями </w:t>
      </w:r>
      <w:r>
        <w:t xml:space="preserve">- </w:t>
      </w:r>
      <w:r w:rsidRPr="00D25022">
        <w:t>на 354,7 млн. руб., или на 2,2% от потребности.</w:t>
      </w:r>
    </w:p>
    <w:p w:rsidR="00491771" w:rsidRDefault="00491771" w:rsidP="00DB14DF">
      <w:pPr>
        <w:ind w:firstLine="720"/>
        <w:jc w:val="both"/>
      </w:pPr>
    </w:p>
    <w:p w:rsidR="00330C07" w:rsidRDefault="00DB14DF" w:rsidP="00DB14DF">
      <w:pPr>
        <w:ind w:firstLine="720"/>
        <w:jc w:val="both"/>
      </w:pPr>
      <w:r>
        <w:lastRenderedPageBreak/>
        <w:t xml:space="preserve">На основании </w:t>
      </w:r>
      <w:proofErr w:type="gramStart"/>
      <w:r>
        <w:t>изложенного</w:t>
      </w:r>
      <w:proofErr w:type="gramEnd"/>
      <w:r>
        <w:t xml:space="preserve"> </w:t>
      </w:r>
      <w:r w:rsidRPr="00DB14DF">
        <w:rPr>
          <w:b/>
          <w:i/>
        </w:rPr>
        <w:t xml:space="preserve">контрольно-счетная палата Волгоградской области </w:t>
      </w:r>
      <w:r>
        <w:rPr>
          <w:b/>
          <w:i/>
        </w:rPr>
        <w:t>предлагает</w:t>
      </w:r>
      <w:r w:rsidRPr="00DB14DF">
        <w:rPr>
          <w:b/>
          <w:i/>
        </w:rPr>
        <w:t xml:space="preserve"> Волгоградской областной Думе принять законопроект в 1 чтении</w:t>
      </w:r>
      <w:r w:rsidR="00330C07">
        <w:rPr>
          <w:b/>
          <w:i/>
        </w:rPr>
        <w:t xml:space="preserve">, </w:t>
      </w:r>
      <w:r w:rsidR="00330C07" w:rsidRPr="005507B6">
        <w:t>рекомендовав Администрации Волгоградской области:</w:t>
      </w:r>
    </w:p>
    <w:p w:rsidR="00416983" w:rsidRDefault="00416983" w:rsidP="00DB14DF">
      <w:pPr>
        <w:ind w:firstLine="720"/>
        <w:jc w:val="both"/>
      </w:pPr>
    </w:p>
    <w:p w:rsidR="00EB54DD" w:rsidRDefault="00EB54DD" w:rsidP="00EB54DD">
      <w:pPr>
        <w:ind w:firstLine="709"/>
        <w:jc w:val="both"/>
        <w:rPr>
          <w:b/>
          <w:i/>
          <w:color w:val="0070C0"/>
        </w:rPr>
      </w:pPr>
      <w:r>
        <w:t xml:space="preserve">-активизировать </w:t>
      </w:r>
      <w:r w:rsidRPr="00EB54DD">
        <w:t>работ</w:t>
      </w:r>
      <w:r>
        <w:t>у</w:t>
      </w:r>
      <w:r w:rsidRPr="00EB54DD">
        <w:t xml:space="preserve"> по разработке паспортов проектов, реализуемых в рамках соответствующих национальных проектов</w:t>
      </w:r>
      <w:r w:rsidR="006B3F27">
        <w:t>, в соответствии с рекомендуемым планом подготовки</w:t>
      </w:r>
      <w:r w:rsidRPr="00EB54DD">
        <w:t xml:space="preserve">, </w:t>
      </w:r>
      <w:r w:rsidR="006B3F27">
        <w:t xml:space="preserve">доведенным до субъектов РФ письмом от 02.07.2018 №4919п-П6, </w:t>
      </w:r>
      <w:r w:rsidRPr="00EB54DD">
        <w:t>а также по интеграции национальных проектов и приоритетных проектов (программ) в гос</w:t>
      </w:r>
      <w:r w:rsidR="006B3F27">
        <w:t xml:space="preserve">ударственные </w:t>
      </w:r>
      <w:r w:rsidRPr="00EB54DD">
        <w:t>программы Волгоградской области</w:t>
      </w:r>
      <w:r>
        <w:t>;</w:t>
      </w:r>
      <w:r w:rsidRPr="00EB54DD">
        <w:t xml:space="preserve"> </w:t>
      </w:r>
    </w:p>
    <w:p w:rsidR="008E252B" w:rsidRDefault="009475A0" w:rsidP="000076C4">
      <w:pPr>
        <w:jc w:val="both"/>
        <w:rPr>
          <w:color w:val="000000" w:themeColor="text1"/>
        </w:rPr>
      </w:pPr>
      <w:r>
        <w:rPr>
          <w:color w:val="0070C0"/>
        </w:rPr>
        <w:tab/>
      </w:r>
      <w:proofErr w:type="gramStart"/>
      <w:r w:rsidRPr="009475A0">
        <w:rPr>
          <w:color w:val="000000" w:themeColor="text1"/>
        </w:rPr>
        <w:t xml:space="preserve">-при внесении </w:t>
      </w:r>
      <w:r>
        <w:rPr>
          <w:color w:val="000000" w:themeColor="text1"/>
        </w:rPr>
        <w:t>поправок в закон об областном бюджета на 2019-2021 годы:</w:t>
      </w:r>
      <w:proofErr w:type="gramEnd"/>
    </w:p>
    <w:p w:rsidR="00F70946" w:rsidRDefault="009475A0" w:rsidP="00F70946">
      <w:pPr>
        <w:ind w:firstLine="680"/>
        <w:jc w:val="both"/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уточнить доходную часть областного бюджета в части увеличения прогнозных поступлений транспортного налога в 2019 году на 200 млн. руб.</w:t>
      </w:r>
      <w:r w:rsidR="00F70946">
        <w:rPr>
          <w:color w:val="000000" w:themeColor="text1"/>
        </w:rPr>
        <w:t xml:space="preserve">, </w:t>
      </w:r>
      <w:r w:rsidR="00F70946">
        <w:t xml:space="preserve">по </w:t>
      </w:r>
      <w:r w:rsidR="00F70946" w:rsidRPr="00340EDE">
        <w:t>штрафам, санкциям</w:t>
      </w:r>
      <w:r w:rsidR="00F70946">
        <w:t xml:space="preserve"> и</w:t>
      </w:r>
      <w:r w:rsidR="00F70946" w:rsidRPr="00340EDE">
        <w:t xml:space="preserve"> возмещению ущерба</w:t>
      </w:r>
      <w:r w:rsidR="00F70946">
        <w:t>, которые</w:t>
      </w:r>
      <w:r w:rsidR="00F70946" w:rsidRPr="00676E99">
        <w:t xml:space="preserve"> администраторам</w:t>
      </w:r>
      <w:r w:rsidR="00F70946">
        <w:t xml:space="preserve"> доходов</w:t>
      </w:r>
      <w:r w:rsidR="00F70946" w:rsidRPr="00676E99">
        <w:t xml:space="preserve"> </w:t>
      </w:r>
      <w:r w:rsidR="00F70946">
        <w:t xml:space="preserve">необходимо рассчитать </w:t>
      </w:r>
      <w:r w:rsidR="00F70946" w:rsidRPr="00676E99">
        <w:t>в соответствии с утвержденными</w:t>
      </w:r>
      <w:r w:rsidR="00F70946">
        <w:t xml:space="preserve"> ими</w:t>
      </w:r>
      <w:r w:rsidR="00F70946" w:rsidRPr="00676E99">
        <w:t xml:space="preserve"> </w:t>
      </w:r>
      <w:r w:rsidR="00F70946">
        <w:t xml:space="preserve">методиками, а также </w:t>
      </w:r>
      <w:r w:rsidR="00F70946" w:rsidRPr="00453858">
        <w:rPr>
          <w:rFonts w:eastAsia="Calibri"/>
        </w:rPr>
        <w:t>предусмотре</w:t>
      </w:r>
      <w:r w:rsidR="00F70946">
        <w:rPr>
          <w:rFonts w:eastAsia="Calibri"/>
        </w:rPr>
        <w:t>ть</w:t>
      </w:r>
      <w:r w:rsidR="00F70946" w:rsidRPr="00453858">
        <w:rPr>
          <w:rFonts w:eastAsia="Calibri"/>
        </w:rPr>
        <w:t xml:space="preserve"> прогнозные назначения по </w:t>
      </w:r>
      <w:r w:rsidR="00F70946" w:rsidRPr="00453858">
        <w:rPr>
          <w:rFonts w:eastAsia="Calibri"/>
          <w:bCs/>
        </w:rPr>
        <w:t>в</w:t>
      </w:r>
      <w:r w:rsidR="00F70946" w:rsidRPr="00453858">
        <w:rPr>
          <w:rFonts w:eastAsia="Calibri"/>
        </w:rPr>
        <w:t>озврат</w:t>
      </w:r>
      <w:r w:rsidR="00F70946">
        <w:rPr>
          <w:rFonts w:eastAsia="Calibri"/>
        </w:rPr>
        <w:t>у</w:t>
      </w:r>
      <w:r w:rsidR="00F70946" w:rsidRPr="00453858">
        <w:rPr>
          <w:rFonts w:eastAsia="Calibri"/>
        </w:rPr>
        <w:t xml:space="preserve"> </w:t>
      </w:r>
      <w:r w:rsidR="00F70946">
        <w:rPr>
          <w:rFonts w:eastAsia="Calibri"/>
        </w:rPr>
        <w:t xml:space="preserve">в федеральный бюджет </w:t>
      </w:r>
      <w:r w:rsidR="00F70946" w:rsidRPr="00453858">
        <w:rPr>
          <w:rFonts w:eastAsia="Calibri"/>
        </w:rPr>
        <w:t>остатков</w:t>
      </w:r>
      <w:r w:rsidR="00F70946">
        <w:rPr>
          <w:rFonts w:eastAsia="Calibri"/>
        </w:rPr>
        <w:t xml:space="preserve"> неиспользованных</w:t>
      </w:r>
      <w:r w:rsidR="00F70946" w:rsidRPr="00453858">
        <w:rPr>
          <w:rFonts w:eastAsia="Calibri"/>
        </w:rPr>
        <w:t xml:space="preserve"> </w:t>
      </w:r>
      <w:r w:rsidR="00F70946">
        <w:rPr>
          <w:rFonts w:eastAsia="Calibri"/>
        </w:rPr>
        <w:t xml:space="preserve">в текущем году </w:t>
      </w:r>
      <w:r w:rsidR="00F70946" w:rsidRPr="00453858">
        <w:rPr>
          <w:rFonts w:eastAsia="Calibri"/>
        </w:rPr>
        <w:t>субсидий, субвенций и иных межбюджетных</w:t>
      </w:r>
      <w:r w:rsidR="00F70946">
        <w:rPr>
          <w:rFonts w:eastAsia="Calibri"/>
        </w:rPr>
        <w:t xml:space="preserve"> трансфертов;</w:t>
      </w:r>
      <w:proofErr w:type="gramEnd"/>
    </w:p>
    <w:p w:rsidR="009475A0" w:rsidRPr="009475A0" w:rsidRDefault="009475A0" w:rsidP="000076C4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предусмотреть недостающие ассигнования </w:t>
      </w:r>
      <w:r w:rsidRPr="009E4488">
        <w:t>межбюджетных трансфертов</w:t>
      </w:r>
      <w:r>
        <w:t>, передаваемых из областного бюджета муниципальным образованиям</w:t>
      </w:r>
      <w:r w:rsidRPr="009E4488">
        <w:t xml:space="preserve"> для обеспечения государственных полномочий Волгоградской области в отраслях социальной сферы</w:t>
      </w:r>
      <w:r>
        <w:t>,</w:t>
      </w:r>
      <w:r w:rsidRPr="009E4488">
        <w:t xml:space="preserve"> </w:t>
      </w:r>
      <w:r>
        <w:t xml:space="preserve">в размере </w:t>
      </w:r>
      <w:r w:rsidRPr="009E4488">
        <w:t>605,1 млн. руб</w:t>
      </w:r>
      <w:r>
        <w:t>.;</w:t>
      </w:r>
    </w:p>
    <w:p w:rsidR="000076C4" w:rsidRPr="00F70946" w:rsidRDefault="00F70946" w:rsidP="000076C4">
      <w:pPr>
        <w:jc w:val="both"/>
        <w:rPr>
          <w:color w:val="000000" w:themeColor="text1"/>
        </w:rPr>
      </w:pPr>
      <w:r w:rsidRPr="00F70946">
        <w:rPr>
          <w:color w:val="000000" w:themeColor="text1"/>
        </w:rPr>
        <w:tab/>
      </w:r>
      <w:proofErr w:type="gramStart"/>
      <w:r w:rsidRPr="00F70946">
        <w:rPr>
          <w:color w:val="000000" w:themeColor="text1"/>
        </w:rPr>
        <w:t>-в статье 34 законопроекта бюджетные ассигнования дорожного фонда на 2019 год предусмотреть в сумме, эквивалентной</w:t>
      </w:r>
      <w:r>
        <w:rPr>
          <w:color w:val="000000" w:themeColor="text1"/>
        </w:rPr>
        <w:t xml:space="preserve"> прогнозируемым доходам дорожного фонда, а также с учетом </w:t>
      </w:r>
      <w:r>
        <w:t xml:space="preserve">требований пункта 4 статьи 179.4 БК РФ об увеличении бюджетных ассигнований текущего и (или) планового года </w:t>
      </w:r>
      <w:r w:rsidRPr="006D7DD9">
        <w:t xml:space="preserve">на положительную разницу между фактически поступившим </w:t>
      </w:r>
      <w:r>
        <w:t xml:space="preserve">в текущем году </w:t>
      </w:r>
      <w:r w:rsidRPr="006D7DD9">
        <w:t>и прогнозировавшимся объемом доходов дорожного фонда</w:t>
      </w:r>
      <w:r>
        <w:t>;</w:t>
      </w:r>
      <w:proofErr w:type="gramEnd"/>
      <w:r>
        <w:t xml:space="preserve"> при этом статью 35 законопроекта изложить в другой редакции с целью исключения возможности ее двойного толкования.</w:t>
      </w:r>
    </w:p>
    <w:p w:rsidR="003C54E1" w:rsidRDefault="003C54E1" w:rsidP="000076C4">
      <w:pPr>
        <w:jc w:val="both"/>
        <w:rPr>
          <w:b/>
          <w:i/>
          <w:color w:val="0070C0"/>
        </w:rPr>
      </w:pPr>
    </w:p>
    <w:p w:rsidR="000076C4" w:rsidRDefault="000076C4" w:rsidP="000076C4">
      <w:pPr>
        <w:jc w:val="both"/>
        <w:rPr>
          <w:b/>
          <w:i/>
          <w:color w:val="0070C0"/>
        </w:rPr>
      </w:pPr>
    </w:p>
    <w:p w:rsidR="00F70946" w:rsidRDefault="00F70946" w:rsidP="000076C4">
      <w:pPr>
        <w:jc w:val="both"/>
        <w:rPr>
          <w:b/>
          <w:i/>
          <w:color w:val="0070C0"/>
        </w:rPr>
      </w:pPr>
    </w:p>
    <w:p w:rsidR="00F70946" w:rsidRDefault="00F70946" w:rsidP="000076C4">
      <w:pPr>
        <w:jc w:val="both"/>
        <w:rPr>
          <w:b/>
          <w:i/>
          <w:color w:val="0070C0"/>
        </w:rPr>
      </w:pPr>
    </w:p>
    <w:p w:rsidR="00F70946" w:rsidRDefault="00F70946" w:rsidP="000076C4">
      <w:pPr>
        <w:jc w:val="both"/>
        <w:rPr>
          <w:b/>
          <w:i/>
          <w:color w:val="0070C0"/>
        </w:rPr>
      </w:pPr>
    </w:p>
    <w:p w:rsidR="000076C4" w:rsidRPr="00A27310" w:rsidRDefault="000076C4" w:rsidP="000076C4">
      <w:pPr>
        <w:jc w:val="both"/>
        <w:rPr>
          <w:b/>
          <w:i/>
        </w:rPr>
      </w:pPr>
      <w:r w:rsidRPr="00A27310">
        <w:rPr>
          <w:b/>
          <w:i/>
        </w:rPr>
        <w:t>Председатель                                                                                                         И.А. Дьяченко</w:t>
      </w:r>
    </w:p>
    <w:p w:rsidR="000076C4" w:rsidRPr="005507B6" w:rsidRDefault="000076C4" w:rsidP="00DB14DF">
      <w:pPr>
        <w:ind w:firstLine="720"/>
        <w:jc w:val="both"/>
      </w:pPr>
    </w:p>
    <w:p w:rsidR="00CB55DB" w:rsidRDefault="00CB55DB" w:rsidP="00DB14DF">
      <w:pPr>
        <w:ind w:firstLine="720"/>
        <w:jc w:val="both"/>
      </w:pPr>
    </w:p>
    <w:p w:rsidR="00CB55DB" w:rsidRDefault="00CB55DB" w:rsidP="00DB14DF">
      <w:pPr>
        <w:ind w:firstLine="720"/>
        <w:jc w:val="both"/>
      </w:pPr>
    </w:p>
    <w:p w:rsidR="00CB55DB" w:rsidRPr="005507B6" w:rsidRDefault="00CB55DB" w:rsidP="00DB14DF">
      <w:pPr>
        <w:ind w:firstLine="720"/>
        <w:jc w:val="both"/>
      </w:pPr>
    </w:p>
    <w:p w:rsidR="00727ACB" w:rsidRDefault="00727ACB" w:rsidP="00242DCA">
      <w:pPr>
        <w:jc w:val="both"/>
        <w:rPr>
          <w:b/>
          <w:i/>
          <w:color w:val="0070C0"/>
        </w:rPr>
      </w:pPr>
    </w:p>
    <w:sectPr w:rsidR="00727ACB" w:rsidSect="00057F16">
      <w:headerReference w:type="even" r:id="rId17"/>
      <w:headerReference w:type="default" r:id="rId18"/>
      <w:footnotePr>
        <w:numFmt w:val="chicago"/>
      </w:footnotePr>
      <w:pgSz w:w="11906" w:h="16838"/>
      <w:pgMar w:top="1276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90" w:rsidRDefault="00482090">
      <w:r>
        <w:separator/>
      </w:r>
    </w:p>
  </w:endnote>
  <w:endnote w:type="continuationSeparator" w:id="0">
    <w:p w:rsidR="00482090" w:rsidRDefault="0048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90" w:rsidRDefault="00482090">
      <w:r>
        <w:separator/>
      </w:r>
    </w:p>
  </w:footnote>
  <w:footnote w:type="continuationSeparator" w:id="0">
    <w:p w:rsidR="00482090" w:rsidRDefault="00482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F7" w:rsidRDefault="001B5BB2" w:rsidP="00510C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4F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FF7" w:rsidRDefault="006E4F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F7" w:rsidRDefault="001B5BB2" w:rsidP="00510C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4F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0B94">
      <w:rPr>
        <w:rStyle w:val="a4"/>
        <w:noProof/>
      </w:rPr>
      <w:t>29</w:t>
    </w:r>
    <w:r>
      <w:rPr>
        <w:rStyle w:val="a4"/>
      </w:rPr>
      <w:fldChar w:fldCharType="end"/>
    </w:r>
  </w:p>
  <w:p w:rsidR="006E4FF7" w:rsidRDefault="006E4F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910"/>
    <w:multiLevelType w:val="hybridMultilevel"/>
    <w:tmpl w:val="031202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ED1E63"/>
    <w:multiLevelType w:val="hybridMultilevel"/>
    <w:tmpl w:val="42BA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831"/>
    <w:multiLevelType w:val="hybridMultilevel"/>
    <w:tmpl w:val="FE3A9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1ED214A3"/>
    <w:multiLevelType w:val="hybridMultilevel"/>
    <w:tmpl w:val="E33AAAC6"/>
    <w:lvl w:ilvl="0" w:tplc="0824A6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11267CE"/>
    <w:multiLevelType w:val="hybridMultilevel"/>
    <w:tmpl w:val="BF746FCA"/>
    <w:lvl w:ilvl="0" w:tplc="45DEEC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6747708"/>
    <w:multiLevelType w:val="hybridMultilevel"/>
    <w:tmpl w:val="7494F504"/>
    <w:lvl w:ilvl="0" w:tplc="6658A266">
      <w:start w:val="1"/>
      <w:numFmt w:val="decimal"/>
      <w:lvlText w:val="%1."/>
      <w:lvlJc w:val="left"/>
      <w:pPr>
        <w:tabs>
          <w:tab w:val="num" w:pos="3371"/>
        </w:tabs>
        <w:ind w:left="337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  <w:rPr>
        <w:rFonts w:cs="Times New Roman"/>
      </w:rPr>
    </w:lvl>
  </w:abstractNum>
  <w:abstractNum w:abstractNumId="6">
    <w:nsid w:val="274B30C0"/>
    <w:multiLevelType w:val="hybridMultilevel"/>
    <w:tmpl w:val="EC88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801991"/>
    <w:multiLevelType w:val="hybridMultilevel"/>
    <w:tmpl w:val="C58E693A"/>
    <w:lvl w:ilvl="0" w:tplc="7B2A8C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574D85"/>
    <w:multiLevelType w:val="hybridMultilevel"/>
    <w:tmpl w:val="CDA0E9B4"/>
    <w:lvl w:ilvl="0" w:tplc="6658A2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5163E28"/>
    <w:multiLevelType w:val="hybridMultilevel"/>
    <w:tmpl w:val="029C5F12"/>
    <w:lvl w:ilvl="0" w:tplc="F85EF0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F4E4F35"/>
    <w:multiLevelType w:val="hybridMultilevel"/>
    <w:tmpl w:val="EA5A04BA"/>
    <w:lvl w:ilvl="0" w:tplc="7D3038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474A2"/>
    <w:multiLevelType w:val="hybridMultilevel"/>
    <w:tmpl w:val="81B2065A"/>
    <w:lvl w:ilvl="0" w:tplc="9510FB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F9D60C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616BD"/>
    <w:multiLevelType w:val="hybridMultilevel"/>
    <w:tmpl w:val="82A6AA78"/>
    <w:lvl w:ilvl="0" w:tplc="625AA12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EE11EAE"/>
    <w:multiLevelType w:val="hybridMultilevel"/>
    <w:tmpl w:val="0388C560"/>
    <w:lvl w:ilvl="0" w:tplc="7108A6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62913251"/>
    <w:multiLevelType w:val="hybridMultilevel"/>
    <w:tmpl w:val="2D14AE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2BF1671"/>
    <w:multiLevelType w:val="hybridMultilevel"/>
    <w:tmpl w:val="DB1C77F6"/>
    <w:lvl w:ilvl="0" w:tplc="C66A6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0A1620"/>
    <w:multiLevelType w:val="hybridMultilevel"/>
    <w:tmpl w:val="AC4A20FE"/>
    <w:lvl w:ilvl="0" w:tplc="00D64EB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001ABD"/>
    <w:multiLevelType w:val="hybridMultilevel"/>
    <w:tmpl w:val="18864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C674C9"/>
    <w:multiLevelType w:val="hybridMultilevel"/>
    <w:tmpl w:val="1D4AF1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41E03D0"/>
    <w:multiLevelType w:val="hybridMultilevel"/>
    <w:tmpl w:val="1A1C00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5534E30"/>
    <w:multiLevelType w:val="hybridMultilevel"/>
    <w:tmpl w:val="2A6A6CA6"/>
    <w:lvl w:ilvl="0" w:tplc="A058C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1969CF"/>
    <w:multiLevelType w:val="hybridMultilevel"/>
    <w:tmpl w:val="CCBCD28E"/>
    <w:lvl w:ilvl="0" w:tplc="BE240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48505B"/>
    <w:multiLevelType w:val="hybridMultilevel"/>
    <w:tmpl w:val="611A81D4"/>
    <w:lvl w:ilvl="0" w:tplc="A2201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B832F4B"/>
    <w:multiLevelType w:val="hybridMultilevel"/>
    <w:tmpl w:val="25B03C6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E777B17"/>
    <w:multiLevelType w:val="hybridMultilevel"/>
    <w:tmpl w:val="D592F054"/>
    <w:lvl w:ilvl="0" w:tplc="A8EC1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20"/>
  </w:num>
  <w:num w:numId="5">
    <w:abstractNumId w:val="17"/>
  </w:num>
  <w:num w:numId="6">
    <w:abstractNumId w:val="11"/>
  </w:num>
  <w:num w:numId="7">
    <w:abstractNumId w:val="18"/>
  </w:num>
  <w:num w:numId="8">
    <w:abstractNumId w:val="19"/>
  </w:num>
  <w:num w:numId="9">
    <w:abstractNumId w:val="1"/>
  </w:num>
  <w:num w:numId="10">
    <w:abstractNumId w:val="22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  <w:num w:numId="15">
    <w:abstractNumId w:val="21"/>
  </w:num>
  <w:num w:numId="16">
    <w:abstractNumId w:val="10"/>
  </w:num>
  <w:num w:numId="17">
    <w:abstractNumId w:val="9"/>
  </w:num>
  <w:num w:numId="18">
    <w:abstractNumId w:val="15"/>
  </w:num>
  <w:num w:numId="19">
    <w:abstractNumId w:val="14"/>
  </w:num>
  <w:num w:numId="20">
    <w:abstractNumId w:val="12"/>
  </w:num>
  <w:num w:numId="21">
    <w:abstractNumId w:val="13"/>
  </w:num>
  <w:num w:numId="22">
    <w:abstractNumId w:val="2"/>
  </w:num>
  <w:num w:numId="23">
    <w:abstractNumId w:val="24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21DC2"/>
    <w:rsid w:val="000000CA"/>
    <w:rsid w:val="00000BE5"/>
    <w:rsid w:val="00001271"/>
    <w:rsid w:val="000020C9"/>
    <w:rsid w:val="00002117"/>
    <w:rsid w:val="000021E1"/>
    <w:rsid w:val="00002CB4"/>
    <w:rsid w:val="0000310C"/>
    <w:rsid w:val="000040CC"/>
    <w:rsid w:val="00004B2A"/>
    <w:rsid w:val="00005342"/>
    <w:rsid w:val="00005398"/>
    <w:rsid w:val="0000590E"/>
    <w:rsid w:val="00005EB9"/>
    <w:rsid w:val="000076C4"/>
    <w:rsid w:val="000077B1"/>
    <w:rsid w:val="00007FBA"/>
    <w:rsid w:val="00010466"/>
    <w:rsid w:val="00010BE2"/>
    <w:rsid w:val="000112A8"/>
    <w:rsid w:val="0001136A"/>
    <w:rsid w:val="000124DF"/>
    <w:rsid w:val="000139BD"/>
    <w:rsid w:val="000142F7"/>
    <w:rsid w:val="00014F8D"/>
    <w:rsid w:val="000158AD"/>
    <w:rsid w:val="00016D96"/>
    <w:rsid w:val="00016F0B"/>
    <w:rsid w:val="000174D6"/>
    <w:rsid w:val="00017758"/>
    <w:rsid w:val="00017EA5"/>
    <w:rsid w:val="00021147"/>
    <w:rsid w:val="0002271F"/>
    <w:rsid w:val="00022AFD"/>
    <w:rsid w:val="00022BBA"/>
    <w:rsid w:val="00023A20"/>
    <w:rsid w:val="00024A51"/>
    <w:rsid w:val="00024EC1"/>
    <w:rsid w:val="0002557B"/>
    <w:rsid w:val="00025E7E"/>
    <w:rsid w:val="000264B6"/>
    <w:rsid w:val="000265EB"/>
    <w:rsid w:val="00026D2E"/>
    <w:rsid w:val="00027D22"/>
    <w:rsid w:val="0003023B"/>
    <w:rsid w:val="00030B77"/>
    <w:rsid w:val="0003209E"/>
    <w:rsid w:val="00033A9A"/>
    <w:rsid w:val="000368A5"/>
    <w:rsid w:val="00036A0F"/>
    <w:rsid w:val="00036D42"/>
    <w:rsid w:val="00040C8B"/>
    <w:rsid w:val="00041DA7"/>
    <w:rsid w:val="0004270F"/>
    <w:rsid w:val="00042993"/>
    <w:rsid w:val="00042D29"/>
    <w:rsid w:val="00042F43"/>
    <w:rsid w:val="00043615"/>
    <w:rsid w:val="00044A11"/>
    <w:rsid w:val="00044B30"/>
    <w:rsid w:val="000450F3"/>
    <w:rsid w:val="00045125"/>
    <w:rsid w:val="00045FCB"/>
    <w:rsid w:val="000465BD"/>
    <w:rsid w:val="0004667B"/>
    <w:rsid w:val="000474E0"/>
    <w:rsid w:val="0004773D"/>
    <w:rsid w:val="00050215"/>
    <w:rsid w:val="00051381"/>
    <w:rsid w:val="000518AF"/>
    <w:rsid w:val="0005234D"/>
    <w:rsid w:val="000523E4"/>
    <w:rsid w:val="00052A16"/>
    <w:rsid w:val="00052D34"/>
    <w:rsid w:val="00053067"/>
    <w:rsid w:val="00053734"/>
    <w:rsid w:val="00053B59"/>
    <w:rsid w:val="00054218"/>
    <w:rsid w:val="00054360"/>
    <w:rsid w:val="0005498E"/>
    <w:rsid w:val="00055303"/>
    <w:rsid w:val="00055AA7"/>
    <w:rsid w:val="00055CE8"/>
    <w:rsid w:val="00055DD5"/>
    <w:rsid w:val="00056244"/>
    <w:rsid w:val="00056EA3"/>
    <w:rsid w:val="00056F6F"/>
    <w:rsid w:val="000573A6"/>
    <w:rsid w:val="00057F16"/>
    <w:rsid w:val="00060972"/>
    <w:rsid w:val="00062E04"/>
    <w:rsid w:val="00064E7F"/>
    <w:rsid w:val="00064FDA"/>
    <w:rsid w:val="0006536C"/>
    <w:rsid w:val="0006647D"/>
    <w:rsid w:val="00066A4C"/>
    <w:rsid w:val="00067A0E"/>
    <w:rsid w:val="00071F30"/>
    <w:rsid w:val="00072345"/>
    <w:rsid w:val="000725F4"/>
    <w:rsid w:val="00073DDF"/>
    <w:rsid w:val="00073E28"/>
    <w:rsid w:val="00073FEC"/>
    <w:rsid w:val="00074AF9"/>
    <w:rsid w:val="00074B8B"/>
    <w:rsid w:val="00074E3B"/>
    <w:rsid w:val="00075B09"/>
    <w:rsid w:val="00076232"/>
    <w:rsid w:val="00076265"/>
    <w:rsid w:val="00076928"/>
    <w:rsid w:val="00076C0E"/>
    <w:rsid w:val="00077234"/>
    <w:rsid w:val="00077FC5"/>
    <w:rsid w:val="0008075E"/>
    <w:rsid w:val="000807AD"/>
    <w:rsid w:val="00080EB0"/>
    <w:rsid w:val="00081612"/>
    <w:rsid w:val="00081AA4"/>
    <w:rsid w:val="00081C92"/>
    <w:rsid w:val="00082A28"/>
    <w:rsid w:val="00082FC5"/>
    <w:rsid w:val="000830A7"/>
    <w:rsid w:val="0008382A"/>
    <w:rsid w:val="00085C06"/>
    <w:rsid w:val="00086169"/>
    <w:rsid w:val="0008625E"/>
    <w:rsid w:val="0008626D"/>
    <w:rsid w:val="0008668C"/>
    <w:rsid w:val="000867CC"/>
    <w:rsid w:val="000870CD"/>
    <w:rsid w:val="0008739B"/>
    <w:rsid w:val="0009055A"/>
    <w:rsid w:val="00091612"/>
    <w:rsid w:val="000917D3"/>
    <w:rsid w:val="00091EC6"/>
    <w:rsid w:val="00093074"/>
    <w:rsid w:val="00093294"/>
    <w:rsid w:val="000935C0"/>
    <w:rsid w:val="0009479F"/>
    <w:rsid w:val="000950F9"/>
    <w:rsid w:val="0009521D"/>
    <w:rsid w:val="00095252"/>
    <w:rsid w:val="000956B2"/>
    <w:rsid w:val="00095B43"/>
    <w:rsid w:val="000963A0"/>
    <w:rsid w:val="00096A90"/>
    <w:rsid w:val="00096ED2"/>
    <w:rsid w:val="00096F8C"/>
    <w:rsid w:val="00097E95"/>
    <w:rsid w:val="000A0235"/>
    <w:rsid w:val="000A2421"/>
    <w:rsid w:val="000A3ABA"/>
    <w:rsid w:val="000A4186"/>
    <w:rsid w:val="000A58A5"/>
    <w:rsid w:val="000A58BF"/>
    <w:rsid w:val="000A5BFF"/>
    <w:rsid w:val="000A5D44"/>
    <w:rsid w:val="000A66F7"/>
    <w:rsid w:val="000A74FB"/>
    <w:rsid w:val="000A7CBE"/>
    <w:rsid w:val="000A7F01"/>
    <w:rsid w:val="000B1309"/>
    <w:rsid w:val="000B1B8B"/>
    <w:rsid w:val="000B2F81"/>
    <w:rsid w:val="000B3019"/>
    <w:rsid w:val="000B3935"/>
    <w:rsid w:val="000B3AE6"/>
    <w:rsid w:val="000B485B"/>
    <w:rsid w:val="000B5146"/>
    <w:rsid w:val="000B5597"/>
    <w:rsid w:val="000B5606"/>
    <w:rsid w:val="000B6FC1"/>
    <w:rsid w:val="000B7241"/>
    <w:rsid w:val="000B75D9"/>
    <w:rsid w:val="000B78BE"/>
    <w:rsid w:val="000B7F96"/>
    <w:rsid w:val="000C0647"/>
    <w:rsid w:val="000C0F4F"/>
    <w:rsid w:val="000C1631"/>
    <w:rsid w:val="000C3BD4"/>
    <w:rsid w:val="000C3D3A"/>
    <w:rsid w:val="000C42E2"/>
    <w:rsid w:val="000C446A"/>
    <w:rsid w:val="000C4E78"/>
    <w:rsid w:val="000C5351"/>
    <w:rsid w:val="000C7211"/>
    <w:rsid w:val="000C7386"/>
    <w:rsid w:val="000C7A31"/>
    <w:rsid w:val="000D005F"/>
    <w:rsid w:val="000D095E"/>
    <w:rsid w:val="000D1C80"/>
    <w:rsid w:val="000D1E02"/>
    <w:rsid w:val="000D20BD"/>
    <w:rsid w:val="000D2EEB"/>
    <w:rsid w:val="000D3371"/>
    <w:rsid w:val="000D368D"/>
    <w:rsid w:val="000D3E6C"/>
    <w:rsid w:val="000D45DB"/>
    <w:rsid w:val="000D494D"/>
    <w:rsid w:val="000D561E"/>
    <w:rsid w:val="000D6410"/>
    <w:rsid w:val="000D646C"/>
    <w:rsid w:val="000D681E"/>
    <w:rsid w:val="000E0B3E"/>
    <w:rsid w:val="000E0C5F"/>
    <w:rsid w:val="000E0C97"/>
    <w:rsid w:val="000E0CA4"/>
    <w:rsid w:val="000E1B05"/>
    <w:rsid w:val="000E1BD9"/>
    <w:rsid w:val="000E1C47"/>
    <w:rsid w:val="000E1F6C"/>
    <w:rsid w:val="000E1FC9"/>
    <w:rsid w:val="000E24C2"/>
    <w:rsid w:val="000E251D"/>
    <w:rsid w:val="000E2E95"/>
    <w:rsid w:val="000E317F"/>
    <w:rsid w:val="000E369F"/>
    <w:rsid w:val="000E4F64"/>
    <w:rsid w:val="000E5FA8"/>
    <w:rsid w:val="000E63F0"/>
    <w:rsid w:val="000E6612"/>
    <w:rsid w:val="000E6F36"/>
    <w:rsid w:val="000E705F"/>
    <w:rsid w:val="000E720F"/>
    <w:rsid w:val="000E7A7E"/>
    <w:rsid w:val="000E7EE6"/>
    <w:rsid w:val="000F06F8"/>
    <w:rsid w:val="000F0D40"/>
    <w:rsid w:val="000F0D87"/>
    <w:rsid w:val="000F0F56"/>
    <w:rsid w:val="000F201A"/>
    <w:rsid w:val="000F3621"/>
    <w:rsid w:val="000F4441"/>
    <w:rsid w:val="000F445B"/>
    <w:rsid w:val="000F49BB"/>
    <w:rsid w:val="000F66A1"/>
    <w:rsid w:val="000F7FB9"/>
    <w:rsid w:val="00100D9B"/>
    <w:rsid w:val="00100F0A"/>
    <w:rsid w:val="0010108E"/>
    <w:rsid w:val="00101345"/>
    <w:rsid w:val="001015FD"/>
    <w:rsid w:val="00101A16"/>
    <w:rsid w:val="00101F2D"/>
    <w:rsid w:val="001020AC"/>
    <w:rsid w:val="00102891"/>
    <w:rsid w:val="0010388A"/>
    <w:rsid w:val="00103B53"/>
    <w:rsid w:val="00104487"/>
    <w:rsid w:val="001046B0"/>
    <w:rsid w:val="001052EF"/>
    <w:rsid w:val="00106B17"/>
    <w:rsid w:val="00106ED8"/>
    <w:rsid w:val="001071A4"/>
    <w:rsid w:val="00107418"/>
    <w:rsid w:val="00107FFC"/>
    <w:rsid w:val="00110604"/>
    <w:rsid w:val="00110B5F"/>
    <w:rsid w:val="00110D75"/>
    <w:rsid w:val="0011130A"/>
    <w:rsid w:val="00111555"/>
    <w:rsid w:val="00111651"/>
    <w:rsid w:val="0011190C"/>
    <w:rsid w:val="00111AC8"/>
    <w:rsid w:val="00111FFF"/>
    <w:rsid w:val="00112931"/>
    <w:rsid w:val="00113B19"/>
    <w:rsid w:val="00113D26"/>
    <w:rsid w:val="00114688"/>
    <w:rsid w:val="0011761E"/>
    <w:rsid w:val="00117CE8"/>
    <w:rsid w:val="00117EE5"/>
    <w:rsid w:val="00117FDF"/>
    <w:rsid w:val="0012074C"/>
    <w:rsid w:val="00120F67"/>
    <w:rsid w:val="001211C1"/>
    <w:rsid w:val="00121B0D"/>
    <w:rsid w:val="00122277"/>
    <w:rsid w:val="00122572"/>
    <w:rsid w:val="001230E6"/>
    <w:rsid w:val="0012421D"/>
    <w:rsid w:val="00124BAF"/>
    <w:rsid w:val="00124C0E"/>
    <w:rsid w:val="00124E6B"/>
    <w:rsid w:val="00125771"/>
    <w:rsid w:val="00125987"/>
    <w:rsid w:val="0012664F"/>
    <w:rsid w:val="00126E5F"/>
    <w:rsid w:val="00126EF4"/>
    <w:rsid w:val="001272FA"/>
    <w:rsid w:val="001273A4"/>
    <w:rsid w:val="0012760A"/>
    <w:rsid w:val="00127828"/>
    <w:rsid w:val="00127F10"/>
    <w:rsid w:val="00130E76"/>
    <w:rsid w:val="00131868"/>
    <w:rsid w:val="001326C2"/>
    <w:rsid w:val="00132851"/>
    <w:rsid w:val="0013353F"/>
    <w:rsid w:val="001336E1"/>
    <w:rsid w:val="0013399B"/>
    <w:rsid w:val="0013473D"/>
    <w:rsid w:val="00136295"/>
    <w:rsid w:val="00137BD7"/>
    <w:rsid w:val="00140B7C"/>
    <w:rsid w:val="00140C0D"/>
    <w:rsid w:val="001411C2"/>
    <w:rsid w:val="001417ED"/>
    <w:rsid w:val="00141F10"/>
    <w:rsid w:val="0014208C"/>
    <w:rsid w:val="00142268"/>
    <w:rsid w:val="00142BAE"/>
    <w:rsid w:val="00143181"/>
    <w:rsid w:val="001434FB"/>
    <w:rsid w:val="001439A7"/>
    <w:rsid w:val="00143E11"/>
    <w:rsid w:val="00143ED4"/>
    <w:rsid w:val="00144737"/>
    <w:rsid w:val="0014500F"/>
    <w:rsid w:val="00145A81"/>
    <w:rsid w:val="00145C57"/>
    <w:rsid w:val="0014768A"/>
    <w:rsid w:val="00147DC1"/>
    <w:rsid w:val="001507E9"/>
    <w:rsid w:val="0015152A"/>
    <w:rsid w:val="00152A7B"/>
    <w:rsid w:val="0015317B"/>
    <w:rsid w:val="00153807"/>
    <w:rsid w:val="00154142"/>
    <w:rsid w:val="00154522"/>
    <w:rsid w:val="00154C01"/>
    <w:rsid w:val="001568B6"/>
    <w:rsid w:val="00156E24"/>
    <w:rsid w:val="00157A0E"/>
    <w:rsid w:val="00160485"/>
    <w:rsid w:val="0016071B"/>
    <w:rsid w:val="00160CA5"/>
    <w:rsid w:val="00160E21"/>
    <w:rsid w:val="001618E8"/>
    <w:rsid w:val="00161EC9"/>
    <w:rsid w:val="0016240E"/>
    <w:rsid w:val="00163015"/>
    <w:rsid w:val="0016353B"/>
    <w:rsid w:val="00163A64"/>
    <w:rsid w:val="00165007"/>
    <w:rsid w:val="00165287"/>
    <w:rsid w:val="0016593F"/>
    <w:rsid w:val="00165C83"/>
    <w:rsid w:val="001665CA"/>
    <w:rsid w:val="00166F17"/>
    <w:rsid w:val="0016723B"/>
    <w:rsid w:val="00167D37"/>
    <w:rsid w:val="00170061"/>
    <w:rsid w:val="00170AEC"/>
    <w:rsid w:val="00170DC9"/>
    <w:rsid w:val="00171516"/>
    <w:rsid w:val="001716AD"/>
    <w:rsid w:val="00172772"/>
    <w:rsid w:val="00172D3E"/>
    <w:rsid w:val="00173D39"/>
    <w:rsid w:val="00174181"/>
    <w:rsid w:val="0017443A"/>
    <w:rsid w:val="00174982"/>
    <w:rsid w:val="00175A94"/>
    <w:rsid w:val="00175D22"/>
    <w:rsid w:val="00175F78"/>
    <w:rsid w:val="00176618"/>
    <w:rsid w:val="00176A13"/>
    <w:rsid w:val="001824AA"/>
    <w:rsid w:val="00182B2E"/>
    <w:rsid w:val="00183992"/>
    <w:rsid w:val="001839BF"/>
    <w:rsid w:val="00183DF6"/>
    <w:rsid w:val="00184CA7"/>
    <w:rsid w:val="00184E02"/>
    <w:rsid w:val="001857AD"/>
    <w:rsid w:val="001857E9"/>
    <w:rsid w:val="00185835"/>
    <w:rsid w:val="00185F0B"/>
    <w:rsid w:val="00185F8A"/>
    <w:rsid w:val="0018763A"/>
    <w:rsid w:val="00187EAA"/>
    <w:rsid w:val="00187EC9"/>
    <w:rsid w:val="0019018B"/>
    <w:rsid w:val="00190C24"/>
    <w:rsid w:val="00190D1F"/>
    <w:rsid w:val="00190E8B"/>
    <w:rsid w:val="001923D0"/>
    <w:rsid w:val="00192DAD"/>
    <w:rsid w:val="0019347B"/>
    <w:rsid w:val="00193570"/>
    <w:rsid w:val="0019363D"/>
    <w:rsid w:val="001939F2"/>
    <w:rsid w:val="001947D0"/>
    <w:rsid w:val="00194BF7"/>
    <w:rsid w:val="00195375"/>
    <w:rsid w:val="00195450"/>
    <w:rsid w:val="00195C92"/>
    <w:rsid w:val="0019703E"/>
    <w:rsid w:val="001A1BD7"/>
    <w:rsid w:val="001A29C0"/>
    <w:rsid w:val="001A339A"/>
    <w:rsid w:val="001A3989"/>
    <w:rsid w:val="001A3EF0"/>
    <w:rsid w:val="001A4459"/>
    <w:rsid w:val="001A47C5"/>
    <w:rsid w:val="001A4846"/>
    <w:rsid w:val="001A4928"/>
    <w:rsid w:val="001A4A38"/>
    <w:rsid w:val="001A63E5"/>
    <w:rsid w:val="001A695C"/>
    <w:rsid w:val="001A6BC9"/>
    <w:rsid w:val="001B0016"/>
    <w:rsid w:val="001B00D6"/>
    <w:rsid w:val="001B07F3"/>
    <w:rsid w:val="001B0D19"/>
    <w:rsid w:val="001B168A"/>
    <w:rsid w:val="001B2185"/>
    <w:rsid w:val="001B2A98"/>
    <w:rsid w:val="001B31BB"/>
    <w:rsid w:val="001B4164"/>
    <w:rsid w:val="001B42CD"/>
    <w:rsid w:val="001B5BB2"/>
    <w:rsid w:val="001B642D"/>
    <w:rsid w:val="001B6442"/>
    <w:rsid w:val="001B6AA5"/>
    <w:rsid w:val="001B7473"/>
    <w:rsid w:val="001B7E18"/>
    <w:rsid w:val="001C0730"/>
    <w:rsid w:val="001C0908"/>
    <w:rsid w:val="001C1290"/>
    <w:rsid w:val="001C1A12"/>
    <w:rsid w:val="001C25F4"/>
    <w:rsid w:val="001C27CF"/>
    <w:rsid w:val="001C4CC9"/>
    <w:rsid w:val="001C51B4"/>
    <w:rsid w:val="001C5464"/>
    <w:rsid w:val="001C5AA5"/>
    <w:rsid w:val="001C67AC"/>
    <w:rsid w:val="001C6821"/>
    <w:rsid w:val="001C7320"/>
    <w:rsid w:val="001C75F9"/>
    <w:rsid w:val="001D1140"/>
    <w:rsid w:val="001D1154"/>
    <w:rsid w:val="001D24B9"/>
    <w:rsid w:val="001D2DA0"/>
    <w:rsid w:val="001D410A"/>
    <w:rsid w:val="001D485F"/>
    <w:rsid w:val="001D4EDE"/>
    <w:rsid w:val="001D5C7A"/>
    <w:rsid w:val="001D679B"/>
    <w:rsid w:val="001D6989"/>
    <w:rsid w:val="001D72B0"/>
    <w:rsid w:val="001D739B"/>
    <w:rsid w:val="001D7A8F"/>
    <w:rsid w:val="001E17FC"/>
    <w:rsid w:val="001E2527"/>
    <w:rsid w:val="001E2DAE"/>
    <w:rsid w:val="001E2E61"/>
    <w:rsid w:val="001E3A38"/>
    <w:rsid w:val="001E4086"/>
    <w:rsid w:val="001E44DE"/>
    <w:rsid w:val="001E497F"/>
    <w:rsid w:val="001E4CC8"/>
    <w:rsid w:val="001E63A1"/>
    <w:rsid w:val="001E6539"/>
    <w:rsid w:val="001E6C36"/>
    <w:rsid w:val="001E6F96"/>
    <w:rsid w:val="001E6FBD"/>
    <w:rsid w:val="001F08E0"/>
    <w:rsid w:val="001F1004"/>
    <w:rsid w:val="001F105B"/>
    <w:rsid w:val="001F221A"/>
    <w:rsid w:val="001F24FB"/>
    <w:rsid w:val="001F4D10"/>
    <w:rsid w:val="001F519A"/>
    <w:rsid w:val="001F5F37"/>
    <w:rsid w:val="001F65FF"/>
    <w:rsid w:val="001F6868"/>
    <w:rsid w:val="001F7ACC"/>
    <w:rsid w:val="001F7E18"/>
    <w:rsid w:val="00200864"/>
    <w:rsid w:val="00200953"/>
    <w:rsid w:val="00200DA3"/>
    <w:rsid w:val="00201269"/>
    <w:rsid w:val="002026EC"/>
    <w:rsid w:val="00202730"/>
    <w:rsid w:val="00202815"/>
    <w:rsid w:val="002054D5"/>
    <w:rsid w:val="00206B69"/>
    <w:rsid w:val="00206D76"/>
    <w:rsid w:val="0020753A"/>
    <w:rsid w:val="002075BC"/>
    <w:rsid w:val="002079C0"/>
    <w:rsid w:val="00210100"/>
    <w:rsid w:val="002106BB"/>
    <w:rsid w:val="002106CD"/>
    <w:rsid w:val="00210863"/>
    <w:rsid w:val="002109CE"/>
    <w:rsid w:val="00212143"/>
    <w:rsid w:val="002134B5"/>
    <w:rsid w:val="00214274"/>
    <w:rsid w:val="002143F6"/>
    <w:rsid w:val="00215A49"/>
    <w:rsid w:val="00215A4D"/>
    <w:rsid w:val="00216D0A"/>
    <w:rsid w:val="00217614"/>
    <w:rsid w:val="0022031E"/>
    <w:rsid w:val="002206A2"/>
    <w:rsid w:val="00221CF1"/>
    <w:rsid w:val="002222A2"/>
    <w:rsid w:val="00222828"/>
    <w:rsid w:val="00222B69"/>
    <w:rsid w:val="00223677"/>
    <w:rsid w:val="00223737"/>
    <w:rsid w:val="00223988"/>
    <w:rsid w:val="0022442C"/>
    <w:rsid w:val="00224796"/>
    <w:rsid w:val="0022496C"/>
    <w:rsid w:val="00225C32"/>
    <w:rsid w:val="00225D55"/>
    <w:rsid w:val="00226600"/>
    <w:rsid w:val="0022739A"/>
    <w:rsid w:val="0022742F"/>
    <w:rsid w:val="002306C6"/>
    <w:rsid w:val="00232213"/>
    <w:rsid w:val="0023283D"/>
    <w:rsid w:val="002329F9"/>
    <w:rsid w:val="002333FD"/>
    <w:rsid w:val="00234698"/>
    <w:rsid w:val="00234A16"/>
    <w:rsid w:val="00235046"/>
    <w:rsid w:val="00237FB6"/>
    <w:rsid w:val="00240330"/>
    <w:rsid w:val="002404DC"/>
    <w:rsid w:val="00241476"/>
    <w:rsid w:val="00241C89"/>
    <w:rsid w:val="00242DCA"/>
    <w:rsid w:val="0024325E"/>
    <w:rsid w:val="002434E6"/>
    <w:rsid w:val="00243E3C"/>
    <w:rsid w:val="002440E5"/>
    <w:rsid w:val="0024450F"/>
    <w:rsid w:val="00245089"/>
    <w:rsid w:val="0024538E"/>
    <w:rsid w:val="002453D4"/>
    <w:rsid w:val="00245A63"/>
    <w:rsid w:val="00245DA9"/>
    <w:rsid w:val="002466E5"/>
    <w:rsid w:val="00246CF1"/>
    <w:rsid w:val="002475D3"/>
    <w:rsid w:val="0024770A"/>
    <w:rsid w:val="00247F63"/>
    <w:rsid w:val="00250164"/>
    <w:rsid w:val="00251520"/>
    <w:rsid w:val="002528DD"/>
    <w:rsid w:val="00252CC9"/>
    <w:rsid w:val="0025304B"/>
    <w:rsid w:val="002532B2"/>
    <w:rsid w:val="002535E4"/>
    <w:rsid w:val="00253C87"/>
    <w:rsid w:val="00254A13"/>
    <w:rsid w:val="00254E04"/>
    <w:rsid w:val="00255E2A"/>
    <w:rsid w:val="00255F25"/>
    <w:rsid w:val="00255FCA"/>
    <w:rsid w:val="0025603C"/>
    <w:rsid w:val="002570DB"/>
    <w:rsid w:val="0026093A"/>
    <w:rsid w:val="00261745"/>
    <w:rsid w:val="0026347A"/>
    <w:rsid w:val="00264092"/>
    <w:rsid w:val="002640D3"/>
    <w:rsid w:val="0026470F"/>
    <w:rsid w:val="002653F0"/>
    <w:rsid w:val="00265407"/>
    <w:rsid w:val="00265BD0"/>
    <w:rsid w:val="002665EB"/>
    <w:rsid w:val="00270025"/>
    <w:rsid w:val="002709B9"/>
    <w:rsid w:val="00270D0B"/>
    <w:rsid w:val="00270F6F"/>
    <w:rsid w:val="00272675"/>
    <w:rsid w:val="00272C26"/>
    <w:rsid w:val="00275036"/>
    <w:rsid w:val="002750E9"/>
    <w:rsid w:val="00275505"/>
    <w:rsid w:val="002755D7"/>
    <w:rsid w:val="00276518"/>
    <w:rsid w:val="0027681B"/>
    <w:rsid w:val="002772A5"/>
    <w:rsid w:val="00277D62"/>
    <w:rsid w:val="00277DE3"/>
    <w:rsid w:val="00277EBB"/>
    <w:rsid w:val="00277FA3"/>
    <w:rsid w:val="00280581"/>
    <w:rsid w:val="00280621"/>
    <w:rsid w:val="002806AA"/>
    <w:rsid w:val="00280B37"/>
    <w:rsid w:val="00281778"/>
    <w:rsid w:val="002817BB"/>
    <w:rsid w:val="00281CCA"/>
    <w:rsid w:val="00282293"/>
    <w:rsid w:val="002826A4"/>
    <w:rsid w:val="00282BA8"/>
    <w:rsid w:val="002834DD"/>
    <w:rsid w:val="00283A5D"/>
    <w:rsid w:val="00287A35"/>
    <w:rsid w:val="00287D88"/>
    <w:rsid w:val="002906BB"/>
    <w:rsid w:val="00290824"/>
    <w:rsid w:val="00290867"/>
    <w:rsid w:val="00290C4D"/>
    <w:rsid w:val="00290FE1"/>
    <w:rsid w:val="00292C2A"/>
    <w:rsid w:val="00293FFF"/>
    <w:rsid w:val="002948AC"/>
    <w:rsid w:val="00294B22"/>
    <w:rsid w:val="0029505F"/>
    <w:rsid w:val="00295BFA"/>
    <w:rsid w:val="002A103E"/>
    <w:rsid w:val="002A108F"/>
    <w:rsid w:val="002A198E"/>
    <w:rsid w:val="002A1D76"/>
    <w:rsid w:val="002A270A"/>
    <w:rsid w:val="002A2EFD"/>
    <w:rsid w:val="002A2FDD"/>
    <w:rsid w:val="002A65E0"/>
    <w:rsid w:val="002A6648"/>
    <w:rsid w:val="002A6E72"/>
    <w:rsid w:val="002A797A"/>
    <w:rsid w:val="002B03C0"/>
    <w:rsid w:val="002B1438"/>
    <w:rsid w:val="002B15A6"/>
    <w:rsid w:val="002B1823"/>
    <w:rsid w:val="002B266D"/>
    <w:rsid w:val="002B2B71"/>
    <w:rsid w:val="002B2DA6"/>
    <w:rsid w:val="002B2EC9"/>
    <w:rsid w:val="002B38B9"/>
    <w:rsid w:val="002B3B98"/>
    <w:rsid w:val="002B5BEA"/>
    <w:rsid w:val="002B5CA6"/>
    <w:rsid w:val="002B5D9D"/>
    <w:rsid w:val="002B5FB8"/>
    <w:rsid w:val="002B666A"/>
    <w:rsid w:val="002B7651"/>
    <w:rsid w:val="002B7F8E"/>
    <w:rsid w:val="002C03E4"/>
    <w:rsid w:val="002C0774"/>
    <w:rsid w:val="002C2791"/>
    <w:rsid w:val="002C35AE"/>
    <w:rsid w:val="002C4D11"/>
    <w:rsid w:val="002C58DA"/>
    <w:rsid w:val="002C5EDC"/>
    <w:rsid w:val="002C652B"/>
    <w:rsid w:val="002C73E7"/>
    <w:rsid w:val="002C7422"/>
    <w:rsid w:val="002C7563"/>
    <w:rsid w:val="002C7B01"/>
    <w:rsid w:val="002C7E13"/>
    <w:rsid w:val="002D12D2"/>
    <w:rsid w:val="002D22C8"/>
    <w:rsid w:val="002D287E"/>
    <w:rsid w:val="002D352B"/>
    <w:rsid w:val="002D3B30"/>
    <w:rsid w:val="002D477C"/>
    <w:rsid w:val="002D49CB"/>
    <w:rsid w:val="002D49DF"/>
    <w:rsid w:val="002D669C"/>
    <w:rsid w:val="002E1907"/>
    <w:rsid w:val="002E1D83"/>
    <w:rsid w:val="002E2083"/>
    <w:rsid w:val="002E2627"/>
    <w:rsid w:val="002E2C83"/>
    <w:rsid w:val="002E323A"/>
    <w:rsid w:val="002E328D"/>
    <w:rsid w:val="002E392D"/>
    <w:rsid w:val="002E4003"/>
    <w:rsid w:val="002E43C4"/>
    <w:rsid w:val="002E48A0"/>
    <w:rsid w:val="002E4A60"/>
    <w:rsid w:val="002E50FA"/>
    <w:rsid w:val="002E56CA"/>
    <w:rsid w:val="002E5A8F"/>
    <w:rsid w:val="002E5D4B"/>
    <w:rsid w:val="002E67BA"/>
    <w:rsid w:val="002F04ED"/>
    <w:rsid w:val="002F0B7D"/>
    <w:rsid w:val="002F0E6D"/>
    <w:rsid w:val="002F11BE"/>
    <w:rsid w:val="002F1896"/>
    <w:rsid w:val="002F1C1B"/>
    <w:rsid w:val="002F2637"/>
    <w:rsid w:val="002F375F"/>
    <w:rsid w:val="002F4CBC"/>
    <w:rsid w:val="002F51CF"/>
    <w:rsid w:val="002F5DD5"/>
    <w:rsid w:val="002F5EE4"/>
    <w:rsid w:val="002F60AE"/>
    <w:rsid w:val="002F7856"/>
    <w:rsid w:val="002F7EFD"/>
    <w:rsid w:val="003012D0"/>
    <w:rsid w:val="00301470"/>
    <w:rsid w:val="00301F40"/>
    <w:rsid w:val="0030381B"/>
    <w:rsid w:val="003039E9"/>
    <w:rsid w:val="00303BA3"/>
    <w:rsid w:val="00305811"/>
    <w:rsid w:val="00305B22"/>
    <w:rsid w:val="00305C65"/>
    <w:rsid w:val="00305F48"/>
    <w:rsid w:val="00306A25"/>
    <w:rsid w:val="00307BAB"/>
    <w:rsid w:val="00307F2F"/>
    <w:rsid w:val="003101E1"/>
    <w:rsid w:val="00310236"/>
    <w:rsid w:val="003102D8"/>
    <w:rsid w:val="0031031C"/>
    <w:rsid w:val="00310963"/>
    <w:rsid w:val="00310DA9"/>
    <w:rsid w:val="00311813"/>
    <w:rsid w:val="0031211F"/>
    <w:rsid w:val="003123DD"/>
    <w:rsid w:val="003127FD"/>
    <w:rsid w:val="00312CA9"/>
    <w:rsid w:val="00313130"/>
    <w:rsid w:val="0031355B"/>
    <w:rsid w:val="00313E21"/>
    <w:rsid w:val="003142D9"/>
    <w:rsid w:val="00315052"/>
    <w:rsid w:val="00315F1A"/>
    <w:rsid w:val="00316121"/>
    <w:rsid w:val="00316346"/>
    <w:rsid w:val="0031676D"/>
    <w:rsid w:val="00316FDC"/>
    <w:rsid w:val="003171D1"/>
    <w:rsid w:val="00317A12"/>
    <w:rsid w:val="00317AA6"/>
    <w:rsid w:val="00317D07"/>
    <w:rsid w:val="00320141"/>
    <w:rsid w:val="003207F0"/>
    <w:rsid w:val="003209C5"/>
    <w:rsid w:val="00320C94"/>
    <w:rsid w:val="0032157D"/>
    <w:rsid w:val="003237EC"/>
    <w:rsid w:val="00323DFF"/>
    <w:rsid w:val="00324F6C"/>
    <w:rsid w:val="0032506B"/>
    <w:rsid w:val="00325169"/>
    <w:rsid w:val="00325585"/>
    <w:rsid w:val="0032674F"/>
    <w:rsid w:val="003270E2"/>
    <w:rsid w:val="003271E9"/>
    <w:rsid w:val="00327E87"/>
    <w:rsid w:val="00330127"/>
    <w:rsid w:val="00330399"/>
    <w:rsid w:val="00330C07"/>
    <w:rsid w:val="00330C85"/>
    <w:rsid w:val="00331166"/>
    <w:rsid w:val="00331497"/>
    <w:rsid w:val="00332D5F"/>
    <w:rsid w:val="003336D3"/>
    <w:rsid w:val="0033375B"/>
    <w:rsid w:val="003339C2"/>
    <w:rsid w:val="00333FF0"/>
    <w:rsid w:val="00334867"/>
    <w:rsid w:val="00335633"/>
    <w:rsid w:val="00337D3B"/>
    <w:rsid w:val="0034127E"/>
    <w:rsid w:val="00341673"/>
    <w:rsid w:val="003419AE"/>
    <w:rsid w:val="00341C1B"/>
    <w:rsid w:val="0034231D"/>
    <w:rsid w:val="00343AFE"/>
    <w:rsid w:val="003444BE"/>
    <w:rsid w:val="00344F2F"/>
    <w:rsid w:val="003460D3"/>
    <w:rsid w:val="003465B2"/>
    <w:rsid w:val="00346745"/>
    <w:rsid w:val="003468F0"/>
    <w:rsid w:val="00346AEF"/>
    <w:rsid w:val="00347C35"/>
    <w:rsid w:val="00347CFB"/>
    <w:rsid w:val="00347EDA"/>
    <w:rsid w:val="00350101"/>
    <w:rsid w:val="0035036B"/>
    <w:rsid w:val="00350B54"/>
    <w:rsid w:val="00350D2F"/>
    <w:rsid w:val="00351BDC"/>
    <w:rsid w:val="00352815"/>
    <w:rsid w:val="00352F27"/>
    <w:rsid w:val="0035431A"/>
    <w:rsid w:val="00355D9D"/>
    <w:rsid w:val="00355DA5"/>
    <w:rsid w:val="0035668C"/>
    <w:rsid w:val="00356D51"/>
    <w:rsid w:val="00357858"/>
    <w:rsid w:val="003578C0"/>
    <w:rsid w:val="00357C53"/>
    <w:rsid w:val="00360007"/>
    <w:rsid w:val="003614B7"/>
    <w:rsid w:val="0036173B"/>
    <w:rsid w:val="00361BB9"/>
    <w:rsid w:val="00361D55"/>
    <w:rsid w:val="003623E3"/>
    <w:rsid w:val="00363227"/>
    <w:rsid w:val="00363260"/>
    <w:rsid w:val="00363EF2"/>
    <w:rsid w:val="00364CD1"/>
    <w:rsid w:val="003653E3"/>
    <w:rsid w:val="00366C78"/>
    <w:rsid w:val="00370A3A"/>
    <w:rsid w:val="00371E2E"/>
    <w:rsid w:val="00371F59"/>
    <w:rsid w:val="003746A8"/>
    <w:rsid w:val="003750CC"/>
    <w:rsid w:val="003760A1"/>
    <w:rsid w:val="003760B2"/>
    <w:rsid w:val="00380E8C"/>
    <w:rsid w:val="003810C1"/>
    <w:rsid w:val="003824C5"/>
    <w:rsid w:val="0038310D"/>
    <w:rsid w:val="00383AAF"/>
    <w:rsid w:val="00384040"/>
    <w:rsid w:val="00384803"/>
    <w:rsid w:val="003854C9"/>
    <w:rsid w:val="00385B6D"/>
    <w:rsid w:val="00387910"/>
    <w:rsid w:val="00387CD9"/>
    <w:rsid w:val="00390464"/>
    <w:rsid w:val="00390C43"/>
    <w:rsid w:val="00390CCF"/>
    <w:rsid w:val="003912E5"/>
    <w:rsid w:val="00391F3C"/>
    <w:rsid w:val="003920E5"/>
    <w:rsid w:val="0039255C"/>
    <w:rsid w:val="00392654"/>
    <w:rsid w:val="0039329C"/>
    <w:rsid w:val="00393710"/>
    <w:rsid w:val="00393760"/>
    <w:rsid w:val="00394CCB"/>
    <w:rsid w:val="003961FB"/>
    <w:rsid w:val="00396DA0"/>
    <w:rsid w:val="00396E4D"/>
    <w:rsid w:val="00396FC3"/>
    <w:rsid w:val="00396FDB"/>
    <w:rsid w:val="00397CDA"/>
    <w:rsid w:val="003A04F8"/>
    <w:rsid w:val="003A2184"/>
    <w:rsid w:val="003A2781"/>
    <w:rsid w:val="003A2884"/>
    <w:rsid w:val="003A38B0"/>
    <w:rsid w:val="003A39C6"/>
    <w:rsid w:val="003A3EA5"/>
    <w:rsid w:val="003A4345"/>
    <w:rsid w:val="003A5DF3"/>
    <w:rsid w:val="003A6791"/>
    <w:rsid w:val="003A68AB"/>
    <w:rsid w:val="003A7F32"/>
    <w:rsid w:val="003B022A"/>
    <w:rsid w:val="003B0D1B"/>
    <w:rsid w:val="003B0E4B"/>
    <w:rsid w:val="003B1993"/>
    <w:rsid w:val="003B21EA"/>
    <w:rsid w:val="003B31C7"/>
    <w:rsid w:val="003B3BDE"/>
    <w:rsid w:val="003B3FC0"/>
    <w:rsid w:val="003B5AA2"/>
    <w:rsid w:val="003B6195"/>
    <w:rsid w:val="003B6729"/>
    <w:rsid w:val="003C0922"/>
    <w:rsid w:val="003C1668"/>
    <w:rsid w:val="003C20A2"/>
    <w:rsid w:val="003C3E73"/>
    <w:rsid w:val="003C452B"/>
    <w:rsid w:val="003C54E1"/>
    <w:rsid w:val="003C5879"/>
    <w:rsid w:val="003C5A1F"/>
    <w:rsid w:val="003C620E"/>
    <w:rsid w:val="003C6598"/>
    <w:rsid w:val="003C7BAE"/>
    <w:rsid w:val="003D0AAE"/>
    <w:rsid w:val="003D0E66"/>
    <w:rsid w:val="003D2153"/>
    <w:rsid w:val="003D2CD1"/>
    <w:rsid w:val="003D3616"/>
    <w:rsid w:val="003D3A2C"/>
    <w:rsid w:val="003D3EA5"/>
    <w:rsid w:val="003D4B6A"/>
    <w:rsid w:val="003D5DF5"/>
    <w:rsid w:val="003D728E"/>
    <w:rsid w:val="003E0E97"/>
    <w:rsid w:val="003E12A8"/>
    <w:rsid w:val="003E22C4"/>
    <w:rsid w:val="003E22EB"/>
    <w:rsid w:val="003E28EC"/>
    <w:rsid w:val="003E3A7E"/>
    <w:rsid w:val="003E4592"/>
    <w:rsid w:val="003E479D"/>
    <w:rsid w:val="003E6FC0"/>
    <w:rsid w:val="003E73B4"/>
    <w:rsid w:val="003E7B33"/>
    <w:rsid w:val="003E7D15"/>
    <w:rsid w:val="003F000D"/>
    <w:rsid w:val="003F01BA"/>
    <w:rsid w:val="003F1ABB"/>
    <w:rsid w:val="003F22D9"/>
    <w:rsid w:val="003F443D"/>
    <w:rsid w:val="003F4EAB"/>
    <w:rsid w:val="003F755B"/>
    <w:rsid w:val="003F78B4"/>
    <w:rsid w:val="00400051"/>
    <w:rsid w:val="004000B0"/>
    <w:rsid w:val="00400F0F"/>
    <w:rsid w:val="00401A58"/>
    <w:rsid w:val="00401AE0"/>
    <w:rsid w:val="00402215"/>
    <w:rsid w:val="00402A6D"/>
    <w:rsid w:val="0040315F"/>
    <w:rsid w:val="00403488"/>
    <w:rsid w:val="00404BD5"/>
    <w:rsid w:val="00406092"/>
    <w:rsid w:val="00406BA2"/>
    <w:rsid w:val="00406D11"/>
    <w:rsid w:val="0040735F"/>
    <w:rsid w:val="00407B56"/>
    <w:rsid w:val="004101F2"/>
    <w:rsid w:val="0041070D"/>
    <w:rsid w:val="00410AA9"/>
    <w:rsid w:val="00411CF4"/>
    <w:rsid w:val="00411D86"/>
    <w:rsid w:val="004137CA"/>
    <w:rsid w:val="00413BC0"/>
    <w:rsid w:val="004148C8"/>
    <w:rsid w:val="00415057"/>
    <w:rsid w:val="0041593B"/>
    <w:rsid w:val="00415EFB"/>
    <w:rsid w:val="0041696E"/>
    <w:rsid w:val="00416983"/>
    <w:rsid w:val="00416DF3"/>
    <w:rsid w:val="004170A0"/>
    <w:rsid w:val="00421A2A"/>
    <w:rsid w:val="004241B8"/>
    <w:rsid w:val="00424D26"/>
    <w:rsid w:val="00424EB4"/>
    <w:rsid w:val="00425D49"/>
    <w:rsid w:val="00425E98"/>
    <w:rsid w:val="004264C4"/>
    <w:rsid w:val="00426F1F"/>
    <w:rsid w:val="00427533"/>
    <w:rsid w:val="00427638"/>
    <w:rsid w:val="00427C21"/>
    <w:rsid w:val="004301FE"/>
    <w:rsid w:val="0043120E"/>
    <w:rsid w:val="0043161A"/>
    <w:rsid w:val="0043308F"/>
    <w:rsid w:val="004333A8"/>
    <w:rsid w:val="00434253"/>
    <w:rsid w:val="004344AA"/>
    <w:rsid w:val="0043466E"/>
    <w:rsid w:val="004349A6"/>
    <w:rsid w:val="00434B9A"/>
    <w:rsid w:val="00434BCA"/>
    <w:rsid w:val="00434DC4"/>
    <w:rsid w:val="004355C4"/>
    <w:rsid w:val="0043682E"/>
    <w:rsid w:val="004371E2"/>
    <w:rsid w:val="00437778"/>
    <w:rsid w:val="00437795"/>
    <w:rsid w:val="00440B12"/>
    <w:rsid w:val="00440CD4"/>
    <w:rsid w:val="00443520"/>
    <w:rsid w:val="00443A6B"/>
    <w:rsid w:val="00443B09"/>
    <w:rsid w:val="004441FB"/>
    <w:rsid w:val="0044490C"/>
    <w:rsid w:val="0044519B"/>
    <w:rsid w:val="00445214"/>
    <w:rsid w:val="00445368"/>
    <w:rsid w:val="00445391"/>
    <w:rsid w:val="004465FB"/>
    <w:rsid w:val="004466C2"/>
    <w:rsid w:val="004472AE"/>
    <w:rsid w:val="004515FA"/>
    <w:rsid w:val="00452A90"/>
    <w:rsid w:val="004530D4"/>
    <w:rsid w:val="00453357"/>
    <w:rsid w:val="00453858"/>
    <w:rsid w:val="00454691"/>
    <w:rsid w:val="00455103"/>
    <w:rsid w:val="00455D96"/>
    <w:rsid w:val="00455DA7"/>
    <w:rsid w:val="004571B3"/>
    <w:rsid w:val="00457303"/>
    <w:rsid w:val="00457974"/>
    <w:rsid w:val="00457CCB"/>
    <w:rsid w:val="00457D1E"/>
    <w:rsid w:val="00460227"/>
    <w:rsid w:val="004603AC"/>
    <w:rsid w:val="00464BD6"/>
    <w:rsid w:val="00465B41"/>
    <w:rsid w:val="00466C99"/>
    <w:rsid w:val="004676A2"/>
    <w:rsid w:val="00467BB3"/>
    <w:rsid w:val="00470001"/>
    <w:rsid w:val="00470020"/>
    <w:rsid w:val="00470CFF"/>
    <w:rsid w:val="00470FBE"/>
    <w:rsid w:val="0047114F"/>
    <w:rsid w:val="004711C4"/>
    <w:rsid w:val="004718BB"/>
    <w:rsid w:val="00471907"/>
    <w:rsid w:val="00471945"/>
    <w:rsid w:val="00471CEF"/>
    <w:rsid w:val="00471FC9"/>
    <w:rsid w:val="0047280A"/>
    <w:rsid w:val="00472B96"/>
    <w:rsid w:val="00472CAE"/>
    <w:rsid w:val="0047372F"/>
    <w:rsid w:val="004737CD"/>
    <w:rsid w:val="0047407B"/>
    <w:rsid w:val="0047538D"/>
    <w:rsid w:val="0047559F"/>
    <w:rsid w:val="00476429"/>
    <w:rsid w:val="00476473"/>
    <w:rsid w:val="00477314"/>
    <w:rsid w:val="0047749B"/>
    <w:rsid w:val="004778DE"/>
    <w:rsid w:val="00480074"/>
    <w:rsid w:val="004805A7"/>
    <w:rsid w:val="00481054"/>
    <w:rsid w:val="004817AD"/>
    <w:rsid w:val="00482090"/>
    <w:rsid w:val="00483826"/>
    <w:rsid w:val="00483CF2"/>
    <w:rsid w:val="00483D62"/>
    <w:rsid w:val="004844FC"/>
    <w:rsid w:val="00484ECB"/>
    <w:rsid w:val="00485848"/>
    <w:rsid w:val="004860DE"/>
    <w:rsid w:val="00486811"/>
    <w:rsid w:val="00487465"/>
    <w:rsid w:val="00487969"/>
    <w:rsid w:val="00487B0F"/>
    <w:rsid w:val="00487EE7"/>
    <w:rsid w:val="0049018C"/>
    <w:rsid w:val="00491771"/>
    <w:rsid w:val="00491AAF"/>
    <w:rsid w:val="00491E98"/>
    <w:rsid w:val="00491F19"/>
    <w:rsid w:val="00492542"/>
    <w:rsid w:val="00493037"/>
    <w:rsid w:val="00493859"/>
    <w:rsid w:val="0049411F"/>
    <w:rsid w:val="00494A6E"/>
    <w:rsid w:val="004963FD"/>
    <w:rsid w:val="0049762B"/>
    <w:rsid w:val="00497D17"/>
    <w:rsid w:val="004A0796"/>
    <w:rsid w:val="004A1B20"/>
    <w:rsid w:val="004A208B"/>
    <w:rsid w:val="004A233E"/>
    <w:rsid w:val="004A2777"/>
    <w:rsid w:val="004A3303"/>
    <w:rsid w:val="004A3613"/>
    <w:rsid w:val="004A5631"/>
    <w:rsid w:val="004A56BC"/>
    <w:rsid w:val="004A5D96"/>
    <w:rsid w:val="004A6528"/>
    <w:rsid w:val="004A7E75"/>
    <w:rsid w:val="004B0BEB"/>
    <w:rsid w:val="004B0F7E"/>
    <w:rsid w:val="004B1863"/>
    <w:rsid w:val="004B1ACF"/>
    <w:rsid w:val="004B1B6A"/>
    <w:rsid w:val="004B1E12"/>
    <w:rsid w:val="004B2112"/>
    <w:rsid w:val="004B2534"/>
    <w:rsid w:val="004B4F79"/>
    <w:rsid w:val="004B4FA3"/>
    <w:rsid w:val="004B643A"/>
    <w:rsid w:val="004B6FFD"/>
    <w:rsid w:val="004B773C"/>
    <w:rsid w:val="004B7DBF"/>
    <w:rsid w:val="004B7FBC"/>
    <w:rsid w:val="004C005C"/>
    <w:rsid w:val="004C036A"/>
    <w:rsid w:val="004C053C"/>
    <w:rsid w:val="004C058A"/>
    <w:rsid w:val="004C1462"/>
    <w:rsid w:val="004C1479"/>
    <w:rsid w:val="004C1B3F"/>
    <w:rsid w:val="004C29DB"/>
    <w:rsid w:val="004C2A1C"/>
    <w:rsid w:val="004C53B2"/>
    <w:rsid w:val="004C5C8F"/>
    <w:rsid w:val="004C605D"/>
    <w:rsid w:val="004C70D3"/>
    <w:rsid w:val="004C77A5"/>
    <w:rsid w:val="004D04F8"/>
    <w:rsid w:val="004D1646"/>
    <w:rsid w:val="004D2B8B"/>
    <w:rsid w:val="004D4B67"/>
    <w:rsid w:val="004D59DE"/>
    <w:rsid w:val="004E0528"/>
    <w:rsid w:val="004E0860"/>
    <w:rsid w:val="004E094B"/>
    <w:rsid w:val="004E1069"/>
    <w:rsid w:val="004E129A"/>
    <w:rsid w:val="004E2B42"/>
    <w:rsid w:val="004E397A"/>
    <w:rsid w:val="004E4A2D"/>
    <w:rsid w:val="004E50C1"/>
    <w:rsid w:val="004E5D44"/>
    <w:rsid w:val="004E5D58"/>
    <w:rsid w:val="004E643B"/>
    <w:rsid w:val="004E6B6C"/>
    <w:rsid w:val="004E7310"/>
    <w:rsid w:val="004E7949"/>
    <w:rsid w:val="004F0AA2"/>
    <w:rsid w:val="004F0EEA"/>
    <w:rsid w:val="004F130A"/>
    <w:rsid w:val="004F1C0F"/>
    <w:rsid w:val="004F21AE"/>
    <w:rsid w:val="004F2BBE"/>
    <w:rsid w:val="004F372A"/>
    <w:rsid w:val="004F3863"/>
    <w:rsid w:val="004F5396"/>
    <w:rsid w:val="004F676C"/>
    <w:rsid w:val="004F6AB4"/>
    <w:rsid w:val="004F6C1B"/>
    <w:rsid w:val="004F7C73"/>
    <w:rsid w:val="004F7EA2"/>
    <w:rsid w:val="005013AD"/>
    <w:rsid w:val="005029F1"/>
    <w:rsid w:val="00502DD3"/>
    <w:rsid w:val="00503AFF"/>
    <w:rsid w:val="00503DD1"/>
    <w:rsid w:val="00503E72"/>
    <w:rsid w:val="00503F1A"/>
    <w:rsid w:val="0050485A"/>
    <w:rsid w:val="005056E7"/>
    <w:rsid w:val="00506137"/>
    <w:rsid w:val="00506DC4"/>
    <w:rsid w:val="00506FD6"/>
    <w:rsid w:val="005072E3"/>
    <w:rsid w:val="00507973"/>
    <w:rsid w:val="00507CD3"/>
    <w:rsid w:val="00510282"/>
    <w:rsid w:val="00510984"/>
    <w:rsid w:val="00510C77"/>
    <w:rsid w:val="00510FD4"/>
    <w:rsid w:val="00511FC7"/>
    <w:rsid w:val="005122EE"/>
    <w:rsid w:val="005137C5"/>
    <w:rsid w:val="00514C8C"/>
    <w:rsid w:val="00515E58"/>
    <w:rsid w:val="005163F7"/>
    <w:rsid w:val="0051690D"/>
    <w:rsid w:val="00517181"/>
    <w:rsid w:val="00517C0D"/>
    <w:rsid w:val="005219B6"/>
    <w:rsid w:val="00521B25"/>
    <w:rsid w:val="005228FE"/>
    <w:rsid w:val="00522FB8"/>
    <w:rsid w:val="005230FA"/>
    <w:rsid w:val="005237F0"/>
    <w:rsid w:val="00523BBF"/>
    <w:rsid w:val="00524667"/>
    <w:rsid w:val="00525419"/>
    <w:rsid w:val="005264C7"/>
    <w:rsid w:val="00526A9E"/>
    <w:rsid w:val="00530205"/>
    <w:rsid w:val="00530C2F"/>
    <w:rsid w:val="00531EF9"/>
    <w:rsid w:val="00532299"/>
    <w:rsid w:val="00533517"/>
    <w:rsid w:val="005358DC"/>
    <w:rsid w:val="00535F85"/>
    <w:rsid w:val="00536FFE"/>
    <w:rsid w:val="0053703A"/>
    <w:rsid w:val="00537BCA"/>
    <w:rsid w:val="00537D6E"/>
    <w:rsid w:val="0054057A"/>
    <w:rsid w:val="00540D49"/>
    <w:rsid w:val="0054115E"/>
    <w:rsid w:val="005412AB"/>
    <w:rsid w:val="005427C7"/>
    <w:rsid w:val="005434A6"/>
    <w:rsid w:val="005439DD"/>
    <w:rsid w:val="00544308"/>
    <w:rsid w:val="0054451B"/>
    <w:rsid w:val="00544D73"/>
    <w:rsid w:val="00545A1A"/>
    <w:rsid w:val="00546268"/>
    <w:rsid w:val="005472DA"/>
    <w:rsid w:val="005472E6"/>
    <w:rsid w:val="00547AA4"/>
    <w:rsid w:val="005507B6"/>
    <w:rsid w:val="00550D0D"/>
    <w:rsid w:val="005513B3"/>
    <w:rsid w:val="00553DEF"/>
    <w:rsid w:val="00554020"/>
    <w:rsid w:val="0055403E"/>
    <w:rsid w:val="005541D1"/>
    <w:rsid w:val="005551C2"/>
    <w:rsid w:val="00555EF9"/>
    <w:rsid w:val="0055659D"/>
    <w:rsid w:val="005577D9"/>
    <w:rsid w:val="005601BE"/>
    <w:rsid w:val="00561DAD"/>
    <w:rsid w:val="00562B64"/>
    <w:rsid w:val="00562E15"/>
    <w:rsid w:val="00563F32"/>
    <w:rsid w:val="005661B7"/>
    <w:rsid w:val="00566D3F"/>
    <w:rsid w:val="00570AEC"/>
    <w:rsid w:val="00570D79"/>
    <w:rsid w:val="00570F4B"/>
    <w:rsid w:val="00570F68"/>
    <w:rsid w:val="00571261"/>
    <w:rsid w:val="00571C49"/>
    <w:rsid w:val="00571CBC"/>
    <w:rsid w:val="00571D0C"/>
    <w:rsid w:val="00572129"/>
    <w:rsid w:val="0057307B"/>
    <w:rsid w:val="005730D3"/>
    <w:rsid w:val="00573B3D"/>
    <w:rsid w:val="005766E9"/>
    <w:rsid w:val="00576872"/>
    <w:rsid w:val="005777DE"/>
    <w:rsid w:val="00580A26"/>
    <w:rsid w:val="0058142A"/>
    <w:rsid w:val="0058183B"/>
    <w:rsid w:val="00581A1D"/>
    <w:rsid w:val="00581BA4"/>
    <w:rsid w:val="005833E0"/>
    <w:rsid w:val="005837B7"/>
    <w:rsid w:val="0058472B"/>
    <w:rsid w:val="00584D06"/>
    <w:rsid w:val="00584E1A"/>
    <w:rsid w:val="005850D8"/>
    <w:rsid w:val="005858E9"/>
    <w:rsid w:val="00585D4B"/>
    <w:rsid w:val="00586FDF"/>
    <w:rsid w:val="00587470"/>
    <w:rsid w:val="005902CB"/>
    <w:rsid w:val="0059031A"/>
    <w:rsid w:val="00590E7E"/>
    <w:rsid w:val="005918FE"/>
    <w:rsid w:val="00591CCA"/>
    <w:rsid w:val="00591E07"/>
    <w:rsid w:val="00591EE5"/>
    <w:rsid w:val="00591F4B"/>
    <w:rsid w:val="005920BB"/>
    <w:rsid w:val="0059215A"/>
    <w:rsid w:val="0059228D"/>
    <w:rsid w:val="005926B9"/>
    <w:rsid w:val="00592860"/>
    <w:rsid w:val="00593561"/>
    <w:rsid w:val="005935D6"/>
    <w:rsid w:val="00594000"/>
    <w:rsid w:val="00594734"/>
    <w:rsid w:val="005964FB"/>
    <w:rsid w:val="0059669E"/>
    <w:rsid w:val="00596FC1"/>
    <w:rsid w:val="005974FB"/>
    <w:rsid w:val="00597E3A"/>
    <w:rsid w:val="005A046B"/>
    <w:rsid w:val="005A3497"/>
    <w:rsid w:val="005A4377"/>
    <w:rsid w:val="005A5694"/>
    <w:rsid w:val="005A5BE7"/>
    <w:rsid w:val="005A6A2C"/>
    <w:rsid w:val="005A6E23"/>
    <w:rsid w:val="005A71D4"/>
    <w:rsid w:val="005A7553"/>
    <w:rsid w:val="005B00F3"/>
    <w:rsid w:val="005B02FA"/>
    <w:rsid w:val="005B0AB0"/>
    <w:rsid w:val="005B12E1"/>
    <w:rsid w:val="005B20FB"/>
    <w:rsid w:val="005B2773"/>
    <w:rsid w:val="005B37E3"/>
    <w:rsid w:val="005B38C4"/>
    <w:rsid w:val="005B3D78"/>
    <w:rsid w:val="005B4602"/>
    <w:rsid w:val="005B65B2"/>
    <w:rsid w:val="005B65D0"/>
    <w:rsid w:val="005B66B7"/>
    <w:rsid w:val="005B6F43"/>
    <w:rsid w:val="005B7FFC"/>
    <w:rsid w:val="005C092A"/>
    <w:rsid w:val="005C0E55"/>
    <w:rsid w:val="005C1645"/>
    <w:rsid w:val="005C259F"/>
    <w:rsid w:val="005C2C6B"/>
    <w:rsid w:val="005C5170"/>
    <w:rsid w:val="005C5388"/>
    <w:rsid w:val="005C5536"/>
    <w:rsid w:val="005C6AB5"/>
    <w:rsid w:val="005C706C"/>
    <w:rsid w:val="005C7DA3"/>
    <w:rsid w:val="005D1701"/>
    <w:rsid w:val="005D253E"/>
    <w:rsid w:val="005D264C"/>
    <w:rsid w:val="005D2787"/>
    <w:rsid w:val="005D2A0A"/>
    <w:rsid w:val="005D2A3F"/>
    <w:rsid w:val="005D37DB"/>
    <w:rsid w:val="005D39BA"/>
    <w:rsid w:val="005D3B4B"/>
    <w:rsid w:val="005D4362"/>
    <w:rsid w:val="005D554A"/>
    <w:rsid w:val="005D6690"/>
    <w:rsid w:val="005D6703"/>
    <w:rsid w:val="005E13BF"/>
    <w:rsid w:val="005E23DF"/>
    <w:rsid w:val="005E2552"/>
    <w:rsid w:val="005E2B50"/>
    <w:rsid w:val="005E30CD"/>
    <w:rsid w:val="005E33DE"/>
    <w:rsid w:val="005E58A1"/>
    <w:rsid w:val="005E7B52"/>
    <w:rsid w:val="005F1C02"/>
    <w:rsid w:val="005F1CDC"/>
    <w:rsid w:val="005F2355"/>
    <w:rsid w:val="005F30A5"/>
    <w:rsid w:val="005F3CBE"/>
    <w:rsid w:val="005F3D65"/>
    <w:rsid w:val="005F4307"/>
    <w:rsid w:val="005F499B"/>
    <w:rsid w:val="005F51E1"/>
    <w:rsid w:val="005F577A"/>
    <w:rsid w:val="005F636A"/>
    <w:rsid w:val="005F6ED5"/>
    <w:rsid w:val="005F720E"/>
    <w:rsid w:val="005F72A8"/>
    <w:rsid w:val="005F7484"/>
    <w:rsid w:val="005F7DAA"/>
    <w:rsid w:val="00601058"/>
    <w:rsid w:val="00601A12"/>
    <w:rsid w:val="00602586"/>
    <w:rsid w:val="0060355B"/>
    <w:rsid w:val="00603A16"/>
    <w:rsid w:val="00603F8C"/>
    <w:rsid w:val="00605686"/>
    <w:rsid w:val="00605713"/>
    <w:rsid w:val="0060667F"/>
    <w:rsid w:val="00607F31"/>
    <w:rsid w:val="006100BB"/>
    <w:rsid w:val="00611536"/>
    <w:rsid w:val="00612084"/>
    <w:rsid w:val="00612122"/>
    <w:rsid w:val="006125E9"/>
    <w:rsid w:val="006128FF"/>
    <w:rsid w:val="006130DC"/>
    <w:rsid w:val="00613710"/>
    <w:rsid w:val="00613B5A"/>
    <w:rsid w:val="00613C6E"/>
    <w:rsid w:val="00613CC8"/>
    <w:rsid w:val="00613F03"/>
    <w:rsid w:val="00614918"/>
    <w:rsid w:val="00614A2F"/>
    <w:rsid w:val="00614AC9"/>
    <w:rsid w:val="00614E04"/>
    <w:rsid w:val="00614ECB"/>
    <w:rsid w:val="0061602B"/>
    <w:rsid w:val="00616710"/>
    <w:rsid w:val="00617D1C"/>
    <w:rsid w:val="00620EED"/>
    <w:rsid w:val="00621582"/>
    <w:rsid w:val="006215B1"/>
    <w:rsid w:val="006220DB"/>
    <w:rsid w:val="006226B5"/>
    <w:rsid w:val="006228A9"/>
    <w:rsid w:val="00623BB0"/>
    <w:rsid w:val="00624279"/>
    <w:rsid w:val="00624403"/>
    <w:rsid w:val="00626407"/>
    <w:rsid w:val="00626487"/>
    <w:rsid w:val="00626976"/>
    <w:rsid w:val="0062705F"/>
    <w:rsid w:val="0063122F"/>
    <w:rsid w:val="00631B15"/>
    <w:rsid w:val="0063386E"/>
    <w:rsid w:val="00633CE4"/>
    <w:rsid w:val="00634368"/>
    <w:rsid w:val="00637717"/>
    <w:rsid w:val="00637743"/>
    <w:rsid w:val="00637B6C"/>
    <w:rsid w:val="00637C99"/>
    <w:rsid w:val="00640504"/>
    <w:rsid w:val="006409A7"/>
    <w:rsid w:val="00640C2F"/>
    <w:rsid w:val="00640FDD"/>
    <w:rsid w:val="0064118D"/>
    <w:rsid w:val="00641850"/>
    <w:rsid w:val="00642329"/>
    <w:rsid w:val="006437B5"/>
    <w:rsid w:val="00643CD5"/>
    <w:rsid w:val="0064429C"/>
    <w:rsid w:val="00644A09"/>
    <w:rsid w:val="00645EC6"/>
    <w:rsid w:val="006463BC"/>
    <w:rsid w:val="00646DCD"/>
    <w:rsid w:val="00647FAA"/>
    <w:rsid w:val="00650706"/>
    <w:rsid w:val="006508BD"/>
    <w:rsid w:val="00650B7A"/>
    <w:rsid w:val="00651509"/>
    <w:rsid w:val="00651CA3"/>
    <w:rsid w:val="0065464D"/>
    <w:rsid w:val="00654991"/>
    <w:rsid w:val="006553AC"/>
    <w:rsid w:val="0065570B"/>
    <w:rsid w:val="00655834"/>
    <w:rsid w:val="00655EDB"/>
    <w:rsid w:val="00656BB1"/>
    <w:rsid w:val="0065759C"/>
    <w:rsid w:val="006600FC"/>
    <w:rsid w:val="006603FB"/>
    <w:rsid w:val="006608C5"/>
    <w:rsid w:val="006618C5"/>
    <w:rsid w:val="00662550"/>
    <w:rsid w:val="006639F6"/>
    <w:rsid w:val="00664D25"/>
    <w:rsid w:val="00664F04"/>
    <w:rsid w:val="006655B5"/>
    <w:rsid w:val="0066686B"/>
    <w:rsid w:val="0066748C"/>
    <w:rsid w:val="006676AD"/>
    <w:rsid w:val="00670255"/>
    <w:rsid w:val="00670794"/>
    <w:rsid w:val="00670B52"/>
    <w:rsid w:val="00670FE0"/>
    <w:rsid w:val="0067153A"/>
    <w:rsid w:val="00671DB5"/>
    <w:rsid w:val="00671DD3"/>
    <w:rsid w:val="006721AD"/>
    <w:rsid w:val="006736F9"/>
    <w:rsid w:val="0067377A"/>
    <w:rsid w:val="006738E8"/>
    <w:rsid w:val="00673E74"/>
    <w:rsid w:val="00673F7F"/>
    <w:rsid w:val="00674749"/>
    <w:rsid w:val="00674BF6"/>
    <w:rsid w:val="00674D96"/>
    <w:rsid w:val="00675599"/>
    <w:rsid w:val="0067584B"/>
    <w:rsid w:val="006761E2"/>
    <w:rsid w:val="0067662D"/>
    <w:rsid w:val="006768E2"/>
    <w:rsid w:val="00676BDF"/>
    <w:rsid w:val="006807D0"/>
    <w:rsid w:val="00680EA1"/>
    <w:rsid w:val="006815D4"/>
    <w:rsid w:val="00681FBB"/>
    <w:rsid w:val="00682C0B"/>
    <w:rsid w:val="00682D04"/>
    <w:rsid w:val="006834DE"/>
    <w:rsid w:val="00683A6D"/>
    <w:rsid w:val="006842C5"/>
    <w:rsid w:val="006842C9"/>
    <w:rsid w:val="006847B9"/>
    <w:rsid w:val="00685881"/>
    <w:rsid w:val="00686090"/>
    <w:rsid w:val="00687A1B"/>
    <w:rsid w:val="00690090"/>
    <w:rsid w:val="00690997"/>
    <w:rsid w:val="00690B0F"/>
    <w:rsid w:val="00690D71"/>
    <w:rsid w:val="0069155D"/>
    <w:rsid w:val="00691958"/>
    <w:rsid w:val="00691D16"/>
    <w:rsid w:val="00691F7E"/>
    <w:rsid w:val="00692214"/>
    <w:rsid w:val="00692357"/>
    <w:rsid w:val="006933B5"/>
    <w:rsid w:val="00694982"/>
    <w:rsid w:val="00694D4E"/>
    <w:rsid w:val="00696081"/>
    <w:rsid w:val="0069691C"/>
    <w:rsid w:val="00696A31"/>
    <w:rsid w:val="00697100"/>
    <w:rsid w:val="00697271"/>
    <w:rsid w:val="00697743"/>
    <w:rsid w:val="006A00DF"/>
    <w:rsid w:val="006A0A48"/>
    <w:rsid w:val="006A0B47"/>
    <w:rsid w:val="006A1076"/>
    <w:rsid w:val="006A1AD6"/>
    <w:rsid w:val="006A2C57"/>
    <w:rsid w:val="006A2C5C"/>
    <w:rsid w:val="006A35D1"/>
    <w:rsid w:val="006A372C"/>
    <w:rsid w:val="006A3ED2"/>
    <w:rsid w:val="006A3F52"/>
    <w:rsid w:val="006A4896"/>
    <w:rsid w:val="006A4B03"/>
    <w:rsid w:val="006A4E1D"/>
    <w:rsid w:val="006A5EDA"/>
    <w:rsid w:val="006A63E7"/>
    <w:rsid w:val="006A6D22"/>
    <w:rsid w:val="006A6FAE"/>
    <w:rsid w:val="006B069F"/>
    <w:rsid w:val="006B0C09"/>
    <w:rsid w:val="006B0DA1"/>
    <w:rsid w:val="006B1DA5"/>
    <w:rsid w:val="006B265B"/>
    <w:rsid w:val="006B27B3"/>
    <w:rsid w:val="006B3636"/>
    <w:rsid w:val="006B3A1F"/>
    <w:rsid w:val="006B3B42"/>
    <w:rsid w:val="006B3F27"/>
    <w:rsid w:val="006B4446"/>
    <w:rsid w:val="006B4A20"/>
    <w:rsid w:val="006B4A27"/>
    <w:rsid w:val="006B5A3F"/>
    <w:rsid w:val="006B5FF3"/>
    <w:rsid w:val="006B7592"/>
    <w:rsid w:val="006B7C3B"/>
    <w:rsid w:val="006C0125"/>
    <w:rsid w:val="006C0A3D"/>
    <w:rsid w:val="006C124C"/>
    <w:rsid w:val="006C1416"/>
    <w:rsid w:val="006C1420"/>
    <w:rsid w:val="006C148D"/>
    <w:rsid w:val="006C1A4C"/>
    <w:rsid w:val="006C1C75"/>
    <w:rsid w:val="006C1FA1"/>
    <w:rsid w:val="006C28BB"/>
    <w:rsid w:val="006C2AC9"/>
    <w:rsid w:val="006C2E06"/>
    <w:rsid w:val="006C3023"/>
    <w:rsid w:val="006C34F5"/>
    <w:rsid w:val="006C4F6B"/>
    <w:rsid w:val="006C5BCE"/>
    <w:rsid w:val="006C5C6D"/>
    <w:rsid w:val="006C7378"/>
    <w:rsid w:val="006C7A80"/>
    <w:rsid w:val="006D038F"/>
    <w:rsid w:val="006D06AA"/>
    <w:rsid w:val="006D0C8A"/>
    <w:rsid w:val="006D13F6"/>
    <w:rsid w:val="006D2038"/>
    <w:rsid w:val="006D210D"/>
    <w:rsid w:val="006D25FE"/>
    <w:rsid w:val="006D28D0"/>
    <w:rsid w:val="006D2CF3"/>
    <w:rsid w:val="006D33E6"/>
    <w:rsid w:val="006D3594"/>
    <w:rsid w:val="006D4AA5"/>
    <w:rsid w:val="006D51B6"/>
    <w:rsid w:val="006D6200"/>
    <w:rsid w:val="006D73FB"/>
    <w:rsid w:val="006E0B1F"/>
    <w:rsid w:val="006E17FC"/>
    <w:rsid w:val="006E2D68"/>
    <w:rsid w:val="006E30C6"/>
    <w:rsid w:val="006E3472"/>
    <w:rsid w:val="006E401C"/>
    <w:rsid w:val="006E431D"/>
    <w:rsid w:val="006E4886"/>
    <w:rsid w:val="006E4B15"/>
    <w:rsid w:val="006E4E97"/>
    <w:rsid w:val="006E4FF7"/>
    <w:rsid w:val="006E5276"/>
    <w:rsid w:val="006E61A2"/>
    <w:rsid w:val="006E7E53"/>
    <w:rsid w:val="006F0081"/>
    <w:rsid w:val="006F0347"/>
    <w:rsid w:val="006F03C5"/>
    <w:rsid w:val="006F04AB"/>
    <w:rsid w:val="006F0BE7"/>
    <w:rsid w:val="006F1550"/>
    <w:rsid w:val="006F16BE"/>
    <w:rsid w:val="006F2AB3"/>
    <w:rsid w:val="006F2D8D"/>
    <w:rsid w:val="006F33E4"/>
    <w:rsid w:val="006F342B"/>
    <w:rsid w:val="006F34D8"/>
    <w:rsid w:val="006F43B7"/>
    <w:rsid w:val="006F4696"/>
    <w:rsid w:val="006F505F"/>
    <w:rsid w:val="006F50B7"/>
    <w:rsid w:val="006F55E8"/>
    <w:rsid w:val="006F6C8F"/>
    <w:rsid w:val="006F7A74"/>
    <w:rsid w:val="00700478"/>
    <w:rsid w:val="00700AFC"/>
    <w:rsid w:val="00701545"/>
    <w:rsid w:val="007015AE"/>
    <w:rsid w:val="00701C90"/>
    <w:rsid w:val="00701D6E"/>
    <w:rsid w:val="0070360F"/>
    <w:rsid w:val="007038A0"/>
    <w:rsid w:val="00703CBC"/>
    <w:rsid w:val="00703E93"/>
    <w:rsid w:val="00704BA9"/>
    <w:rsid w:val="00705EB0"/>
    <w:rsid w:val="007067B2"/>
    <w:rsid w:val="00706F96"/>
    <w:rsid w:val="00707402"/>
    <w:rsid w:val="0071030E"/>
    <w:rsid w:val="007106FA"/>
    <w:rsid w:val="007107BA"/>
    <w:rsid w:val="00711752"/>
    <w:rsid w:val="00711824"/>
    <w:rsid w:val="0071184F"/>
    <w:rsid w:val="00711919"/>
    <w:rsid w:val="00712206"/>
    <w:rsid w:val="00712224"/>
    <w:rsid w:val="007122D8"/>
    <w:rsid w:val="00712D1A"/>
    <w:rsid w:val="00713F1A"/>
    <w:rsid w:val="00713FB4"/>
    <w:rsid w:val="0071530D"/>
    <w:rsid w:val="00715620"/>
    <w:rsid w:val="0071567E"/>
    <w:rsid w:val="00716245"/>
    <w:rsid w:val="00717D93"/>
    <w:rsid w:val="00720D49"/>
    <w:rsid w:val="00722346"/>
    <w:rsid w:val="00722C6D"/>
    <w:rsid w:val="00722DCF"/>
    <w:rsid w:val="0072300D"/>
    <w:rsid w:val="00723926"/>
    <w:rsid w:val="0072502A"/>
    <w:rsid w:val="0072548C"/>
    <w:rsid w:val="00726D18"/>
    <w:rsid w:val="00727ACB"/>
    <w:rsid w:val="00727DD9"/>
    <w:rsid w:val="00730102"/>
    <w:rsid w:val="00730481"/>
    <w:rsid w:val="00730DEA"/>
    <w:rsid w:val="007315C5"/>
    <w:rsid w:val="00732106"/>
    <w:rsid w:val="00732930"/>
    <w:rsid w:val="00732D6C"/>
    <w:rsid w:val="00732E3C"/>
    <w:rsid w:val="007332F5"/>
    <w:rsid w:val="0073359B"/>
    <w:rsid w:val="00733834"/>
    <w:rsid w:val="00733CD5"/>
    <w:rsid w:val="00734089"/>
    <w:rsid w:val="00734C99"/>
    <w:rsid w:val="00734FD0"/>
    <w:rsid w:val="00735B19"/>
    <w:rsid w:val="00736863"/>
    <w:rsid w:val="00736C31"/>
    <w:rsid w:val="007379B8"/>
    <w:rsid w:val="00737F18"/>
    <w:rsid w:val="00741AE5"/>
    <w:rsid w:val="007425B5"/>
    <w:rsid w:val="00742882"/>
    <w:rsid w:val="00742F86"/>
    <w:rsid w:val="007430AD"/>
    <w:rsid w:val="007436AE"/>
    <w:rsid w:val="007444DB"/>
    <w:rsid w:val="007447C7"/>
    <w:rsid w:val="007458A3"/>
    <w:rsid w:val="007468AB"/>
    <w:rsid w:val="00746D52"/>
    <w:rsid w:val="00746FB8"/>
    <w:rsid w:val="007470A2"/>
    <w:rsid w:val="007508E6"/>
    <w:rsid w:val="007516C0"/>
    <w:rsid w:val="00751E4B"/>
    <w:rsid w:val="00752FBA"/>
    <w:rsid w:val="00753A9C"/>
    <w:rsid w:val="00753E65"/>
    <w:rsid w:val="0075461A"/>
    <w:rsid w:val="00754FFE"/>
    <w:rsid w:val="00756404"/>
    <w:rsid w:val="00756641"/>
    <w:rsid w:val="00756F18"/>
    <w:rsid w:val="0075775B"/>
    <w:rsid w:val="007578F1"/>
    <w:rsid w:val="007578F6"/>
    <w:rsid w:val="007622D2"/>
    <w:rsid w:val="0076231C"/>
    <w:rsid w:val="007623A3"/>
    <w:rsid w:val="00762E96"/>
    <w:rsid w:val="00762ED6"/>
    <w:rsid w:val="007633B2"/>
    <w:rsid w:val="0076474F"/>
    <w:rsid w:val="00764CB7"/>
    <w:rsid w:val="00764EF8"/>
    <w:rsid w:val="00765C09"/>
    <w:rsid w:val="00765C41"/>
    <w:rsid w:val="00765CAD"/>
    <w:rsid w:val="00766CF6"/>
    <w:rsid w:val="007679C4"/>
    <w:rsid w:val="00770A0F"/>
    <w:rsid w:val="00770D3B"/>
    <w:rsid w:val="00772288"/>
    <w:rsid w:val="00772EED"/>
    <w:rsid w:val="0077385F"/>
    <w:rsid w:val="00773AC0"/>
    <w:rsid w:val="007744DB"/>
    <w:rsid w:val="00775194"/>
    <w:rsid w:val="007753D5"/>
    <w:rsid w:val="007765B5"/>
    <w:rsid w:val="007766A2"/>
    <w:rsid w:val="007771AC"/>
    <w:rsid w:val="00777F35"/>
    <w:rsid w:val="0078079F"/>
    <w:rsid w:val="00780ED4"/>
    <w:rsid w:val="007814FE"/>
    <w:rsid w:val="007818CA"/>
    <w:rsid w:val="00781B8A"/>
    <w:rsid w:val="007828CD"/>
    <w:rsid w:val="00783A4C"/>
    <w:rsid w:val="00783A72"/>
    <w:rsid w:val="00783EE0"/>
    <w:rsid w:val="00784396"/>
    <w:rsid w:val="0078451C"/>
    <w:rsid w:val="00785FA3"/>
    <w:rsid w:val="007864F5"/>
    <w:rsid w:val="00786EEA"/>
    <w:rsid w:val="007871DB"/>
    <w:rsid w:val="00787716"/>
    <w:rsid w:val="00787BDA"/>
    <w:rsid w:val="00790AAC"/>
    <w:rsid w:val="00790C7E"/>
    <w:rsid w:val="00790ECA"/>
    <w:rsid w:val="007936FD"/>
    <w:rsid w:val="0079375C"/>
    <w:rsid w:val="00793868"/>
    <w:rsid w:val="00793ACB"/>
    <w:rsid w:val="0079410B"/>
    <w:rsid w:val="0079516B"/>
    <w:rsid w:val="0079600E"/>
    <w:rsid w:val="00796783"/>
    <w:rsid w:val="00796B52"/>
    <w:rsid w:val="00796DD9"/>
    <w:rsid w:val="00797005"/>
    <w:rsid w:val="0079791A"/>
    <w:rsid w:val="007A0DEA"/>
    <w:rsid w:val="007A1593"/>
    <w:rsid w:val="007A1919"/>
    <w:rsid w:val="007A1EA8"/>
    <w:rsid w:val="007A23B8"/>
    <w:rsid w:val="007A2CE0"/>
    <w:rsid w:val="007A32C9"/>
    <w:rsid w:val="007A36D6"/>
    <w:rsid w:val="007A3A88"/>
    <w:rsid w:val="007A49CA"/>
    <w:rsid w:val="007A54E9"/>
    <w:rsid w:val="007A55A0"/>
    <w:rsid w:val="007A5961"/>
    <w:rsid w:val="007A5ECC"/>
    <w:rsid w:val="007A627F"/>
    <w:rsid w:val="007A6893"/>
    <w:rsid w:val="007A73FD"/>
    <w:rsid w:val="007A7A9A"/>
    <w:rsid w:val="007B0B4C"/>
    <w:rsid w:val="007B220E"/>
    <w:rsid w:val="007B2336"/>
    <w:rsid w:val="007B27FC"/>
    <w:rsid w:val="007B29BD"/>
    <w:rsid w:val="007B2E2C"/>
    <w:rsid w:val="007B3B78"/>
    <w:rsid w:val="007B5541"/>
    <w:rsid w:val="007B56BE"/>
    <w:rsid w:val="007B7144"/>
    <w:rsid w:val="007B7450"/>
    <w:rsid w:val="007C1264"/>
    <w:rsid w:val="007C1F40"/>
    <w:rsid w:val="007C2125"/>
    <w:rsid w:val="007C2431"/>
    <w:rsid w:val="007C25CB"/>
    <w:rsid w:val="007C3187"/>
    <w:rsid w:val="007C358B"/>
    <w:rsid w:val="007C3AD6"/>
    <w:rsid w:val="007C3FC4"/>
    <w:rsid w:val="007C482E"/>
    <w:rsid w:val="007C4A89"/>
    <w:rsid w:val="007C4D60"/>
    <w:rsid w:val="007C55CE"/>
    <w:rsid w:val="007C58D1"/>
    <w:rsid w:val="007C5ECA"/>
    <w:rsid w:val="007C6248"/>
    <w:rsid w:val="007C723F"/>
    <w:rsid w:val="007C753E"/>
    <w:rsid w:val="007C7810"/>
    <w:rsid w:val="007D12E2"/>
    <w:rsid w:val="007D1524"/>
    <w:rsid w:val="007D15DA"/>
    <w:rsid w:val="007D1DA6"/>
    <w:rsid w:val="007D2226"/>
    <w:rsid w:val="007D2F9C"/>
    <w:rsid w:val="007D316C"/>
    <w:rsid w:val="007D35A5"/>
    <w:rsid w:val="007D3852"/>
    <w:rsid w:val="007D3EF7"/>
    <w:rsid w:val="007D4BA7"/>
    <w:rsid w:val="007D513C"/>
    <w:rsid w:val="007D6C6D"/>
    <w:rsid w:val="007D6F32"/>
    <w:rsid w:val="007D752D"/>
    <w:rsid w:val="007E0E05"/>
    <w:rsid w:val="007E1400"/>
    <w:rsid w:val="007E16DE"/>
    <w:rsid w:val="007E19FF"/>
    <w:rsid w:val="007E2E82"/>
    <w:rsid w:val="007E39A6"/>
    <w:rsid w:val="007E5AFD"/>
    <w:rsid w:val="007E5D7F"/>
    <w:rsid w:val="007E5D91"/>
    <w:rsid w:val="007E5E5A"/>
    <w:rsid w:val="007E5F42"/>
    <w:rsid w:val="007E6029"/>
    <w:rsid w:val="007E6588"/>
    <w:rsid w:val="007E6689"/>
    <w:rsid w:val="007E6691"/>
    <w:rsid w:val="007E727C"/>
    <w:rsid w:val="007E7DE2"/>
    <w:rsid w:val="007F0FA7"/>
    <w:rsid w:val="007F13CD"/>
    <w:rsid w:val="007F228C"/>
    <w:rsid w:val="007F3089"/>
    <w:rsid w:val="007F32A0"/>
    <w:rsid w:val="007F35D6"/>
    <w:rsid w:val="007F39E7"/>
    <w:rsid w:val="007F4037"/>
    <w:rsid w:val="007F4D9C"/>
    <w:rsid w:val="007F65B8"/>
    <w:rsid w:val="007F6724"/>
    <w:rsid w:val="007F7AAB"/>
    <w:rsid w:val="007F7D3D"/>
    <w:rsid w:val="00800245"/>
    <w:rsid w:val="00800306"/>
    <w:rsid w:val="00800875"/>
    <w:rsid w:val="00800A1D"/>
    <w:rsid w:val="008011D2"/>
    <w:rsid w:val="008014B7"/>
    <w:rsid w:val="008018C7"/>
    <w:rsid w:val="008029CB"/>
    <w:rsid w:val="0080386D"/>
    <w:rsid w:val="008038B6"/>
    <w:rsid w:val="00803BA3"/>
    <w:rsid w:val="00804387"/>
    <w:rsid w:val="00804746"/>
    <w:rsid w:val="008047DB"/>
    <w:rsid w:val="00804A1A"/>
    <w:rsid w:val="00804FEB"/>
    <w:rsid w:val="00805194"/>
    <w:rsid w:val="008070DC"/>
    <w:rsid w:val="00807119"/>
    <w:rsid w:val="008072B2"/>
    <w:rsid w:val="008075AF"/>
    <w:rsid w:val="008077D5"/>
    <w:rsid w:val="008102D2"/>
    <w:rsid w:val="008107B1"/>
    <w:rsid w:val="008114F0"/>
    <w:rsid w:val="0081298D"/>
    <w:rsid w:val="008139B5"/>
    <w:rsid w:val="00813DA1"/>
    <w:rsid w:val="00814871"/>
    <w:rsid w:val="00814B8F"/>
    <w:rsid w:val="008156D3"/>
    <w:rsid w:val="008158B9"/>
    <w:rsid w:val="0081607D"/>
    <w:rsid w:val="00816930"/>
    <w:rsid w:val="00817008"/>
    <w:rsid w:val="00817C98"/>
    <w:rsid w:val="00820126"/>
    <w:rsid w:val="00820237"/>
    <w:rsid w:val="0082047C"/>
    <w:rsid w:val="00820D5D"/>
    <w:rsid w:val="00821497"/>
    <w:rsid w:val="0082262E"/>
    <w:rsid w:val="00823027"/>
    <w:rsid w:val="00823046"/>
    <w:rsid w:val="00823ED0"/>
    <w:rsid w:val="0082468D"/>
    <w:rsid w:val="00824B92"/>
    <w:rsid w:val="00826824"/>
    <w:rsid w:val="008274FA"/>
    <w:rsid w:val="00827D88"/>
    <w:rsid w:val="0083083D"/>
    <w:rsid w:val="008308AC"/>
    <w:rsid w:val="0083138B"/>
    <w:rsid w:val="00831604"/>
    <w:rsid w:val="0083165B"/>
    <w:rsid w:val="00831996"/>
    <w:rsid w:val="00832483"/>
    <w:rsid w:val="0083280A"/>
    <w:rsid w:val="00833612"/>
    <w:rsid w:val="00835DD2"/>
    <w:rsid w:val="00836761"/>
    <w:rsid w:val="00837549"/>
    <w:rsid w:val="0084129D"/>
    <w:rsid w:val="00841972"/>
    <w:rsid w:val="0084275C"/>
    <w:rsid w:val="008428C8"/>
    <w:rsid w:val="008429D9"/>
    <w:rsid w:val="00842C7E"/>
    <w:rsid w:val="00843633"/>
    <w:rsid w:val="0084400C"/>
    <w:rsid w:val="00844562"/>
    <w:rsid w:val="008456C4"/>
    <w:rsid w:val="008463E0"/>
    <w:rsid w:val="008472A8"/>
    <w:rsid w:val="008474CB"/>
    <w:rsid w:val="008501EF"/>
    <w:rsid w:val="008510A3"/>
    <w:rsid w:val="0085407A"/>
    <w:rsid w:val="008545B5"/>
    <w:rsid w:val="00854C19"/>
    <w:rsid w:val="00854EA6"/>
    <w:rsid w:val="00854EDF"/>
    <w:rsid w:val="008552F9"/>
    <w:rsid w:val="008555A3"/>
    <w:rsid w:val="008570A2"/>
    <w:rsid w:val="008574FE"/>
    <w:rsid w:val="00857D4E"/>
    <w:rsid w:val="0086073D"/>
    <w:rsid w:val="00860D47"/>
    <w:rsid w:val="00860E3C"/>
    <w:rsid w:val="00861EDA"/>
    <w:rsid w:val="0086252B"/>
    <w:rsid w:val="00863C08"/>
    <w:rsid w:val="0086441B"/>
    <w:rsid w:val="008645FF"/>
    <w:rsid w:val="0086544B"/>
    <w:rsid w:val="0086621C"/>
    <w:rsid w:val="00866F00"/>
    <w:rsid w:val="008673FA"/>
    <w:rsid w:val="008673FB"/>
    <w:rsid w:val="00867714"/>
    <w:rsid w:val="00867E86"/>
    <w:rsid w:val="0087006D"/>
    <w:rsid w:val="00870122"/>
    <w:rsid w:val="00871874"/>
    <w:rsid w:val="008718A5"/>
    <w:rsid w:val="00872215"/>
    <w:rsid w:val="00872230"/>
    <w:rsid w:val="00872A19"/>
    <w:rsid w:val="00873154"/>
    <w:rsid w:val="00873175"/>
    <w:rsid w:val="00873AC3"/>
    <w:rsid w:val="00874183"/>
    <w:rsid w:val="00874564"/>
    <w:rsid w:val="008751DA"/>
    <w:rsid w:val="0087523E"/>
    <w:rsid w:val="0087597F"/>
    <w:rsid w:val="008764EB"/>
    <w:rsid w:val="008771E4"/>
    <w:rsid w:val="00877790"/>
    <w:rsid w:val="008778CF"/>
    <w:rsid w:val="00877914"/>
    <w:rsid w:val="00877ADF"/>
    <w:rsid w:val="0088039F"/>
    <w:rsid w:val="008810CD"/>
    <w:rsid w:val="00881ED2"/>
    <w:rsid w:val="008848BE"/>
    <w:rsid w:val="00884EB3"/>
    <w:rsid w:val="00884FA7"/>
    <w:rsid w:val="0088540E"/>
    <w:rsid w:val="00885783"/>
    <w:rsid w:val="00886248"/>
    <w:rsid w:val="00886549"/>
    <w:rsid w:val="00886FDB"/>
    <w:rsid w:val="0088739B"/>
    <w:rsid w:val="0088780A"/>
    <w:rsid w:val="00887C95"/>
    <w:rsid w:val="00887CBB"/>
    <w:rsid w:val="008906F1"/>
    <w:rsid w:val="00891160"/>
    <w:rsid w:val="00891259"/>
    <w:rsid w:val="00892028"/>
    <w:rsid w:val="0089233F"/>
    <w:rsid w:val="00893015"/>
    <w:rsid w:val="00893815"/>
    <w:rsid w:val="00894346"/>
    <w:rsid w:val="00894F55"/>
    <w:rsid w:val="00895AF5"/>
    <w:rsid w:val="00895CB8"/>
    <w:rsid w:val="008960E5"/>
    <w:rsid w:val="008969FA"/>
    <w:rsid w:val="008A0444"/>
    <w:rsid w:val="008A08EE"/>
    <w:rsid w:val="008A1143"/>
    <w:rsid w:val="008A1A42"/>
    <w:rsid w:val="008A40EE"/>
    <w:rsid w:val="008A4F8D"/>
    <w:rsid w:val="008A4FBF"/>
    <w:rsid w:val="008A5075"/>
    <w:rsid w:val="008A518C"/>
    <w:rsid w:val="008A54C3"/>
    <w:rsid w:val="008A5579"/>
    <w:rsid w:val="008A6183"/>
    <w:rsid w:val="008A6812"/>
    <w:rsid w:val="008A692C"/>
    <w:rsid w:val="008A6DC0"/>
    <w:rsid w:val="008A78A3"/>
    <w:rsid w:val="008B0B94"/>
    <w:rsid w:val="008B17AA"/>
    <w:rsid w:val="008B1B67"/>
    <w:rsid w:val="008B2024"/>
    <w:rsid w:val="008B205A"/>
    <w:rsid w:val="008B2CA5"/>
    <w:rsid w:val="008B2F1E"/>
    <w:rsid w:val="008B30C9"/>
    <w:rsid w:val="008B31C5"/>
    <w:rsid w:val="008B411C"/>
    <w:rsid w:val="008B429B"/>
    <w:rsid w:val="008C057C"/>
    <w:rsid w:val="008C0976"/>
    <w:rsid w:val="008C0F9C"/>
    <w:rsid w:val="008C2719"/>
    <w:rsid w:val="008C325D"/>
    <w:rsid w:val="008C327C"/>
    <w:rsid w:val="008C410C"/>
    <w:rsid w:val="008C4995"/>
    <w:rsid w:val="008C51AE"/>
    <w:rsid w:val="008C5C6C"/>
    <w:rsid w:val="008C6025"/>
    <w:rsid w:val="008C69D5"/>
    <w:rsid w:val="008C6A49"/>
    <w:rsid w:val="008C766E"/>
    <w:rsid w:val="008D17AF"/>
    <w:rsid w:val="008D2719"/>
    <w:rsid w:val="008D28EC"/>
    <w:rsid w:val="008D4A0F"/>
    <w:rsid w:val="008D51AF"/>
    <w:rsid w:val="008D58D6"/>
    <w:rsid w:val="008D5E54"/>
    <w:rsid w:val="008D6362"/>
    <w:rsid w:val="008D7204"/>
    <w:rsid w:val="008D750E"/>
    <w:rsid w:val="008E04A6"/>
    <w:rsid w:val="008E0E68"/>
    <w:rsid w:val="008E252B"/>
    <w:rsid w:val="008E2701"/>
    <w:rsid w:val="008E2C26"/>
    <w:rsid w:val="008E31D7"/>
    <w:rsid w:val="008E3E68"/>
    <w:rsid w:val="008E4B9B"/>
    <w:rsid w:val="008E5915"/>
    <w:rsid w:val="008E601A"/>
    <w:rsid w:val="008E60A8"/>
    <w:rsid w:val="008E6755"/>
    <w:rsid w:val="008E6D53"/>
    <w:rsid w:val="008E6E8F"/>
    <w:rsid w:val="008F02CB"/>
    <w:rsid w:val="008F15CC"/>
    <w:rsid w:val="008F1AC3"/>
    <w:rsid w:val="008F1B4E"/>
    <w:rsid w:val="008F26CF"/>
    <w:rsid w:val="008F2FC4"/>
    <w:rsid w:val="008F50E5"/>
    <w:rsid w:val="008F5653"/>
    <w:rsid w:val="008F5E34"/>
    <w:rsid w:val="008F6E6C"/>
    <w:rsid w:val="008F6EC5"/>
    <w:rsid w:val="008F7490"/>
    <w:rsid w:val="008F7FB6"/>
    <w:rsid w:val="009005BD"/>
    <w:rsid w:val="009010F2"/>
    <w:rsid w:val="009014A7"/>
    <w:rsid w:val="009014A9"/>
    <w:rsid w:val="00902458"/>
    <w:rsid w:val="00902833"/>
    <w:rsid w:val="00902F90"/>
    <w:rsid w:val="0090386F"/>
    <w:rsid w:val="00903AE7"/>
    <w:rsid w:val="00904632"/>
    <w:rsid w:val="009049B7"/>
    <w:rsid w:val="00905220"/>
    <w:rsid w:val="00905E5E"/>
    <w:rsid w:val="00906026"/>
    <w:rsid w:val="00906E04"/>
    <w:rsid w:val="0090706E"/>
    <w:rsid w:val="0091060D"/>
    <w:rsid w:val="00910965"/>
    <w:rsid w:val="00910F94"/>
    <w:rsid w:val="009111C9"/>
    <w:rsid w:val="00911785"/>
    <w:rsid w:val="0091210C"/>
    <w:rsid w:val="0091219D"/>
    <w:rsid w:val="0091278A"/>
    <w:rsid w:val="0091351C"/>
    <w:rsid w:val="0091397D"/>
    <w:rsid w:val="00913B5C"/>
    <w:rsid w:val="00914012"/>
    <w:rsid w:val="0091451F"/>
    <w:rsid w:val="009156F3"/>
    <w:rsid w:val="009160F4"/>
    <w:rsid w:val="009163A4"/>
    <w:rsid w:val="00916AF8"/>
    <w:rsid w:val="00917EFB"/>
    <w:rsid w:val="009221FB"/>
    <w:rsid w:val="00922210"/>
    <w:rsid w:val="00922A29"/>
    <w:rsid w:val="00922DC5"/>
    <w:rsid w:val="00922DF2"/>
    <w:rsid w:val="00923267"/>
    <w:rsid w:val="009233B2"/>
    <w:rsid w:val="00923F89"/>
    <w:rsid w:val="009248AB"/>
    <w:rsid w:val="009258CE"/>
    <w:rsid w:val="00925BF8"/>
    <w:rsid w:val="00925C58"/>
    <w:rsid w:val="00926AC4"/>
    <w:rsid w:val="009274FE"/>
    <w:rsid w:val="009277B1"/>
    <w:rsid w:val="009279B1"/>
    <w:rsid w:val="0093022A"/>
    <w:rsid w:val="009310CF"/>
    <w:rsid w:val="009313AB"/>
    <w:rsid w:val="00934465"/>
    <w:rsid w:val="009348E0"/>
    <w:rsid w:val="0093519E"/>
    <w:rsid w:val="00935754"/>
    <w:rsid w:val="00935A9B"/>
    <w:rsid w:val="00936B45"/>
    <w:rsid w:val="009375CD"/>
    <w:rsid w:val="009376C4"/>
    <w:rsid w:val="00940A4F"/>
    <w:rsid w:val="00941040"/>
    <w:rsid w:val="00941610"/>
    <w:rsid w:val="00941D77"/>
    <w:rsid w:val="00941DAB"/>
    <w:rsid w:val="009423B5"/>
    <w:rsid w:val="0094246F"/>
    <w:rsid w:val="00942CA7"/>
    <w:rsid w:val="0094346C"/>
    <w:rsid w:val="00943B1B"/>
    <w:rsid w:val="00943C24"/>
    <w:rsid w:val="0094428F"/>
    <w:rsid w:val="00944348"/>
    <w:rsid w:val="009443C7"/>
    <w:rsid w:val="00944592"/>
    <w:rsid w:val="009446FC"/>
    <w:rsid w:val="00945229"/>
    <w:rsid w:val="00945687"/>
    <w:rsid w:val="00946E6D"/>
    <w:rsid w:val="0094726E"/>
    <w:rsid w:val="009475A0"/>
    <w:rsid w:val="00950352"/>
    <w:rsid w:val="009514D7"/>
    <w:rsid w:val="009523B4"/>
    <w:rsid w:val="0095275D"/>
    <w:rsid w:val="00952CAC"/>
    <w:rsid w:val="00953033"/>
    <w:rsid w:val="00953645"/>
    <w:rsid w:val="0095430C"/>
    <w:rsid w:val="009555C1"/>
    <w:rsid w:val="00955C08"/>
    <w:rsid w:val="00956201"/>
    <w:rsid w:val="00956B84"/>
    <w:rsid w:val="009575E9"/>
    <w:rsid w:val="009616BA"/>
    <w:rsid w:val="009616DC"/>
    <w:rsid w:val="009622CE"/>
    <w:rsid w:val="00962565"/>
    <w:rsid w:val="00962837"/>
    <w:rsid w:val="009628DE"/>
    <w:rsid w:val="009638CA"/>
    <w:rsid w:val="00963AD7"/>
    <w:rsid w:val="00963C8A"/>
    <w:rsid w:val="00964C81"/>
    <w:rsid w:val="00965D35"/>
    <w:rsid w:val="00967529"/>
    <w:rsid w:val="0096766A"/>
    <w:rsid w:val="00967AF9"/>
    <w:rsid w:val="00967C49"/>
    <w:rsid w:val="00967E55"/>
    <w:rsid w:val="009701AE"/>
    <w:rsid w:val="009720CD"/>
    <w:rsid w:val="00972ACA"/>
    <w:rsid w:val="00973478"/>
    <w:rsid w:val="0097368C"/>
    <w:rsid w:val="00973ACA"/>
    <w:rsid w:val="00973AE7"/>
    <w:rsid w:val="00973B54"/>
    <w:rsid w:val="00973ECC"/>
    <w:rsid w:val="009742A2"/>
    <w:rsid w:val="0097455C"/>
    <w:rsid w:val="00974CD2"/>
    <w:rsid w:val="00975239"/>
    <w:rsid w:val="00975794"/>
    <w:rsid w:val="00975C7E"/>
    <w:rsid w:val="00977BEB"/>
    <w:rsid w:val="00977D55"/>
    <w:rsid w:val="00981AC9"/>
    <w:rsid w:val="0098258C"/>
    <w:rsid w:val="009828B2"/>
    <w:rsid w:val="00982CDD"/>
    <w:rsid w:val="00982E42"/>
    <w:rsid w:val="00982ED7"/>
    <w:rsid w:val="0098371B"/>
    <w:rsid w:val="00983CE4"/>
    <w:rsid w:val="00984306"/>
    <w:rsid w:val="009847A3"/>
    <w:rsid w:val="00984BA8"/>
    <w:rsid w:val="00984E3C"/>
    <w:rsid w:val="00985B10"/>
    <w:rsid w:val="009862BB"/>
    <w:rsid w:val="00986DBE"/>
    <w:rsid w:val="00986DBF"/>
    <w:rsid w:val="009870FA"/>
    <w:rsid w:val="00987F18"/>
    <w:rsid w:val="009917CE"/>
    <w:rsid w:val="00993092"/>
    <w:rsid w:val="009939D1"/>
    <w:rsid w:val="00995A28"/>
    <w:rsid w:val="00995C39"/>
    <w:rsid w:val="00996191"/>
    <w:rsid w:val="00996379"/>
    <w:rsid w:val="009963FD"/>
    <w:rsid w:val="00996902"/>
    <w:rsid w:val="00996CB4"/>
    <w:rsid w:val="00997148"/>
    <w:rsid w:val="00997292"/>
    <w:rsid w:val="0099767F"/>
    <w:rsid w:val="0099782A"/>
    <w:rsid w:val="009A012A"/>
    <w:rsid w:val="009A1C99"/>
    <w:rsid w:val="009A1F4F"/>
    <w:rsid w:val="009A3284"/>
    <w:rsid w:val="009A36EE"/>
    <w:rsid w:val="009A3BFF"/>
    <w:rsid w:val="009A4767"/>
    <w:rsid w:val="009A4B93"/>
    <w:rsid w:val="009A4C6A"/>
    <w:rsid w:val="009A63FB"/>
    <w:rsid w:val="009A6558"/>
    <w:rsid w:val="009A6FC2"/>
    <w:rsid w:val="009A74BC"/>
    <w:rsid w:val="009A771C"/>
    <w:rsid w:val="009A7D35"/>
    <w:rsid w:val="009B0208"/>
    <w:rsid w:val="009B04DA"/>
    <w:rsid w:val="009B0D88"/>
    <w:rsid w:val="009B0DB6"/>
    <w:rsid w:val="009B1181"/>
    <w:rsid w:val="009B27F5"/>
    <w:rsid w:val="009B39D1"/>
    <w:rsid w:val="009B48DC"/>
    <w:rsid w:val="009B53C5"/>
    <w:rsid w:val="009B5765"/>
    <w:rsid w:val="009B72E7"/>
    <w:rsid w:val="009B746E"/>
    <w:rsid w:val="009B75AF"/>
    <w:rsid w:val="009B7B99"/>
    <w:rsid w:val="009C2391"/>
    <w:rsid w:val="009C27BC"/>
    <w:rsid w:val="009C39C6"/>
    <w:rsid w:val="009C43C5"/>
    <w:rsid w:val="009C4AB8"/>
    <w:rsid w:val="009C4AEB"/>
    <w:rsid w:val="009C59F0"/>
    <w:rsid w:val="009C6C89"/>
    <w:rsid w:val="009C6E7F"/>
    <w:rsid w:val="009C7943"/>
    <w:rsid w:val="009D0884"/>
    <w:rsid w:val="009D0B1C"/>
    <w:rsid w:val="009D1164"/>
    <w:rsid w:val="009D15FF"/>
    <w:rsid w:val="009D1609"/>
    <w:rsid w:val="009D1C66"/>
    <w:rsid w:val="009D242D"/>
    <w:rsid w:val="009D257F"/>
    <w:rsid w:val="009D25A6"/>
    <w:rsid w:val="009D360B"/>
    <w:rsid w:val="009D3C6C"/>
    <w:rsid w:val="009D3D17"/>
    <w:rsid w:val="009D550D"/>
    <w:rsid w:val="009D7071"/>
    <w:rsid w:val="009D7230"/>
    <w:rsid w:val="009D755A"/>
    <w:rsid w:val="009D7696"/>
    <w:rsid w:val="009E0FA7"/>
    <w:rsid w:val="009E1672"/>
    <w:rsid w:val="009E173C"/>
    <w:rsid w:val="009E1A04"/>
    <w:rsid w:val="009E1A58"/>
    <w:rsid w:val="009E1CE3"/>
    <w:rsid w:val="009E3073"/>
    <w:rsid w:val="009E310C"/>
    <w:rsid w:val="009E325A"/>
    <w:rsid w:val="009E34A6"/>
    <w:rsid w:val="009E4488"/>
    <w:rsid w:val="009E461B"/>
    <w:rsid w:val="009E52CA"/>
    <w:rsid w:val="009E5927"/>
    <w:rsid w:val="009E682A"/>
    <w:rsid w:val="009E6FB2"/>
    <w:rsid w:val="009E7572"/>
    <w:rsid w:val="009E791C"/>
    <w:rsid w:val="009E7E50"/>
    <w:rsid w:val="009F054D"/>
    <w:rsid w:val="009F0552"/>
    <w:rsid w:val="009F0ADA"/>
    <w:rsid w:val="009F0E24"/>
    <w:rsid w:val="009F1763"/>
    <w:rsid w:val="009F1FFF"/>
    <w:rsid w:val="009F2756"/>
    <w:rsid w:val="009F3714"/>
    <w:rsid w:val="009F4FE9"/>
    <w:rsid w:val="009F69A9"/>
    <w:rsid w:val="00A00261"/>
    <w:rsid w:val="00A00EF8"/>
    <w:rsid w:val="00A01105"/>
    <w:rsid w:val="00A023F3"/>
    <w:rsid w:val="00A04119"/>
    <w:rsid w:val="00A0412A"/>
    <w:rsid w:val="00A041D6"/>
    <w:rsid w:val="00A051D6"/>
    <w:rsid w:val="00A055ED"/>
    <w:rsid w:val="00A06088"/>
    <w:rsid w:val="00A06702"/>
    <w:rsid w:val="00A06D82"/>
    <w:rsid w:val="00A07DD7"/>
    <w:rsid w:val="00A116F0"/>
    <w:rsid w:val="00A12C55"/>
    <w:rsid w:val="00A14655"/>
    <w:rsid w:val="00A1478A"/>
    <w:rsid w:val="00A15C52"/>
    <w:rsid w:val="00A15E37"/>
    <w:rsid w:val="00A163CE"/>
    <w:rsid w:val="00A16695"/>
    <w:rsid w:val="00A1686E"/>
    <w:rsid w:val="00A17A7E"/>
    <w:rsid w:val="00A203DB"/>
    <w:rsid w:val="00A213CB"/>
    <w:rsid w:val="00A21856"/>
    <w:rsid w:val="00A21FCB"/>
    <w:rsid w:val="00A22060"/>
    <w:rsid w:val="00A2220E"/>
    <w:rsid w:val="00A226E3"/>
    <w:rsid w:val="00A2271A"/>
    <w:rsid w:val="00A22BCB"/>
    <w:rsid w:val="00A23497"/>
    <w:rsid w:val="00A23DCF"/>
    <w:rsid w:val="00A24BD6"/>
    <w:rsid w:val="00A25DFF"/>
    <w:rsid w:val="00A26E51"/>
    <w:rsid w:val="00A26F70"/>
    <w:rsid w:val="00A27310"/>
    <w:rsid w:val="00A2767F"/>
    <w:rsid w:val="00A30068"/>
    <w:rsid w:val="00A30751"/>
    <w:rsid w:val="00A31A18"/>
    <w:rsid w:val="00A31C24"/>
    <w:rsid w:val="00A31FB7"/>
    <w:rsid w:val="00A31FDD"/>
    <w:rsid w:val="00A3323D"/>
    <w:rsid w:val="00A341F7"/>
    <w:rsid w:val="00A34BB3"/>
    <w:rsid w:val="00A3523B"/>
    <w:rsid w:val="00A352A0"/>
    <w:rsid w:val="00A36F49"/>
    <w:rsid w:val="00A37891"/>
    <w:rsid w:val="00A378F3"/>
    <w:rsid w:val="00A40694"/>
    <w:rsid w:val="00A40BC6"/>
    <w:rsid w:val="00A41AA6"/>
    <w:rsid w:val="00A41F57"/>
    <w:rsid w:val="00A445A2"/>
    <w:rsid w:val="00A44A5F"/>
    <w:rsid w:val="00A45140"/>
    <w:rsid w:val="00A453F9"/>
    <w:rsid w:val="00A4542C"/>
    <w:rsid w:val="00A45946"/>
    <w:rsid w:val="00A45E3F"/>
    <w:rsid w:val="00A460BE"/>
    <w:rsid w:val="00A4618E"/>
    <w:rsid w:val="00A46B4D"/>
    <w:rsid w:val="00A46FB1"/>
    <w:rsid w:val="00A47149"/>
    <w:rsid w:val="00A47654"/>
    <w:rsid w:val="00A47763"/>
    <w:rsid w:val="00A479AA"/>
    <w:rsid w:val="00A5028E"/>
    <w:rsid w:val="00A503EC"/>
    <w:rsid w:val="00A507C8"/>
    <w:rsid w:val="00A5162C"/>
    <w:rsid w:val="00A5206B"/>
    <w:rsid w:val="00A5217D"/>
    <w:rsid w:val="00A52B65"/>
    <w:rsid w:val="00A52D44"/>
    <w:rsid w:val="00A52F08"/>
    <w:rsid w:val="00A536C1"/>
    <w:rsid w:val="00A556F5"/>
    <w:rsid w:val="00A562BB"/>
    <w:rsid w:val="00A56A84"/>
    <w:rsid w:val="00A56B11"/>
    <w:rsid w:val="00A56D70"/>
    <w:rsid w:val="00A57544"/>
    <w:rsid w:val="00A6011F"/>
    <w:rsid w:val="00A60581"/>
    <w:rsid w:val="00A60972"/>
    <w:rsid w:val="00A611EB"/>
    <w:rsid w:val="00A61700"/>
    <w:rsid w:val="00A61915"/>
    <w:rsid w:val="00A61D85"/>
    <w:rsid w:val="00A61FFB"/>
    <w:rsid w:val="00A62552"/>
    <w:rsid w:val="00A63201"/>
    <w:rsid w:val="00A653CC"/>
    <w:rsid w:val="00A65BCE"/>
    <w:rsid w:val="00A65C7F"/>
    <w:rsid w:val="00A65E58"/>
    <w:rsid w:val="00A667D8"/>
    <w:rsid w:val="00A66831"/>
    <w:rsid w:val="00A67F0B"/>
    <w:rsid w:val="00A7059F"/>
    <w:rsid w:val="00A70AE4"/>
    <w:rsid w:val="00A70EEE"/>
    <w:rsid w:val="00A714BB"/>
    <w:rsid w:val="00A72AFA"/>
    <w:rsid w:val="00A730F3"/>
    <w:rsid w:val="00A73A13"/>
    <w:rsid w:val="00A7475E"/>
    <w:rsid w:val="00A748FE"/>
    <w:rsid w:val="00A74A1D"/>
    <w:rsid w:val="00A751C8"/>
    <w:rsid w:val="00A75AE3"/>
    <w:rsid w:val="00A75FEA"/>
    <w:rsid w:val="00A76600"/>
    <w:rsid w:val="00A76D8D"/>
    <w:rsid w:val="00A77065"/>
    <w:rsid w:val="00A80230"/>
    <w:rsid w:val="00A80265"/>
    <w:rsid w:val="00A8083E"/>
    <w:rsid w:val="00A80CB6"/>
    <w:rsid w:val="00A81538"/>
    <w:rsid w:val="00A81DDA"/>
    <w:rsid w:val="00A81EC5"/>
    <w:rsid w:val="00A81EFE"/>
    <w:rsid w:val="00A8235D"/>
    <w:rsid w:val="00A82361"/>
    <w:rsid w:val="00A84505"/>
    <w:rsid w:val="00A84A28"/>
    <w:rsid w:val="00A85737"/>
    <w:rsid w:val="00A85C0D"/>
    <w:rsid w:val="00A86A9D"/>
    <w:rsid w:val="00A903BA"/>
    <w:rsid w:val="00A90DF2"/>
    <w:rsid w:val="00A91103"/>
    <w:rsid w:val="00A918BF"/>
    <w:rsid w:val="00A91DF0"/>
    <w:rsid w:val="00A92475"/>
    <w:rsid w:val="00A92951"/>
    <w:rsid w:val="00A92BA3"/>
    <w:rsid w:val="00A946F4"/>
    <w:rsid w:val="00A948BE"/>
    <w:rsid w:val="00A9574F"/>
    <w:rsid w:val="00A96094"/>
    <w:rsid w:val="00A969EA"/>
    <w:rsid w:val="00A97339"/>
    <w:rsid w:val="00A975F4"/>
    <w:rsid w:val="00A97F2F"/>
    <w:rsid w:val="00A97F9F"/>
    <w:rsid w:val="00AA0066"/>
    <w:rsid w:val="00AA04AC"/>
    <w:rsid w:val="00AA0AF8"/>
    <w:rsid w:val="00AA14FE"/>
    <w:rsid w:val="00AA1E67"/>
    <w:rsid w:val="00AA229B"/>
    <w:rsid w:val="00AA238A"/>
    <w:rsid w:val="00AA2E32"/>
    <w:rsid w:val="00AA31F1"/>
    <w:rsid w:val="00AA3C31"/>
    <w:rsid w:val="00AA4287"/>
    <w:rsid w:val="00AA4482"/>
    <w:rsid w:val="00AA483F"/>
    <w:rsid w:val="00AA4B12"/>
    <w:rsid w:val="00AA5967"/>
    <w:rsid w:val="00AA6202"/>
    <w:rsid w:val="00AA6F53"/>
    <w:rsid w:val="00AA6F78"/>
    <w:rsid w:val="00AA70D6"/>
    <w:rsid w:val="00AA71C5"/>
    <w:rsid w:val="00AB1607"/>
    <w:rsid w:val="00AB1CA6"/>
    <w:rsid w:val="00AB29BB"/>
    <w:rsid w:val="00AB2D0F"/>
    <w:rsid w:val="00AB2DE4"/>
    <w:rsid w:val="00AB30E5"/>
    <w:rsid w:val="00AB3BBE"/>
    <w:rsid w:val="00AB47DA"/>
    <w:rsid w:val="00AB5744"/>
    <w:rsid w:val="00AB63F8"/>
    <w:rsid w:val="00AC0D70"/>
    <w:rsid w:val="00AC13C8"/>
    <w:rsid w:val="00AC25B4"/>
    <w:rsid w:val="00AC2837"/>
    <w:rsid w:val="00AC2991"/>
    <w:rsid w:val="00AC2A78"/>
    <w:rsid w:val="00AC2CF3"/>
    <w:rsid w:val="00AC3328"/>
    <w:rsid w:val="00AC3F62"/>
    <w:rsid w:val="00AC4D95"/>
    <w:rsid w:val="00AC5010"/>
    <w:rsid w:val="00AC5736"/>
    <w:rsid w:val="00AC5D65"/>
    <w:rsid w:val="00AC6323"/>
    <w:rsid w:val="00AC6608"/>
    <w:rsid w:val="00AC69DB"/>
    <w:rsid w:val="00AC6CA4"/>
    <w:rsid w:val="00AC7245"/>
    <w:rsid w:val="00AC7D69"/>
    <w:rsid w:val="00AD03B3"/>
    <w:rsid w:val="00AD0764"/>
    <w:rsid w:val="00AD1B55"/>
    <w:rsid w:val="00AD2A20"/>
    <w:rsid w:val="00AD2B25"/>
    <w:rsid w:val="00AD4D42"/>
    <w:rsid w:val="00AD4E43"/>
    <w:rsid w:val="00AD5E49"/>
    <w:rsid w:val="00AD6C09"/>
    <w:rsid w:val="00AD722C"/>
    <w:rsid w:val="00AD7508"/>
    <w:rsid w:val="00AE059B"/>
    <w:rsid w:val="00AE0DD9"/>
    <w:rsid w:val="00AE183C"/>
    <w:rsid w:val="00AE198F"/>
    <w:rsid w:val="00AE19C1"/>
    <w:rsid w:val="00AE2356"/>
    <w:rsid w:val="00AE2654"/>
    <w:rsid w:val="00AE2677"/>
    <w:rsid w:val="00AE3CCF"/>
    <w:rsid w:val="00AE3E25"/>
    <w:rsid w:val="00AE40F5"/>
    <w:rsid w:val="00AE4ACF"/>
    <w:rsid w:val="00AE4C9C"/>
    <w:rsid w:val="00AE57BB"/>
    <w:rsid w:val="00AE5A45"/>
    <w:rsid w:val="00AE6505"/>
    <w:rsid w:val="00AE74AB"/>
    <w:rsid w:val="00AE7BDA"/>
    <w:rsid w:val="00AE7E0E"/>
    <w:rsid w:val="00AF0023"/>
    <w:rsid w:val="00AF103B"/>
    <w:rsid w:val="00AF1A7A"/>
    <w:rsid w:val="00AF20A3"/>
    <w:rsid w:val="00AF25CD"/>
    <w:rsid w:val="00AF2627"/>
    <w:rsid w:val="00AF2D03"/>
    <w:rsid w:val="00AF4CC7"/>
    <w:rsid w:val="00AF4D0C"/>
    <w:rsid w:val="00AF729F"/>
    <w:rsid w:val="00AF7B85"/>
    <w:rsid w:val="00B008AF"/>
    <w:rsid w:val="00B00E13"/>
    <w:rsid w:val="00B01626"/>
    <w:rsid w:val="00B042B7"/>
    <w:rsid w:val="00B04B0E"/>
    <w:rsid w:val="00B04C08"/>
    <w:rsid w:val="00B05296"/>
    <w:rsid w:val="00B05468"/>
    <w:rsid w:val="00B06ACC"/>
    <w:rsid w:val="00B07BB0"/>
    <w:rsid w:val="00B07CD3"/>
    <w:rsid w:val="00B10D45"/>
    <w:rsid w:val="00B1179C"/>
    <w:rsid w:val="00B11BE3"/>
    <w:rsid w:val="00B12BDC"/>
    <w:rsid w:val="00B13321"/>
    <w:rsid w:val="00B138A3"/>
    <w:rsid w:val="00B14059"/>
    <w:rsid w:val="00B14536"/>
    <w:rsid w:val="00B14934"/>
    <w:rsid w:val="00B16033"/>
    <w:rsid w:val="00B164A2"/>
    <w:rsid w:val="00B167DA"/>
    <w:rsid w:val="00B16F12"/>
    <w:rsid w:val="00B1775E"/>
    <w:rsid w:val="00B207BB"/>
    <w:rsid w:val="00B20A44"/>
    <w:rsid w:val="00B20B66"/>
    <w:rsid w:val="00B20F7C"/>
    <w:rsid w:val="00B21409"/>
    <w:rsid w:val="00B217D4"/>
    <w:rsid w:val="00B22459"/>
    <w:rsid w:val="00B22666"/>
    <w:rsid w:val="00B226B3"/>
    <w:rsid w:val="00B233CF"/>
    <w:rsid w:val="00B23979"/>
    <w:rsid w:val="00B23D3D"/>
    <w:rsid w:val="00B2431A"/>
    <w:rsid w:val="00B2438F"/>
    <w:rsid w:val="00B245C5"/>
    <w:rsid w:val="00B25635"/>
    <w:rsid w:val="00B25B2F"/>
    <w:rsid w:val="00B267AC"/>
    <w:rsid w:val="00B26A99"/>
    <w:rsid w:val="00B26F83"/>
    <w:rsid w:val="00B27454"/>
    <w:rsid w:val="00B2745D"/>
    <w:rsid w:val="00B277CA"/>
    <w:rsid w:val="00B27BBE"/>
    <w:rsid w:val="00B303DD"/>
    <w:rsid w:val="00B306F5"/>
    <w:rsid w:val="00B30B3D"/>
    <w:rsid w:val="00B31FEE"/>
    <w:rsid w:val="00B33150"/>
    <w:rsid w:val="00B33640"/>
    <w:rsid w:val="00B33AA7"/>
    <w:rsid w:val="00B3444E"/>
    <w:rsid w:val="00B34521"/>
    <w:rsid w:val="00B34550"/>
    <w:rsid w:val="00B347B2"/>
    <w:rsid w:val="00B34847"/>
    <w:rsid w:val="00B34D23"/>
    <w:rsid w:val="00B3512A"/>
    <w:rsid w:val="00B35CCE"/>
    <w:rsid w:val="00B3673F"/>
    <w:rsid w:val="00B36CFC"/>
    <w:rsid w:val="00B3730E"/>
    <w:rsid w:val="00B37784"/>
    <w:rsid w:val="00B37805"/>
    <w:rsid w:val="00B37C90"/>
    <w:rsid w:val="00B43752"/>
    <w:rsid w:val="00B43A2F"/>
    <w:rsid w:val="00B43EA1"/>
    <w:rsid w:val="00B44305"/>
    <w:rsid w:val="00B449BB"/>
    <w:rsid w:val="00B44D48"/>
    <w:rsid w:val="00B45362"/>
    <w:rsid w:val="00B45D5D"/>
    <w:rsid w:val="00B45EC2"/>
    <w:rsid w:val="00B4638E"/>
    <w:rsid w:val="00B50A59"/>
    <w:rsid w:val="00B51E17"/>
    <w:rsid w:val="00B53274"/>
    <w:rsid w:val="00B53A2C"/>
    <w:rsid w:val="00B54130"/>
    <w:rsid w:val="00B550CD"/>
    <w:rsid w:val="00B570DE"/>
    <w:rsid w:val="00B57FC9"/>
    <w:rsid w:val="00B613AC"/>
    <w:rsid w:val="00B6164D"/>
    <w:rsid w:val="00B61CAF"/>
    <w:rsid w:val="00B61F81"/>
    <w:rsid w:val="00B61FF7"/>
    <w:rsid w:val="00B62018"/>
    <w:rsid w:val="00B6218E"/>
    <w:rsid w:val="00B632BA"/>
    <w:rsid w:val="00B63384"/>
    <w:rsid w:val="00B64264"/>
    <w:rsid w:val="00B66CBD"/>
    <w:rsid w:val="00B66E68"/>
    <w:rsid w:val="00B67660"/>
    <w:rsid w:val="00B67867"/>
    <w:rsid w:val="00B707DD"/>
    <w:rsid w:val="00B715A7"/>
    <w:rsid w:val="00B7410D"/>
    <w:rsid w:val="00B74ED3"/>
    <w:rsid w:val="00B76FB2"/>
    <w:rsid w:val="00B772B4"/>
    <w:rsid w:val="00B801F6"/>
    <w:rsid w:val="00B81BF9"/>
    <w:rsid w:val="00B81DEB"/>
    <w:rsid w:val="00B82917"/>
    <w:rsid w:val="00B837E6"/>
    <w:rsid w:val="00B840E8"/>
    <w:rsid w:val="00B841DD"/>
    <w:rsid w:val="00B8584B"/>
    <w:rsid w:val="00B8639F"/>
    <w:rsid w:val="00B872FF"/>
    <w:rsid w:val="00B8749A"/>
    <w:rsid w:val="00B91343"/>
    <w:rsid w:val="00B913A5"/>
    <w:rsid w:val="00B91BB5"/>
    <w:rsid w:val="00B927E2"/>
    <w:rsid w:val="00B929EC"/>
    <w:rsid w:val="00B930D7"/>
    <w:rsid w:val="00B9490F"/>
    <w:rsid w:val="00B94E7C"/>
    <w:rsid w:val="00B96097"/>
    <w:rsid w:val="00B9655B"/>
    <w:rsid w:val="00B973B4"/>
    <w:rsid w:val="00B97C40"/>
    <w:rsid w:val="00BA058E"/>
    <w:rsid w:val="00BA087D"/>
    <w:rsid w:val="00BA1F89"/>
    <w:rsid w:val="00BA2261"/>
    <w:rsid w:val="00BA2526"/>
    <w:rsid w:val="00BA2768"/>
    <w:rsid w:val="00BA2BA8"/>
    <w:rsid w:val="00BA2CE9"/>
    <w:rsid w:val="00BA4633"/>
    <w:rsid w:val="00BA474E"/>
    <w:rsid w:val="00BA485E"/>
    <w:rsid w:val="00BA4D99"/>
    <w:rsid w:val="00BA4FDF"/>
    <w:rsid w:val="00BA5159"/>
    <w:rsid w:val="00BA5CAB"/>
    <w:rsid w:val="00BA5F9E"/>
    <w:rsid w:val="00BA6129"/>
    <w:rsid w:val="00BA6704"/>
    <w:rsid w:val="00BA7946"/>
    <w:rsid w:val="00BA79EA"/>
    <w:rsid w:val="00BB0CDC"/>
    <w:rsid w:val="00BB1F91"/>
    <w:rsid w:val="00BB1FB5"/>
    <w:rsid w:val="00BB2013"/>
    <w:rsid w:val="00BB2116"/>
    <w:rsid w:val="00BB2484"/>
    <w:rsid w:val="00BB2755"/>
    <w:rsid w:val="00BB31D2"/>
    <w:rsid w:val="00BB345F"/>
    <w:rsid w:val="00BB3CA3"/>
    <w:rsid w:val="00BB3EAE"/>
    <w:rsid w:val="00BB459A"/>
    <w:rsid w:val="00BB5815"/>
    <w:rsid w:val="00BB586F"/>
    <w:rsid w:val="00BB5FEA"/>
    <w:rsid w:val="00BB6CE4"/>
    <w:rsid w:val="00BB6E5C"/>
    <w:rsid w:val="00BB71C0"/>
    <w:rsid w:val="00BB7DBF"/>
    <w:rsid w:val="00BB7FAD"/>
    <w:rsid w:val="00BC0012"/>
    <w:rsid w:val="00BC00BF"/>
    <w:rsid w:val="00BC0C45"/>
    <w:rsid w:val="00BC1621"/>
    <w:rsid w:val="00BC1F99"/>
    <w:rsid w:val="00BC22A2"/>
    <w:rsid w:val="00BC26FF"/>
    <w:rsid w:val="00BC2806"/>
    <w:rsid w:val="00BC2E25"/>
    <w:rsid w:val="00BC2EB4"/>
    <w:rsid w:val="00BC39B0"/>
    <w:rsid w:val="00BC4973"/>
    <w:rsid w:val="00BC4E17"/>
    <w:rsid w:val="00BC58B6"/>
    <w:rsid w:val="00BC6B2F"/>
    <w:rsid w:val="00BC6E75"/>
    <w:rsid w:val="00BD01CE"/>
    <w:rsid w:val="00BD0244"/>
    <w:rsid w:val="00BD1507"/>
    <w:rsid w:val="00BD18B2"/>
    <w:rsid w:val="00BD1A04"/>
    <w:rsid w:val="00BD1D12"/>
    <w:rsid w:val="00BD2257"/>
    <w:rsid w:val="00BD232D"/>
    <w:rsid w:val="00BD2FB8"/>
    <w:rsid w:val="00BD2FC5"/>
    <w:rsid w:val="00BD3590"/>
    <w:rsid w:val="00BD3FBF"/>
    <w:rsid w:val="00BD42B7"/>
    <w:rsid w:val="00BD4E67"/>
    <w:rsid w:val="00BD531F"/>
    <w:rsid w:val="00BD5BB1"/>
    <w:rsid w:val="00BD5C3D"/>
    <w:rsid w:val="00BD61BD"/>
    <w:rsid w:val="00BD6F47"/>
    <w:rsid w:val="00BD7434"/>
    <w:rsid w:val="00BD7675"/>
    <w:rsid w:val="00BD78AE"/>
    <w:rsid w:val="00BD7D6D"/>
    <w:rsid w:val="00BE0106"/>
    <w:rsid w:val="00BE1C9E"/>
    <w:rsid w:val="00BE210B"/>
    <w:rsid w:val="00BE27B4"/>
    <w:rsid w:val="00BE368B"/>
    <w:rsid w:val="00BE36A8"/>
    <w:rsid w:val="00BE449E"/>
    <w:rsid w:val="00BE63BA"/>
    <w:rsid w:val="00BE6FDB"/>
    <w:rsid w:val="00BE7A42"/>
    <w:rsid w:val="00BF0599"/>
    <w:rsid w:val="00BF0D0E"/>
    <w:rsid w:val="00BF103B"/>
    <w:rsid w:val="00BF11DD"/>
    <w:rsid w:val="00BF13C1"/>
    <w:rsid w:val="00BF1A77"/>
    <w:rsid w:val="00BF20E1"/>
    <w:rsid w:val="00BF281A"/>
    <w:rsid w:val="00BF2ACE"/>
    <w:rsid w:val="00BF2E93"/>
    <w:rsid w:val="00BF3369"/>
    <w:rsid w:val="00BF4229"/>
    <w:rsid w:val="00BF71DB"/>
    <w:rsid w:val="00BF7B51"/>
    <w:rsid w:val="00C001C5"/>
    <w:rsid w:val="00C01084"/>
    <w:rsid w:val="00C01786"/>
    <w:rsid w:val="00C02562"/>
    <w:rsid w:val="00C0295A"/>
    <w:rsid w:val="00C02B25"/>
    <w:rsid w:val="00C02D65"/>
    <w:rsid w:val="00C031EB"/>
    <w:rsid w:val="00C033E3"/>
    <w:rsid w:val="00C04C34"/>
    <w:rsid w:val="00C04E01"/>
    <w:rsid w:val="00C060CE"/>
    <w:rsid w:val="00C0698E"/>
    <w:rsid w:val="00C07349"/>
    <w:rsid w:val="00C079A3"/>
    <w:rsid w:val="00C115EE"/>
    <w:rsid w:val="00C119FF"/>
    <w:rsid w:val="00C11A89"/>
    <w:rsid w:val="00C12D44"/>
    <w:rsid w:val="00C134AB"/>
    <w:rsid w:val="00C135D1"/>
    <w:rsid w:val="00C1428F"/>
    <w:rsid w:val="00C146C0"/>
    <w:rsid w:val="00C16B37"/>
    <w:rsid w:val="00C17A02"/>
    <w:rsid w:val="00C209C2"/>
    <w:rsid w:val="00C20A53"/>
    <w:rsid w:val="00C20C93"/>
    <w:rsid w:val="00C219DD"/>
    <w:rsid w:val="00C21D4E"/>
    <w:rsid w:val="00C223DF"/>
    <w:rsid w:val="00C227E6"/>
    <w:rsid w:val="00C22E0D"/>
    <w:rsid w:val="00C2335E"/>
    <w:rsid w:val="00C23405"/>
    <w:rsid w:val="00C23642"/>
    <w:rsid w:val="00C237F6"/>
    <w:rsid w:val="00C23DD8"/>
    <w:rsid w:val="00C24FF1"/>
    <w:rsid w:val="00C259F6"/>
    <w:rsid w:val="00C25F97"/>
    <w:rsid w:val="00C26212"/>
    <w:rsid w:val="00C26637"/>
    <w:rsid w:val="00C2679E"/>
    <w:rsid w:val="00C27467"/>
    <w:rsid w:val="00C2779E"/>
    <w:rsid w:val="00C30116"/>
    <w:rsid w:val="00C31089"/>
    <w:rsid w:val="00C3162A"/>
    <w:rsid w:val="00C3177B"/>
    <w:rsid w:val="00C338C0"/>
    <w:rsid w:val="00C33D41"/>
    <w:rsid w:val="00C357B1"/>
    <w:rsid w:val="00C377D4"/>
    <w:rsid w:val="00C37DFF"/>
    <w:rsid w:val="00C401BD"/>
    <w:rsid w:val="00C402F9"/>
    <w:rsid w:val="00C419FA"/>
    <w:rsid w:val="00C41A92"/>
    <w:rsid w:val="00C42021"/>
    <w:rsid w:val="00C425D4"/>
    <w:rsid w:val="00C42D33"/>
    <w:rsid w:val="00C42EA0"/>
    <w:rsid w:val="00C43471"/>
    <w:rsid w:val="00C43512"/>
    <w:rsid w:val="00C438F7"/>
    <w:rsid w:val="00C43BE8"/>
    <w:rsid w:val="00C44AC8"/>
    <w:rsid w:val="00C4525C"/>
    <w:rsid w:val="00C45B22"/>
    <w:rsid w:val="00C4624C"/>
    <w:rsid w:val="00C4635C"/>
    <w:rsid w:val="00C4670E"/>
    <w:rsid w:val="00C46A9E"/>
    <w:rsid w:val="00C46B32"/>
    <w:rsid w:val="00C46CB7"/>
    <w:rsid w:val="00C46F5F"/>
    <w:rsid w:val="00C478A5"/>
    <w:rsid w:val="00C50B41"/>
    <w:rsid w:val="00C50F81"/>
    <w:rsid w:val="00C51127"/>
    <w:rsid w:val="00C5385F"/>
    <w:rsid w:val="00C54008"/>
    <w:rsid w:val="00C54EB9"/>
    <w:rsid w:val="00C554CE"/>
    <w:rsid w:val="00C55587"/>
    <w:rsid w:val="00C55F21"/>
    <w:rsid w:val="00C570E5"/>
    <w:rsid w:val="00C57881"/>
    <w:rsid w:val="00C57ECD"/>
    <w:rsid w:val="00C60544"/>
    <w:rsid w:val="00C611CE"/>
    <w:rsid w:val="00C61973"/>
    <w:rsid w:val="00C61C61"/>
    <w:rsid w:val="00C61D43"/>
    <w:rsid w:val="00C61D78"/>
    <w:rsid w:val="00C6202E"/>
    <w:rsid w:val="00C62611"/>
    <w:rsid w:val="00C627B1"/>
    <w:rsid w:val="00C6284E"/>
    <w:rsid w:val="00C633C9"/>
    <w:rsid w:val="00C65672"/>
    <w:rsid w:val="00C65BB3"/>
    <w:rsid w:val="00C66691"/>
    <w:rsid w:val="00C66B4E"/>
    <w:rsid w:val="00C679B6"/>
    <w:rsid w:val="00C70A28"/>
    <w:rsid w:val="00C70BC7"/>
    <w:rsid w:val="00C7436D"/>
    <w:rsid w:val="00C74E46"/>
    <w:rsid w:val="00C76241"/>
    <w:rsid w:val="00C76C4A"/>
    <w:rsid w:val="00C76C80"/>
    <w:rsid w:val="00C7765F"/>
    <w:rsid w:val="00C778BD"/>
    <w:rsid w:val="00C8071B"/>
    <w:rsid w:val="00C807ED"/>
    <w:rsid w:val="00C81877"/>
    <w:rsid w:val="00C81B31"/>
    <w:rsid w:val="00C8215D"/>
    <w:rsid w:val="00C833D3"/>
    <w:rsid w:val="00C83698"/>
    <w:rsid w:val="00C850F0"/>
    <w:rsid w:val="00C85BA5"/>
    <w:rsid w:val="00C8610E"/>
    <w:rsid w:val="00C8618A"/>
    <w:rsid w:val="00C861EF"/>
    <w:rsid w:val="00C866F7"/>
    <w:rsid w:val="00C87AA0"/>
    <w:rsid w:val="00C87C35"/>
    <w:rsid w:val="00C87D8F"/>
    <w:rsid w:val="00C905B0"/>
    <w:rsid w:val="00C908AB"/>
    <w:rsid w:val="00C90AF4"/>
    <w:rsid w:val="00C90BBD"/>
    <w:rsid w:val="00C90EB0"/>
    <w:rsid w:val="00C9167E"/>
    <w:rsid w:val="00C916D0"/>
    <w:rsid w:val="00C91BFB"/>
    <w:rsid w:val="00C92340"/>
    <w:rsid w:val="00C92AB8"/>
    <w:rsid w:val="00C935DF"/>
    <w:rsid w:val="00C93A11"/>
    <w:rsid w:val="00C93A51"/>
    <w:rsid w:val="00C940F6"/>
    <w:rsid w:val="00C9427A"/>
    <w:rsid w:val="00C94830"/>
    <w:rsid w:val="00C94F4E"/>
    <w:rsid w:val="00C95CA0"/>
    <w:rsid w:val="00C95CC0"/>
    <w:rsid w:val="00C96F8C"/>
    <w:rsid w:val="00CA03AD"/>
    <w:rsid w:val="00CA05E4"/>
    <w:rsid w:val="00CA06A4"/>
    <w:rsid w:val="00CA09DB"/>
    <w:rsid w:val="00CA0DC7"/>
    <w:rsid w:val="00CA1DDE"/>
    <w:rsid w:val="00CA22B0"/>
    <w:rsid w:val="00CA230F"/>
    <w:rsid w:val="00CA231A"/>
    <w:rsid w:val="00CA3763"/>
    <w:rsid w:val="00CA3CAF"/>
    <w:rsid w:val="00CA456B"/>
    <w:rsid w:val="00CA48F1"/>
    <w:rsid w:val="00CA52B3"/>
    <w:rsid w:val="00CA5F46"/>
    <w:rsid w:val="00CA66F6"/>
    <w:rsid w:val="00CA6FDF"/>
    <w:rsid w:val="00CA7B0C"/>
    <w:rsid w:val="00CB0180"/>
    <w:rsid w:val="00CB0481"/>
    <w:rsid w:val="00CB061E"/>
    <w:rsid w:val="00CB1769"/>
    <w:rsid w:val="00CB27BD"/>
    <w:rsid w:val="00CB2B62"/>
    <w:rsid w:val="00CB2D8A"/>
    <w:rsid w:val="00CB2DDB"/>
    <w:rsid w:val="00CB305B"/>
    <w:rsid w:val="00CB3689"/>
    <w:rsid w:val="00CB4FA6"/>
    <w:rsid w:val="00CB55DB"/>
    <w:rsid w:val="00CB6566"/>
    <w:rsid w:val="00CB6F99"/>
    <w:rsid w:val="00CB74F8"/>
    <w:rsid w:val="00CB763D"/>
    <w:rsid w:val="00CB7BDC"/>
    <w:rsid w:val="00CC0165"/>
    <w:rsid w:val="00CC0410"/>
    <w:rsid w:val="00CC18B6"/>
    <w:rsid w:val="00CC2360"/>
    <w:rsid w:val="00CC2D8E"/>
    <w:rsid w:val="00CC2D93"/>
    <w:rsid w:val="00CC315E"/>
    <w:rsid w:val="00CC36A5"/>
    <w:rsid w:val="00CC4953"/>
    <w:rsid w:val="00CC4A98"/>
    <w:rsid w:val="00CC6B5B"/>
    <w:rsid w:val="00CC6B85"/>
    <w:rsid w:val="00CC6E4A"/>
    <w:rsid w:val="00CC6EFF"/>
    <w:rsid w:val="00CC73FE"/>
    <w:rsid w:val="00CC74C9"/>
    <w:rsid w:val="00CD0086"/>
    <w:rsid w:val="00CD071F"/>
    <w:rsid w:val="00CD080F"/>
    <w:rsid w:val="00CD09EF"/>
    <w:rsid w:val="00CD0E8B"/>
    <w:rsid w:val="00CD122F"/>
    <w:rsid w:val="00CD1691"/>
    <w:rsid w:val="00CD1B94"/>
    <w:rsid w:val="00CD3294"/>
    <w:rsid w:val="00CD4A83"/>
    <w:rsid w:val="00CD56FE"/>
    <w:rsid w:val="00CD60AB"/>
    <w:rsid w:val="00CD784F"/>
    <w:rsid w:val="00CE006B"/>
    <w:rsid w:val="00CE10A6"/>
    <w:rsid w:val="00CE45F6"/>
    <w:rsid w:val="00CE499C"/>
    <w:rsid w:val="00CE5620"/>
    <w:rsid w:val="00CE5946"/>
    <w:rsid w:val="00CE645A"/>
    <w:rsid w:val="00CE6984"/>
    <w:rsid w:val="00CE6D1E"/>
    <w:rsid w:val="00CE6EA9"/>
    <w:rsid w:val="00CF0758"/>
    <w:rsid w:val="00CF2A8B"/>
    <w:rsid w:val="00CF2CFA"/>
    <w:rsid w:val="00CF3ACC"/>
    <w:rsid w:val="00CF3D3D"/>
    <w:rsid w:val="00CF456F"/>
    <w:rsid w:val="00CF58DF"/>
    <w:rsid w:val="00CF6D86"/>
    <w:rsid w:val="00CF7489"/>
    <w:rsid w:val="00CF77DA"/>
    <w:rsid w:val="00D002BB"/>
    <w:rsid w:val="00D006E9"/>
    <w:rsid w:val="00D01284"/>
    <w:rsid w:val="00D013A3"/>
    <w:rsid w:val="00D019ED"/>
    <w:rsid w:val="00D01B60"/>
    <w:rsid w:val="00D01B9F"/>
    <w:rsid w:val="00D01DF9"/>
    <w:rsid w:val="00D022CC"/>
    <w:rsid w:val="00D0233C"/>
    <w:rsid w:val="00D028B3"/>
    <w:rsid w:val="00D029F3"/>
    <w:rsid w:val="00D0308F"/>
    <w:rsid w:val="00D031C7"/>
    <w:rsid w:val="00D045B6"/>
    <w:rsid w:val="00D04789"/>
    <w:rsid w:val="00D04CB3"/>
    <w:rsid w:val="00D0511D"/>
    <w:rsid w:val="00D05305"/>
    <w:rsid w:val="00D0557E"/>
    <w:rsid w:val="00D05B6D"/>
    <w:rsid w:val="00D07691"/>
    <w:rsid w:val="00D07E11"/>
    <w:rsid w:val="00D10512"/>
    <w:rsid w:val="00D10B08"/>
    <w:rsid w:val="00D12857"/>
    <w:rsid w:val="00D12C4F"/>
    <w:rsid w:val="00D1310B"/>
    <w:rsid w:val="00D14486"/>
    <w:rsid w:val="00D158E2"/>
    <w:rsid w:val="00D16509"/>
    <w:rsid w:val="00D16AA4"/>
    <w:rsid w:val="00D16EF4"/>
    <w:rsid w:val="00D203AE"/>
    <w:rsid w:val="00D20855"/>
    <w:rsid w:val="00D20AAC"/>
    <w:rsid w:val="00D21B31"/>
    <w:rsid w:val="00D21C57"/>
    <w:rsid w:val="00D22314"/>
    <w:rsid w:val="00D2281A"/>
    <w:rsid w:val="00D23E72"/>
    <w:rsid w:val="00D242F0"/>
    <w:rsid w:val="00D24BFC"/>
    <w:rsid w:val="00D25022"/>
    <w:rsid w:val="00D25641"/>
    <w:rsid w:val="00D2606A"/>
    <w:rsid w:val="00D260C0"/>
    <w:rsid w:val="00D26B95"/>
    <w:rsid w:val="00D26D7B"/>
    <w:rsid w:val="00D2714E"/>
    <w:rsid w:val="00D277EE"/>
    <w:rsid w:val="00D27FBA"/>
    <w:rsid w:val="00D304F5"/>
    <w:rsid w:val="00D31687"/>
    <w:rsid w:val="00D31E45"/>
    <w:rsid w:val="00D31EB9"/>
    <w:rsid w:val="00D323E1"/>
    <w:rsid w:val="00D32CAA"/>
    <w:rsid w:val="00D3425A"/>
    <w:rsid w:val="00D348EB"/>
    <w:rsid w:val="00D349E4"/>
    <w:rsid w:val="00D35129"/>
    <w:rsid w:val="00D35FB5"/>
    <w:rsid w:val="00D366B7"/>
    <w:rsid w:val="00D36EF9"/>
    <w:rsid w:val="00D3749F"/>
    <w:rsid w:val="00D37B7E"/>
    <w:rsid w:val="00D37E64"/>
    <w:rsid w:val="00D40BD3"/>
    <w:rsid w:val="00D40BFD"/>
    <w:rsid w:val="00D41FE0"/>
    <w:rsid w:val="00D423EA"/>
    <w:rsid w:val="00D42D20"/>
    <w:rsid w:val="00D42E27"/>
    <w:rsid w:val="00D42EDC"/>
    <w:rsid w:val="00D4372D"/>
    <w:rsid w:val="00D43918"/>
    <w:rsid w:val="00D43BBE"/>
    <w:rsid w:val="00D43CFC"/>
    <w:rsid w:val="00D43D5C"/>
    <w:rsid w:val="00D43F3C"/>
    <w:rsid w:val="00D44207"/>
    <w:rsid w:val="00D443EB"/>
    <w:rsid w:val="00D44B78"/>
    <w:rsid w:val="00D450E8"/>
    <w:rsid w:val="00D45F41"/>
    <w:rsid w:val="00D46A92"/>
    <w:rsid w:val="00D47949"/>
    <w:rsid w:val="00D5042A"/>
    <w:rsid w:val="00D51A23"/>
    <w:rsid w:val="00D52488"/>
    <w:rsid w:val="00D5248D"/>
    <w:rsid w:val="00D53874"/>
    <w:rsid w:val="00D53E19"/>
    <w:rsid w:val="00D54296"/>
    <w:rsid w:val="00D5435A"/>
    <w:rsid w:val="00D55E14"/>
    <w:rsid w:val="00D56747"/>
    <w:rsid w:val="00D57A49"/>
    <w:rsid w:val="00D57B0A"/>
    <w:rsid w:val="00D62CEE"/>
    <w:rsid w:val="00D63293"/>
    <w:rsid w:val="00D64FD8"/>
    <w:rsid w:val="00D65752"/>
    <w:rsid w:val="00D65C9A"/>
    <w:rsid w:val="00D66398"/>
    <w:rsid w:val="00D663B3"/>
    <w:rsid w:val="00D6715A"/>
    <w:rsid w:val="00D6762B"/>
    <w:rsid w:val="00D67794"/>
    <w:rsid w:val="00D706D6"/>
    <w:rsid w:val="00D72737"/>
    <w:rsid w:val="00D75059"/>
    <w:rsid w:val="00D760E8"/>
    <w:rsid w:val="00D76BE1"/>
    <w:rsid w:val="00D7723D"/>
    <w:rsid w:val="00D7752C"/>
    <w:rsid w:val="00D77B7C"/>
    <w:rsid w:val="00D77CA4"/>
    <w:rsid w:val="00D81008"/>
    <w:rsid w:val="00D816D9"/>
    <w:rsid w:val="00D81A80"/>
    <w:rsid w:val="00D81B06"/>
    <w:rsid w:val="00D825F0"/>
    <w:rsid w:val="00D82E7C"/>
    <w:rsid w:val="00D84AA9"/>
    <w:rsid w:val="00D84CD1"/>
    <w:rsid w:val="00D84ED4"/>
    <w:rsid w:val="00D8549A"/>
    <w:rsid w:val="00D86CF8"/>
    <w:rsid w:val="00D873AF"/>
    <w:rsid w:val="00D8789B"/>
    <w:rsid w:val="00D87EBA"/>
    <w:rsid w:val="00D927AD"/>
    <w:rsid w:val="00D927FF"/>
    <w:rsid w:val="00D93E72"/>
    <w:rsid w:val="00D94A7D"/>
    <w:rsid w:val="00D951B8"/>
    <w:rsid w:val="00D95CCD"/>
    <w:rsid w:val="00D965AB"/>
    <w:rsid w:val="00D96C21"/>
    <w:rsid w:val="00D96FAE"/>
    <w:rsid w:val="00D97135"/>
    <w:rsid w:val="00D9721E"/>
    <w:rsid w:val="00D97AB0"/>
    <w:rsid w:val="00D97E27"/>
    <w:rsid w:val="00D97E4C"/>
    <w:rsid w:val="00DA0660"/>
    <w:rsid w:val="00DA09DC"/>
    <w:rsid w:val="00DA1257"/>
    <w:rsid w:val="00DA1721"/>
    <w:rsid w:val="00DA1993"/>
    <w:rsid w:val="00DA1BB8"/>
    <w:rsid w:val="00DA2460"/>
    <w:rsid w:val="00DA305E"/>
    <w:rsid w:val="00DA46A4"/>
    <w:rsid w:val="00DA4A0B"/>
    <w:rsid w:val="00DA5121"/>
    <w:rsid w:val="00DA7AC6"/>
    <w:rsid w:val="00DB00D6"/>
    <w:rsid w:val="00DB0278"/>
    <w:rsid w:val="00DB1087"/>
    <w:rsid w:val="00DB10A4"/>
    <w:rsid w:val="00DB14DF"/>
    <w:rsid w:val="00DB1C0E"/>
    <w:rsid w:val="00DB3175"/>
    <w:rsid w:val="00DB50CC"/>
    <w:rsid w:val="00DB5249"/>
    <w:rsid w:val="00DB52AC"/>
    <w:rsid w:val="00DB597E"/>
    <w:rsid w:val="00DB63AE"/>
    <w:rsid w:val="00DB6CB2"/>
    <w:rsid w:val="00DB7193"/>
    <w:rsid w:val="00DB7477"/>
    <w:rsid w:val="00DC032A"/>
    <w:rsid w:val="00DC0366"/>
    <w:rsid w:val="00DC0735"/>
    <w:rsid w:val="00DC0E1A"/>
    <w:rsid w:val="00DC164C"/>
    <w:rsid w:val="00DC2333"/>
    <w:rsid w:val="00DC2901"/>
    <w:rsid w:val="00DC2F1C"/>
    <w:rsid w:val="00DC349E"/>
    <w:rsid w:val="00DC4C49"/>
    <w:rsid w:val="00DC4E9F"/>
    <w:rsid w:val="00DC4EE9"/>
    <w:rsid w:val="00DC5F79"/>
    <w:rsid w:val="00DC67BC"/>
    <w:rsid w:val="00DC6C94"/>
    <w:rsid w:val="00DC7238"/>
    <w:rsid w:val="00DC72E3"/>
    <w:rsid w:val="00DD002C"/>
    <w:rsid w:val="00DD0086"/>
    <w:rsid w:val="00DD04EA"/>
    <w:rsid w:val="00DD0746"/>
    <w:rsid w:val="00DD0EC2"/>
    <w:rsid w:val="00DD2784"/>
    <w:rsid w:val="00DD326A"/>
    <w:rsid w:val="00DD3CBF"/>
    <w:rsid w:val="00DD48E2"/>
    <w:rsid w:val="00DD4997"/>
    <w:rsid w:val="00DD4A56"/>
    <w:rsid w:val="00DD5604"/>
    <w:rsid w:val="00DD6048"/>
    <w:rsid w:val="00DD6B4C"/>
    <w:rsid w:val="00DD6E20"/>
    <w:rsid w:val="00DD7DD6"/>
    <w:rsid w:val="00DE2041"/>
    <w:rsid w:val="00DE372A"/>
    <w:rsid w:val="00DE38F0"/>
    <w:rsid w:val="00DE3C91"/>
    <w:rsid w:val="00DE408D"/>
    <w:rsid w:val="00DE413D"/>
    <w:rsid w:val="00DE4620"/>
    <w:rsid w:val="00DE492B"/>
    <w:rsid w:val="00DE516C"/>
    <w:rsid w:val="00DE6529"/>
    <w:rsid w:val="00DE7813"/>
    <w:rsid w:val="00DE7FE7"/>
    <w:rsid w:val="00DF012D"/>
    <w:rsid w:val="00DF1122"/>
    <w:rsid w:val="00DF143E"/>
    <w:rsid w:val="00DF1460"/>
    <w:rsid w:val="00DF2BF7"/>
    <w:rsid w:val="00DF3A50"/>
    <w:rsid w:val="00DF3F11"/>
    <w:rsid w:val="00DF4BBF"/>
    <w:rsid w:val="00DF5E8E"/>
    <w:rsid w:val="00DF60C4"/>
    <w:rsid w:val="00DF633F"/>
    <w:rsid w:val="00DF70D5"/>
    <w:rsid w:val="00DF77B3"/>
    <w:rsid w:val="00DF79C3"/>
    <w:rsid w:val="00E00480"/>
    <w:rsid w:val="00E006F9"/>
    <w:rsid w:val="00E01984"/>
    <w:rsid w:val="00E01A21"/>
    <w:rsid w:val="00E0295F"/>
    <w:rsid w:val="00E02DA7"/>
    <w:rsid w:val="00E03580"/>
    <w:rsid w:val="00E03C92"/>
    <w:rsid w:val="00E04161"/>
    <w:rsid w:val="00E04208"/>
    <w:rsid w:val="00E04E45"/>
    <w:rsid w:val="00E05392"/>
    <w:rsid w:val="00E053E9"/>
    <w:rsid w:val="00E055EF"/>
    <w:rsid w:val="00E05B16"/>
    <w:rsid w:val="00E06625"/>
    <w:rsid w:val="00E066E9"/>
    <w:rsid w:val="00E06FAE"/>
    <w:rsid w:val="00E075E3"/>
    <w:rsid w:val="00E07AFE"/>
    <w:rsid w:val="00E105D9"/>
    <w:rsid w:val="00E10AB8"/>
    <w:rsid w:val="00E11986"/>
    <w:rsid w:val="00E11DC1"/>
    <w:rsid w:val="00E121FE"/>
    <w:rsid w:val="00E12D59"/>
    <w:rsid w:val="00E12E24"/>
    <w:rsid w:val="00E13EC5"/>
    <w:rsid w:val="00E14378"/>
    <w:rsid w:val="00E143A4"/>
    <w:rsid w:val="00E15461"/>
    <w:rsid w:val="00E15893"/>
    <w:rsid w:val="00E158A6"/>
    <w:rsid w:val="00E16E82"/>
    <w:rsid w:val="00E175EC"/>
    <w:rsid w:val="00E1778B"/>
    <w:rsid w:val="00E17F27"/>
    <w:rsid w:val="00E20376"/>
    <w:rsid w:val="00E21CDE"/>
    <w:rsid w:val="00E22533"/>
    <w:rsid w:val="00E22BB9"/>
    <w:rsid w:val="00E23400"/>
    <w:rsid w:val="00E24407"/>
    <w:rsid w:val="00E2486A"/>
    <w:rsid w:val="00E25323"/>
    <w:rsid w:val="00E25341"/>
    <w:rsid w:val="00E26514"/>
    <w:rsid w:val="00E26A69"/>
    <w:rsid w:val="00E27288"/>
    <w:rsid w:val="00E2744C"/>
    <w:rsid w:val="00E30675"/>
    <w:rsid w:val="00E314E5"/>
    <w:rsid w:val="00E31591"/>
    <w:rsid w:val="00E31729"/>
    <w:rsid w:val="00E3246A"/>
    <w:rsid w:val="00E332BD"/>
    <w:rsid w:val="00E33C16"/>
    <w:rsid w:val="00E34A09"/>
    <w:rsid w:val="00E34D74"/>
    <w:rsid w:val="00E35026"/>
    <w:rsid w:val="00E35847"/>
    <w:rsid w:val="00E379CF"/>
    <w:rsid w:val="00E4073E"/>
    <w:rsid w:val="00E4137C"/>
    <w:rsid w:val="00E42C68"/>
    <w:rsid w:val="00E432D2"/>
    <w:rsid w:val="00E45B88"/>
    <w:rsid w:val="00E468E6"/>
    <w:rsid w:val="00E46A22"/>
    <w:rsid w:val="00E4706A"/>
    <w:rsid w:val="00E4710D"/>
    <w:rsid w:val="00E471EC"/>
    <w:rsid w:val="00E474B8"/>
    <w:rsid w:val="00E47918"/>
    <w:rsid w:val="00E47945"/>
    <w:rsid w:val="00E47CD5"/>
    <w:rsid w:val="00E47D8B"/>
    <w:rsid w:val="00E47DBB"/>
    <w:rsid w:val="00E50B3F"/>
    <w:rsid w:val="00E51336"/>
    <w:rsid w:val="00E51B12"/>
    <w:rsid w:val="00E526A0"/>
    <w:rsid w:val="00E52968"/>
    <w:rsid w:val="00E5331D"/>
    <w:rsid w:val="00E536BF"/>
    <w:rsid w:val="00E53CD4"/>
    <w:rsid w:val="00E540D1"/>
    <w:rsid w:val="00E56333"/>
    <w:rsid w:val="00E56BFF"/>
    <w:rsid w:val="00E57319"/>
    <w:rsid w:val="00E57453"/>
    <w:rsid w:val="00E60BD8"/>
    <w:rsid w:val="00E613EB"/>
    <w:rsid w:val="00E61B64"/>
    <w:rsid w:val="00E61DBD"/>
    <w:rsid w:val="00E62EBC"/>
    <w:rsid w:val="00E63785"/>
    <w:rsid w:val="00E637DA"/>
    <w:rsid w:val="00E64E04"/>
    <w:rsid w:val="00E65AE6"/>
    <w:rsid w:val="00E668A5"/>
    <w:rsid w:val="00E677C9"/>
    <w:rsid w:val="00E67E9D"/>
    <w:rsid w:val="00E67F89"/>
    <w:rsid w:val="00E70E46"/>
    <w:rsid w:val="00E72A59"/>
    <w:rsid w:val="00E72F72"/>
    <w:rsid w:val="00E73282"/>
    <w:rsid w:val="00E7360C"/>
    <w:rsid w:val="00E73C62"/>
    <w:rsid w:val="00E73F3D"/>
    <w:rsid w:val="00E7425C"/>
    <w:rsid w:val="00E74858"/>
    <w:rsid w:val="00E74BEE"/>
    <w:rsid w:val="00E751DF"/>
    <w:rsid w:val="00E754E5"/>
    <w:rsid w:val="00E758B6"/>
    <w:rsid w:val="00E766D6"/>
    <w:rsid w:val="00E7696A"/>
    <w:rsid w:val="00E772C1"/>
    <w:rsid w:val="00E77675"/>
    <w:rsid w:val="00E77929"/>
    <w:rsid w:val="00E80303"/>
    <w:rsid w:val="00E80BCC"/>
    <w:rsid w:val="00E8110F"/>
    <w:rsid w:val="00E82ECE"/>
    <w:rsid w:val="00E830F6"/>
    <w:rsid w:val="00E83421"/>
    <w:rsid w:val="00E835C2"/>
    <w:rsid w:val="00E8400F"/>
    <w:rsid w:val="00E84878"/>
    <w:rsid w:val="00E8575B"/>
    <w:rsid w:val="00E862AA"/>
    <w:rsid w:val="00E86399"/>
    <w:rsid w:val="00E86ABE"/>
    <w:rsid w:val="00E876E8"/>
    <w:rsid w:val="00E90A4A"/>
    <w:rsid w:val="00E90AC0"/>
    <w:rsid w:val="00E90FDC"/>
    <w:rsid w:val="00E911A2"/>
    <w:rsid w:val="00E9143F"/>
    <w:rsid w:val="00E924B7"/>
    <w:rsid w:val="00E9262C"/>
    <w:rsid w:val="00E92A71"/>
    <w:rsid w:val="00E93893"/>
    <w:rsid w:val="00E94047"/>
    <w:rsid w:val="00E9472C"/>
    <w:rsid w:val="00E9607B"/>
    <w:rsid w:val="00E963B2"/>
    <w:rsid w:val="00E9685D"/>
    <w:rsid w:val="00E9699E"/>
    <w:rsid w:val="00E97A66"/>
    <w:rsid w:val="00EA06A8"/>
    <w:rsid w:val="00EA0AC4"/>
    <w:rsid w:val="00EA0FE0"/>
    <w:rsid w:val="00EA1642"/>
    <w:rsid w:val="00EA20EB"/>
    <w:rsid w:val="00EA2C04"/>
    <w:rsid w:val="00EA3262"/>
    <w:rsid w:val="00EA388D"/>
    <w:rsid w:val="00EA3903"/>
    <w:rsid w:val="00EA3E7F"/>
    <w:rsid w:val="00EA42AC"/>
    <w:rsid w:val="00EA43D7"/>
    <w:rsid w:val="00EA575F"/>
    <w:rsid w:val="00EA62DA"/>
    <w:rsid w:val="00EA7D0B"/>
    <w:rsid w:val="00EB225F"/>
    <w:rsid w:val="00EB2545"/>
    <w:rsid w:val="00EB266E"/>
    <w:rsid w:val="00EB26F8"/>
    <w:rsid w:val="00EB2CA9"/>
    <w:rsid w:val="00EB2E56"/>
    <w:rsid w:val="00EB2EA7"/>
    <w:rsid w:val="00EB3557"/>
    <w:rsid w:val="00EB425A"/>
    <w:rsid w:val="00EB43F5"/>
    <w:rsid w:val="00EB4C61"/>
    <w:rsid w:val="00EB4EAC"/>
    <w:rsid w:val="00EB54DD"/>
    <w:rsid w:val="00EB5AE5"/>
    <w:rsid w:val="00EB5EF4"/>
    <w:rsid w:val="00EB5F09"/>
    <w:rsid w:val="00EB6286"/>
    <w:rsid w:val="00EB6340"/>
    <w:rsid w:val="00EB674F"/>
    <w:rsid w:val="00EB6DAC"/>
    <w:rsid w:val="00EB7828"/>
    <w:rsid w:val="00EC0495"/>
    <w:rsid w:val="00EC1530"/>
    <w:rsid w:val="00EC1ABD"/>
    <w:rsid w:val="00EC22E1"/>
    <w:rsid w:val="00EC26CE"/>
    <w:rsid w:val="00EC2769"/>
    <w:rsid w:val="00EC308B"/>
    <w:rsid w:val="00EC371D"/>
    <w:rsid w:val="00EC403B"/>
    <w:rsid w:val="00EC44E1"/>
    <w:rsid w:val="00EC4BA0"/>
    <w:rsid w:val="00EC5820"/>
    <w:rsid w:val="00EC59DD"/>
    <w:rsid w:val="00EC5EA9"/>
    <w:rsid w:val="00EC6889"/>
    <w:rsid w:val="00EC688D"/>
    <w:rsid w:val="00EC6D47"/>
    <w:rsid w:val="00EC6EDB"/>
    <w:rsid w:val="00EC72B5"/>
    <w:rsid w:val="00ED1A52"/>
    <w:rsid w:val="00ED1FF4"/>
    <w:rsid w:val="00ED206D"/>
    <w:rsid w:val="00ED22E4"/>
    <w:rsid w:val="00ED2870"/>
    <w:rsid w:val="00ED35E3"/>
    <w:rsid w:val="00ED391F"/>
    <w:rsid w:val="00ED3B68"/>
    <w:rsid w:val="00ED4F31"/>
    <w:rsid w:val="00ED5953"/>
    <w:rsid w:val="00ED6384"/>
    <w:rsid w:val="00ED63B1"/>
    <w:rsid w:val="00ED7270"/>
    <w:rsid w:val="00ED7C69"/>
    <w:rsid w:val="00EE1256"/>
    <w:rsid w:val="00EE1886"/>
    <w:rsid w:val="00EE1A7B"/>
    <w:rsid w:val="00EE37EE"/>
    <w:rsid w:val="00EE3AAB"/>
    <w:rsid w:val="00EE50FB"/>
    <w:rsid w:val="00EE5BEC"/>
    <w:rsid w:val="00EE719B"/>
    <w:rsid w:val="00EE75D7"/>
    <w:rsid w:val="00EF0084"/>
    <w:rsid w:val="00EF121E"/>
    <w:rsid w:val="00EF1938"/>
    <w:rsid w:val="00EF2BA6"/>
    <w:rsid w:val="00EF3334"/>
    <w:rsid w:val="00EF3C0D"/>
    <w:rsid w:val="00EF3CC9"/>
    <w:rsid w:val="00EF429A"/>
    <w:rsid w:val="00EF4608"/>
    <w:rsid w:val="00EF4DAA"/>
    <w:rsid w:val="00EF5D85"/>
    <w:rsid w:val="00EF613E"/>
    <w:rsid w:val="00EF7620"/>
    <w:rsid w:val="00F023FF"/>
    <w:rsid w:val="00F02742"/>
    <w:rsid w:val="00F02B12"/>
    <w:rsid w:val="00F033A6"/>
    <w:rsid w:val="00F03478"/>
    <w:rsid w:val="00F037AD"/>
    <w:rsid w:val="00F05916"/>
    <w:rsid w:val="00F06419"/>
    <w:rsid w:val="00F0678F"/>
    <w:rsid w:val="00F06D5A"/>
    <w:rsid w:val="00F075CC"/>
    <w:rsid w:val="00F11183"/>
    <w:rsid w:val="00F11552"/>
    <w:rsid w:val="00F11610"/>
    <w:rsid w:val="00F11788"/>
    <w:rsid w:val="00F1249C"/>
    <w:rsid w:val="00F129A9"/>
    <w:rsid w:val="00F13261"/>
    <w:rsid w:val="00F1364A"/>
    <w:rsid w:val="00F14040"/>
    <w:rsid w:val="00F14706"/>
    <w:rsid w:val="00F149C6"/>
    <w:rsid w:val="00F15020"/>
    <w:rsid w:val="00F151DB"/>
    <w:rsid w:val="00F1541B"/>
    <w:rsid w:val="00F15DCC"/>
    <w:rsid w:val="00F16D88"/>
    <w:rsid w:val="00F17F9F"/>
    <w:rsid w:val="00F21CED"/>
    <w:rsid w:val="00F21DC2"/>
    <w:rsid w:val="00F221A7"/>
    <w:rsid w:val="00F221FC"/>
    <w:rsid w:val="00F23957"/>
    <w:rsid w:val="00F243DE"/>
    <w:rsid w:val="00F243EC"/>
    <w:rsid w:val="00F2572A"/>
    <w:rsid w:val="00F25B2D"/>
    <w:rsid w:val="00F262B9"/>
    <w:rsid w:val="00F26340"/>
    <w:rsid w:val="00F26EF2"/>
    <w:rsid w:val="00F27592"/>
    <w:rsid w:val="00F300FC"/>
    <w:rsid w:val="00F30626"/>
    <w:rsid w:val="00F310A5"/>
    <w:rsid w:val="00F312EF"/>
    <w:rsid w:val="00F32255"/>
    <w:rsid w:val="00F33321"/>
    <w:rsid w:val="00F35B6C"/>
    <w:rsid w:val="00F35D37"/>
    <w:rsid w:val="00F37790"/>
    <w:rsid w:val="00F379EB"/>
    <w:rsid w:val="00F37A0B"/>
    <w:rsid w:val="00F37A40"/>
    <w:rsid w:val="00F40988"/>
    <w:rsid w:val="00F40C8D"/>
    <w:rsid w:val="00F40E5A"/>
    <w:rsid w:val="00F411B0"/>
    <w:rsid w:val="00F415F4"/>
    <w:rsid w:val="00F41871"/>
    <w:rsid w:val="00F41B7E"/>
    <w:rsid w:val="00F41C1F"/>
    <w:rsid w:val="00F41D0E"/>
    <w:rsid w:val="00F42393"/>
    <w:rsid w:val="00F43368"/>
    <w:rsid w:val="00F44E8B"/>
    <w:rsid w:val="00F45866"/>
    <w:rsid w:val="00F4593F"/>
    <w:rsid w:val="00F45D59"/>
    <w:rsid w:val="00F4625C"/>
    <w:rsid w:val="00F474FC"/>
    <w:rsid w:val="00F4761F"/>
    <w:rsid w:val="00F47EC3"/>
    <w:rsid w:val="00F50657"/>
    <w:rsid w:val="00F508CA"/>
    <w:rsid w:val="00F514D8"/>
    <w:rsid w:val="00F51552"/>
    <w:rsid w:val="00F51B40"/>
    <w:rsid w:val="00F52D62"/>
    <w:rsid w:val="00F53F08"/>
    <w:rsid w:val="00F544DE"/>
    <w:rsid w:val="00F54788"/>
    <w:rsid w:val="00F54795"/>
    <w:rsid w:val="00F54E9F"/>
    <w:rsid w:val="00F55E79"/>
    <w:rsid w:val="00F56CED"/>
    <w:rsid w:val="00F573E8"/>
    <w:rsid w:val="00F57822"/>
    <w:rsid w:val="00F57F11"/>
    <w:rsid w:val="00F601DE"/>
    <w:rsid w:val="00F602EB"/>
    <w:rsid w:val="00F60549"/>
    <w:rsid w:val="00F60A11"/>
    <w:rsid w:val="00F60CF7"/>
    <w:rsid w:val="00F60E77"/>
    <w:rsid w:val="00F6141D"/>
    <w:rsid w:val="00F61455"/>
    <w:rsid w:val="00F616BD"/>
    <w:rsid w:val="00F61764"/>
    <w:rsid w:val="00F62461"/>
    <w:rsid w:val="00F6286B"/>
    <w:rsid w:val="00F64AD6"/>
    <w:rsid w:val="00F64CAD"/>
    <w:rsid w:val="00F64CDD"/>
    <w:rsid w:val="00F64E00"/>
    <w:rsid w:val="00F65467"/>
    <w:rsid w:val="00F66B46"/>
    <w:rsid w:val="00F6730B"/>
    <w:rsid w:val="00F70946"/>
    <w:rsid w:val="00F70CC3"/>
    <w:rsid w:val="00F7142A"/>
    <w:rsid w:val="00F716C7"/>
    <w:rsid w:val="00F7210A"/>
    <w:rsid w:val="00F72188"/>
    <w:rsid w:val="00F72553"/>
    <w:rsid w:val="00F733C7"/>
    <w:rsid w:val="00F73426"/>
    <w:rsid w:val="00F75385"/>
    <w:rsid w:val="00F754C8"/>
    <w:rsid w:val="00F75573"/>
    <w:rsid w:val="00F75A5B"/>
    <w:rsid w:val="00F75FF2"/>
    <w:rsid w:val="00F76D20"/>
    <w:rsid w:val="00F7735D"/>
    <w:rsid w:val="00F7751E"/>
    <w:rsid w:val="00F775FA"/>
    <w:rsid w:val="00F77D7D"/>
    <w:rsid w:val="00F80412"/>
    <w:rsid w:val="00F80937"/>
    <w:rsid w:val="00F81645"/>
    <w:rsid w:val="00F81942"/>
    <w:rsid w:val="00F81D7C"/>
    <w:rsid w:val="00F81FA9"/>
    <w:rsid w:val="00F82704"/>
    <w:rsid w:val="00F82724"/>
    <w:rsid w:val="00F829A1"/>
    <w:rsid w:val="00F82D39"/>
    <w:rsid w:val="00F830F2"/>
    <w:rsid w:val="00F85369"/>
    <w:rsid w:val="00F859C6"/>
    <w:rsid w:val="00F911E9"/>
    <w:rsid w:val="00F92032"/>
    <w:rsid w:val="00F92A3B"/>
    <w:rsid w:val="00F9314D"/>
    <w:rsid w:val="00F934BD"/>
    <w:rsid w:val="00F935EC"/>
    <w:rsid w:val="00F94119"/>
    <w:rsid w:val="00F95034"/>
    <w:rsid w:val="00F960A7"/>
    <w:rsid w:val="00F9660A"/>
    <w:rsid w:val="00F967B8"/>
    <w:rsid w:val="00F967C1"/>
    <w:rsid w:val="00F96AE6"/>
    <w:rsid w:val="00F977DE"/>
    <w:rsid w:val="00F9781E"/>
    <w:rsid w:val="00FA0544"/>
    <w:rsid w:val="00FA3F24"/>
    <w:rsid w:val="00FA4677"/>
    <w:rsid w:val="00FA6312"/>
    <w:rsid w:val="00FA6CDD"/>
    <w:rsid w:val="00FA70A6"/>
    <w:rsid w:val="00FB0372"/>
    <w:rsid w:val="00FB03D8"/>
    <w:rsid w:val="00FB0490"/>
    <w:rsid w:val="00FB0A21"/>
    <w:rsid w:val="00FB0FE6"/>
    <w:rsid w:val="00FB12E3"/>
    <w:rsid w:val="00FB1835"/>
    <w:rsid w:val="00FB19AC"/>
    <w:rsid w:val="00FB2756"/>
    <w:rsid w:val="00FB2AFD"/>
    <w:rsid w:val="00FB34E8"/>
    <w:rsid w:val="00FB3DE9"/>
    <w:rsid w:val="00FB4C0D"/>
    <w:rsid w:val="00FB4F46"/>
    <w:rsid w:val="00FB54FF"/>
    <w:rsid w:val="00FB5A80"/>
    <w:rsid w:val="00FB5BA4"/>
    <w:rsid w:val="00FB6762"/>
    <w:rsid w:val="00FB6B18"/>
    <w:rsid w:val="00FB7DFD"/>
    <w:rsid w:val="00FC0540"/>
    <w:rsid w:val="00FC0A7C"/>
    <w:rsid w:val="00FC12A5"/>
    <w:rsid w:val="00FC1BB3"/>
    <w:rsid w:val="00FC6B39"/>
    <w:rsid w:val="00FC73F1"/>
    <w:rsid w:val="00FC7720"/>
    <w:rsid w:val="00FD0755"/>
    <w:rsid w:val="00FD0AC4"/>
    <w:rsid w:val="00FD1841"/>
    <w:rsid w:val="00FD1A89"/>
    <w:rsid w:val="00FD1DCC"/>
    <w:rsid w:val="00FD23E7"/>
    <w:rsid w:val="00FD2DBF"/>
    <w:rsid w:val="00FD3639"/>
    <w:rsid w:val="00FD371B"/>
    <w:rsid w:val="00FD4914"/>
    <w:rsid w:val="00FD5551"/>
    <w:rsid w:val="00FD66A6"/>
    <w:rsid w:val="00FD7948"/>
    <w:rsid w:val="00FD7BB8"/>
    <w:rsid w:val="00FD7EE0"/>
    <w:rsid w:val="00FE180D"/>
    <w:rsid w:val="00FE4A7E"/>
    <w:rsid w:val="00FE4F2B"/>
    <w:rsid w:val="00FE4FCE"/>
    <w:rsid w:val="00FE55E0"/>
    <w:rsid w:val="00FE5BEE"/>
    <w:rsid w:val="00FE7565"/>
    <w:rsid w:val="00FE75DE"/>
    <w:rsid w:val="00FE7930"/>
    <w:rsid w:val="00FF020E"/>
    <w:rsid w:val="00FF0A7B"/>
    <w:rsid w:val="00FF1692"/>
    <w:rsid w:val="00FF1A50"/>
    <w:rsid w:val="00FF1D6A"/>
    <w:rsid w:val="00FF1E43"/>
    <w:rsid w:val="00FF26B3"/>
    <w:rsid w:val="00FF463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F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2E2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3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0303"/>
  </w:style>
  <w:style w:type="paragraph" w:customStyle="1" w:styleId="11">
    <w:name w:val="Обычный1"/>
    <w:rsid w:val="00E80303"/>
    <w:pPr>
      <w:widowControl w:val="0"/>
      <w:snapToGrid w:val="0"/>
    </w:pPr>
  </w:style>
  <w:style w:type="paragraph" w:styleId="3">
    <w:name w:val="Body Text Indent 3"/>
    <w:basedOn w:val="a"/>
    <w:rsid w:val="00E80303"/>
    <w:pPr>
      <w:ind w:firstLine="708"/>
      <w:jc w:val="both"/>
    </w:pPr>
  </w:style>
  <w:style w:type="paragraph" w:styleId="a5">
    <w:name w:val="Title"/>
    <w:basedOn w:val="a"/>
    <w:link w:val="a6"/>
    <w:uiPriority w:val="10"/>
    <w:qFormat/>
    <w:rsid w:val="00E80303"/>
    <w:pPr>
      <w:jc w:val="center"/>
    </w:pPr>
  </w:style>
  <w:style w:type="paragraph" w:customStyle="1" w:styleId="12">
    <w:name w:val="1"/>
    <w:rsid w:val="00E80303"/>
    <w:rPr>
      <w:sz w:val="24"/>
    </w:rPr>
  </w:style>
  <w:style w:type="paragraph" w:customStyle="1" w:styleId="21">
    <w:name w:val="Заголовок 21"/>
    <w:basedOn w:val="a"/>
    <w:next w:val="a"/>
    <w:rsid w:val="00E80303"/>
    <w:pPr>
      <w:keepNext/>
      <w:jc w:val="center"/>
      <w:outlineLvl w:val="1"/>
    </w:pPr>
    <w:rPr>
      <w:b/>
      <w:caps/>
      <w:sz w:val="34"/>
      <w:szCs w:val="20"/>
    </w:rPr>
  </w:style>
  <w:style w:type="paragraph" w:styleId="a7">
    <w:name w:val="Body Text"/>
    <w:aliases w:val="Основной текст Знак"/>
    <w:basedOn w:val="a"/>
    <w:link w:val="13"/>
    <w:rsid w:val="006A3F52"/>
    <w:pPr>
      <w:spacing w:after="120"/>
    </w:pPr>
  </w:style>
  <w:style w:type="table" w:styleId="a8">
    <w:name w:val="Table Grid"/>
    <w:basedOn w:val="a1"/>
    <w:uiPriority w:val="59"/>
    <w:rsid w:val="003F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писок_без_б"/>
    <w:basedOn w:val="a"/>
    <w:rsid w:val="008E31D7"/>
    <w:pPr>
      <w:spacing w:before="40" w:after="40"/>
      <w:ind w:left="357"/>
      <w:jc w:val="both"/>
    </w:pPr>
    <w:rPr>
      <w:sz w:val="22"/>
      <w:szCs w:val="20"/>
    </w:rPr>
  </w:style>
  <w:style w:type="paragraph" w:styleId="aa">
    <w:name w:val="caption"/>
    <w:basedOn w:val="a"/>
    <w:next w:val="a"/>
    <w:qFormat/>
    <w:rsid w:val="00C627B1"/>
    <w:rPr>
      <w:b/>
      <w:bCs/>
      <w:sz w:val="20"/>
      <w:szCs w:val="20"/>
    </w:rPr>
  </w:style>
  <w:style w:type="paragraph" w:styleId="ab">
    <w:name w:val="footer"/>
    <w:basedOn w:val="a"/>
    <w:rsid w:val="0051690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9203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EF19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818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semiHidden/>
    <w:rsid w:val="00EB5F09"/>
    <w:rPr>
      <w:sz w:val="20"/>
      <w:szCs w:val="20"/>
    </w:rPr>
  </w:style>
  <w:style w:type="character" w:styleId="ad">
    <w:name w:val="footnote reference"/>
    <w:basedOn w:val="a0"/>
    <w:semiHidden/>
    <w:rsid w:val="00EB5F09"/>
    <w:rPr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rsid w:val="00A12C55"/>
    <w:rPr>
      <w:rFonts w:ascii="Arial" w:hAnsi="Arial" w:cs="Arial"/>
      <w:lang w:val="ru-RU" w:eastAsia="ru-RU" w:bidi="ar-SA"/>
    </w:rPr>
  </w:style>
  <w:style w:type="character" w:customStyle="1" w:styleId="ae">
    <w:name w:val="Не вступил в силу"/>
    <w:basedOn w:val="a0"/>
    <w:uiPriority w:val="99"/>
    <w:rsid w:val="00A12C55"/>
    <w:rPr>
      <w:b/>
      <w:bCs/>
      <w:color w:val="008080"/>
      <w:sz w:val="20"/>
      <w:szCs w:val="20"/>
    </w:rPr>
  </w:style>
  <w:style w:type="paragraph" w:styleId="af">
    <w:name w:val="No Spacing"/>
    <w:qFormat/>
    <w:rsid w:val="00C30116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22442C"/>
    <w:pPr>
      <w:spacing w:line="360" w:lineRule="auto"/>
      <w:ind w:left="720" w:firstLine="720"/>
      <w:contextualSpacing/>
    </w:pPr>
    <w:rPr>
      <w:sz w:val="28"/>
      <w:szCs w:val="20"/>
    </w:rPr>
  </w:style>
  <w:style w:type="paragraph" w:customStyle="1" w:styleId="ConsPlusNonformat">
    <w:name w:val="ConsPlusNonformat"/>
    <w:rsid w:val="0018763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9E682A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Body Text Indent"/>
    <w:aliases w:val="Основной текст 1"/>
    <w:basedOn w:val="a"/>
    <w:link w:val="af4"/>
    <w:rsid w:val="005B2773"/>
    <w:pPr>
      <w:spacing w:after="120"/>
      <w:ind w:left="283"/>
    </w:pPr>
  </w:style>
  <w:style w:type="character" w:customStyle="1" w:styleId="13">
    <w:name w:val="Основной текст Знак1"/>
    <w:aliases w:val="Основной текст Знак Знак"/>
    <w:basedOn w:val="a0"/>
    <w:link w:val="a7"/>
    <w:rsid w:val="0076231C"/>
    <w:rPr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76231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6231C"/>
    <w:pPr>
      <w:spacing w:after="120" w:line="480" w:lineRule="auto"/>
    </w:pPr>
  </w:style>
  <w:style w:type="character" w:customStyle="1" w:styleId="14">
    <w:name w:val="Основной текст Знак Знак Знак1"/>
    <w:basedOn w:val="a0"/>
    <w:semiHidden/>
    <w:locked/>
    <w:rsid w:val="00471945"/>
    <w:rPr>
      <w:sz w:val="24"/>
      <w:szCs w:val="24"/>
      <w:lang w:val="ru-RU" w:eastAsia="ru-RU" w:bidi="ar-SA"/>
    </w:rPr>
  </w:style>
  <w:style w:type="character" w:customStyle="1" w:styleId="af6">
    <w:name w:val="Гипертекстовая ссылка"/>
    <w:basedOn w:val="a0"/>
    <w:uiPriority w:val="99"/>
    <w:rsid w:val="000265EB"/>
    <w:rPr>
      <w:color w:val="008000"/>
    </w:rPr>
  </w:style>
  <w:style w:type="paragraph" w:customStyle="1" w:styleId="ConsPlusCell">
    <w:name w:val="ConsPlusCell"/>
    <w:uiPriority w:val="99"/>
    <w:rsid w:val="000265E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274FA"/>
    <w:rPr>
      <w:sz w:val="24"/>
      <w:szCs w:val="24"/>
    </w:rPr>
  </w:style>
  <w:style w:type="character" w:customStyle="1" w:styleId="FontStyle25">
    <w:name w:val="Font Style25"/>
    <w:basedOn w:val="a0"/>
    <w:rsid w:val="0059400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94000"/>
    <w:pPr>
      <w:widowControl w:val="0"/>
      <w:autoSpaceDE w:val="0"/>
      <w:autoSpaceDN w:val="0"/>
      <w:adjustRightInd w:val="0"/>
      <w:jc w:val="center"/>
    </w:pPr>
  </w:style>
  <w:style w:type="character" w:customStyle="1" w:styleId="FontStyle28">
    <w:name w:val="Font Style28"/>
    <w:basedOn w:val="a0"/>
    <w:rsid w:val="005940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C73E7"/>
    <w:rPr>
      <w:rFonts w:ascii="Times New Roman" w:hAnsi="Times New Roman" w:cs="Times New Roman"/>
      <w:sz w:val="26"/>
      <w:szCs w:val="26"/>
    </w:rPr>
  </w:style>
  <w:style w:type="character" w:customStyle="1" w:styleId="CharAttribute2">
    <w:name w:val="CharAttribute2"/>
    <w:uiPriority w:val="99"/>
    <w:rsid w:val="0032674F"/>
    <w:rPr>
      <w:rFonts w:ascii="Times New Roman" w:eastAsia="Times New Roman"/>
      <w:sz w:val="24"/>
    </w:rPr>
  </w:style>
  <w:style w:type="character" w:customStyle="1" w:styleId="CharAttribute14">
    <w:name w:val="CharAttribute14"/>
    <w:uiPriority w:val="99"/>
    <w:rsid w:val="0032674F"/>
    <w:rPr>
      <w:rFonts w:ascii="Times New Roman" w:eastAsia="Times New Roman"/>
      <w:i/>
      <w:sz w:val="24"/>
      <w:u w:val="single"/>
    </w:rPr>
  </w:style>
  <w:style w:type="paragraph" w:customStyle="1" w:styleId="ParaAttribute2">
    <w:name w:val="ParaAttribute2"/>
    <w:uiPriority w:val="99"/>
    <w:rsid w:val="0032674F"/>
    <w:pPr>
      <w:jc w:val="center"/>
    </w:pPr>
  </w:style>
  <w:style w:type="character" w:customStyle="1" w:styleId="CharAttribute8">
    <w:name w:val="CharAttribute8"/>
    <w:uiPriority w:val="99"/>
    <w:rsid w:val="0032674F"/>
    <w:rPr>
      <w:rFonts w:ascii="Times New Roman" w:eastAsia="Times New Roman"/>
      <w:b/>
      <w:i/>
      <w:sz w:val="24"/>
    </w:rPr>
  </w:style>
  <w:style w:type="paragraph" w:styleId="af7">
    <w:name w:val="Balloon Text"/>
    <w:basedOn w:val="a"/>
    <w:link w:val="af8"/>
    <w:rsid w:val="00C46A9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6A9E"/>
    <w:rPr>
      <w:rFonts w:ascii="Tahoma" w:hAnsi="Tahoma" w:cs="Tahoma"/>
      <w:sz w:val="16"/>
      <w:szCs w:val="16"/>
    </w:rPr>
  </w:style>
  <w:style w:type="character" w:customStyle="1" w:styleId="af4">
    <w:name w:val="Основной текст с отступом Знак"/>
    <w:aliases w:val="Основной текст 1 Знак"/>
    <w:link w:val="af3"/>
    <w:rsid w:val="00AA238A"/>
    <w:rPr>
      <w:sz w:val="24"/>
      <w:szCs w:val="24"/>
    </w:rPr>
  </w:style>
  <w:style w:type="paragraph" w:customStyle="1" w:styleId="Style6">
    <w:name w:val="Style6"/>
    <w:basedOn w:val="a"/>
    <w:uiPriority w:val="99"/>
    <w:rsid w:val="00AA238A"/>
    <w:pPr>
      <w:widowControl w:val="0"/>
      <w:autoSpaceDE w:val="0"/>
      <w:autoSpaceDN w:val="0"/>
      <w:adjustRightInd w:val="0"/>
      <w:spacing w:line="670" w:lineRule="exact"/>
      <w:ind w:firstLine="1440"/>
      <w:jc w:val="both"/>
    </w:pPr>
  </w:style>
  <w:style w:type="character" w:customStyle="1" w:styleId="a6">
    <w:name w:val="Название Знак"/>
    <w:basedOn w:val="a0"/>
    <w:link w:val="a5"/>
    <w:uiPriority w:val="10"/>
    <w:locked/>
    <w:rsid w:val="002A108F"/>
    <w:rPr>
      <w:sz w:val="24"/>
      <w:szCs w:val="24"/>
    </w:rPr>
  </w:style>
  <w:style w:type="paragraph" w:customStyle="1" w:styleId="ConsNonformat">
    <w:name w:val="ConsNonformat"/>
    <w:uiPriority w:val="99"/>
    <w:rsid w:val="005F1C0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Emphasis"/>
    <w:basedOn w:val="a0"/>
    <w:uiPriority w:val="20"/>
    <w:qFormat/>
    <w:rsid w:val="005F1C0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B0CDC"/>
    <w:rPr>
      <w:rFonts w:ascii="Arial" w:hAnsi="Arial"/>
      <w:b/>
      <w:bCs/>
      <w:color w:val="000080"/>
      <w:sz w:val="22"/>
      <w:szCs w:val="22"/>
    </w:rPr>
  </w:style>
  <w:style w:type="character" w:styleId="afa">
    <w:name w:val="Strong"/>
    <w:basedOn w:val="a0"/>
    <w:qFormat/>
    <w:rsid w:val="00BB0CDC"/>
    <w:rPr>
      <w:rFonts w:cs="Times New Roman"/>
      <w:b/>
      <w:bCs/>
    </w:rPr>
  </w:style>
  <w:style w:type="character" w:styleId="afb">
    <w:name w:val="Hyperlink"/>
    <w:basedOn w:val="a0"/>
    <w:uiPriority w:val="99"/>
    <w:rsid w:val="00BB0CDC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A31A18"/>
    <w:pPr>
      <w:widowControl w:val="0"/>
      <w:autoSpaceDE w:val="0"/>
      <w:autoSpaceDN w:val="0"/>
      <w:adjustRightInd w:val="0"/>
      <w:spacing w:line="348" w:lineRule="exact"/>
      <w:ind w:firstLine="701"/>
    </w:pPr>
  </w:style>
  <w:style w:type="paragraph" w:customStyle="1" w:styleId="Default">
    <w:name w:val="Default"/>
    <w:rsid w:val="0045385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D0511D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CD1B9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af1">
    <w:name w:val="Абзац списка Знак"/>
    <w:basedOn w:val="a0"/>
    <w:link w:val="af0"/>
    <w:uiPriority w:val="34"/>
    <w:rsid w:val="00732D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8BD024338A8FA9FA5CA17EBE40CF6B6EB84FB993B588F628C7AC9DDA699E086EA4B40593CF49976F9C3D176B1C49E5AC64BD907FC0E931y6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D024338A8FA9FA5CA17EBE40CF6B6EB84FB993B588F628C7AC9DDA699E086EA4B40593CF49976F9C3D176B1C49E5AC64BD907FC0E931y6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2F841709F3DAAE93E95E50725789B12D8AA6430931F9BF6729BE258605FD83EA1963608AFED38C27CC244297A2C20C4DDE5C576867QDY3I" TargetMode="External"/><Relationship Id="rId10" Type="http://schemas.openxmlformats.org/officeDocument/2006/relationships/hyperlink" Target="garantF1://70308460.1002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0049183.0" TargetMode="External"/><Relationship Id="rId14" Type="http://schemas.openxmlformats.org/officeDocument/2006/relationships/hyperlink" Target="consultantplus://offline/ref=692F841709F3DAAE93E95E50725789B12D8AA6430931F9BF6729BE258605FD83EA1963608AFED38C27CC244297A2C20C4DDE5C576867QDY3I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0.30.4\&#1076;&#1086;&#1082;&#1091;&#1084;&#1077;&#1085;&#1090;&#1099;\2018\&#1047;&#1072;&#1073;&#1088;&#1086;&#1076;&#1072;\&#1073;&#1102;&#1076;&#1078;&#1077;&#1090;%202019%20&#1075;&#1086;&#1076;\&#1089;&#1088;&#1072;&#1074;&#1085;&#1077;&#1085;&#1080;&#1077;%20&#1087;&#1086;&#1082;&#1072;&#1079;&#1072;&#1090;&#1077;&#1083;&#1077;&#1081;%20%20&#1075;&#1088;&#1072;&#1092;&#1080;&#1082;.xls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429698038808788E-2"/>
          <c:y val="0.17374467545534059"/>
          <c:w val="0.9457575757575758"/>
          <c:h val="0.72378495478988081"/>
        </c:manualLayout>
      </c:layout>
      <c:bar3DChart>
        <c:barDir val="col"/>
        <c:grouping val="clustered"/>
        <c:ser>
          <c:idx val="0"/>
          <c:order val="0"/>
          <c:tx>
            <c:strRef>
              <c:f>'бюджет 2019 (1)'!$B$16:$B$17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-5.4446459034881069E-3"/>
                  <c:y val="3.7105762232703568E-3"/>
                </c:manualLayout>
              </c:layout>
              <c:showVal val="1"/>
            </c:dLbl>
            <c:dLbl>
              <c:idx val="1"/>
              <c:layout>
                <c:manualLayout>
                  <c:x val="-7.062146892655382E-3"/>
                  <c:y val="7.4211524465407058E-3"/>
                </c:manualLayout>
              </c:layout>
              <c:showVal val="1"/>
            </c:dLbl>
            <c:dLbl>
              <c:idx val="4"/>
              <c:layout>
                <c:manualLayout>
                  <c:x val="4.237288135593262E-3"/>
                  <c:y val="7.4211524465407058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'бюджет 2019 (1)'!$A$18:$A$25</c:f>
              <c:strCache>
                <c:ptCount val="8"/>
                <c:pt idx="0">
                  <c:v>Валовой региональный продукт</c:v>
                </c:pt>
                <c:pt idx="1">
                  <c:v>Индес промышленного производства</c:v>
                </c:pt>
                <c:pt idx="2">
                  <c:v>Производство продукции сельского хозяйства</c:v>
                </c:pt>
                <c:pt idx="3">
                  <c:v>Оборот розничной торговли</c:v>
                </c:pt>
                <c:pt idx="4">
                  <c:v>Объем платных услуг населению</c:v>
                </c:pt>
                <c:pt idx="5">
                  <c:v>Прибыль прибыльных организаций  </c:v>
                </c:pt>
                <c:pt idx="6">
                  <c:v>Инвестиции в основной капитал</c:v>
                </c:pt>
                <c:pt idx="7">
                  <c:v>Реальные располагаемые доходы населения</c:v>
                </c:pt>
              </c:strCache>
            </c:strRef>
          </c:cat>
          <c:val>
            <c:numRef>
              <c:f>'бюджет 2019 (1)'!$B$18:$B$25</c:f>
              <c:numCache>
                <c:formatCode>#,##0.0</c:formatCode>
                <c:ptCount val="8"/>
                <c:pt idx="0">
                  <c:v>2</c:v>
                </c:pt>
                <c:pt idx="1">
                  <c:v>3.5</c:v>
                </c:pt>
                <c:pt idx="2">
                  <c:v>2.7000000000000042</c:v>
                </c:pt>
                <c:pt idx="3">
                  <c:v>2.7999999999999972</c:v>
                </c:pt>
                <c:pt idx="4">
                  <c:v>9.999999999999476E-2</c:v>
                </c:pt>
                <c:pt idx="5">
                  <c:v>7.5</c:v>
                </c:pt>
                <c:pt idx="6">
                  <c:v>5</c:v>
                </c:pt>
                <c:pt idx="7">
                  <c:v>-0.29999999999999877</c:v>
                </c:pt>
              </c:numCache>
            </c:numRef>
          </c:val>
        </c:ser>
        <c:ser>
          <c:idx val="1"/>
          <c:order val="1"/>
          <c:tx>
            <c:strRef>
              <c:f>'бюджет 2019 (1)'!$C$16:$C$17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3.7758833696827899E-3"/>
                  <c:y val="-2.9684609786162806E-2"/>
                </c:manualLayout>
              </c:layout>
              <c:showVal val="1"/>
            </c:dLbl>
            <c:dLbl>
              <c:idx val="1"/>
              <c:layout>
                <c:manualLayout>
                  <c:x val="1.4124293785310741E-3"/>
                  <c:y val="-2.9684609786162806E-2"/>
                </c:manualLayout>
              </c:layout>
              <c:showVal val="1"/>
            </c:dLbl>
            <c:dLbl>
              <c:idx val="2"/>
              <c:layout>
                <c:manualLayout>
                  <c:x val="1.4124293785310741E-3"/>
                  <c:y val="1.1131728669811117E-2"/>
                </c:manualLayout>
              </c:layout>
              <c:showVal val="1"/>
            </c:dLbl>
            <c:dLbl>
              <c:idx val="3"/>
              <c:layout>
                <c:manualLayout>
                  <c:x val="5.649717514124313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1.4124293785310741E-3"/>
                  <c:y val="-2.9684609786162806E-2"/>
                </c:manualLayout>
              </c:layout>
              <c:showVal val="1"/>
            </c:dLbl>
            <c:dLbl>
              <c:idx val="5"/>
              <c:layout>
                <c:manualLayout>
                  <c:x val="8.4745762711865187E-3"/>
                  <c:y val="-1.8552881116351762E-2"/>
                </c:manualLayout>
              </c:layout>
              <c:showVal val="1"/>
            </c:dLbl>
            <c:dLbl>
              <c:idx val="7"/>
              <c:layout>
                <c:manualLayout>
                  <c:x val="-7.06214689265538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'бюджет 2019 (1)'!$A$18:$A$25</c:f>
              <c:strCache>
                <c:ptCount val="8"/>
                <c:pt idx="0">
                  <c:v>Валовой региональный продукт</c:v>
                </c:pt>
                <c:pt idx="1">
                  <c:v>Индес промышленного производства</c:v>
                </c:pt>
                <c:pt idx="2">
                  <c:v>Производство продукции сельского хозяйства</c:v>
                </c:pt>
                <c:pt idx="3">
                  <c:v>Оборот розничной торговли</c:v>
                </c:pt>
                <c:pt idx="4">
                  <c:v>Объем платных услуг населению</c:v>
                </c:pt>
                <c:pt idx="5">
                  <c:v>Прибыль прибыльных организаций  </c:v>
                </c:pt>
                <c:pt idx="6">
                  <c:v>Инвестиции в основной капитал</c:v>
                </c:pt>
                <c:pt idx="7">
                  <c:v>Реальные располагаемые доходы населения</c:v>
                </c:pt>
              </c:strCache>
            </c:strRef>
          </c:cat>
          <c:val>
            <c:numRef>
              <c:f>'бюджет 2019 (1)'!$C$18:$C$25</c:f>
              <c:numCache>
                <c:formatCode>#,##0.0</c:formatCode>
                <c:ptCount val="8"/>
                <c:pt idx="0">
                  <c:v>1</c:v>
                </c:pt>
                <c:pt idx="1">
                  <c:v>2</c:v>
                </c:pt>
                <c:pt idx="2">
                  <c:v>-12.5</c:v>
                </c:pt>
                <c:pt idx="3">
                  <c:v>2.9000000000000057</c:v>
                </c:pt>
                <c:pt idx="4">
                  <c:v>0</c:v>
                </c:pt>
                <c:pt idx="5">
                  <c:v>5.5</c:v>
                </c:pt>
                <c:pt idx="6">
                  <c:v>-4.9000000000000083</c:v>
                </c:pt>
                <c:pt idx="7">
                  <c:v>0.20000000000000284</c:v>
                </c:pt>
              </c:numCache>
            </c:numRef>
          </c:val>
        </c:ser>
        <c:ser>
          <c:idx val="2"/>
          <c:order val="2"/>
          <c:tx>
            <c:strRef>
              <c:f>'бюджет 2019 (1)'!$D$16:$D$17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F2927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1.0535604179387381E-3"/>
                  <c:y val="-3.7105762232703568E-3"/>
                </c:manualLayout>
              </c:layout>
              <c:showVal val="1"/>
            </c:dLbl>
            <c:dLbl>
              <c:idx val="1"/>
              <c:layout>
                <c:manualLayout>
                  <c:x val="4.237288135593262E-3"/>
                  <c:y val="-2.59740335628924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1131728669811117E-2"/>
                </c:manualLayout>
              </c:layout>
              <c:showVal val="1"/>
            </c:dLbl>
            <c:dLbl>
              <c:idx val="3"/>
              <c:layout>
                <c:manualLayout>
                  <c:x val="7.062146892655382E-3"/>
                  <c:y val="-1.4842304893081391E-2"/>
                </c:manualLayout>
              </c:layout>
              <c:showVal val="1"/>
            </c:dLbl>
            <c:dLbl>
              <c:idx val="5"/>
              <c:layout>
                <c:manualLayout>
                  <c:x val="1.1299435028248589E-2"/>
                  <c:y val="-3.339518600943308E-2"/>
                </c:manualLayout>
              </c:layout>
              <c:showVal val="1"/>
            </c:dLbl>
            <c:dLbl>
              <c:idx val="6"/>
              <c:layout>
                <c:manualLayout>
                  <c:x val="-7.06214689265538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'бюджет 2019 (1)'!$A$18:$A$25</c:f>
              <c:strCache>
                <c:ptCount val="8"/>
                <c:pt idx="0">
                  <c:v>Валовой региональный продукт</c:v>
                </c:pt>
                <c:pt idx="1">
                  <c:v>Индес промышленного производства</c:v>
                </c:pt>
                <c:pt idx="2">
                  <c:v>Производство продукции сельского хозяйства</c:v>
                </c:pt>
                <c:pt idx="3">
                  <c:v>Оборот розничной торговли</c:v>
                </c:pt>
                <c:pt idx="4">
                  <c:v>Объем платных услуг населению</c:v>
                </c:pt>
                <c:pt idx="5">
                  <c:v>Прибыль прибыльных организаций  </c:v>
                </c:pt>
                <c:pt idx="6">
                  <c:v>Инвестиции в основной капитал</c:v>
                </c:pt>
                <c:pt idx="7">
                  <c:v>Реальные располагаемые доходы населения</c:v>
                </c:pt>
              </c:strCache>
            </c:strRef>
          </c:cat>
          <c:val>
            <c:numRef>
              <c:f>'бюджет 2019 (1)'!$D$18:$D$25</c:f>
              <c:numCache>
                <c:formatCode>#,##0.0</c:formatCode>
                <c:ptCount val="8"/>
                <c:pt idx="0">
                  <c:v>1.2000000000000028</c:v>
                </c:pt>
                <c:pt idx="1">
                  <c:v>2.0999999999999943</c:v>
                </c:pt>
                <c:pt idx="2">
                  <c:v>9.4000000000000057</c:v>
                </c:pt>
                <c:pt idx="3">
                  <c:v>3</c:v>
                </c:pt>
                <c:pt idx="4">
                  <c:v>0.29999999999999877</c:v>
                </c:pt>
                <c:pt idx="5">
                  <c:v>3.9000000000000057</c:v>
                </c:pt>
                <c:pt idx="6">
                  <c:v>0.5</c:v>
                </c:pt>
                <c:pt idx="7">
                  <c:v>0.70000000000000284</c:v>
                </c:pt>
              </c:numCache>
            </c:numRef>
          </c:val>
        </c:ser>
        <c:ser>
          <c:idx val="3"/>
          <c:order val="3"/>
          <c:tx>
            <c:strRef>
              <c:f>'бюджет 2019 (1)'!$E$16:$E$17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3.2349556556098592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4745762711865187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0621773203274887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129943502824858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5.6497175141243137E-3"/>
                  <c:y val="-2.597403356289241E-2"/>
                </c:manualLayout>
              </c:layout>
              <c:showVal val="1"/>
            </c:dLbl>
            <c:dLbl>
              <c:idx val="5"/>
              <c:layout>
                <c:manualLayout>
                  <c:x val="8.4745762711865187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2.8248587570621612E-3"/>
                  <c:y val="-1.484230489308139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'бюджет 2019 (1)'!$A$18:$A$25</c:f>
              <c:strCache>
                <c:ptCount val="8"/>
                <c:pt idx="0">
                  <c:v>Валовой региональный продукт</c:v>
                </c:pt>
                <c:pt idx="1">
                  <c:v>Индес промышленного производства</c:v>
                </c:pt>
                <c:pt idx="2">
                  <c:v>Производство продукции сельского хозяйства</c:v>
                </c:pt>
                <c:pt idx="3">
                  <c:v>Оборот розничной торговли</c:v>
                </c:pt>
                <c:pt idx="4">
                  <c:v>Объем платных услуг населению</c:v>
                </c:pt>
                <c:pt idx="5">
                  <c:v>Прибыль прибыльных организаций  </c:v>
                </c:pt>
                <c:pt idx="6">
                  <c:v>Инвестиции в основной капитал</c:v>
                </c:pt>
                <c:pt idx="7">
                  <c:v>Реальные располагаемые доходы населения</c:v>
                </c:pt>
              </c:strCache>
            </c:strRef>
          </c:cat>
          <c:val>
            <c:numRef>
              <c:f>'бюджет 2019 (1)'!$E$18:$E$25</c:f>
              <c:numCache>
                <c:formatCode>#,##0.0</c:formatCode>
                <c:ptCount val="8"/>
                <c:pt idx="0">
                  <c:v>2</c:v>
                </c:pt>
                <c:pt idx="1">
                  <c:v>2.5999999999999943</c:v>
                </c:pt>
                <c:pt idx="2">
                  <c:v>0.70000000000000284</c:v>
                </c:pt>
                <c:pt idx="3">
                  <c:v>3.0999999999999943</c:v>
                </c:pt>
                <c:pt idx="4">
                  <c:v>0.40000000000000568</c:v>
                </c:pt>
                <c:pt idx="5">
                  <c:v>3.5</c:v>
                </c:pt>
                <c:pt idx="6">
                  <c:v>2</c:v>
                </c:pt>
                <c:pt idx="7">
                  <c:v>1.4000000000000057</c:v>
                </c:pt>
              </c:numCache>
            </c:numRef>
          </c:val>
        </c:ser>
        <c:ser>
          <c:idx val="4"/>
          <c:order val="4"/>
          <c:tx>
            <c:strRef>
              <c:f>'бюджет 2019 (1)'!$F$16:$F$17</c:f>
              <c:strCache>
                <c:ptCount val="1"/>
                <c:pt idx="0">
                  <c:v>2021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9.5793614480700184E-3"/>
                  <c:y val="-7.4211524465407058E-3"/>
                </c:manualLayout>
              </c:layout>
              <c:showVal val="1"/>
            </c:dLbl>
            <c:dLbl>
              <c:idx val="1"/>
              <c:layout>
                <c:manualLayout>
                  <c:x val="2.8248587570621612E-3"/>
                  <c:y val="7.050094824213661E-2"/>
                </c:manualLayout>
              </c:layout>
              <c:showVal val="1"/>
            </c:dLbl>
            <c:dLbl>
              <c:idx val="2"/>
              <c:layout>
                <c:manualLayout>
                  <c:x val="1.1299462276910201E-2"/>
                  <c:y val="-3.7105762232703568E-3"/>
                </c:manualLayout>
              </c:layout>
              <c:showVal val="1"/>
            </c:dLbl>
            <c:dLbl>
              <c:idx val="3"/>
              <c:layout>
                <c:manualLayout>
                  <c:x val="1.412429378531074E-2"/>
                  <c:y val="1.4842304893081391E-2"/>
                </c:manualLayout>
              </c:layout>
              <c:showVal val="1"/>
            </c:dLbl>
            <c:dLbl>
              <c:idx val="4"/>
              <c:layout>
                <c:manualLayout>
                  <c:x val="1.2711864406779664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2711864406779664E-2"/>
                  <c:y val="1.4842304893081391E-2"/>
                </c:manualLayout>
              </c:layout>
              <c:showVal val="1"/>
            </c:dLbl>
            <c:dLbl>
              <c:idx val="6"/>
              <c:layout>
                <c:manualLayout>
                  <c:x val="1.412429378531074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2711864406779664E-2"/>
                  <c:y val="-1.1131728669811117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'бюджет 2019 (1)'!$A$18:$A$25</c:f>
              <c:strCache>
                <c:ptCount val="8"/>
                <c:pt idx="0">
                  <c:v>Валовой региональный продукт</c:v>
                </c:pt>
                <c:pt idx="1">
                  <c:v>Индес промышленного производства</c:v>
                </c:pt>
                <c:pt idx="2">
                  <c:v>Производство продукции сельского хозяйства</c:v>
                </c:pt>
                <c:pt idx="3">
                  <c:v>Оборот розничной торговли</c:v>
                </c:pt>
                <c:pt idx="4">
                  <c:v>Объем платных услуг населению</c:v>
                </c:pt>
                <c:pt idx="5">
                  <c:v>Прибыль прибыльных организаций  </c:v>
                </c:pt>
                <c:pt idx="6">
                  <c:v>Инвестиции в основной капитал</c:v>
                </c:pt>
                <c:pt idx="7">
                  <c:v>Реальные располагаемые доходы населения</c:v>
                </c:pt>
              </c:strCache>
            </c:strRef>
          </c:cat>
          <c:val>
            <c:numRef>
              <c:f>'бюджет 2019 (1)'!$F$18:$F$25</c:f>
              <c:numCache>
                <c:formatCode>#,##0.0</c:formatCode>
                <c:ptCount val="8"/>
                <c:pt idx="0">
                  <c:v>2.7000000000000042</c:v>
                </c:pt>
                <c:pt idx="1">
                  <c:v>2.9000000000000057</c:v>
                </c:pt>
                <c:pt idx="2">
                  <c:v>1</c:v>
                </c:pt>
                <c:pt idx="3">
                  <c:v>3.2000000000000042</c:v>
                </c:pt>
                <c:pt idx="4">
                  <c:v>0.5</c:v>
                </c:pt>
                <c:pt idx="5">
                  <c:v>3.5999999999999943</c:v>
                </c:pt>
                <c:pt idx="6">
                  <c:v>2.5999999999999943</c:v>
                </c:pt>
                <c:pt idx="7">
                  <c:v>2</c:v>
                </c:pt>
              </c:numCache>
            </c:numRef>
          </c:val>
        </c:ser>
        <c:shape val="box"/>
        <c:axId val="99225984"/>
        <c:axId val="99227520"/>
        <c:axId val="0"/>
      </c:bar3DChart>
      <c:catAx>
        <c:axId val="99225984"/>
        <c:scaling>
          <c:orientation val="minMax"/>
        </c:scaling>
        <c:axPos val="b"/>
        <c:majorGridlines/>
        <c:numFmt formatCode="General" sourceLinked="1"/>
        <c:tickLblPos val="high"/>
        <c:txPr>
          <a:bodyPr rot="0"/>
          <a:lstStyle/>
          <a:p>
            <a:pPr>
              <a:defRPr sz="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227520"/>
        <c:crosses val="autoZero"/>
        <c:auto val="1"/>
        <c:lblAlgn val="ctr"/>
        <c:lblOffset val="100"/>
      </c:catAx>
      <c:valAx>
        <c:axId val="992275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  <c:layout>
            <c:manualLayout>
              <c:xMode val="edge"/>
              <c:yMode val="edge"/>
              <c:x val="6.3328783393090124E-3"/>
              <c:y val="0.44754919849065733"/>
            </c:manualLayout>
          </c:layout>
        </c:title>
        <c:numFmt formatCode="#,##0.0" sourceLinked="1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2259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884375167389802"/>
          <c:y val="0.8795214064576119"/>
          <c:w val="0.84404938668381246"/>
          <c:h val="0.1204785935423904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effectLst>
      <a:outerShdw blurRad="50800" dist="50800" dir="5400000" algn="ctr" rotWithShape="0">
        <a:schemeClr val="bg1"/>
      </a:outerShdw>
    </a:effectLst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278799459113755"/>
          <c:y val="5.5631038962666517E-2"/>
          <c:w val="0.84166118337637663"/>
          <c:h val="0.70510263455269662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  <a:tileRect r="-100000" b="-100000"/>
            </a:gradFill>
            <a:ln>
              <a:noFill/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88900" h="63500"/>
              <a:bevelB w="88900" h="63500" prst="artDeco"/>
            </a:sp3d>
          </c:spPr>
          <c:dLbls>
            <c:numFmt formatCode="#,##0.0" sourceLinked="0"/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2017 год факт</c:v>
                </c:pt>
                <c:pt idx="1">
                  <c:v>2018 год план</c:v>
                </c:pt>
                <c:pt idx="2">
                  <c:v>2019 год проект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2052.1999999999998</c:v>
                </c:pt>
                <c:pt idx="1">
                  <c:v>2228.4</c:v>
                </c:pt>
                <c:pt idx="2">
                  <c:v>1462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Субвенции</c:v>
                </c:pt>
              </c:strCache>
            </c:strRef>
          </c:tx>
          <c:spPr>
            <a:gradFill flip="none" rotWithShape="1">
              <a:gsLst>
                <a:gs pos="0">
                  <a:schemeClr val="tx2">
                    <a:lumMod val="20000"/>
                    <a:lumOff val="80000"/>
                  </a:schemeClr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1"/>
              <a:tileRect/>
            </a:gradFill>
            <a:effectLst/>
            <a:scene3d>
              <a:camera prst="orthographicFront"/>
              <a:lightRig rig="threePt" dir="t"/>
            </a:scene3d>
            <a:sp3d>
              <a:bevelT/>
              <a:bevelB w="114300" prst="artDeco"/>
            </a:sp3d>
          </c:spPr>
          <c:dLbls>
            <c:numFmt formatCode="#,##0.0" sourceLinked="0"/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2017 год факт</c:v>
                </c:pt>
                <c:pt idx="1">
                  <c:v>2018 год план</c:v>
                </c:pt>
                <c:pt idx="2">
                  <c:v>2019 год проект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15510.9</c:v>
                </c:pt>
                <c:pt idx="1">
                  <c:v>18632.5</c:v>
                </c:pt>
                <c:pt idx="2">
                  <c:v>19444.5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Субсидии</c:v>
                </c:pt>
              </c:strCache>
            </c:strRef>
          </c:tx>
          <c:spPr>
            <a:gradFill>
              <a:gsLst>
                <a:gs pos="0">
                  <a:srgbClr val="D6B19C"/>
                </a:gs>
                <a:gs pos="30000">
                  <a:srgbClr val="D49E6C"/>
                </a:gs>
                <a:gs pos="70000">
                  <a:srgbClr val="A65528"/>
                </a:gs>
                <a:gs pos="100000">
                  <a:srgbClr val="663012"/>
                </a:gs>
              </a:gsLst>
              <a:lin ang="5400000" scaled="0"/>
            </a:gradFill>
            <a:effectLst/>
            <a:scene3d>
              <a:camera prst="orthographicFront"/>
              <a:lightRig rig="threePt" dir="t"/>
            </a:scene3d>
            <a:sp3d>
              <a:bevelT/>
              <a:bevelB w="114300" prst="artDeco"/>
            </a:sp3d>
          </c:spPr>
          <c:dLbls>
            <c:numFmt formatCode="#,##0.0" sourceLinked="0"/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2017 год факт</c:v>
                </c:pt>
                <c:pt idx="1">
                  <c:v>2018 год план</c:v>
                </c:pt>
                <c:pt idx="2">
                  <c:v>2019 год проект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7356.4</c:v>
                </c:pt>
                <c:pt idx="1">
                  <c:v>8353.7999999999811</c:v>
                </c:pt>
                <c:pt idx="2">
                  <c:v>7328.9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Иные</c:v>
                </c:pt>
              </c:strCache>
            </c:strRef>
          </c:tx>
          <c:spPr>
            <a:gradFill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  <a:bevelB w="114300" prst="artDeco"/>
            </a:sp3d>
          </c:spPr>
          <c:dLbls>
            <c:dLbl>
              <c:idx val="0"/>
              <c:layout>
                <c:manualLayout>
                  <c:x val="4.9279401921379334E-2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5.1332710334770923E-2"/>
                  <c:y val="0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4.5172785094597712E-2"/>
                  <c:y val="-1.136850887236051E-2"/>
                </c:manualLayout>
              </c:layout>
              <c:dLblPos val="ctr"/>
              <c:showVal val="1"/>
            </c:dLbl>
            <c:numFmt formatCode="#,##0.0" sourceLinked="0"/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2017 год факт</c:v>
                </c:pt>
                <c:pt idx="1">
                  <c:v>2018 год план</c:v>
                </c:pt>
                <c:pt idx="2">
                  <c:v>2019 год проект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1191.5</c:v>
                </c:pt>
                <c:pt idx="1">
                  <c:v>658.8</c:v>
                </c:pt>
                <c:pt idx="2">
                  <c:v>261.89999999999969</c:v>
                </c:pt>
              </c:numCache>
            </c:numRef>
          </c:val>
        </c:ser>
        <c:dLbls>
          <c:showVal val="1"/>
        </c:dLbls>
        <c:gapWidth val="53"/>
        <c:overlap val="100"/>
        <c:axId val="74077696"/>
        <c:axId val="74079232"/>
      </c:barChart>
      <c:catAx>
        <c:axId val="74077696"/>
        <c:scaling>
          <c:orientation val="minMax"/>
        </c:scaling>
        <c:axPos val="l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900" b="1"/>
            </a:pPr>
            <a:endParaRPr lang="ru-RU"/>
          </a:p>
        </c:txPr>
        <c:crossAx val="74079232"/>
        <c:crosses val="autoZero"/>
        <c:auto val="1"/>
        <c:lblAlgn val="ctr"/>
        <c:lblOffset val="100"/>
      </c:catAx>
      <c:valAx>
        <c:axId val="74079232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74077696"/>
        <c:crosses val="autoZero"/>
        <c:crossBetween val="between"/>
      </c:valAx>
      <c:spPr>
        <a:gradFill flip="none" rotWithShape="1">
          <a:gsLst>
            <a:gs pos="0">
              <a:sysClr val="window" lastClr="FFFFFF">
                <a:alpha val="50000"/>
              </a:sysClr>
            </a:gs>
            <a:gs pos="7001">
              <a:srgbClr val="E6E6E6">
                <a:alpha val="50000"/>
              </a:srgbClr>
            </a:gs>
            <a:gs pos="32001">
              <a:srgbClr val="7D8496">
                <a:alpha val="50000"/>
              </a:srgbClr>
            </a:gs>
            <a:gs pos="47000">
              <a:srgbClr val="E6E6E6">
                <a:alpha val="50000"/>
              </a:srgbClr>
            </a:gs>
            <a:gs pos="85001">
              <a:srgbClr val="7D8496">
                <a:alpha val="50000"/>
              </a:srgbClr>
            </a:gs>
            <a:gs pos="100000">
              <a:srgbClr val="E6E6E6">
                <a:alpha val="50000"/>
              </a:srgbClr>
            </a:gs>
          </a:gsLst>
          <a:lin ang="3000000" scaled="0"/>
          <a:tileRect/>
        </a:gradFill>
      </c:spPr>
    </c:plotArea>
    <c:legend>
      <c:legendPos val="b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Расчетные</a:t>
            </a:r>
            <a:r>
              <a:rPr lang="ru-RU" baseline="0"/>
              <a:t> размеры областных фондов финансовой поддержки</a:t>
            </a:r>
            <a:endParaRPr lang="ru-RU"/>
          </a:p>
        </c:rich>
      </c:tx>
      <c:layout>
        <c:manualLayout>
          <c:xMode val="edge"/>
          <c:yMode val="edge"/>
          <c:x val="0.14619374416213246"/>
          <c:y val="0"/>
        </c:manualLayout>
      </c:layout>
    </c:title>
    <c:plotArea>
      <c:layout>
        <c:manualLayout>
          <c:layoutTarget val="inner"/>
          <c:xMode val="edge"/>
          <c:yMode val="edge"/>
          <c:x val="8.1703597466280004E-2"/>
          <c:y val="0.13870427513664901"/>
          <c:w val="0.89284112756120004"/>
          <c:h val="0.6828393539666816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ФФПП (в части ГО)</c:v>
                </c:pt>
              </c:strCache>
            </c:strRef>
          </c:tx>
          <c:spPr>
            <a:ln w="34925" cmpd="dbl">
              <a:solidFill>
                <a:srgbClr val="FF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6.0997976719987503E-2"/>
                  <c:y val="-3.982240972613184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1.0338640122031619E-2"/>
                  <c:y val="0.12315167799671013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4.1354560488127091E-3"/>
                  <c:y val="0.15084246108383526"/>
                </c:manualLayout>
              </c:layout>
              <c:dLblPos val="t"/>
              <c:showVal val="1"/>
            </c:dLbl>
            <c:dLbl>
              <c:idx val="3"/>
              <c:layout>
                <c:manualLayout>
                  <c:x val="-8.2710749108556858E-3"/>
                  <c:y val="0.13434728508732385"/>
                </c:manualLayout>
              </c:layout>
              <c:dLblPos val="t"/>
              <c:showVal val="1"/>
            </c:dLbl>
            <c:dLbl>
              <c:idx val="4"/>
              <c:layout>
                <c:manualLayout>
                  <c:x val="-2.0677280244063988E-3"/>
                  <c:y val="0.12874948154201857"/>
                </c:manualLayout>
              </c:layout>
              <c:dLblPos val="t"/>
              <c:showVal val="1"/>
            </c:dLbl>
            <c:numFmt formatCode="#,##0.0" sourceLinked="0"/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1862.7</c:v>
                </c:pt>
                <c:pt idx="1">
                  <c:v>692.2</c:v>
                </c:pt>
                <c:pt idx="2">
                  <c:v>688.7</c:v>
                </c:pt>
                <c:pt idx="3">
                  <c:v>688.7</c:v>
                </c:pt>
                <c:pt idx="4">
                  <c:v>688.7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ФФПП (в части поселений)</c:v>
                </c:pt>
              </c:strCache>
            </c:strRef>
          </c:tx>
          <c:spPr>
            <a:ln w="34925" cmpd="dbl">
              <a:solidFill>
                <a:srgbClr val="0070C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4.2388424500331437E-2"/>
                  <c:y val="7.159678888831701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6281323026821952E-7"/>
                  <c:y val="-0.12315167799671001"/>
                </c:manualLayout>
              </c:layout>
              <c:dLblPos val="b"/>
              <c:showVal val="1"/>
            </c:dLbl>
            <c:dLbl>
              <c:idx val="2"/>
              <c:layout>
                <c:manualLayout>
                  <c:x val="-4.1354560488127091E-3"/>
                  <c:y val="-0.12670766731041952"/>
                </c:manualLayout>
              </c:layout>
              <c:dLblPos val="b"/>
              <c:showVal val="1"/>
            </c:dLbl>
            <c:dLbl>
              <c:idx val="3"/>
              <c:layout>
                <c:manualLayout>
                  <c:x val="0"/>
                  <c:y val="-0.12315167799671053"/>
                </c:manualLayout>
              </c:layout>
              <c:dLblPos val="b"/>
              <c:showVal val="1"/>
            </c:dLbl>
            <c:dLbl>
              <c:idx val="4"/>
              <c:layout>
                <c:manualLayout>
                  <c:x val="0"/>
                  <c:y val="-0.11755387445140426"/>
                </c:manualLayout>
              </c:layout>
              <c:dLblPos val="b"/>
              <c:showVal val="1"/>
            </c:dLbl>
            <c:numFmt formatCode="#,##0.0" sourceLinked="0"/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1066.4000000000001</c:v>
                </c:pt>
                <c:pt idx="1">
                  <c:v>1068.7</c:v>
                </c:pt>
                <c:pt idx="2">
                  <c:v>1069.5999999999999</c:v>
                </c:pt>
                <c:pt idx="3">
                  <c:v>1058.4000000000001</c:v>
                </c:pt>
                <c:pt idx="4">
                  <c:v>1045.2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ФФП МР(ГО)</c:v>
                </c:pt>
              </c:strCache>
            </c:strRef>
          </c:tx>
          <c:spPr>
            <a:ln w="34925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marker>
          <c:dLbls>
            <c:numFmt formatCode="#,##0.0" sourceLinked="0"/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4438.7</c:v>
                </c:pt>
                <c:pt idx="1">
                  <c:v>4452.3</c:v>
                </c:pt>
                <c:pt idx="2">
                  <c:v>3900.6</c:v>
                </c:pt>
                <c:pt idx="3">
                  <c:v>3900.6</c:v>
                </c:pt>
                <c:pt idx="4">
                  <c:v>3900.6</c:v>
                </c:pt>
              </c:numCache>
            </c:numRef>
          </c:val>
        </c:ser>
        <c:dLbls>
          <c:showVal val="1"/>
        </c:dLbls>
        <c:marker val="1"/>
        <c:axId val="74110464"/>
        <c:axId val="74111616"/>
      </c:lineChart>
      <c:catAx>
        <c:axId val="74110464"/>
        <c:scaling>
          <c:orientation val="minMax"/>
        </c:scaling>
        <c:axPos val="b"/>
        <c:numFmt formatCode="dd/mm/yyyy" sourceLinked="1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ru-RU"/>
          </a:p>
        </c:txPr>
        <c:crossAx val="74111616"/>
        <c:crosses val="autoZero"/>
        <c:lblAlgn val="ctr"/>
        <c:lblOffset val="100"/>
      </c:catAx>
      <c:valAx>
        <c:axId val="74111616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 b="0">
                    <a:latin typeface="Times New Roman" pitchFamily="18" charset="0"/>
                    <a:cs typeface="Times New Roman" pitchFamily="18" charset="0"/>
                  </a:rPr>
                  <a:t>млн.</a:t>
                </a:r>
                <a:r>
                  <a:rPr lang="ru-RU" sz="800" b="0" baseline="0">
                    <a:latin typeface="Times New Roman" pitchFamily="18" charset="0"/>
                    <a:cs typeface="Times New Roman" pitchFamily="18" charset="0"/>
                  </a:rPr>
                  <a:t> руб.</a:t>
                </a:r>
                <a:endParaRPr lang="ru-RU" sz="8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750"/>
            </a:pPr>
            <a:endParaRPr lang="ru-RU"/>
          </a:p>
        </c:txPr>
        <c:crossAx val="74110464"/>
        <c:crossesAt val="1"/>
        <c:crossBetween val="between"/>
      </c:valAx>
      <c:spPr>
        <a:gradFill>
          <a:gsLst>
            <a:gs pos="0">
              <a:srgbClr val="FFFFFF">
                <a:alpha val="50000"/>
              </a:srgbClr>
            </a:gs>
            <a:gs pos="7001">
              <a:srgbClr val="E6E6E6">
                <a:alpha val="50000"/>
              </a:srgbClr>
            </a:gs>
            <a:gs pos="32001">
              <a:srgbClr val="7D8496">
                <a:alpha val="50000"/>
              </a:srgbClr>
            </a:gs>
            <a:gs pos="47000">
              <a:srgbClr val="E6E6E6">
                <a:alpha val="50000"/>
              </a:srgbClr>
            </a:gs>
            <a:gs pos="85001">
              <a:srgbClr val="7D8496">
                <a:alpha val="50000"/>
              </a:srgbClr>
            </a:gs>
            <a:gs pos="100000">
              <a:srgbClr val="E6E6E6">
                <a:alpha val="50000"/>
              </a:srgbClr>
            </a:gs>
          </a:gsLst>
          <a:lin ang="2700000" scaled="0"/>
        </a:gradFill>
        <a:ln>
          <a:noFill/>
        </a:ln>
      </c:spPr>
    </c:plotArea>
    <c:legend>
      <c:legendPos val="b"/>
      <c:layout>
        <c:manualLayout>
          <c:xMode val="edge"/>
          <c:yMode val="edge"/>
          <c:x val="6.9015225804855113E-2"/>
          <c:y val="0.86807104561144222"/>
          <c:w val="0.86196954839029005"/>
          <c:h val="0.13192895438856542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14956</Words>
  <Characters>85255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ВО</Company>
  <LinksUpToDate>false</LinksUpToDate>
  <CharactersWithSpaces>100011</CharactersWithSpaces>
  <SharedDoc>false</SharedDoc>
  <HLinks>
    <vt:vector size="24" baseType="variant"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garantf1://99799.0/</vt:lpwstr>
      </vt:variant>
      <vt:variant>
        <vt:lpwstr/>
      </vt:variant>
      <vt:variant>
        <vt:i4>6750256</vt:i4>
      </vt:variant>
      <vt:variant>
        <vt:i4>6</vt:i4>
      </vt:variant>
      <vt:variant>
        <vt:i4>0</vt:i4>
      </vt:variant>
      <vt:variant>
        <vt:i4>5</vt:i4>
      </vt:variant>
      <vt:variant>
        <vt:lpwstr>garantf1://55070694.80000/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3407968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consultantplus://offline/main?base=LAW;n=111328;fld=134;dst=100010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Горгоцкая</dc:creator>
  <cp:lastModifiedBy>Самарцева</cp:lastModifiedBy>
  <cp:revision>2</cp:revision>
  <cp:lastPrinted>2018-11-12T08:00:00Z</cp:lastPrinted>
  <dcterms:created xsi:type="dcterms:W3CDTF">2018-12-06T11:05:00Z</dcterms:created>
  <dcterms:modified xsi:type="dcterms:W3CDTF">2018-12-06T11:05:00Z</dcterms:modified>
</cp:coreProperties>
</file>