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79838" w14:textId="77777777" w:rsidR="007D6DA8" w:rsidRPr="00A85F56" w:rsidRDefault="007D6DA8" w:rsidP="007D6DA8">
      <w:pPr>
        <w:tabs>
          <w:tab w:val="left" w:pos="2505"/>
        </w:tabs>
        <w:ind w:left="5954"/>
        <w:rPr>
          <w:rFonts w:eastAsia="Calibri"/>
          <w:bCs/>
          <w:lang w:eastAsia="en-US"/>
        </w:rPr>
      </w:pPr>
      <w:r w:rsidRPr="00A85F56">
        <w:rPr>
          <w:bCs/>
          <w:lang w:eastAsia="en-US"/>
        </w:rPr>
        <w:t>Утверждаю</w:t>
      </w:r>
    </w:p>
    <w:p w14:paraId="5D9852D5" w14:textId="77777777" w:rsidR="00A85F56" w:rsidRPr="00A85F56" w:rsidRDefault="00A85F56" w:rsidP="007D6DA8">
      <w:pPr>
        <w:tabs>
          <w:tab w:val="left" w:pos="2505"/>
        </w:tabs>
        <w:ind w:left="5954" w:right="-285"/>
        <w:rPr>
          <w:bCs/>
          <w:lang w:eastAsia="en-US"/>
        </w:rPr>
      </w:pPr>
      <w:r w:rsidRPr="00A85F56">
        <w:rPr>
          <w:bCs/>
          <w:lang w:eastAsia="en-US"/>
        </w:rPr>
        <w:t>П</w:t>
      </w:r>
      <w:r w:rsidR="007D6DA8" w:rsidRPr="00A85F56">
        <w:rPr>
          <w:bCs/>
          <w:lang w:eastAsia="en-US"/>
        </w:rPr>
        <w:t xml:space="preserve">редседатель </w:t>
      </w:r>
    </w:p>
    <w:p w14:paraId="40851453" w14:textId="4C698659" w:rsidR="00A85F56" w:rsidRPr="00A85F56" w:rsidRDefault="00A85F56" w:rsidP="00A85F56">
      <w:pPr>
        <w:tabs>
          <w:tab w:val="left" w:pos="2505"/>
        </w:tabs>
        <w:ind w:left="5954" w:right="-285"/>
        <w:rPr>
          <w:bCs/>
          <w:lang w:eastAsia="en-US"/>
        </w:rPr>
      </w:pPr>
      <w:r w:rsidRPr="00A85F56">
        <w:rPr>
          <w:bCs/>
          <w:lang w:eastAsia="en-US"/>
        </w:rPr>
        <w:t>контрольно</w:t>
      </w:r>
      <w:r w:rsidR="007D6DA8" w:rsidRPr="00A85F56">
        <w:rPr>
          <w:bCs/>
          <w:lang w:eastAsia="en-US"/>
        </w:rPr>
        <w:t>-сч</w:t>
      </w:r>
      <w:r w:rsidRPr="00A85F56">
        <w:rPr>
          <w:bCs/>
          <w:lang w:eastAsia="en-US"/>
        </w:rPr>
        <w:t>ё</w:t>
      </w:r>
      <w:r w:rsidR="007D6DA8" w:rsidRPr="00A85F56">
        <w:rPr>
          <w:bCs/>
          <w:lang w:eastAsia="en-US"/>
        </w:rPr>
        <w:t xml:space="preserve">тной палаты </w:t>
      </w:r>
    </w:p>
    <w:p w14:paraId="60C6B160" w14:textId="37AE9B35" w:rsidR="007D6DA8" w:rsidRPr="00A85F56" w:rsidRDefault="007D6DA8" w:rsidP="007D6DA8">
      <w:pPr>
        <w:tabs>
          <w:tab w:val="left" w:pos="2505"/>
        </w:tabs>
        <w:ind w:left="5954"/>
        <w:rPr>
          <w:bCs/>
          <w:lang w:eastAsia="en-US"/>
        </w:rPr>
      </w:pPr>
      <w:r w:rsidRPr="00A85F56">
        <w:rPr>
          <w:bCs/>
          <w:lang w:eastAsia="en-US"/>
        </w:rPr>
        <w:t>Волгоградской области</w:t>
      </w:r>
    </w:p>
    <w:p w14:paraId="418FA7E9" w14:textId="77777777" w:rsidR="007D6DA8" w:rsidRPr="00A85F56" w:rsidRDefault="007D6DA8" w:rsidP="00E176CC">
      <w:pPr>
        <w:tabs>
          <w:tab w:val="left" w:pos="2505"/>
        </w:tabs>
        <w:ind w:left="5954" w:right="-143"/>
        <w:rPr>
          <w:bCs/>
          <w:lang w:eastAsia="en-US"/>
        </w:rPr>
      </w:pPr>
      <w:r w:rsidRPr="00A85F56">
        <w:rPr>
          <w:bCs/>
          <w:lang w:eastAsia="en-US"/>
        </w:rPr>
        <w:t>____________</w:t>
      </w:r>
      <w:r w:rsidR="00E176CC" w:rsidRPr="00A85F56">
        <w:rPr>
          <w:bCs/>
          <w:lang w:eastAsia="en-US"/>
        </w:rPr>
        <w:t>______ И.</w:t>
      </w:r>
      <w:r w:rsidRPr="00A85F56">
        <w:rPr>
          <w:bCs/>
          <w:lang w:eastAsia="en-US"/>
        </w:rPr>
        <w:t>А. Дьяченко</w:t>
      </w:r>
    </w:p>
    <w:p w14:paraId="3F296F09" w14:textId="0753E824" w:rsidR="0009262F" w:rsidRPr="00A85F56" w:rsidRDefault="007D6DA8" w:rsidP="007D6DA8">
      <w:pPr>
        <w:tabs>
          <w:tab w:val="left" w:pos="2505"/>
        </w:tabs>
        <w:ind w:left="5954"/>
        <w:rPr>
          <w:bCs/>
          <w:lang w:eastAsia="en-US"/>
        </w:rPr>
      </w:pPr>
      <w:r w:rsidRPr="00A85F56">
        <w:rPr>
          <w:bCs/>
          <w:lang w:eastAsia="en-US"/>
        </w:rPr>
        <w:t xml:space="preserve">«___» </w:t>
      </w:r>
      <w:r w:rsidR="000C6739" w:rsidRPr="00A85F56">
        <w:rPr>
          <w:bCs/>
          <w:lang w:eastAsia="en-US"/>
        </w:rPr>
        <w:t>марта</w:t>
      </w:r>
      <w:r w:rsidR="00917766" w:rsidRPr="00A85F56">
        <w:rPr>
          <w:bCs/>
          <w:lang w:eastAsia="en-US"/>
        </w:rPr>
        <w:t xml:space="preserve"> 202</w:t>
      </w:r>
      <w:r w:rsidR="00A85F56" w:rsidRPr="00A85F56">
        <w:rPr>
          <w:bCs/>
          <w:lang w:eastAsia="en-US"/>
        </w:rPr>
        <w:t>1</w:t>
      </w:r>
      <w:r w:rsidRPr="00A85F56">
        <w:rPr>
          <w:bCs/>
          <w:lang w:eastAsia="en-US"/>
        </w:rPr>
        <w:t xml:space="preserve"> года</w:t>
      </w:r>
    </w:p>
    <w:p w14:paraId="33957A7F" w14:textId="77777777" w:rsidR="007D6DA8" w:rsidRDefault="007D6DA8" w:rsidP="0025054E">
      <w:pPr>
        <w:tabs>
          <w:tab w:val="left" w:pos="2985"/>
        </w:tabs>
        <w:jc w:val="center"/>
        <w:rPr>
          <w:b/>
        </w:rPr>
      </w:pPr>
    </w:p>
    <w:p w14:paraId="088925E5" w14:textId="77777777" w:rsidR="00D92E39" w:rsidRPr="00D92E39" w:rsidRDefault="00D92E39" w:rsidP="00D92E39">
      <w:pPr>
        <w:tabs>
          <w:tab w:val="left" w:pos="2985"/>
        </w:tabs>
        <w:jc w:val="center"/>
        <w:rPr>
          <w:b/>
          <w:i/>
        </w:rPr>
      </w:pPr>
      <w:r w:rsidRPr="00D92E39">
        <w:rPr>
          <w:b/>
          <w:i/>
        </w:rPr>
        <w:t>ЗАКЛЮЧЕНИЕ</w:t>
      </w:r>
    </w:p>
    <w:p w14:paraId="107F67CF" w14:textId="77777777" w:rsidR="0025054E" w:rsidRPr="00D92E39" w:rsidRDefault="00D92E39" w:rsidP="00D92E39">
      <w:pPr>
        <w:tabs>
          <w:tab w:val="left" w:pos="2985"/>
        </w:tabs>
        <w:jc w:val="center"/>
        <w:rPr>
          <w:b/>
          <w:i/>
        </w:rPr>
      </w:pPr>
      <w:r w:rsidRPr="00D92E39">
        <w:rPr>
          <w:b/>
          <w:i/>
        </w:rPr>
        <w:t xml:space="preserve">по результатам </w:t>
      </w:r>
      <w:r w:rsidR="00163BDC" w:rsidRPr="00D92E39">
        <w:rPr>
          <w:b/>
          <w:i/>
        </w:rPr>
        <w:t xml:space="preserve">внешней проверки </w:t>
      </w:r>
      <w:r w:rsidR="0025054E" w:rsidRPr="00D92E39">
        <w:rPr>
          <w:b/>
          <w:i/>
        </w:rPr>
        <w:t>бюджетной отчетности и</w:t>
      </w:r>
    </w:p>
    <w:p w14:paraId="02BE2AB9" w14:textId="474048C5" w:rsidR="0025054E" w:rsidRPr="00D92E39" w:rsidRDefault="0025054E" w:rsidP="0025054E">
      <w:pPr>
        <w:pStyle w:val="31"/>
        <w:spacing w:after="0"/>
        <w:jc w:val="center"/>
        <w:rPr>
          <w:b/>
          <w:i/>
          <w:sz w:val="24"/>
          <w:szCs w:val="24"/>
        </w:rPr>
      </w:pPr>
      <w:r w:rsidRPr="00D92E39">
        <w:rPr>
          <w:b/>
          <w:i/>
          <w:sz w:val="24"/>
          <w:szCs w:val="24"/>
        </w:rPr>
        <w:t>отдельных вопросов исполнения областного бюджета за 20</w:t>
      </w:r>
      <w:r w:rsidR="00A85F56">
        <w:rPr>
          <w:b/>
          <w:i/>
          <w:sz w:val="24"/>
          <w:szCs w:val="24"/>
        </w:rPr>
        <w:t>20</w:t>
      </w:r>
      <w:r w:rsidRPr="00D92E39">
        <w:rPr>
          <w:b/>
          <w:i/>
          <w:sz w:val="24"/>
          <w:szCs w:val="24"/>
        </w:rPr>
        <w:t xml:space="preserve"> год</w:t>
      </w:r>
    </w:p>
    <w:p w14:paraId="5479A95D" w14:textId="77777777" w:rsidR="0025054E" w:rsidRPr="00D92E39" w:rsidRDefault="0025054E" w:rsidP="0025054E">
      <w:pPr>
        <w:pStyle w:val="31"/>
        <w:spacing w:after="0"/>
        <w:jc w:val="center"/>
        <w:rPr>
          <w:b/>
          <w:i/>
          <w:sz w:val="24"/>
          <w:szCs w:val="24"/>
        </w:rPr>
      </w:pPr>
      <w:r w:rsidRPr="00D92E39">
        <w:rPr>
          <w:b/>
          <w:i/>
          <w:sz w:val="24"/>
          <w:szCs w:val="24"/>
        </w:rPr>
        <w:t xml:space="preserve">главным администратором средств областного бюджета – </w:t>
      </w:r>
    </w:p>
    <w:p w14:paraId="5A632A6E" w14:textId="577B3412" w:rsidR="0025054E" w:rsidRPr="00D92E39" w:rsidRDefault="0025054E" w:rsidP="0025054E">
      <w:pPr>
        <w:pStyle w:val="31"/>
        <w:spacing w:after="0"/>
        <w:jc w:val="center"/>
        <w:rPr>
          <w:b/>
          <w:i/>
          <w:sz w:val="24"/>
          <w:szCs w:val="24"/>
        </w:rPr>
      </w:pPr>
      <w:r w:rsidRPr="00D92E39">
        <w:rPr>
          <w:b/>
          <w:i/>
          <w:sz w:val="24"/>
          <w:szCs w:val="24"/>
        </w:rPr>
        <w:t xml:space="preserve">комитетом </w:t>
      </w:r>
      <w:r w:rsidR="004644DF" w:rsidRPr="00D92E39">
        <w:rPr>
          <w:b/>
          <w:i/>
          <w:sz w:val="24"/>
          <w:szCs w:val="24"/>
        </w:rPr>
        <w:t>юстиции</w:t>
      </w:r>
      <w:r w:rsidRPr="00D92E39">
        <w:rPr>
          <w:b/>
          <w:i/>
          <w:sz w:val="24"/>
          <w:szCs w:val="24"/>
        </w:rPr>
        <w:t xml:space="preserve"> Волгоградской области</w:t>
      </w:r>
    </w:p>
    <w:p w14:paraId="295FA00B" w14:textId="77777777" w:rsidR="0056121D" w:rsidRPr="00E176CC" w:rsidRDefault="0056121D" w:rsidP="0025054E">
      <w:pPr>
        <w:jc w:val="center"/>
      </w:pPr>
    </w:p>
    <w:p w14:paraId="548B96EB" w14:textId="07476441" w:rsidR="00F51CEC" w:rsidRDefault="00F51CEC" w:rsidP="00F51CEC">
      <w:pPr>
        <w:pStyle w:val="ae"/>
        <w:ind w:firstLine="708"/>
        <w:jc w:val="both"/>
        <w:rPr>
          <w:b w:val="0"/>
        </w:rPr>
      </w:pPr>
      <w:r w:rsidRPr="00B54DB5">
        <w:rPr>
          <w:b w:val="0"/>
        </w:rPr>
        <w:t xml:space="preserve">На основании статьи 264.4 Бюджетного Кодекса РФ (далее - БК РФ) и в соответствии с </w:t>
      </w:r>
      <w:r w:rsidR="00A85F56" w:rsidRPr="00E0233C">
        <w:rPr>
          <w:b w:val="0"/>
          <w:bCs w:val="0"/>
        </w:rPr>
        <w:t>пунктом 3.1.3</w:t>
      </w:r>
      <w:r w:rsidR="00A85F56">
        <w:t xml:space="preserve"> </w:t>
      </w:r>
      <w:r w:rsidR="00A85F56" w:rsidRPr="00B54DB5">
        <w:rPr>
          <w:b w:val="0"/>
        </w:rPr>
        <w:t xml:space="preserve"> план</w:t>
      </w:r>
      <w:r w:rsidR="00A85F56">
        <w:rPr>
          <w:b w:val="0"/>
        </w:rPr>
        <w:t>а</w:t>
      </w:r>
      <w:r w:rsidRPr="00B54DB5">
        <w:rPr>
          <w:b w:val="0"/>
        </w:rPr>
        <w:t xml:space="preserve"> работы контрольно-сч</w:t>
      </w:r>
      <w:r w:rsidR="00A85F56">
        <w:rPr>
          <w:b w:val="0"/>
        </w:rPr>
        <w:t>ё</w:t>
      </w:r>
      <w:r w:rsidRPr="00B54DB5">
        <w:rPr>
          <w:b w:val="0"/>
        </w:rPr>
        <w:t>тной палаты Волгоградской области (далее</w:t>
      </w:r>
      <w:r w:rsidR="00933A51">
        <w:rPr>
          <w:b w:val="0"/>
        </w:rPr>
        <w:t xml:space="preserve"> -</w:t>
      </w:r>
      <w:r w:rsidRPr="00B54DB5">
        <w:rPr>
          <w:b w:val="0"/>
        </w:rPr>
        <w:t xml:space="preserve"> КСП) на 202</w:t>
      </w:r>
      <w:r w:rsidR="00A85F56">
        <w:rPr>
          <w:b w:val="0"/>
        </w:rPr>
        <w:t>1</w:t>
      </w:r>
      <w:r w:rsidRPr="00B54DB5">
        <w:rPr>
          <w:b w:val="0"/>
        </w:rPr>
        <w:t xml:space="preserve"> год, утвержденным постановлением коллегии КСП </w:t>
      </w:r>
      <w:r w:rsidR="00A85F56" w:rsidRPr="00B54DB5">
        <w:rPr>
          <w:b w:val="0"/>
        </w:rPr>
        <w:t xml:space="preserve">от </w:t>
      </w:r>
      <w:r w:rsidR="00A85F56">
        <w:rPr>
          <w:b w:val="0"/>
        </w:rPr>
        <w:t>3</w:t>
      </w:r>
      <w:r w:rsidR="00A85F56" w:rsidRPr="00B54DB5">
        <w:rPr>
          <w:b w:val="0"/>
        </w:rPr>
        <w:t>.12.20</w:t>
      </w:r>
      <w:r w:rsidR="00A85F56">
        <w:rPr>
          <w:b w:val="0"/>
        </w:rPr>
        <w:t>20</w:t>
      </w:r>
      <w:r w:rsidR="00A85F56" w:rsidRPr="00B54DB5">
        <w:rPr>
          <w:b w:val="0"/>
        </w:rPr>
        <w:t xml:space="preserve"> № </w:t>
      </w:r>
      <w:r w:rsidR="00A85F56">
        <w:rPr>
          <w:b w:val="0"/>
        </w:rPr>
        <w:t>1</w:t>
      </w:r>
      <w:r w:rsidR="00A85F56" w:rsidRPr="00B54DB5">
        <w:rPr>
          <w:b w:val="0"/>
        </w:rPr>
        <w:t>3/</w:t>
      </w:r>
      <w:r w:rsidR="00A85F56">
        <w:rPr>
          <w:b w:val="0"/>
        </w:rPr>
        <w:t>3</w:t>
      </w:r>
      <w:r w:rsidR="000C6739">
        <w:rPr>
          <w:b w:val="0"/>
        </w:rPr>
        <w:t>,</w:t>
      </w:r>
      <w:r w:rsidRPr="00B54DB5">
        <w:rPr>
          <w:b w:val="0"/>
        </w:rPr>
        <w:t xml:space="preserve"> проведена внешняя камеральная проверка бюджетной отчетности и отдельных вопросов исполнения областного бюджета за </w:t>
      </w:r>
      <w:r>
        <w:rPr>
          <w:b w:val="0"/>
        </w:rPr>
        <w:t>20</w:t>
      </w:r>
      <w:r w:rsidR="00A85F56">
        <w:rPr>
          <w:b w:val="0"/>
        </w:rPr>
        <w:t>20</w:t>
      </w:r>
      <w:r w:rsidR="00D32283">
        <w:rPr>
          <w:b w:val="0"/>
        </w:rPr>
        <w:t xml:space="preserve"> </w:t>
      </w:r>
      <w:r w:rsidRPr="00B54DB5">
        <w:rPr>
          <w:b w:val="0"/>
        </w:rPr>
        <w:t xml:space="preserve">год главным администратором средств областного бюджета – комитетом юстиции Волгоградской области (далее – </w:t>
      </w:r>
      <w:r w:rsidR="00A85F56">
        <w:rPr>
          <w:b w:val="0"/>
        </w:rPr>
        <w:t xml:space="preserve">Комитет, </w:t>
      </w:r>
      <w:r w:rsidRPr="00B54DB5">
        <w:rPr>
          <w:b w:val="0"/>
        </w:rPr>
        <w:t>Облкомюстиции).</w:t>
      </w:r>
    </w:p>
    <w:p w14:paraId="5051CB0D" w14:textId="70FA4DF2" w:rsidR="00A85F56" w:rsidRPr="005113F5" w:rsidRDefault="00A85F56" w:rsidP="00A85F56">
      <w:pPr>
        <w:ind w:firstLine="709"/>
        <w:jc w:val="both"/>
      </w:pPr>
      <w:r w:rsidRPr="005113F5">
        <w:t xml:space="preserve">В соответствии с Законом Волгоградской области от 15.03.2012 № 22-ОД «О системе органов исполнительной власти Волгоградской области» </w:t>
      </w:r>
      <w:r>
        <w:t>Комитет</w:t>
      </w:r>
      <w:r w:rsidRPr="005113F5">
        <w:t xml:space="preserve"> входит в систему органов исполнительной власти Волгоградской области. Облкомюстиции осуществляет свои полномочия на основании Положения о комитете юстиции Волгоградской области, утверждённо</w:t>
      </w:r>
      <w:r w:rsidR="00D32283">
        <w:t>го</w:t>
      </w:r>
      <w:r w:rsidRPr="005113F5">
        <w:t xml:space="preserve"> постановлением Губернатора Волгоградской области от 19.12.2016 № 968.</w:t>
      </w:r>
    </w:p>
    <w:p w14:paraId="6CE7947A" w14:textId="77777777" w:rsidR="00A85F56" w:rsidRDefault="00A85F56" w:rsidP="00A85F5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Комитет является органом исполнительной власти Волгоградской области, осуществляющим организационное обеспечение деятельности мировых судей Волгоградской области, выполняющим функции уполномоченного органа в области обеспечения граждан бесплатной юридической помощью на территории Волгоградской области, осуществляющим организацию деятельности по государственной регистрации актов гражданского состояния на территории Волгоградской области, обеспечивающим составление списков кандидатов в присяжные заседатели федеральных судов общей юрисдикции и осуществляющим ведение регистра муниципальных нормативных правовых актов Волгоградской области.</w:t>
      </w:r>
    </w:p>
    <w:p w14:paraId="68440AA1" w14:textId="77777777" w:rsidR="00A85F56" w:rsidRDefault="00A85F56" w:rsidP="00A85F56">
      <w:pPr>
        <w:ind w:firstLine="709"/>
        <w:jc w:val="both"/>
      </w:pPr>
      <w:r w:rsidRPr="009332EB">
        <w:t>В соответствии</w:t>
      </w:r>
      <w:r w:rsidRPr="00591C80">
        <w:t xml:space="preserve"> с Законом Волгоградской области от </w:t>
      </w:r>
      <w:r>
        <w:t>21</w:t>
      </w:r>
      <w:r w:rsidRPr="00591C80">
        <w:t>.1</w:t>
      </w:r>
      <w:r>
        <w:t>1</w:t>
      </w:r>
      <w:r w:rsidRPr="00591C80">
        <w:t>.201</w:t>
      </w:r>
      <w:r>
        <w:t>9</w:t>
      </w:r>
      <w:r w:rsidRPr="00591C80">
        <w:t xml:space="preserve"> № </w:t>
      </w:r>
      <w:r>
        <w:t>97</w:t>
      </w:r>
      <w:r w:rsidRPr="00591C80">
        <w:t xml:space="preserve">-ОД «Об областном бюджете </w:t>
      </w:r>
      <w:r>
        <w:rPr>
          <w:rFonts w:eastAsiaTheme="minorHAnsi"/>
          <w:lang w:eastAsia="en-US"/>
        </w:rPr>
        <w:t>на 2020 год и на плановый период 2021 и 2022 годов</w:t>
      </w:r>
      <w:r w:rsidRPr="00591C80">
        <w:t>» (далее - Закон об областном бюджете) Облкомюстиции в 20</w:t>
      </w:r>
      <w:r>
        <w:t>20</w:t>
      </w:r>
      <w:r w:rsidRPr="00591C80">
        <w:t xml:space="preserve"> году являлся главным администратором доходов областного бюджета</w:t>
      </w:r>
      <w:r>
        <w:t xml:space="preserve">, </w:t>
      </w:r>
      <w:r w:rsidRPr="00591C80">
        <w:t xml:space="preserve">главным распорядителем </w:t>
      </w:r>
      <w:r>
        <w:t xml:space="preserve">и получателем </w:t>
      </w:r>
      <w:r w:rsidRPr="00591C80">
        <w:t>средств областного бюджета.</w:t>
      </w:r>
    </w:p>
    <w:p w14:paraId="1558A2D9" w14:textId="77777777" w:rsidR="00A85F56" w:rsidRDefault="00A85F56" w:rsidP="00A85F56">
      <w:pPr>
        <w:spacing w:line="300" w:lineRule="exact"/>
        <w:ind w:firstLine="709"/>
        <w:jc w:val="both"/>
      </w:pPr>
      <w:r>
        <w:t xml:space="preserve">Комитет является учредителем двух </w:t>
      </w:r>
      <w:r w:rsidRPr="00591C80">
        <w:t>подведомственных</w:t>
      </w:r>
      <w:r>
        <w:t xml:space="preserve"> государственных учреждений:</w:t>
      </w:r>
    </w:p>
    <w:p w14:paraId="046C28F1" w14:textId="77777777" w:rsidR="00A85F56" w:rsidRDefault="00A85F56" w:rsidP="00A85F56">
      <w:pPr>
        <w:ind w:firstLine="709"/>
        <w:jc w:val="both"/>
      </w:pPr>
      <w:r>
        <w:t>-</w:t>
      </w:r>
      <w:r w:rsidRPr="007A5CC6">
        <w:t xml:space="preserve"> </w:t>
      </w:r>
      <w:bookmarkStart w:id="0" w:name="_Hlk62553003"/>
      <w:r w:rsidRPr="00DC38B6">
        <w:t>государственно</w:t>
      </w:r>
      <w:r>
        <w:t>го</w:t>
      </w:r>
      <w:r w:rsidRPr="00DC38B6">
        <w:t xml:space="preserve"> казенно</w:t>
      </w:r>
      <w:r>
        <w:t xml:space="preserve">го </w:t>
      </w:r>
      <w:r w:rsidRPr="00DC38B6">
        <w:t>учреждени</w:t>
      </w:r>
      <w:r>
        <w:t>я</w:t>
      </w:r>
      <w:r w:rsidRPr="00DC38B6">
        <w:t xml:space="preserve"> Волгоградской области «Государственное юридическое бюро Волгоградской области» </w:t>
      </w:r>
      <w:bookmarkEnd w:id="0"/>
      <w:r w:rsidRPr="00DC38B6">
        <w:t xml:space="preserve">(далее – ГКУ ЮрБюро), </w:t>
      </w:r>
      <w:r>
        <w:t xml:space="preserve">созданного </w:t>
      </w:r>
      <w:r w:rsidRPr="00DC38B6">
        <w:t>в соответствии с постановлением Правительства Волгоградской области от 25.12.2012 № 623-п «О государственном казенном учреждении Волгоградской области «Государственное юридическое бюро Волгоградской области»</w:t>
      </w:r>
      <w:r>
        <w:t xml:space="preserve">, </w:t>
      </w:r>
      <w:r w:rsidRPr="00502DE8">
        <w:t>штатной</w:t>
      </w:r>
      <w:r w:rsidRPr="00DC38B6">
        <w:t xml:space="preserve"> </w:t>
      </w:r>
      <w:r w:rsidRPr="00E01BBA">
        <w:t>численностью – 32</w:t>
      </w:r>
      <w:r w:rsidRPr="00DC38B6">
        <w:t xml:space="preserve"> единицы</w:t>
      </w:r>
      <w:r>
        <w:t>;</w:t>
      </w:r>
    </w:p>
    <w:p w14:paraId="446B4B51" w14:textId="77777777" w:rsidR="00A85F56" w:rsidRPr="00DC38B6" w:rsidRDefault="00A85F56" w:rsidP="00A85F56">
      <w:pPr>
        <w:ind w:firstLine="709"/>
        <w:jc w:val="both"/>
      </w:pPr>
      <w:r w:rsidRPr="00DC38B6">
        <w:t>-</w:t>
      </w:r>
      <w:bookmarkStart w:id="1" w:name="_Hlk62553022"/>
      <w:r w:rsidRPr="00DC38B6">
        <w:t>государственно</w:t>
      </w:r>
      <w:r>
        <w:t>го</w:t>
      </w:r>
      <w:r w:rsidRPr="00DC38B6">
        <w:t xml:space="preserve"> казенно</w:t>
      </w:r>
      <w:r>
        <w:t>го</w:t>
      </w:r>
      <w:r w:rsidRPr="00DC38B6">
        <w:t xml:space="preserve"> учреждени</w:t>
      </w:r>
      <w:r>
        <w:t>я</w:t>
      </w:r>
      <w:r w:rsidRPr="00DC38B6">
        <w:t xml:space="preserve"> Волгоградской области «Дирекция по материально-техническому обеспечению деятельности мировых судей Волгоградской области» </w:t>
      </w:r>
      <w:bookmarkEnd w:id="1"/>
      <w:r w:rsidRPr="00DC38B6">
        <w:t xml:space="preserve">(далее – </w:t>
      </w:r>
      <w:r>
        <w:t xml:space="preserve">ГКУ </w:t>
      </w:r>
      <w:r w:rsidRPr="00DC38B6">
        <w:t xml:space="preserve">Дирекция), </w:t>
      </w:r>
      <w:r>
        <w:t xml:space="preserve">созданного в соответствии с постановлением Администрации Волгоградской области от 12.08.2019 № 400 «О создании государственного казенного учреждения Волгоградской области «Дирекция по материально-техническому обеспечению деятельности мировых судей Волгоградской области», </w:t>
      </w:r>
      <w:r w:rsidRPr="00DC38B6">
        <w:t>штатн</w:t>
      </w:r>
      <w:r>
        <w:t>ой</w:t>
      </w:r>
      <w:r w:rsidRPr="00DC38B6">
        <w:t xml:space="preserve"> численность</w:t>
      </w:r>
      <w:r>
        <w:t>ю</w:t>
      </w:r>
      <w:r w:rsidRPr="00DC38B6">
        <w:t xml:space="preserve"> – </w:t>
      </w:r>
      <w:r>
        <w:t>274</w:t>
      </w:r>
      <w:r w:rsidRPr="00DC38B6">
        <w:t xml:space="preserve"> единиц</w:t>
      </w:r>
      <w:r>
        <w:t>ы</w:t>
      </w:r>
      <w:r w:rsidRPr="00DC38B6">
        <w:t>.</w:t>
      </w:r>
    </w:p>
    <w:p w14:paraId="518BF5CA" w14:textId="2A7A9509" w:rsidR="00D052FD" w:rsidRPr="002246AD" w:rsidRDefault="00D052FD" w:rsidP="00D052FD">
      <w:pPr>
        <w:autoSpaceDE w:val="0"/>
        <w:autoSpaceDN w:val="0"/>
        <w:adjustRightInd w:val="0"/>
        <w:ind w:firstLine="709"/>
        <w:jc w:val="both"/>
      </w:pPr>
      <w:r w:rsidRPr="001E46BF">
        <w:t xml:space="preserve">Структура и штатная численность Облкомюстиции утверждена постановлением Губернатора Волгоградской области от 19.12.2016 № 969 «Об утверждении структуры и штатной численности комитета юстиции Волгоградской области». </w:t>
      </w:r>
      <w:r w:rsidRPr="002246AD">
        <w:t>На 01.01.202</w:t>
      </w:r>
      <w:r>
        <w:t>1</w:t>
      </w:r>
      <w:r w:rsidRPr="002246AD">
        <w:t xml:space="preserve"> штатная численность Облкомюстиции </w:t>
      </w:r>
      <w:r>
        <w:t>составляла</w:t>
      </w:r>
      <w:r w:rsidRPr="002246AD">
        <w:t xml:space="preserve"> </w:t>
      </w:r>
      <w:r>
        <w:t>542</w:t>
      </w:r>
      <w:r w:rsidRPr="002246AD">
        <w:t xml:space="preserve"> единиц</w:t>
      </w:r>
      <w:r>
        <w:t>ы</w:t>
      </w:r>
      <w:r w:rsidRPr="002246AD">
        <w:t>, из них:</w:t>
      </w:r>
    </w:p>
    <w:p w14:paraId="0161373B" w14:textId="77777777" w:rsidR="00D052FD" w:rsidRPr="002246AD" w:rsidRDefault="00D052FD" w:rsidP="00D052FD">
      <w:pPr>
        <w:ind w:firstLine="709"/>
        <w:jc w:val="both"/>
      </w:pPr>
      <w:r w:rsidRPr="002246AD">
        <w:t>-государственная должность – 1 ед.;</w:t>
      </w:r>
    </w:p>
    <w:p w14:paraId="099074AE" w14:textId="77777777" w:rsidR="00D052FD" w:rsidRDefault="00D052FD" w:rsidP="00D052FD">
      <w:pPr>
        <w:ind w:firstLine="709"/>
        <w:jc w:val="both"/>
      </w:pPr>
      <w:r w:rsidRPr="002246AD">
        <w:lastRenderedPageBreak/>
        <w:t xml:space="preserve">-должности государственной гражданской службы – </w:t>
      </w:r>
      <w:r>
        <w:t>525</w:t>
      </w:r>
      <w:r w:rsidRPr="002246AD">
        <w:t xml:space="preserve"> ед.,</w:t>
      </w:r>
    </w:p>
    <w:p w14:paraId="05D8EB11" w14:textId="77777777" w:rsidR="00D052FD" w:rsidRPr="002246AD" w:rsidRDefault="00D052FD" w:rsidP="00D052FD">
      <w:pPr>
        <w:ind w:firstLine="709"/>
        <w:jc w:val="both"/>
      </w:pPr>
      <w:r w:rsidRPr="002246AD">
        <w:t>-должности, не отнесенные к должностям гос</w:t>
      </w:r>
      <w:r>
        <w:t>.</w:t>
      </w:r>
      <w:r w:rsidRPr="002246AD">
        <w:t xml:space="preserve"> гражданской службы – </w:t>
      </w:r>
      <w:r>
        <w:t>16 единиц.</w:t>
      </w:r>
    </w:p>
    <w:p w14:paraId="61BA208F" w14:textId="713E0A12" w:rsidR="00D052FD" w:rsidRPr="001E46BF" w:rsidRDefault="00D052FD" w:rsidP="00D052FD">
      <w:pPr>
        <w:autoSpaceDE w:val="0"/>
        <w:autoSpaceDN w:val="0"/>
        <w:adjustRightInd w:val="0"/>
        <w:ind w:firstLine="709"/>
        <w:jc w:val="both"/>
      </w:pPr>
      <w:r w:rsidRPr="000D1DA3">
        <w:t>В течение 20</w:t>
      </w:r>
      <w:r>
        <w:t>20</w:t>
      </w:r>
      <w:r w:rsidRPr="000D1DA3">
        <w:t xml:space="preserve"> года </w:t>
      </w:r>
      <w:r>
        <w:t>в соответствии с п</w:t>
      </w:r>
      <w:r w:rsidRPr="001E46BF">
        <w:t xml:space="preserve">остановлением Губернатора Волгоградской области от 19.02.2020 № 126 «О внесении изменений в постановление Губернатора Волгоградской области от </w:t>
      </w:r>
      <w:r w:rsidRPr="001E46BF">
        <w:rPr>
          <w:color w:val="000000"/>
        </w:rPr>
        <w:t xml:space="preserve">19 декабря 2016 г. № 969 </w:t>
      </w:r>
      <w:r>
        <w:rPr>
          <w:color w:val="000000"/>
        </w:rPr>
        <w:t>«</w:t>
      </w:r>
      <w:r w:rsidRPr="001E46BF">
        <w:rPr>
          <w:color w:val="000000"/>
        </w:rPr>
        <w:t xml:space="preserve">Об утверждении структуры и штатной численности комитета юстиции Волгоградской области» </w:t>
      </w:r>
      <w:r w:rsidRPr="001E46BF">
        <w:t xml:space="preserve">штатная численность Облкомюстиции сокращена на </w:t>
      </w:r>
      <w:r>
        <w:t>49</w:t>
      </w:r>
      <w:r w:rsidRPr="001E46BF">
        <w:t xml:space="preserve"> единиц по должностям, не отнесенным к должностям государственной гражданской службы</w:t>
      </w:r>
      <w:r w:rsidR="00EC150D">
        <w:t xml:space="preserve">, </w:t>
      </w:r>
      <w:r w:rsidR="0008274B">
        <w:t>а личный состав</w:t>
      </w:r>
      <w:r w:rsidR="00EC150D">
        <w:t xml:space="preserve"> перев</w:t>
      </w:r>
      <w:r w:rsidR="0008274B">
        <w:t>еден</w:t>
      </w:r>
      <w:r w:rsidR="00EC150D">
        <w:t xml:space="preserve"> в ГКУ </w:t>
      </w:r>
      <w:r w:rsidR="00EC150D" w:rsidRPr="00DC38B6">
        <w:t>Дирекция</w:t>
      </w:r>
      <w:r w:rsidR="0008274B">
        <w:t xml:space="preserve"> на вакантные должности</w:t>
      </w:r>
      <w:r w:rsidR="00EC150D">
        <w:t>.</w:t>
      </w:r>
    </w:p>
    <w:p w14:paraId="6D37D703" w14:textId="68FBE615" w:rsidR="00D32283" w:rsidRDefault="00D32283" w:rsidP="00D32283">
      <w:pPr>
        <w:spacing w:line="300" w:lineRule="exact"/>
        <w:ind w:firstLine="709"/>
        <w:jc w:val="both"/>
      </w:pPr>
      <w:r>
        <w:t xml:space="preserve">На 01.01.2021 в Комитете </w:t>
      </w:r>
      <w:r w:rsidR="00711C7B">
        <w:t>вакантными являл</w:t>
      </w:r>
      <w:r w:rsidR="00BE1C13">
        <w:t>и</w:t>
      </w:r>
      <w:r w:rsidR="00711C7B">
        <w:t xml:space="preserve">сь 26 </w:t>
      </w:r>
      <w:r w:rsidR="002F5425">
        <w:t xml:space="preserve">штатных </w:t>
      </w:r>
      <w:r w:rsidR="00711C7B">
        <w:t xml:space="preserve">должностей, в том числе 25 </w:t>
      </w:r>
      <w:r w:rsidR="00711C7B" w:rsidRPr="002246AD">
        <w:t>должност</w:t>
      </w:r>
      <w:r w:rsidR="00711C7B">
        <w:t>ей</w:t>
      </w:r>
      <w:r w:rsidR="00711C7B" w:rsidRPr="002246AD">
        <w:t xml:space="preserve"> государственной гражданской службы</w:t>
      </w:r>
      <w:r w:rsidR="00711C7B">
        <w:t>.</w:t>
      </w:r>
    </w:p>
    <w:p w14:paraId="3C2FD9E3" w14:textId="77777777" w:rsidR="00A85F56" w:rsidRDefault="00A85F56" w:rsidP="00E73F1C">
      <w:pPr>
        <w:ind w:firstLine="709"/>
        <w:jc w:val="both"/>
      </w:pPr>
    </w:p>
    <w:p w14:paraId="2F4D69B1" w14:textId="77777777" w:rsidR="003B1CD3" w:rsidRPr="000F7BE3" w:rsidRDefault="003B1CD3" w:rsidP="003B1CD3">
      <w:pPr>
        <w:pStyle w:val="afb"/>
        <w:ind w:firstLine="709"/>
        <w:jc w:val="center"/>
        <w:rPr>
          <w:rFonts w:ascii="Times New Roman" w:hAnsi="Times New Roman" w:cs="Times New Roman"/>
          <w:b/>
          <w:i/>
        </w:rPr>
      </w:pPr>
      <w:r w:rsidRPr="000F7BE3">
        <w:rPr>
          <w:rFonts w:ascii="Times New Roman" w:hAnsi="Times New Roman" w:cs="Times New Roman"/>
          <w:b/>
          <w:i/>
        </w:rPr>
        <w:t xml:space="preserve">Анализ отчетности ГАБС по составу, содержанию, </w:t>
      </w:r>
    </w:p>
    <w:p w14:paraId="47DC8A3C" w14:textId="77777777" w:rsidR="003B1CD3" w:rsidRPr="000F7BE3" w:rsidRDefault="003B1CD3" w:rsidP="003B1CD3">
      <w:pPr>
        <w:pStyle w:val="afb"/>
        <w:ind w:firstLine="709"/>
        <w:jc w:val="center"/>
        <w:rPr>
          <w:rFonts w:ascii="Times New Roman" w:hAnsi="Times New Roman" w:cs="Times New Roman"/>
          <w:b/>
          <w:i/>
        </w:rPr>
      </w:pPr>
      <w:r w:rsidRPr="000F7BE3">
        <w:rPr>
          <w:rFonts w:ascii="Times New Roman" w:hAnsi="Times New Roman" w:cs="Times New Roman"/>
          <w:b/>
          <w:i/>
        </w:rPr>
        <w:t>прозрачности и информативности показателей</w:t>
      </w:r>
    </w:p>
    <w:p w14:paraId="72AFFEF4" w14:textId="4037453C" w:rsidR="000F7BE3" w:rsidRPr="007119A2" w:rsidRDefault="000F7BE3" w:rsidP="000F7BE3">
      <w:pPr>
        <w:ind w:firstLine="720"/>
        <w:jc w:val="both"/>
      </w:pPr>
      <w:r>
        <w:t xml:space="preserve">Сводная бюджетная отчетность </w:t>
      </w:r>
      <w:r w:rsidRPr="003D40A1">
        <w:t xml:space="preserve">Облкомюстиции </w:t>
      </w:r>
      <w:r w:rsidR="00D052FD">
        <w:t xml:space="preserve">за 2020 год </w:t>
      </w:r>
      <w:r>
        <w:t>представлена к проверке в составе, определенном ст. 264.1 БК РФ и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 (далее Инструкция № 191н).</w:t>
      </w:r>
    </w:p>
    <w:p w14:paraId="64D4CAB4" w14:textId="681FE893" w:rsidR="000F7BE3" w:rsidRPr="00CE46A3" w:rsidRDefault="000F7BE3" w:rsidP="000F7BE3">
      <w:pPr>
        <w:ind w:firstLine="720"/>
        <w:jc w:val="both"/>
      </w:pPr>
      <w:r w:rsidRPr="0083433F">
        <w:t xml:space="preserve">По комплектности </w:t>
      </w:r>
      <w:r w:rsidR="00003410">
        <w:t xml:space="preserve">и достоверности </w:t>
      </w:r>
      <w:r w:rsidRPr="0083433F">
        <w:t xml:space="preserve">бюджетной отчетности </w:t>
      </w:r>
      <w:r w:rsidRPr="003D40A1">
        <w:t xml:space="preserve">Облкомюстиции </w:t>
      </w:r>
      <w:r w:rsidR="00D052FD">
        <w:t xml:space="preserve">за 2020 год </w:t>
      </w:r>
      <w:r w:rsidRPr="00CE46A3">
        <w:t>нарушений не установлено.</w:t>
      </w:r>
    </w:p>
    <w:p w14:paraId="5271432A" w14:textId="77777777" w:rsidR="007A2CE2" w:rsidRPr="00CE46A3" w:rsidRDefault="007A2CE2" w:rsidP="0025054E">
      <w:pPr>
        <w:autoSpaceDE w:val="0"/>
        <w:autoSpaceDN w:val="0"/>
        <w:adjustRightInd w:val="0"/>
        <w:ind w:firstLine="360"/>
        <w:jc w:val="center"/>
        <w:rPr>
          <w:b/>
          <w:i/>
        </w:rPr>
      </w:pPr>
    </w:p>
    <w:p w14:paraId="5E2A920D" w14:textId="77777777" w:rsidR="0025054E" w:rsidRPr="00CE46A3" w:rsidRDefault="0025054E" w:rsidP="0025054E">
      <w:pPr>
        <w:autoSpaceDE w:val="0"/>
        <w:autoSpaceDN w:val="0"/>
        <w:adjustRightInd w:val="0"/>
        <w:ind w:firstLine="360"/>
        <w:jc w:val="center"/>
        <w:rPr>
          <w:b/>
          <w:bCs/>
          <w:i/>
          <w:u w:val="single"/>
        </w:rPr>
      </w:pPr>
      <w:r w:rsidRPr="00CE46A3">
        <w:rPr>
          <w:b/>
          <w:i/>
          <w:u w:val="single"/>
        </w:rPr>
        <w:t>Исполнение плановых назначений по закрепленным доходам</w:t>
      </w:r>
    </w:p>
    <w:p w14:paraId="2231D6DD" w14:textId="2979233B" w:rsidR="005279E4" w:rsidRPr="001922B0" w:rsidRDefault="005279E4" w:rsidP="00552772">
      <w:pPr>
        <w:pStyle w:val="1"/>
        <w:spacing w:before="0" w:after="0"/>
        <w:ind w:firstLine="720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bookmarkStart w:id="2" w:name="OLE_LINK2"/>
      <w:r w:rsidRPr="001922B0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Данные об администрируемых Облкомюстиции доходах и фактическом их поступлении за 20</w:t>
      </w:r>
      <w:r w:rsidR="00D052FD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20</w:t>
      </w:r>
      <w:r w:rsidRPr="001922B0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год отражены в </w:t>
      </w:r>
      <w:r w:rsidR="00D052FD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приложении № 1.</w:t>
      </w:r>
    </w:p>
    <w:p w14:paraId="550E6D6B" w14:textId="3F3D7E69" w:rsidR="007644A5" w:rsidRDefault="007644A5" w:rsidP="00552772">
      <w:pPr>
        <w:ind w:firstLine="720"/>
        <w:jc w:val="both"/>
        <w:rPr>
          <w:i/>
          <w:iCs/>
        </w:rPr>
      </w:pPr>
      <w:r w:rsidRPr="009442B5">
        <w:t>Доходы Облкомюстиции в основном сложились</w:t>
      </w:r>
      <w:r w:rsidRPr="009442B5">
        <w:rPr>
          <w:rFonts w:eastAsiaTheme="minorHAnsi"/>
          <w:lang w:eastAsia="en-US"/>
        </w:rPr>
        <w:t xml:space="preserve"> по</w:t>
      </w:r>
      <w:r>
        <w:rPr>
          <w:rFonts w:eastAsiaTheme="minorHAnsi"/>
          <w:lang w:eastAsia="en-US"/>
        </w:rPr>
        <w:t xml:space="preserve"> </w:t>
      </w:r>
      <w:r w:rsidR="00AB6CED">
        <w:rPr>
          <w:rFonts w:eastAsiaTheme="minorHAnsi"/>
          <w:lang w:eastAsia="en-US"/>
        </w:rPr>
        <w:t xml:space="preserve">показателю </w:t>
      </w:r>
      <w:r w:rsidR="00AB6CED" w:rsidRPr="00D10312">
        <w:rPr>
          <w:rFonts w:eastAsiaTheme="minorHAnsi"/>
          <w:i/>
          <w:iCs/>
          <w:lang w:eastAsia="en-US"/>
        </w:rPr>
        <w:t>«а</w:t>
      </w:r>
      <w:r w:rsidR="00AB6CED" w:rsidRPr="00D10312">
        <w:rPr>
          <w:i/>
          <w:iCs/>
        </w:rPr>
        <w:t>дминистративны</w:t>
      </w:r>
      <w:r w:rsidR="00AB6CED">
        <w:rPr>
          <w:i/>
          <w:iCs/>
        </w:rPr>
        <w:t>е</w:t>
      </w:r>
      <w:r w:rsidR="00AB6CED" w:rsidRPr="00D10312">
        <w:rPr>
          <w:i/>
          <w:iCs/>
        </w:rPr>
        <w:t xml:space="preserve"> штраф</w:t>
      </w:r>
      <w:r w:rsidR="00AB6CED">
        <w:rPr>
          <w:i/>
          <w:iCs/>
        </w:rPr>
        <w:t>ы</w:t>
      </w:r>
      <w:r w:rsidR="00AB6CED" w:rsidRPr="00D10312">
        <w:rPr>
          <w:i/>
          <w:iCs/>
        </w:rPr>
        <w:t>, установленны</w:t>
      </w:r>
      <w:r w:rsidR="00AB6CED">
        <w:rPr>
          <w:i/>
          <w:iCs/>
        </w:rPr>
        <w:t>е</w:t>
      </w:r>
      <w:r w:rsidR="00AB6CED" w:rsidRPr="00D10312">
        <w:rPr>
          <w:i/>
          <w:iCs/>
        </w:rPr>
        <w:t xml:space="preserve"> Кодексом Р</w:t>
      </w:r>
      <w:r w:rsidR="0008274B">
        <w:rPr>
          <w:i/>
          <w:iCs/>
        </w:rPr>
        <w:t xml:space="preserve">оссийской </w:t>
      </w:r>
      <w:r w:rsidR="00AB6CED" w:rsidRPr="00D10312">
        <w:rPr>
          <w:i/>
          <w:iCs/>
        </w:rPr>
        <w:t>Ф</w:t>
      </w:r>
      <w:r w:rsidR="0008274B">
        <w:rPr>
          <w:i/>
          <w:iCs/>
        </w:rPr>
        <w:t>едерации</w:t>
      </w:r>
      <w:r w:rsidR="00AB6CED" w:rsidRPr="00D10312">
        <w:rPr>
          <w:i/>
          <w:iCs/>
        </w:rPr>
        <w:t xml:space="preserve"> об административных правонарушениях</w:t>
      </w:r>
      <w:r w:rsidR="00AB6CED">
        <w:rPr>
          <w:i/>
          <w:iCs/>
        </w:rPr>
        <w:t>».</w:t>
      </w:r>
    </w:p>
    <w:p w14:paraId="50C4A057" w14:textId="151C382E" w:rsidR="00DF74E1" w:rsidRPr="00BB71B3" w:rsidRDefault="00B074C0" w:rsidP="00552772">
      <w:pPr>
        <w:autoSpaceDE w:val="0"/>
        <w:autoSpaceDN w:val="0"/>
        <w:adjustRightInd w:val="0"/>
        <w:ind w:firstLine="720"/>
        <w:jc w:val="both"/>
      </w:pPr>
      <w:r>
        <w:rPr>
          <w:rFonts w:eastAsiaTheme="minorHAnsi"/>
          <w:lang w:eastAsia="en-US"/>
        </w:rPr>
        <w:t>Согласно</w:t>
      </w:r>
      <w:r w:rsidRPr="00D5082F">
        <w:t xml:space="preserve"> </w:t>
      </w:r>
      <w:r w:rsidR="00DF74E1" w:rsidRPr="00D5082F">
        <w:rPr>
          <w:rFonts w:eastAsiaTheme="minorHAnsi"/>
          <w:lang w:eastAsia="en-US"/>
        </w:rPr>
        <w:t>п. 8.5 Порядка формирования и применения кодов бюджетной классификации Российской Федерации, их структуры и принципов назначения, утвержденн</w:t>
      </w:r>
      <w:r w:rsidR="00BE1C13">
        <w:rPr>
          <w:rFonts w:eastAsiaTheme="minorHAnsi"/>
          <w:lang w:eastAsia="en-US"/>
        </w:rPr>
        <w:t>ого</w:t>
      </w:r>
      <w:r w:rsidR="00DF74E1" w:rsidRPr="00D5082F">
        <w:rPr>
          <w:rFonts w:eastAsiaTheme="minorHAnsi"/>
          <w:lang w:eastAsia="en-US"/>
        </w:rPr>
        <w:t xml:space="preserve"> приказом Минфина России от 06.06.2019 № 85н, </w:t>
      </w:r>
      <w:r w:rsidR="00386FA3" w:rsidRPr="00D5082F">
        <w:t>Комитет</w:t>
      </w:r>
      <w:r w:rsidR="00386FA3" w:rsidRPr="00D5082F">
        <w:rPr>
          <w:rFonts w:eastAsiaTheme="minorHAnsi"/>
          <w:lang w:eastAsia="en-US"/>
        </w:rPr>
        <w:t xml:space="preserve"> </w:t>
      </w:r>
      <w:r w:rsidR="00386FA3">
        <w:rPr>
          <w:rFonts w:eastAsiaTheme="minorHAnsi"/>
          <w:lang w:eastAsia="en-US"/>
        </w:rPr>
        <w:t xml:space="preserve">с </w:t>
      </w:r>
      <w:r w:rsidR="00386FA3" w:rsidRPr="00D5082F">
        <w:t>0</w:t>
      </w:r>
      <w:r w:rsidR="00386FA3" w:rsidRPr="00D5082F">
        <w:rPr>
          <w:rFonts w:eastAsiaTheme="minorHAnsi"/>
          <w:lang w:eastAsia="en-US"/>
        </w:rPr>
        <w:t>1.01.2020</w:t>
      </w:r>
      <w:r w:rsidR="00386FA3">
        <w:rPr>
          <w:rFonts w:eastAsiaTheme="minorHAnsi"/>
          <w:lang w:eastAsia="en-US"/>
        </w:rPr>
        <w:t xml:space="preserve"> </w:t>
      </w:r>
      <w:r w:rsidR="00DF74E1" w:rsidRPr="00D5082F">
        <w:rPr>
          <w:rFonts w:eastAsiaTheme="minorHAnsi"/>
          <w:lang w:eastAsia="en-US"/>
        </w:rPr>
        <w:t xml:space="preserve">стал </w:t>
      </w:r>
      <w:r w:rsidR="00DF74E1" w:rsidRPr="00D5082F">
        <w:t>являться главным администратором доходов бюджетов субъекта РФ в случае, если постановления о наложении административных штрафов вынесены мировыми судьями.</w:t>
      </w:r>
    </w:p>
    <w:p w14:paraId="02DEA5B0" w14:textId="3AA762F6" w:rsidR="007644A5" w:rsidRDefault="00B074C0" w:rsidP="00552772">
      <w:pPr>
        <w:tabs>
          <w:tab w:val="left" w:pos="0"/>
        </w:tabs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 нормами бюджетного законодательства РФ, действующи</w:t>
      </w:r>
      <w:r w:rsidR="00BE1C13">
        <w:rPr>
          <w:rFonts w:eastAsiaTheme="minorHAnsi"/>
          <w:lang w:eastAsia="en-US"/>
        </w:rPr>
        <w:t>ми</w:t>
      </w:r>
      <w:r>
        <w:rPr>
          <w:rFonts w:eastAsiaTheme="minorHAnsi"/>
          <w:lang w:eastAsia="en-US"/>
        </w:rPr>
        <w:t xml:space="preserve"> с </w:t>
      </w:r>
      <w:r w:rsidRPr="00D5082F">
        <w:t>0</w:t>
      </w:r>
      <w:r w:rsidRPr="00D5082F">
        <w:rPr>
          <w:rFonts w:eastAsiaTheme="minorHAnsi"/>
          <w:lang w:eastAsia="en-US"/>
        </w:rPr>
        <w:t>1.01.2020</w:t>
      </w:r>
      <w:r w:rsidR="00386FA3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="007644A5">
        <w:rPr>
          <w:rFonts w:eastAsiaTheme="minorHAnsi"/>
          <w:lang w:eastAsia="en-US"/>
        </w:rPr>
        <w:t>изменены правила зачисления доходов от административных штрафов в бюджеты бюджетной системы РФ</w:t>
      </w:r>
      <w:r w:rsidR="002A03AE">
        <w:rPr>
          <w:rFonts w:eastAsiaTheme="minorHAnsi"/>
          <w:lang w:eastAsia="en-US"/>
        </w:rPr>
        <w:t xml:space="preserve">, согласно которым установлены новые нормативы распределения </w:t>
      </w:r>
      <w:r w:rsidR="00386FA3">
        <w:rPr>
          <w:rFonts w:eastAsiaTheme="minorHAnsi"/>
          <w:lang w:eastAsia="en-US"/>
        </w:rPr>
        <w:t xml:space="preserve">доходов </w:t>
      </w:r>
      <w:r w:rsidR="002A03AE">
        <w:rPr>
          <w:rFonts w:eastAsiaTheme="minorHAnsi"/>
          <w:lang w:eastAsia="en-US"/>
        </w:rPr>
        <w:t>между бюджетами</w:t>
      </w:r>
      <w:r w:rsidR="00386FA3">
        <w:rPr>
          <w:rFonts w:eastAsiaTheme="minorHAnsi"/>
          <w:lang w:eastAsia="en-US"/>
        </w:rPr>
        <w:t xml:space="preserve"> бюджетной системы РФ</w:t>
      </w:r>
      <w:r w:rsidR="007644A5">
        <w:rPr>
          <w:rFonts w:eastAsiaTheme="minorHAnsi"/>
          <w:lang w:eastAsia="en-US"/>
        </w:rPr>
        <w:t>.</w:t>
      </w:r>
    </w:p>
    <w:p w14:paraId="5A61212A" w14:textId="09504B35" w:rsidR="004A4FB5" w:rsidRDefault="00386FA3" w:rsidP="004A4FB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Согласно </w:t>
      </w:r>
      <w:r w:rsidR="004A4FB5">
        <w:rPr>
          <w:rFonts w:eastAsiaTheme="minorHAnsi"/>
          <w:lang w:eastAsia="en-US"/>
        </w:rPr>
        <w:t>п. 4 ст. 46 БК РФ суммы штрафов, установленны</w:t>
      </w:r>
      <w:r>
        <w:rPr>
          <w:rFonts w:eastAsiaTheme="minorHAnsi"/>
          <w:lang w:eastAsia="en-US"/>
        </w:rPr>
        <w:t>е</w:t>
      </w:r>
      <w:r w:rsidR="004A4FB5">
        <w:rPr>
          <w:rFonts w:eastAsiaTheme="minorHAnsi"/>
          <w:lang w:eastAsia="en-US"/>
        </w:rPr>
        <w:t xml:space="preserve"> КоАП РФ, в случае если постановления о наложении административных штрафов вынесены мировыми судьями, подлежат зачислению:</w:t>
      </w:r>
    </w:p>
    <w:p w14:paraId="711D45DE" w14:textId="42761166" w:rsidR="00C87EA4" w:rsidRDefault="00C87EA4" w:rsidP="00552772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в бюджет субъекта РФ по нормативу 50 процентов;</w:t>
      </w:r>
    </w:p>
    <w:p w14:paraId="0B0E3D34" w14:textId="178868D6" w:rsidR="00C87EA4" w:rsidRDefault="00C87EA4" w:rsidP="00552772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в бюджет муниципального района, муниципального округа, городского округа, городского округа с внутригородским делением (по месту нахождения органа или должностного лица, принявших решение о наложении административного штрафа) по нормативу 50 процентов.</w:t>
      </w:r>
    </w:p>
    <w:p w14:paraId="12DC58EE" w14:textId="473CA495" w:rsidR="004A4FB5" w:rsidRPr="00386FA3" w:rsidRDefault="00C87EA4" w:rsidP="004A4FB5">
      <w:pPr>
        <w:tabs>
          <w:tab w:val="left" w:pos="0"/>
        </w:tabs>
        <w:jc w:val="both"/>
      </w:pPr>
      <w:r>
        <w:tab/>
      </w:r>
      <w:r w:rsidRPr="00386FA3">
        <w:t>П</w:t>
      </w:r>
      <w:r w:rsidR="00BE1C13">
        <w:t>рогнозные</w:t>
      </w:r>
      <w:r w:rsidRPr="00386FA3">
        <w:t xml:space="preserve"> назначения </w:t>
      </w:r>
      <w:r w:rsidR="003914FD">
        <w:t xml:space="preserve">Комитета </w:t>
      </w:r>
      <w:r w:rsidRPr="00386FA3">
        <w:t xml:space="preserve">по доходам </w:t>
      </w:r>
      <w:r w:rsidR="00386FA3" w:rsidRPr="00386FA3">
        <w:t xml:space="preserve">за 2020 год </w:t>
      </w:r>
      <w:r w:rsidRPr="00386FA3">
        <w:t>исполнены в сумме 31 230,1 тыс. руб., или на 116,5 процента. Общий объем перевыполненных назначений составил 4 279,5 тыс. руб.</w:t>
      </w:r>
      <w:r w:rsidR="00386FA3" w:rsidRPr="00386FA3">
        <w:t>,</w:t>
      </w:r>
      <w:r w:rsidRPr="00386FA3">
        <w:t xml:space="preserve"> и </w:t>
      </w:r>
      <w:r w:rsidR="004A4FB5" w:rsidRPr="00386FA3">
        <w:t>сумма перевыполненных назначений</w:t>
      </w:r>
      <w:r w:rsidR="005279E4" w:rsidRPr="00386FA3">
        <w:t xml:space="preserve"> </w:t>
      </w:r>
      <w:r w:rsidR="00EC150D">
        <w:t xml:space="preserve">главным образом </w:t>
      </w:r>
      <w:r w:rsidR="004A4FB5" w:rsidRPr="00386FA3">
        <w:t>сложилась</w:t>
      </w:r>
      <w:r w:rsidR="004A4FB5" w:rsidRPr="00386FA3">
        <w:rPr>
          <w:rFonts w:eastAsiaTheme="minorHAnsi"/>
          <w:lang w:eastAsia="en-US"/>
        </w:rPr>
        <w:t xml:space="preserve"> по показателю </w:t>
      </w:r>
      <w:r w:rsidR="004A4FB5" w:rsidRPr="00386FA3">
        <w:rPr>
          <w:rFonts w:eastAsiaTheme="minorHAnsi"/>
          <w:i/>
          <w:iCs/>
          <w:lang w:eastAsia="en-US"/>
        </w:rPr>
        <w:t>«а</w:t>
      </w:r>
      <w:r w:rsidR="004A4FB5" w:rsidRPr="00386FA3">
        <w:rPr>
          <w:i/>
          <w:iCs/>
        </w:rPr>
        <w:t>дминистративные штрафы, установленные Кодексом РФ об административных правонарушениях».</w:t>
      </w:r>
      <w:r w:rsidR="005279E4" w:rsidRPr="00386FA3">
        <w:t xml:space="preserve"> </w:t>
      </w:r>
    </w:p>
    <w:p w14:paraId="5381104C" w14:textId="28275E10" w:rsidR="004E2135" w:rsidRDefault="00386FA3" w:rsidP="004E2135">
      <w:pPr>
        <w:tabs>
          <w:tab w:val="left" w:pos="0"/>
        </w:tabs>
        <w:jc w:val="both"/>
      </w:pPr>
      <w:r w:rsidRPr="00386FA3">
        <w:tab/>
      </w:r>
      <w:r w:rsidRPr="003354EE">
        <w:t xml:space="preserve">Необходимо </w:t>
      </w:r>
      <w:r w:rsidR="004E2135" w:rsidRPr="003354EE">
        <w:t>отметить, что перевыполнен</w:t>
      </w:r>
      <w:r w:rsidR="00BE1C13" w:rsidRPr="003354EE">
        <w:t>ие прогнозных</w:t>
      </w:r>
      <w:r w:rsidR="004E2135" w:rsidRPr="003354EE">
        <w:t xml:space="preserve"> назначений в основном обусловлено тем, что Комитет</w:t>
      </w:r>
      <w:r w:rsidR="004E2135" w:rsidRPr="003354EE">
        <w:rPr>
          <w:rFonts w:eastAsiaTheme="minorHAnsi"/>
          <w:lang w:eastAsia="en-US"/>
        </w:rPr>
        <w:t xml:space="preserve"> только с </w:t>
      </w:r>
      <w:r w:rsidR="004E2135" w:rsidRPr="003354EE">
        <w:t>0</w:t>
      </w:r>
      <w:r w:rsidR="004E2135" w:rsidRPr="003354EE">
        <w:rPr>
          <w:rFonts w:eastAsiaTheme="minorHAnsi"/>
          <w:lang w:eastAsia="en-US"/>
        </w:rPr>
        <w:t xml:space="preserve">1.01.2020 стал </w:t>
      </w:r>
      <w:r w:rsidR="004E2135" w:rsidRPr="003354EE">
        <w:t xml:space="preserve">являться главным администратором доходов бюджетов субъекта РФ </w:t>
      </w:r>
      <w:r w:rsidR="00933A51" w:rsidRPr="003354EE">
        <w:t>по</w:t>
      </w:r>
      <w:r w:rsidR="004E2135" w:rsidRPr="003354EE">
        <w:t xml:space="preserve"> постановления</w:t>
      </w:r>
      <w:r w:rsidR="00933A51" w:rsidRPr="003354EE">
        <w:t>м</w:t>
      </w:r>
      <w:r w:rsidR="004E2135" w:rsidRPr="003354EE">
        <w:t xml:space="preserve"> о наложении административных штрафов</w:t>
      </w:r>
      <w:r w:rsidR="00D7261F">
        <w:t>,</w:t>
      </w:r>
      <w:r w:rsidR="004E2135" w:rsidRPr="003354EE">
        <w:t xml:space="preserve"> вынесен</w:t>
      </w:r>
      <w:r w:rsidR="00933A51" w:rsidRPr="003354EE">
        <w:t>н</w:t>
      </w:r>
      <w:r w:rsidR="004E2135" w:rsidRPr="003354EE">
        <w:t>ы</w:t>
      </w:r>
      <w:r w:rsidR="00933A51" w:rsidRPr="003354EE">
        <w:t>х</w:t>
      </w:r>
      <w:r w:rsidR="004E2135" w:rsidRPr="003354EE">
        <w:t xml:space="preserve"> мировыми судьями, а согласно пп. д) </w:t>
      </w:r>
      <w:r w:rsidR="004E2135" w:rsidRPr="003354EE">
        <w:rPr>
          <w:rFonts w:eastAsiaTheme="minorHAnsi"/>
          <w:lang w:eastAsia="en-US"/>
        </w:rPr>
        <w:t xml:space="preserve">п. 7 постановления Правительства РФ от 23.06.2016 №574 «Об общих требованиях к методике прогнозирования поступлений доходов </w:t>
      </w:r>
      <w:r w:rsidR="004E2135" w:rsidRPr="003354EE">
        <w:rPr>
          <w:rFonts w:eastAsiaTheme="minorHAnsi"/>
          <w:lang w:eastAsia="en-US"/>
        </w:rPr>
        <w:lastRenderedPageBreak/>
        <w:t xml:space="preserve">в бюджеты бюджетной системы Российской Федерации» </w:t>
      </w:r>
      <w:r w:rsidR="004E2135" w:rsidRPr="003354EE">
        <w:t>определение прогнозного количества наложенных штрафов и иных сумм принудительного изъятия (платежей) основывается на статистических данных не менее чем за 3 года.</w:t>
      </w:r>
      <w:r w:rsidR="004E2135" w:rsidRPr="004E2135">
        <w:t xml:space="preserve"> </w:t>
      </w:r>
    </w:p>
    <w:p w14:paraId="0C580CA5" w14:textId="0F48E730" w:rsidR="00D81B22" w:rsidRPr="00D81B22" w:rsidRDefault="003354EE" w:rsidP="00D81B2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ab/>
      </w:r>
      <w:r w:rsidRPr="00D81B22">
        <w:t xml:space="preserve">До 2020 года </w:t>
      </w:r>
      <w:r w:rsidR="00D81B22" w:rsidRPr="00D81B22">
        <w:t xml:space="preserve">согласно абз. 10 п. 8 </w:t>
      </w:r>
      <w:r w:rsidR="00BC5089">
        <w:rPr>
          <w:rFonts w:eastAsiaTheme="minorHAnsi"/>
          <w:lang w:eastAsia="en-US"/>
        </w:rPr>
        <w:t>п</w:t>
      </w:r>
      <w:r w:rsidR="00D81B22" w:rsidRPr="00D81B22">
        <w:rPr>
          <w:rFonts w:eastAsiaTheme="minorHAnsi"/>
          <w:lang w:eastAsia="en-US"/>
        </w:rPr>
        <w:t xml:space="preserve">риказа Минфина России от 08.06.2018 № 132н «О Порядке формирования и применения кодов бюджетной классификации Российской Федерации, их структуре и принципах назначения» </w:t>
      </w:r>
      <w:r w:rsidRPr="00D81B22">
        <w:t xml:space="preserve">администраторами доходов по </w:t>
      </w:r>
      <w:r w:rsidRPr="00D81B22">
        <w:rPr>
          <w:rFonts w:eastAsiaTheme="minorHAnsi"/>
          <w:lang w:eastAsia="en-US"/>
        </w:rPr>
        <w:t>а</w:t>
      </w:r>
      <w:r w:rsidRPr="00D81B22">
        <w:t xml:space="preserve">дминистративным штрафам, установленным </w:t>
      </w:r>
      <w:r w:rsidRPr="00D81B22">
        <w:rPr>
          <w:rFonts w:eastAsiaTheme="minorHAnsi"/>
          <w:lang w:eastAsia="en-US"/>
        </w:rPr>
        <w:t>КоАП РФ</w:t>
      </w:r>
      <w:r w:rsidR="00D7261F">
        <w:rPr>
          <w:rFonts w:eastAsiaTheme="minorHAnsi"/>
          <w:lang w:eastAsia="en-US"/>
        </w:rPr>
        <w:t>,</w:t>
      </w:r>
      <w:r w:rsidRPr="00D81B22">
        <w:t xml:space="preserve"> являлись </w:t>
      </w:r>
      <w:r w:rsidR="00D81B22" w:rsidRPr="00D81B22">
        <w:rPr>
          <w:rFonts w:eastAsiaTheme="minorHAnsi"/>
          <w:lang w:eastAsia="en-US"/>
        </w:rPr>
        <w:t>органы государственной власти (государственные органы), органы местного самоуправления, органы управления государственным внебюджетным фондом, а также Банк России, администрирующие денежные взыскания (штрафы), от имени которого должностные лица (в том числе государственные инспекторы в случаях, установленных законодательством Р</w:t>
      </w:r>
      <w:r w:rsidR="00D81B22">
        <w:rPr>
          <w:rFonts w:eastAsiaTheme="minorHAnsi"/>
          <w:lang w:eastAsia="en-US"/>
        </w:rPr>
        <w:t>Ф</w:t>
      </w:r>
      <w:r w:rsidR="00D81B22" w:rsidRPr="00D81B22">
        <w:rPr>
          <w:rFonts w:eastAsiaTheme="minorHAnsi"/>
          <w:lang w:eastAsia="en-US"/>
        </w:rPr>
        <w:t>) выносят постановления о наложении денежных взысканий (штрафов) по результатам рассмотрения дел об административных правонарушениях.</w:t>
      </w:r>
    </w:p>
    <w:bookmarkEnd w:id="2"/>
    <w:p w14:paraId="49ED55F8" w14:textId="77777777" w:rsidR="00D81B22" w:rsidRDefault="00D81B22" w:rsidP="0025054E">
      <w:pPr>
        <w:tabs>
          <w:tab w:val="left" w:pos="1106"/>
        </w:tabs>
        <w:jc w:val="center"/>
        <w:rPr>
          <w:b/>
          <w:i/>
          <w:u w:val="single"/>
        </w:rPr>
      </w:pPr>
    </w:p>
    <w:p w14:paraId="08D6E0F0" w14:textId="57E366D8" w:rsidR="0025054E" w:rsidRPr="005279E4" w:rsidRDefault="0025054E" w:rsidP="0025054E">
      <w:pPr>
        <w:tabs>
          <w:tab w:val="left" w:pos="1106"/>
        </w:tabs>
        <w:jc w:val="center"/>
        <w:rPr>
          <w:b/>
          <w:i/>
          <w:u w:val="single"/>
        </w:rPr>
      </w:pPr>
      <w:r w:rsidRPr="005279E4">
        <w:rPr>
          <w:b/>
          <w:i/>
          <w:u w:val="single"/>
        </w:rPr>
        <w:t>Исполнение расходов</w:t>
      </w:r>
    </w:p>
    <w:p w14:paraId="03427F9A" w14:textId="77777777" w:rsidR="003232C0" w:rsidRDefault="003232C0" w:rsidP="003232C0">
      <w:pPr>
        <w:tabs>
          <w:tab w:val="left" w:pos="1106"/>
        </w:tabs>
        <w:ind w:firstLine="709"/>
        <w:jc w:val="both"/>
      </w:pPr>
      <w:r w:rsidRPr="00D16A09">
        <w:t xml:space="preserve">Законом об областном бюджете Облкомюстиции утверждены бюджетные ассигнования в сумме </w:t>
      </w:r>
      <w:r w:rsidRPr="00D16A09">
        <w:rPr>
          <w:rFonts w:eastAsiaTheme="minorHAnsi"/>
          <w:lang w:eastAsia="en-US"/>
        </w:rPr>
        <w:t xml:space="preserve">737 477,9 </w:t>
      </w:r>
      <w:r w:rsidRPr="00D16A09">
        <w:t>тыс. рублей. По бюджетной росписи расходов и отчету об исполнении бюджета (ф.0503127) бюджетные назначения составили 785 901,0 тыс. руб., что на 48 423,1 тыс</w:t>
      </w:r>
      <w:r w:rsidRPr="00343F84">
        <w:t xml:space="preserve">. руб., или на </w:t>
      </w:r>
      <w:r>
        <w:t>6,6</w:t>
      </w:r>
      <w:r w:rsidRPr="00343F84">
        <w:t xml:space="preserve">% </w:t>
      </w:r>
      <w:r>
        <w:t>бол</w:t>
      </w:r>
      <w:r w:rsidRPr="00343F84">
        <w:t xml:space="preserve">ьше объема, утвержденного Законом об областном бюджете. </w:t>
      </w:r>
      <w:r w:rsidRPr="00D16A09">
        <w:t>Указанное отклонение в основном обусловлено</w:t>
      </w:r>
      <w:r>
        <w:t xml:space="preserve"> </w:t>
      </w:r>
      <w:r w:rsidRPr="00856170">
        <w:t>увеличением бюджетных ассигнований</w:t>
      </w:r>
      <w:r>
        <w:t>:</w:t>
      </w:r>
    </w:p>
    <w:p w14:paraId="2925DFEF" w14:textId="4CC8D98E" w:rsidR="003232C0" w:rsidRDefault="003232C0" w:rsidP="003232C0">
      <w:pPr>
        <w:tabs>
          <w:tab w:val="left" w:pos="1106"/>
        </w:tabs>
        <w:ind w:firstLine="709"/>
        <w:jc w:val="both"/>
      </w:pPr>
      <w:r w:rsidRPr="00856170">
        <w:t>-</w:t>
      </w:r>
      <w:r w:rsidR="00D461A8" w:rsidRPr="00D461A8">
        <w:t>31 418,2 тыс. руб.</w:t>
      </w:r>
      <w:r w:rsidR="00D461A8">
        <w:t xml:space="preserve"> </w:t>
      </w:r>
      <w:r w:rsidRPr="00856170">
        <w:t xml:space="preserve">из резервного фонда Правительства РФ на завершение работ по переводу актовых записей в электронную форму; </w:t>
      </w:r>
    </w:p>
    <w:p w14:paraId="56BD85FB" w14:textId="66363868" w:rsidR="003232C0" w:rsidRDefault="003232C0" w:rsidP="003232C0">
      <w:pPr>
        <w:tabs>
          <w:tab w:val="left" w:pos="1106"/>
        </w:tabs>
        <w:ind w:firstLine="709"/>
        <w:jc w:val="both"/>
      </w:pPr>
      <w:r w:rsidRPr="00D461A8">
        <w:t>-</w:t>
      </w:r>
      <w:r w:rsidR="00D461A8" w:rsidRPr="00D461A8">
        <w:t xml:space="preserve">7 916,3 тыс. руб. </w:t>
      </w:r>
      <w:r w:rsidR="00AB6CED" w:rsidRPr="00D461A8">
        <w:t>выделение</w:t>
      </w:r>
      <w:r w:rsidR="00D3090F" w:rsidRPr="00D461A8">
        <w:t>м</w:t>
      </w:r>
      <w:r w:rsidR="00AB6CED" w:rsidRPr="00D461A8">
        <w:t xml:space="preserve"> </w:t>
      </w:r>
      <w:r w:rsidR="00385951">
        <w:t>иного межбюджетного трансферта</w:t>
      </w:r>
      <w:r w:rsidR="00AB6CED" w:rsidRPr="00D461A8">
        <w:t xml:space="preserve"> из федерального бюджета </w:t>
      </w:r>
      <w:r w:rsidRPr="00D461A8">
        <w:t>на премирование органов ЗАГС за выполнение</w:t>
      </w:r>
      <w:r w:rsidRPr="001A2C99">
        <w:t xml:space="preserve"> работ по конвертации</w:t>
      </w:r>
      <w:r w:rsidR="00385951">
        <w:t>;</w:t>
      </w:r>
      <w:r w:rsidRPr="002031B3">
        <w:t xml:space="preserve"> </w:t>
      </w:r>
    </w:p>
    <w:p w14:paraId="2065F86E" w14:textId="1039E32E" w:rsidR="007B3FC8" w:rsidRDefault="00385951" w:rsidP="007B3FC8">
      <w:pPr>
        <w:tabs>
          <w:tab w:val="left" w:pos="1106"/>
        </w:tabs>
        <w:ind w:firstLine="709"/>
        <w:jc w:val="both"/>
      </w:pPr>
      <w:r w:rsidRPr="007B3FC8">
        <w:t>-2 5</w:t>
      </w:r>
      <w:r w:rsidR="00E31204">
        <w:t>8</w:t>
      </w:r>
      <w:r w:rsidRPr="007B3FC8">
        <w:t>5,</w:t>
      </w:r>
      <w:r w:rsidR="00E31204">
        <w:t>8</w:t>
      </w:r>
      <w:r w:rsidRPr="007B3FC8">
        <w:t xml:space="preserve"> тыс. руб. на премирование гос</w:t>
      </w:r>
      <w:r w:rsidR="007B3FC8" w:rsidRPr="007B3FC8">
        <w:t xml:space="preserve">ударственных </w:t>
      </w:r>
      <w:r w:rsidR="00E31204">
        <w:t xml:space="preserve">гражданских </w:t>
      </w:r>
      <w:r w:rsidRPr="007B3FC8">
        <w:t xml:space="preserve">служащих </w:t>
      </w:r>
      <w:r w:rsidR="007B3FC8" w:rsidRPr="007B3FC8">
        <w:t>в соответствии с постановлением Администрации Волгоградской области от 25.12.2020 № 822-п «О</w:t>
      </w:r>
      <w:r w:rsidR="00A448CC">
        <w:t xml:space="preserve"> мерах по реализации постановления Правительства </w:t>
      </w:r>
      <w:r w:rsidR="00A448CC" w:rsidRPr="007B3FC8">
        <w:t>Российской Федерации</w:t>
      </w:r>
      <w:r w:rsidR="00A448CC">
        <w:t xml:space="preserve"> от 04.12.2020 № 2026 «О</w:t>
      </w:r>
      <w:r w:rsidR="007B3FC8" w:rsidRPr="007B3FC8">
        <w:t xml:space="preserve"> поощрении субъектов Российской Федерации в 2020 году за достижение показателей деятельности органов исполнительной власти субъектов Российской Федерации»</w:t>
      </w:r>
      <w:r w:rsidR="00E31204">
        <w:t xml:space="preserve"> </w:t>
      </w:r>
      <w:r w:rsidR="00E31204" w:rsidRPr="00D461A8">
        <w:t>з</w:t>
      </w:r>
      <w:r w:rsidR="00E31204">
        <w:t xml:space="preserve">а счет средств </w:t>
      </w:r>
      <w:r w:rsidR="00E31204" w:rsidRPr="00D461A8">
        <w:t>федерального бюджета</w:t>
      </w:r>
      <w:r w:rsidR="00E31204">
        <w:t xml:space="preserve"> и </w:t>
      </w:r>
      <w:r w:rsidR="00E31204" w:rsidRPr="007B3FC8">
        <w:t xml:space="preserve">на премирование </w:t>
      </w:r>
      <w:r w:rsidR="00E31204">
        <w:t>председателя Комитета согласно распоряжению Губернатора Волгоградской области от 25.12.2020 № 255-р;</w:t>
      </w:r>
      <w:r w:rsidR="007B3FC8" w:rsidRPr="007B3FC8">
        <w:t>.</w:t>
      </w:r>
    </w:p>
    <w:p w14:paraId="03CD573E" w14:textId="4B1EF72F" w:rsidR="00385951" w:rsidRPr="00856170" w:rsidRDefault="00385951" w:rsidP="00385951">
      <w:pPr>
        <w:tabs>
          <w:tab w:val="left" w:pos="1106"/>
        </w:tabs>
        <w:ind w:firstLine="709"/>
        <w:jc w:val="both"/>
      </w:pPr>
      <w:r>
        <w:t>Кроме того, бюджетные ассигнования в объеме 6 502,8 тыс. руб.</w:t>
      </w:r>
      <w:r w:rsidRPr="00385951">
        <w:t xml:space="preserve"> переданы от Управления делами </w:t>
      </w:r>
      <w:r>
        <w:t>Администрации Волгоградской области</w:t>
      </w:r>
      <w:r w:rsidRPr="00385951">
        <w:t xml:space="preserve"> для заключения контракта на аренду помещения по адресу</w:t>
      </w:r>
      <w:r>
        <w:t>:</w:t>
      </w:r>
      <w:r w:rsidRPr="00385951">
        <w:t xml:space="preserve"> пр. Ленина, 56а</w:t>
      </w:r>
      <w:r>
        <w:t>.</w:t>
      </w:r>
    </w:p>
    <w:p w14:paraId="59D8D3D3" w14:textId="77777777" w:rsidR="003232C0" w:rsidRDefault="003232C0" w:rsidP="003232C0">
      <w:pPr>
        <w:tabs>
          <w:tab w:val="left" w:pos="1106"/>
        </w:tabs>
        <w:ind w:firstLine="709"/>
        <w:jc w:val="both"/>
      </w:pPr>
      <w:r w:rsidRPr="00D16A09">
        <w:t xml:space="preserve">Анализ исполнения бюджетных назначений </w:t>
      </w:r>
      <w:r>
        <w:t>Комитета</w:t>
      </w:r>
      <w:r w:rsidRPr="00D16A09">
        <w:t xml:space="preserve"> представлен в </w:t>
      </w:r>
      <w:r>
        <w:t xml:space="preserve">следующей </w:t>
      </w:r>
      <w:r w:rsidRPr="00D16A09">
        <w:t>таблице:</w:t>
      </w:r>
    </w:p>
    <w:p w14:paraId="6E433E36" w14:textId="77777777" w:rsidR="003232C0" w:rsidRPr="003232C0" w:rsidRDefault="003232C0" w:rsidP="003232C0">
      <w:pPr>
        <w:tabs>
          <w:tab w:val="left" w:pos="1106"/>
        </w:tabs>
        <w:ind w:firstLine="709"/>
        <w:jc w:val="right"/>
        <w:rPr>
          <w:i/>
          <w:sz w:val="20"/>
          <w:szCs w:val="20"/>
        </w:rPr>
      </w:pPr>
      <w:r w:rsidRPr="003232C0">
        <w:rPr>
          <w:i/>
          <w:sz w:val="20"/>
          <w:szCs w:val="20"/>
        </w:rPr>
        <w:t>тыс. руб.</w:t>
      </w:r>
    </w:p>
    <w:tbl>
      <w:tblPr>
        <w:tblW w:w="959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3544"/>
        <w:gridCol w:w="993"/>
        <w:gridCol w:w="1417"/>
        <w:gridCol w:w="992"/>
        <w:gridCol w:w="851"/>
        <w:gridCol w:w="780"/>
        <w:gridCol w:w="7"/>
      </w:tblGrid>
      <w:tr w:rsidR="003232C0" w:rsidRPr="00BD63EB" w14:paraId="40449737" w14:textId="77777777" w:rsidTr="003232C0">
        <w:trPr>
          <w:trHeight w:val="517"/>
        </w:trPr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24B6816C" w14:textId="77777777" w:rsidR="003232C0" w:rsidRPr="00CC4667" w:rsidRDefault="003232C0" w:rsidP="0046423B">
            <w:pPr>
              <w:jc w:val="center"/>
              <w:rPr>
                <w:b/>
                <w:bCs/>
                <w:sz w:val="16"/>
                <w:szCs w:val="16"/>
              </w:rPr>
            </w:pPr>
            <w:r w:rsidRPr="00CC4667">
              <w:rPr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088FE3FB" w14:textId="77777777" w:rsidR="003232C0" w:rsidRPr="00CC4667" w:rsidRDefault="003232C0" w:rsidP="0046423B">
            <w:pPr>
              <w:jc w:val="center"/>
              <w:rPr>
                <w:b/>
                <w:bCs/>
                <w:sz w:val="16"/>
                <w:szCs w:val="16"/>
              </w:rPr>
            </w:pPr>
            <w:r w:rsidRPr="00CC4667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1329BC33" w14:textId="77777777" w:rsidR="003232C0" w:rsidRPr="00CC4667" w:rsidRDefault="003232C0" w:rsidP="0046423B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CC4667">
              <w:rPr>
                <w:b/>
                <w:bCs/>
                <w:sz w:val="16"/>
                <w:szCs w:val="16"/>
              </w:rPr>
              <w:t>Закон об областном бюджете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4325A3DA" w14:textId="77777777" w:rsidR="003232C0" w:rsidRPr="00CC4667" w:rsidRDefault="003232C0" w:rsidP="0046423B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CC4667">
              <w:rPr>
                <w:b/>
                <w:bCs/>
                <w:sz w:val="16"/>
                <w:szCs w:val="16"/>
              </w:rPr>
              <w:t>Утверждённые бюджетные назначения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60BCC4C" w14:textId="77777777" w:rsidR="003232C0" w:rsidRPr="00CC4667" w:rsidRDefault="003232C0" w:rsidP="0046423B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CC4667">
              <w:rPr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638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DA93AE0" w14:textId="77777777" w:rsidR="003232C0" w:rsidRPr="005B69C9" w:rsidRDefault="003232C0" w:rsidP="0046423B">
            <w:pPr>
              <w:ind w:left="-57" w:right="-57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C4667">
              <w:rPr>
                <w:b/>
                <w:bCs/>
                <w:sz w:val="16"/>
                <w:szCs w:val="16"/>
              </w:rPr>
              <w:t>К бюджетным назначениям</w:t>
            </w:r>
          </w:p>
        </w:tc>
      </w:tr>
      <w:tr w:rsidR="003232C0" w:rsidRPr="00BD63EB" w14:paraId="6AF1D03B" w14:textId="77777777" w:rsidTr="003232C0">
        <w:trPr>
          <w:trHeight w:val="517"/>
        </w:trPr>
        <w:tc>
          <w:tcPr>
            <w:tcW w:w="1011" w:type="dxa"/>
            <w:vMerge/>
            <w:tcBorders>
              <w:left w:val="double" w:sz="4" w:space="0" w:color="auto"/>
            </w:tcBorders>
            <w:vAlign w:val="center"/>
            <w:hideMark/>
          </w:tcPr>
          <w:p w14:paraId="2269EBC7" w14:textId="77777777" w:rsidR="003232C0" w:rsidRPr="00CC4667" w:rsidRDefault="003232C0" w:rsidP="004642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5487001E" w14:textId="77777777" w:rsidR="003232C0" w:rsidRPr="00CC4667" w:rsidRDefault="003232C0" w:rsidP="004642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A1C5C08" w14:textId="77777777" w:rsidR="003232C0" w:rsidRPr="00CC4667" w:rsidRDefault="003232C0" w:rsidP="0046423B">
            <w:pPr>
              <w:ind w:left="-57" w:right="-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D0396A5" w14:textId="77777777" w:rsidR="003232C0" w:rsidRPr="00CC4667" w:rsidRDefault="003232C0" w:rsidP="0046423B">
            <w:pPr>
              <w:ind w:left="-57" w:right="-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DB6F575" w14:textId="77777777" w:rsidR="003232C0" w:rsidRPr="00CC4667" w:rsidRDefault="003232C0" w:rsidP="0046423B">
            <w:pPr>
              <w:ind w:left="-57" w:right="-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8" w:type="dxa"/>
            <w:gridSpan w:val="3"/>
            <w:vMerge/>
            <w:tcBorders>
              <w:right w:val="double" w:sz="4" w:space="0" w:color="auto"/>
            </w:tcBorders>
            <w:vAlign w:val="center"/>
            <w:hideMark/>
          </w:tcPr>
          <w:p w14:paraId="4EF36836" w14:textId="77777777" w:rsidR="003232C0" w:rsidRPr="00CC4667" w:rsidRDefault="003232C0" w:rsidP="0046423B">
            <w:pPr>
              <w:ind w:left="-57" w:right="-57"/>
              <w:rPr>
                <w:b/>
                <w:bCs/>
                <w:sz w:val="16"/>
                <w:szCs w:val="16"/>
              </w:rPr>
            </w:pPr>
          </w:p>
        </w:tc>
      </w:tr>
      <w:tr w:rsidR="003232C0" w:rsidRPr="00BD63EB" w14:paraId="2AFDE84A" w14:textId="77777777" w:rsidTr="003232C0">
        <w:trPr>
          <w:gridAfter w:val="1"/>
          <w:wAfter w:w="7" w:type="dxa"/>
          <w:trHeight w:val="302"/>
        </w:trPr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59CE67DC" w14:textId="77777777" w:rsidR="003232C0" w:rsidRPr="00CC4667" w:rsidRDefault="003232C0" w:rsidP="004642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bottom w:val="double" w:sz="4" w:space="0" w:color="auto"/>
            </w:tcBorders>
            <w:vAlign w:val="center"/>
            <w:hideMark/>
          </w:tcPr>
          <w:p w14:paraId="5E7349A6" w14:textId="77777777" w:rsidR="003232C0" w:rsidRPr="00CC4667" w:rsidRDefault="003232C0" w:rsidP="004642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  <w:hideMark/>
          </w:tcPr>
          <w:p w14:paraId="07DD4045" w14:textId="77777777" w:rsidR="003232C0" w:rsidRPr="00CC4667" w:rsidRDefault="003232C0" w:rsidP="0046423B">
            <w:pPr>
              <w:ind w:left="-57" w:right="-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  <w:hideMark/>
          </w:tcPr>
          <w:p w14:paraId="4DF75E2C" w14:textId="77777777" w:rsidR="003232C0" w:rsidRPr="00CC4667" w:rsidRDefault="003232C0" w:rsidP="0046423B">
            <w:pPr>
              <w:ind w:left="-57" w:right="-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  <w:hideMark/>
          </w:tcPr>
          <w:p w14:paraId="25E4A649" w14:textId="77777777" w:rsidR="003232C0" w:rsidRPr="00CC4667" w:rsidRDefault="003232C0" w:rsidP="0046423B">
            <w:pPr>
              <w:ind w:left="-57" w:right="-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FCC125D" w14:textId="77777777" w:rsidR="003232C0" w:rsidRPr="00CC4667" w:rsidRDefault="003232C0" w:rsidP="0046423B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CC4667">
              <w:rPr>
                <w:b/>
                <w:bCs/>
                <w:sz w:val="16"/>
                <w:szCs w:val="16"/>
              </w:rPr>
              <w:t>откло-</w:t>
            </w:r>
          </w:p>
          <w:p w14:paraId="62E95D70" w14:textId="77777777" w:rsidR="003232C0" w:rsidRPr="00CC4667" w:rsidRDefault="003232C0" w:rsidP="0046423B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CC4667">
              <w:rPr>
                <w:b/>
                <w:bCs/>
                <w:sz w:val="16"/>
                <w:szCs w:val="16"/>
              </w:rPr>
              <w:t>нение</w:t>
            </w:r>
          </w:p>
        </w:tc>
        <w:tc>
          <w:tcPr>
            <w:tcW w:w="78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DB281DB" w14:textId="77777777" w:rsidR="003232C0" w:rsidRDefault="003232C0" w:rsidP="0046423B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CC4667">
              <w:rPr>
                <w:b/>
                <w:bCs/>
                <w:sz w:val="16"/>
                <w:szCs w:val="16"/>
              </w:rPr>
              <w:t xml:space="preserve">% </w:t>
            </w:r>
          </w:p>
          <w:p w14:paraId="342C852D" w14:textId="77777777" w:rsidR="003232C0" w:rsidRPr="00CC4667" w:rsidRDefault="003232C0" w:rsidP="0046423B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</w:t>
            </w:r>
            <w:r w:rsidRPr="00CC4667">
              <w:rPr>
                <w:b/>
                <w:bCs/>
                <w:sz w:val="16"/>
                <w:szCs w:val="16"/>
              </w:rPr>
              <w:t>сполн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3232C0" w:rsidRPr="00BD63EB" w14:paraId="7EFE0356" w14:textId="77777777" w:rsidTr="003232C0">
        <w:trPr>
          <w:gridAfter w:val="1"/>
          <w:wAfter w:w="7" w:type="dxa"/>
          <w:trHeight w:val="20"/>
        </w:trPr>
        <w:tc>
          <w:tcPr>
            <w:tcW w:w="4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9C529A9" w14:textId="77777777" w:rsidR="003232C0" w:rsidRPr="00CC4667" w:rsidRDefault="003232C0" w:rsidP="0046423B">
            <w:pPr>
              <w:jc w:val="center"/>
              <w:rPr>
                <w:b/>
                <w:bCs/>
                <w:sz w:val="16"/>
                <w:szCs w:val="16"/>
              </w:rPr>
            </w:pPr>
            <w:r w:rsidRPr="00CC4667">
              <w:rPr>
                <w:b/>
                <w:bCs/>
                <w:sz w:val="16"/>
                <w:szCs w:val="16"/>
              </w:rPr>
              <w:t> Расходы бюджета - всего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BDC1CDF" w14:textId="77777777" w:rsidR="003232C0" w:rsidRPr="00CC4667" w:rsidRDefault="003232C0" w:rsidP="0046423B">
            <w:pPr>
              <w:ind w:right="-57"/>
              <w:jc w:val="center"/>
              <w:rPr>
                <w:b/>
                <w:bCs/>
                <w:sz w:val="16"/>
                <w:szCs w:val="16"/>
              </w:rPr>
            </w:pPr>
            <w:r w:rsidRPr="00CC4667">
              <w:rPr>
                <w:b/>
                <w:bCs/>
                <w:sz w:val="16"/>
                <w:szCs w:val="16"/>
              </w:rPr>
              <w:t>737 477,9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64C871A" w14:textId="77777777" w:rsidR="003232C0" w:rsidRPr="00D16A09" w:rsidRDefault="003232C0" w:rsidP="0046423B">
            <w:pPr>
              <w:ind w:right="-57"/>
              <w:jc w:val="center"/>
              <w:rPr>
                <w:b/>
                <w:bCs/>
                <w:sz w:val="16"/>
                <w:szCs w:val="16"/>
              </w:rPr>
            </w:pPr>
            <w:r w:rsidRPr="00D16A09">
              <w:rPr>
                <w:b/>
                <w:bCs/>
                <w:sz w:val="16"/>
                <w:szCs w:val="16"/>
              </w:rPr>
              <w:t>785 901,0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0E7E675" w14:textId="77777777" w:rsidR="003232C0" w:rsidRPr="00D16A09" w:rsidRDefault="003232C0" w:rsidP="0046423B">
            <w:pPr>
              <w:ind w:right="-57"/>
              <w:jc w:val="center"/>
              <w:rPr>
                <w:b/>
                <w:bCs/>
                <w:sz w:val="16"/>
                <w:szCs w:val="16"/>
              </w:rPr>
            </w:pPr>
            <w:r w:rsidRPr="00D16A09">
              <w:rPr>
                <w:b/>
                <w:bCs/>
                <w:sz w:val="16"/>
                <w:szCs w:val="16"/>
              </w:rPr>
              <w:t>720 430,7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B80F390" w14:textId="77777777" w:rsidR="003232C0" w:rsidRPr="00D16A09" w:rsidRDefault="003232C0" w:rsidP="0046423B">
            <w:pPr>
              <w:ind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-65 470,3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D0CCC14" w14:textId="77777777" w:rsidR="003232C0" w:rsidRPr="00D16A09" w:rsidRDefault="003232C0" w:rsidP="0046423B">
            <w:pPr>
              <w:ind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91,7%</w:t>
            </w:r>
          </w:p>
        </w:tc>
      </w:tr>
      <w:tr w:rsidR="003232C0" w:rsidRPr="00BD63EB" w14:paraId="71E5234D" w14:textId="77777777" w:rsidTr="003232C0">
        <w:trPr>
          <w:gridAfter w:val="1"/>
          <w:wAfter w:w="7" w:type="dxa"/>
          <w:trHeight w:val="20"/>
        </w:trPr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1D305E8" w14:textId="77777777" w:rsidR="003232C0" w:rsidRPr="00CC4667" w:rsidRDefault="003232C0" w:rsidP="0046423B">
            <w:pPr>
              <w:ind w:left="-57" w:right="-57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C4667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796854D" w14:textId="77777777" w:rsidR="003232C0" w:rsidRPr="00CC4667" w:rsidRDefault="003232C0" w:rsidP="0046423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C4667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84A3BA" w14:textId="77777777" w:rsidR="003232C0" w:rsidRPr="00CC4667" w:rsidRDefault="003232C0" w:rsidP="0046423B">
            <w:pPr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C4667">
              <w:rPr>
                <w:b/>
                <w:bCs/>
                <w:i/>
                <w:iCs/>
                <w:sz w:val="16"/>
                <w:szCs w:val="16"/>
              </w:rPr>
              <w:t>736 727,9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F89FEB9" w14:textId="77777777" w:rsidR="003232C0" w:rsidRPr="00D16A09" w:rsidRDefault="003232C0" w:rsidP="0046423B">
            <w:pPr>
              <w:ind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784 901,0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BFDC545" w14:textId="77777777" w:rsidR="003232C0" w:rsidRPr="00D16A09" w:rsidRDefault="003232C0" w:rsidP="0046423B">
            <w:pPr>
              <w:ind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719 670,3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185952D" w14:textId="77777777" w:rsidR="003232C0" w:rsidRPr="00D16A09" w:rsidRDefault="003232C0" w:rsidP="0046423B">
            <w:pPr>
              <w:ind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-65 230,7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CB8A02A" w14:textId="77777777" w:rsidR="003232C0" w:rsidRPr="00D16A09" w:rsidRDefault="003232C0" w:rsidP="0046423B">
            <w:pPr>
              <w:ind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91,7%</w:t>
            </w:r>
          </w:p>
        </w:tc>
      </w:tr>
      <w:tr w:rsidR="003232C0" w:rsidRPr="00BD63EB" w14:paraId="6CA41DCA" w14:textId="77777777" w:rsidTr="003232C0">
        <w:trPr>
          <w:gridAfter w:val="1"/>
          <w:wAfter w:w="7" w:type="dxa"/>
          <w:trHeight w:val="20"/>
        </w:trPr>
        <w:tc>
          <w:tcPr>
            <w:tcW w:w="101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E883C14" w14:textId="77777777" w:rsidR="003232C0" w:rsidRPr="00CC4667" w:rsidRDefault="003232C0" w:rsidP="0046423B">
            <w:pPr>
              <w:ind w:left="-57" w:right="-57"/>
              <w:jc w:val="right"/>
              <w:rPr>
                <w:b/>
                <w:sz w:val="16"/>
                <w:szCs w:val="16"/>
              </w:rPr>
            </w:pPr>
            <w:r w:rsidRPr="00CC4667">
              <w:rPr>
                <w:b/>
                <w:sz w:val="16"/>
                <w:szCs w:val="16"/>
              </w:rPr>
              <w:t>0105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4B75B5E3" w14:textId="77777777" w:rsidR="003232C0" w:rsidRPr="00CC4667" w:rsidRDefault="003232C0" w:rsidP="0046423B">
            <w:pPr>
              <w:rPr>
                <w:b/>
                <w:sz w:val="16"/>
                <w:szCs w:val="16"/>
              </w:rPr>
            </w:pPr>
            <w:r w:rsidRPr="00CC4667">
              <w:rPr>
                <w:b/>
                <w:sz w:val="16"/>
                <w:szCs w:val="16"/>
              </w:rPr>
              <w:t>Судебная система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DCFB195" w14:textId="77777777" w:rsidR="003232C0" w:rsidRPr="00CC4667" w:rsidRDefault="003232C0" w:rsidP="0046423B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CC4667">
              <w:rPr>
                <w:b/>
                <w:sz w:val="16"/>
                <w:szCs w:val="16"/>
              </w:rPr>
              <w:t>238 892,8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23DCA574" w14:textId="77777777" w:rsidR="003232C0" w:rsidRPr="00D16A09" w:rsidRDefault="003232C0" w:rsidP="0046423B">
            <w:pPr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212 354,7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2C42496" w14:textId="77777777" w:rsidR="003232C0" w:rsidRPr="00D16A09" w:rsidRDefault="003232C0" w:rsidP="0046423B">
            <w:pPr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196 108,3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19BC7958" w14:textId="77777777" w:rsidR="003232C0" w:rsidRPr="00D16A09" w:rsidRDefault="003232C0" w:rsidP="0046423B">
            <w:pPr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-16 246,4</w:t>
            </w:r>
          </w:p>
        </w:tc>
        <w:tc>
          <w:tcPr>
            <w:tcW w:w="78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E87D931" w14:textId="77777777" w:rsidR="003232C0" w:rsidRPr="00D16A09" w:rsidRDefault="003232C0" w:rsidP="0046423B">
            <w:pPr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92,3%</w:t>
            </w:r>
          </w:p>
        </w:tc>
      </w:tr>
      <w:tr w:rsidR="003232C0" w:rsidRPr="00BD63EB" w14:paraId="040E8B87" w14:textId="77777777" w:rsidTr="003232C0">
        <w:trPr>
          <w:gridAfter w:val="1"/>
          <w:wAfter w:w="7" w:type="dxa"/>
          <w:trHeight w:val="20"/>
        </w:trPr>
        <w:tc>
          <w:tcPr>
            <w:tcW w:w="101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F17CB49" w14:textId="77777777" w:rsidR="003232C0" w:rsidRPr="00300ED0" w:rsidRDefault="003232C0" w:rsidP="0046423B">
            <w:pPr>
              <w:ind w:left="-57" w:right="-57"/>
              <w:jc w:val="right"/>
              <w:rPr>
                <w:i/>
                <w:iCs/>
                <w:sz w:val="16"/>
                <w:szCs w:val="16"/>
              </w:rPr>
            </w:pPr>
            <w:r w:rsidRPr="00300ED0">
              <w:rPr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EDEA7ED" w14:textId="77777777" w:rsidR="003232C0" w:rsidRPr="00300ED0" w:rsidRDefault="003232C0" w:rsidP="0046423B">
            <w:pPr>
              <w:rPr>
                <w:i/>
                <w:iCs/>
                <w:sz w:val="16"/>
                <w:szCs w:val="16"/>
              </w:rPr>
            </w:pPr>
            <w:r w:rsidRPr="00300ED0">
              <w:rPr>
                <w:i/>
                <w:iCs/>
                <w:sz w:val="16"/>
                <w:szCs w:val="16"/>
              </w:rPr>
              <w:t>Непрограммные направления обеспечения деятельности гос. органов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DD2B67" w14:textId="77777777" w:rsidR="003232C0" w:rsidRPr="00300ED0" w:rsidRDefault="003232C0" w:rsidP="0046423B">
            <w:pPr>
              <w:ind w:left="-57" w:right="-57"/>
              <w:jc w:val="center"/>
              <w:rPr>
                <w:i/>
                <w:iCs/>
                <w:sz w:val="16"/>
                <w:szCs w:val="16"/>
              </w:rPr>
            </w:pPr>
            <w:r w:rsidRPr="00300ED0">
              <w:rPr>
                <w:i/>
                <w:iCs/>
                <w:sz w:val="16"/>
                <w:szCs w:val="16"/>
              </w:rPr>
              <w:t>236 594,2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D6F572" w14:textId="77777777" w:rsidR="003232C0" w:rsidRPr="00300ED0" w:rsidRDefault="003232C0" w:rsidP="0046423B">
            <w:pPr>
              <w:ind w:right="-57"/>
              <w:jc w:val="center"/>
              <w:rPr>
                <w:i/>
                <w:iCs/>
                <w:sz w:val="16"/>
                <w:szCs w:val="16"/>
              </w:rPr>
            </w:pPr>
            <w:r w:rsidRPr="00300ED0">
              <w:rPr>
                <w:i/>
                <w:iCs/>
                <w:sz w:val="16"/>
                <w:szCs w:val="16"/>
              </w:rPr>
              <w:t>210 420,6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92E6E3" w14:textId="77777777" w:rsidR="003232C0" w:rsidRPr="00300ED0" w:rsidRDefault="003232C0" w:rsidP="0046423B">
            <w:pPr>
              <w:ind w:right="-57"/>
              <w:jc w:val="center"/>
              <w:rPr>
                <w:i/>
                <w:iCs/>
                <w:sz w:val="16"/>
                <w:szCs w:val="16"/>
              </w:rPr>
            </w:pPr>
            <w:r w:rsidRPr="00300ED0">
              <w:rPr>
                <w:i/>
                <w:iCs/>
                <w:sz w:val="16"/>
                <w:szCs w:val="16"/>
              </w:rPr>
              <w:t>195 646,4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B06F74" w14:textId="77777777" w:rsidR="003232C0" w:rsidRPr="00300ED0" w:rsidRDefault="003232C0" w:rsidP="0046423B">
            <w:pPr>
              <w:ind w:right="-57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-14 774,2</w:t>
            </w:r>
          </w:p>
        </w:tc>
        <w:tc>
          <w:tcPr>
            <w:tcW w:w="78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3B07893" w14:textId="77777777" w:rsidR="003232C0" w:rsidRPr="00300ED0" w:rsidRDefault="003232C0" w:rsidP="0046423B">
            <w:pPr>
              <w:ind w:right="-57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93,0%</w:t>
            </w:r>
          </w:p>
        </w:tc>
      </w:tr>
      <w:tr w:rsidR="003232C0" w:rsidRPr="00BD63EB" w14:paraId="51C263A9" w14:textId="77777777" w:rsidTr="003232C0">
        <w:trPr>
          <w:gridAfter w:val="1"/>
          <w:wAfter w:w="7" w:type="dxa"/>
          <w:trHeight w:val="20"/>
        </w:trPr>
        <w:tc>
          <w:tcPr>
            <w:tcW w:w="101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451F7E" w14:textId="77777777" w:rsidR="003232C0" w:rsidRPr="008C2572" w:rsidRDefault="003232C0" w:rsidP="0046423B">
            <w:pPr>
              <w:ind w:left="-57" w:right="-57"/>
              <w:jc w:val="right"/>
              <w:rPr>
                <w:i/>
                <w:iCs/>
                <w:sz w:val="16"/>
                <w:szCs w:val="16"/>
              </w:rPr>
            </w:pPr>
            <w:r w:rsidRPr="008C2572">
              <w:rPr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4D5F5EC" w14:textId="77777777" w:rsidR="003232C0" w:rsidRPr="008C2572" w:rsidRDefault="003232C0" w:rsidP="0046423B">
            <w:pPr>
              <w:rPr>
                <w:i/>
                <w:iCs/>
                <w:sz w:val="16"/>
                <w:szCs w:val="16"/>
              </w:rPr>
            </w:pPr>
            <w:r w:rsidRPr="008C2572">
              <w:rPr>
                <w:i/>
                <w:iCs/>
                <w:sz w:val="16"/>
                <w:szCs w:val="16"/>
              </w:rPr>
              <w:t>Непрограммные расходы гос. органов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F482DB6" w14:textId="77777777" w:rsidR="003232C0" w:rsidRPr="008C2572" w:rsidRDefault="003232C0" w:rsidP="0046423B">
            <w:pPr>
              <w:ind w:left="-57" w:right="-57"/>
              <w:jc w:val="center"/>
              <w:rPr>
                <w:i/>
                <w:iCs/>
                <w:sz w:val="16"/>
                <w:szCs w:val="16"/>
              </w:rPr>
            </w:pPr>
            <w:r w:rsidRPr="008C2572">
              <w:rPr>
                <w:i/>
                <w:iCs/>
                <w:sz w:val="16"/>
                <w:szCs w:val="16"/>
              </w:rPr>
              <w:t>2 298,6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0E63D3" w14:textId="77777777" w:rsidR="003232C0" w:rsidRPr="008C2572" w:rsidRDefault="003232C0" w:rsidP="0046423B">
            <w:pPr>
              <w:ind w:left="-57" w:right="-57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1 934,1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188525" w14:textId="77777777" w:rsidR="003232C0" w:rsidRPr="008C2572" w:rsidRDefault="003232C0" w:rsidP="0046423B">
            <w:pPr>
              <w:ind w:left="-57" w:right="-57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461,9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B8C112" w14:textId="77777777" w:rsidR="003232C0" w:rsidRPr="008C2572" w:rsidRDefault="003232C0" w:rsidP="0046423B">
            <w:pPr>
              <w:ind w:right="-57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-1 472,2</w:t>
            </w:r>
          </w:p>
        </w:tc>
        <w:tc>
          <w:tcPr>
            <w:tcW w:w="78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BD3A735" w14:textId="77777777" w:rsidR="003232C0" w:rsidRPr="008C2572" w:rsidRDefault="003232C0" w:rsidP="0046423B">
            <w:pPr>
              <w:ind w:right="-57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23,9%</w:t>
            </w:r>
          </w:p>
        </w:tc>
      </w:tr>
      <w:tr w:rsidR="003232C0" w:rsidRPr="00BD63EB" w14:paraId="264B9722" w14:textId="77777777" w:rsidTr="003232C0">
        <w:trPr>
          <w:gridAfter w:val="1"/>
          <w:wAfter w:w="7" w:type="dxa"/>
          <w:trHeight w:val="20"/>
        </w:trPr>
        <w:tc>
          <w:tcPr>
            <w:tcW w:w="101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6F118F5" w14:textId="77777777" w:rsidR="003232C0" w:rsidRPr="00CC4667" w:rsidRDefault="003232C0" w:rsidP="0046423B">
            <w:pPr>
              <w:ind w:left="-57" w:right="-57"/>
              <w:jc w:val="right"/>
              <w:rPr>
                <w:b/>
                <w:sz w:val="16"/>
                <w:szCs w:val="16"/>
              </w:rPr>
            </w:pPr>
            <w:r w:rsidRPr="00CC4667">
              <w:rPr>
                <w:b/>
                <w:sz w:val="16"/>
                <w:szCs w:val="16"/>
              </w:rPr>
              <w:t>0113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5A5741F3" w14:textId="77777777" w:rsidR="003232C0" w:rsidRPr="00CC4667" w:rsidRDefault="003232C0" w:rsidP="0046423B">
            <w:pPr>
              <w:ind w:left="-57" w:right="-113"/>
              <w:rPr>
                <w:b/>
                <w:sz w:val="16"/>
                <w:szCs w:val="16"/>
              </w:rPr>
            </w:pPr>
            <w:r w:rsidRPr="00CC4667">
              <w:rPr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089E409" w14:textId="77777777" w:rsidR="003232C0" w:rsidRPr="00CC4667" w:rsidRDefault="003232C0" w:rsidP="0046423B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CC4667">
              <w:rPr>
                <w:b/>
                <w:sz w:val="16"/>
                <w:szCs w:val="16"/>
              </w:rPr>
              <w:t>497 835,1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24FE2887" w14:textId="77777777" w:rsidR="003232C0" w:rsidRPr="00D16A09" w:rsidRDefault="003232C0" w:rsidP="0046423B">
            <w:pPr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572 546,3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4565952A" w14:textId="77777777" w:rsidR="003232C0" w:rsidRPr="00D16A09" w:rsidRDefault="003232C0" w:rsidP="0046423B">
            <w:pPr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523 562,0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5184918" w14:textId="77777777" w:rsidR="003232C0" w:rsidRPr="00D16A09" w:rsidRDefault="003232C0" w:rsidP="0046423B">
            <w:pPr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-48 984,3</w:t>
            </w:r>
          </w:p>
        </w:tc>
        <w:tc>
          <w:tcPr>
            <w:tcW w:w="78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FB8F994" w14:textId="77777777" w:rsidR="003232C0" w:rsidRPr="00D16A09" w:rsidRDefault="003232C0" w:rsidP="0046423B">
            <w:pPr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91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4</w:t>
            </w:r>
            <w:r>
              <w:rPr>
                <w:b/>
                <w:sz w:val="16"/>
                <w:szCs w:val="16"/>
              </w:rPr>
              <w:t>%</w:t>
            </w:r>
          </w:p>
        </w:tc>
      </w:tr>
      <w:tr w:rsidR="003232C0" w:rsidRPr="00BD63EB" w14:paraId="470F5B56" w14:textId="77777777" w:rsidTr="003232C0">
        <w:trPr>
          <w:gridAfter w:val="1"/>
          <w:wAfter w:w="7" w:type="dxa"/>
          <w:trHeight w:val="20"/>
        </w:trPr>
        <w:tc>
          <w:tcPr>
            <w:tcW w:w="101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CF1AA46" w14:textId="77777777" w:rsidR="003232C0" w:rsidRPr="00300ED0" w:rsidRDefault="003232C0" w:rsidP="0046423B">
            <w:pPr>
              <w:ind w:left="-57" w:right="-57"/>
              <w:jc w:val="right"/>
              <w:rPr>
                <w:i/>
                <w:iCs/>
                <w:sz w:val="16"/>
                <w:szCs w:val="16"/>
              </w:rPr>
            </w:pPr>
            <w:r w:rsidRPr="00300ED0">
              <w:rPr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E1E1EBE" w14:textId="77777777" w:rsidR="003232C0" w:rsidRPr="00300ED0" w:rsidRDefault="003232C0" w:rsidP="0046423B">
            <w:pPr>
              <w:rPr>
                <w:i/>
                <w:iCs/>
                <w:sz w:val="16"/>
                <w:szCs w:val="16"/>
              </w:rPr>
            </w:pPr>
            <w:r w:rsidRPr="00300ED0">
              <w:rPr>
                <w:i/>
                <w:iCs/>
                <w:sz w:val="16"/>
                <w:szCs w:val="16"/>
              </w:rPr>
              <w:t>Непрограммные направления обеспечения деятельности гос. органов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8E144D" w14:textId="77777777" w:rsidR="003232C0" w:rsidRPr="00300ED0" w:rsidRDefault="003232C0" w:rsidP="0046423B">
            <w:pPr>
              <w:ind w:left="-57" w:right="-57"/>
              <w:jc w:val="center"/>
              <w:rPr>
                <w:i/>
                <w:iCs/>
                <w:sz w:val="16"/>
                <w:szCs w:val="16"/>
              </w:rPr>
            </w:pPr>
            <w:r w:rsidRPr="00300ED0">
              <w:rPr>
                <w:i/>
                <w:iCs/>
                <w:sz w:val="16"/>
                <w:szCs w:val="16"/>
              </w:rPr>
              <w:t>60 682,7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9AD8711" w14:textId="77777777" w:rsidR="003232C0" w:rsidRPr="00300ED0" w:rsidRDefault="003232C0" w:rsidP="0046423B">
            <w:pPr>
              <w:ind w:right="-57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59 936,5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2380BF" w14:textId="77777777" w:rsidR="003232C0" w:rsidRPr="00300ED0" w:rsidRDefault="003232C0" w:rsidP="0046423B">
            <w:pPr>
              <w:ind w:right="-57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58 834,9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0F1CF7" w14:textId="77777777" w:rsidR="003232C0" w:rsidRPr="00300ED0" w:rsidRDefault="003232C0" w:rsidP="0046423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-1 101,6</w:t>
            </w:r>
          </w:p>
        </w:tc>
        <w:tc>
          <w:tcPr>
            <w:tcW w:w="78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0D71A0E" w14:textId="77777777" w:rsidR="003232C0" w:rsidRPr="00300ED0" w:rsidRDefault="003232C0" w:rsidP="0046423B">
            <w:pPr>
              <w:ind w:right="-57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97,7%</w:t>
            </w:r>
          </w:p>
        </w:tc>
      </w:tr>
      <w:tr w:rsidR="003232C0" w:rsidRPr="00BD63EB" w14:paraId="3286E93C" w14:textId="77777777" w:rsidTr="003232C0">
        <w:trPr>
          <w:gridAfter w:val="1"/>
          <w:wAfter w:w="7" w:type="dxa"/>
          <w:trHeight w:val="20"/>
        </w:trPr>
        <w:tc>
          <w:tcPr>
            <w:tcW w:w="101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9D6C300" w14:textId="77777777" w:rsidR="003232C0" w:rsidRPr="00300ED0" w:rsidRDefault="003232C0" w:rsidP="0046423B">
            <w:pPr>
              <w:ind w:left="-57" w:right="-57"/>
              <w:jc w:val="right"/>
              <w:rPr>
                <w:i/>
                <w:iCs/>
                <w:sz w:val="16"/>
                <w:szCs w:val="16"/>
              </w:rPr>
            </w:pPr>
            <w:r w:rsidRPr="00300ED0">
              <w:rPr>
                <w:i/>
                <w:iCs/>
                <w:sz w:val="16"/>
                <w:szCs w:val="16"/>
              </w:rPr>
              <w:t>9900000000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F03C4C5" w14:textId="77777777" w:rsidR="003232C0" w:rsidRPr="00300ED0" w:rsidRDefault="003232C0" w:rsidP="0046423B">
            <w:pPr>
              <w:rPr>
                <w:i/>
                <w:iCs/>
                <w:sz w:val="16"/>
                <w:szCs w:val="16"/>
              </w:rPr>
            </w:pPr>
            <w:r w:rsidRPr="00300ED0">
              <w:rPr>
                <w:i/>
                <w:iCs/>
                <w:sz w:val="16"/>
                <w:szCs w:val="16"/>
              </w:rPr>
              <w:t xml:space="preserve">Непрограммные расходы гос. органов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A09774" w14:textId="77777777" w:rsidR="003232C0" w:rsidRPr="00300ED0" w:rsidRDefault="003232C0" w:rsidP="0046423B">
            <w:pPr>
              <w:ind w:left="-57" w:right="-57"/>
              <w:jc w:val="center"/>
              <w:rPr>
                <w:i/>
                <w:iCs/>
                <w:sz w:val="16"/>
                <w:szCs w:val="16"/>
              </w:rPr>
            </w:pPr>
            <w:r w:rsidRPr="00300ED0">
              <w:rPr>
                <w:i/>
                <w:iCs/>
                <w:sz w:val="16"/>
                <w:szCs w:val="16"/>
              </w:rPr>
              <w:t>437 152,4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DF0778" w14:textId="77777777" w:rsidR="003232C0" w:rsidRPr="00300ED0" w:rsidRDefault="003232C0" w:rsidP="0046423B">
            <w:pPr>
              <w:ind w:right="-57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512 609,8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2E67A1" w14:textId="77777777" w:rsidR="003232C0" w:rsidRPr="00300ED0" w:rsidRDefault="003232C0" w:rsidP="0046423B">
            <w:pPr>
              <w:ind w:right="-57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464 727,1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4A4795" w14:textId="77777777" w:rsidR="003232C0" w:rsidRPr="00300ED0" w:rsidRDefault="003232C0" w:rsidP="0046423B">
            <w:pPr>
              <w:ind w:right="-57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-47 882,7</w:t>
            </w:r>
          </w:p>
        </w:tc>
        <w:tc>
          <w:tcPr>
            <w:tcW w:w="78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3A8EC87" w14:textId="77777777" w:rsidR="003232C0" w:rsidRPr="00300ED0" w:rsidRDefault="003232C0" w:rsidP="0046423B">
            <w:pPr>
              <w:ind w:right="-57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90,7%</w:t>
            </w:r>
          </w:p>
        </w:tc>
      </w:tr>
      <w:tr w:rsidR="003232C0" w:rsidRPr="00BD63EB" w14:paraId="21376143" w14:textId="77777777" w:rsidTr="003232C0">
        <w:trPr>
          <w:gridAfter w:val="1"/>
          <w:wAfter w:w="7" w:type="dxa"/>
          <w:trHeight w:val="20"/>
        </w:trPr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4F552DD" w14:textId="77777777" w:rsidR="003232C0" w:rsidRPr="00CC4667" w:rsidRDefault="003232C0" w:rsidP="0046423B">
            <w:pPr>
              <w:ind w:left="-57" w:right="-57"/>
              <w:jc w:val="right"/>
              <w:rPr>
                <w:b/>
                <w:i/>
                <w:sz w:val="16"/>
                <w:szCs w:val="16"/>
              </w:rPr>
            </w:pPr>
            <w:r w:rsidRPr="00CC4667">
              <w:rPr>
                <w:b/>
                <w:i/>
                <w:sz w:val="16"/>
                <w:szCs w:val="16"/>
              </w:rPr>
              <w:t>1000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278B47D" w14:textId="77777777" w:rsidR="003232C0" w:rsidRPr="00CC4667" w:rsidRDefault="003232C0" w:rsidP="0046423B">
            <w:pPr>
              <w:rPr>
                <w:b/>
                <w:i/>
                <w:sz w:val="16"/>
                <w:szCs w:val="16"/>
              </w:rPr>
            </w:pPr>
            <w:r w:rsidRPr="00CC4667">
              <w:rPr>
                <w:b/>
                <w:i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BB0EED6" w14:textId="77777777" w:rsidR="003232C0" w:rsidRPr="00CC4667" w:rsidRDefault="003232C0" w:rsidP="0046423B">
            <w:pPr>
              <w:ind w:left="-57" w:right="-57"/>
              <w:jc w:val="center"/>
              <w:rPr>
                <w:b/>
                <w:i/>
                <w:sz w:val="16"/>
                <w:szCs w:val="16"/>
              </w:rPr>
            </w:pPr>
            <w:r w:rsidRPr="00CC4667">
              <w:rPr>
                <w:b/>
                <w:i/>
                <w:sz w:val="16"/>
                <w:szCs w:val="16"/>
              </w:rPr>
              <w:t>750,0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DC74FE6" w14:textId="77777777" w:rsidR="003232C0" w:rsidRPr="00D16A09" w:rsidRDefault="003232C0" w:rsidP="0046423B">
            <w:pPr>
              <w:ind w:right="-57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1 000,0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2510153" w14:textId="77777777" w:rsidR="003232C0" w:rsidRPr="00D16A09" w:rsidRDefault="003232C0" w:rsidP="0046423B">
            <w:pPr>
              <w:ind w:right="-57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760,4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8AC8DAB" w14:textId="77777777" w:rsidR="003232C0" w:rsidRPr="00D16A09" w:rsidRDefault="003232C0" w:rsidP="0046423B">
            <w:pPr>
              <w:ind w:right="-57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-239,6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EC39BA9" w14:textId="77777777" w:rsidR="003232C0" w:rsidRPr="00D16A09" w:rsidRDefault="003232C0" w:rsidP="0046423B">
            <w:pPr>
              <w:ind w:right="-57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76,0%</w:t>
            </w:r>
          </w:p>
        </w:tc>
      </w:tr>
      <w:tr w:rsidR="003232C0" w:rsidRPr="00BD63EB" w14:paraId="54FB5EF0" w14:textId="77777777" w:rsidTr="003232C0">
        <w:trPr>
          <w:gridAfter w:val="1"/>
          <w:wAfter w:w="7" w:type="dxa"/>
          <w:trHeight w:val="20"/>
        </w:trPr>
        <w:tc>
          <w:tcPr>
            <w:tcW w:w="101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49B0A06" w14:textId="77777777" w:rsidR="003232C0" w:rsidRPr="00CC4667" w:rsidRDefault="003232C0" w:rsidP="0046423B">
            <w:pPr>
              <w:ind w:left="-57" w:right="-57"/>
              <w:jc w:val="right"/>
              <w:rPr>
                <w:b/>
                <w:sz w:val="16"/>
                <w:szCs w:val="16"/>
              </w:rPr>
            </w:pPr>
            <w:r w:rsidRPr="00CC4667">
              <w:rPr>
                <w:b/>
                <w:sz w:val="16"/>
                <w:szCs w:val="16"/>
              </w:rPr>
              <w:t>1006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ADC7B59" w14:textId="77777777" w:rsidR="003232C0" w:rsidRPr="00CC4667" w:rsidRDefault="003232C0" w:rsidP="0046423B">
            <w:pPr>
              <w:rPr>
                <w:b/>
                <w:sz w:val="16"/>
                <w:szCs w:val="16"/>
              </w:rPr>
            </w:pPr>
            <w:r w:rsidRPr="00CC4667">
              <w:rPr>
                <w:b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74BFC6" w14:textId="77777777" w:rsidR="003232C0" w:rsidRPr="00CC4667" w:rsidRDefault="003232C0" w:rsidP="0046423B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CC4667">
              <w:rPr>
                <w:b/>
                <w:sz w:val="16"/>
                <w:szCs w:val="16"/>
              </w:rPr>
              <w:t>750,0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EE02D9" w14:textId="77777777" w:rsidR="003232C0" w:rsidRPr="00A43704" w:rsidRDefault="003232C0" w:rsidP="0046423B">
            <w:pPr>
              <w:ind w:left="-57" w:right="-57"/>
              <w:jc w:val="center"/>
              <w:rPr>
                <w:b/>
                <w:iCs/>
                <w:sz w:val="16"/>
                <w:szCs w:val="16"/>
              </w:rPr>
            </w:pPr>
            <w:r w:rsidRPr="00A43704">
              <w:rPr>
                <w:b/>
                <w:iCs/>
                <w:sz w:val="16"/>
                <w:szCs w:val="16"/>
              </w:rPr>
              <w:t>1 000,0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EFF23C" w14:textId="77777777" w:rsidR="003232C0" w:rsidRPr="00A43704" w:rsidRDefault="003232C0" w:rsidP="0046423B">
            <w:pPr>
              <w:ind w:left="-57" w:right="-57"/>
              <w:jc w:val="center"/>
              <w:rPr>
                <w:b/>
                <w:iCs/>
                <w:sz w:val="16"/>
                <w:szCs w:val="16"/>
              </w:rPr>
            </w:pPr>
            <w:r w:rsidRPr="00A43704">
              <w:rPr>
                <w:b/>
                <w:iCs/>
                <w:sz w:val="16"/>
                <w:szCs w:val="16"/>
              </w:rPr>
              <w:t>760,4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2CB280" w14:textId="77777777" w:rsidR="003232C0" w:rsidRPr="00250324" w:rsidRDefault="003232C0" w:rsidP="0046423B">
            <w:pPr>
              <w:ind w:right="-57"/>
              <w:jc w:val="center"/>
              <w:rPr>
                <w:b/>
                <w:iCs/>
                <w:sz w:val="16"/>
                <w:szCs w:val="16"/>
              </w:rPr>
            </w:pPr>
            <w:r w:rsidRPr="00250324">
              <w:rPr>
                <w:b/>
                <w:iCs/>
                <w:sz w:val="16"/>
                <w:szCs w:val="16"/>
              </w:rPr>
              <w:t>-239,6</w:t>
            </w:r>
          </w:p>
        </w:tc>
        <w:tc>
          <w:tcPr>
            <w:tcW w:w="78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EC8B602" w14:textId="77777777" w:rsidR="003232C0" w:rsidRPr="00250324" w:rsidRDefault="003232C0" w:rsidP="0046423B">
            <w:pPr>
              <w:ind w:right="-57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76</w:t>
            </w:r>
            <w:r w:rsidRPr="00250324">
              <w:rPr>
                <w:b/>
                <w:iCs/>
                <w:sz w:val="16"/>
                <w:szCs w:val="16"/>
              </w:rPr>
              <w:t>,0%</w:t>
            </w:r>
          </w:p>
        </w:tc>
      </w:tr>
      <w:tr w:rsidR="003232C0" w:rsidRPr="00BD63EB" w14:paraId="47103474" w14:textId="77777777" w:rsidTr="003232C0">
        <w:trPr>
          <w:gridAfter w:val="1"/>
          <w:wAfter w:w="7" w:type="dxa"/>
          <w:trHeight w:val="20"/>
        </w:trPr>
        <w:tc>
          <w:tcPr>
            <w:tcW w:w="101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A7612D3" w14:textId="77777777" w:rsidR="003232C0" w:rsidRPr="00CC4667" w:rsidRDefault="003232C0" w:rsidP="0046423B">
            <w:pPr>
              <w:ind w:left="-57" w:right="-57"/>
              <w:jc w:val="right"/>
              <w:rPr>
                <w:sz w:val="16"/>
                <w:szCs w:val="16"/>
              </w:rPr>
            </w:pPr>
            <w:r w:rsidRPr="00CC4667">
              <w:rPr>
                <w:sz w:val="16"/>
                <w:szCs w:val="16"/>
              </w:rPr>
              <w:t>9900000000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EBD093C" w14:textId="77777777" w:rsidR="003232C0" w:rsidRPr="00CC4667" w:rsidRDefault="003232C0" w:rsidP="0046423B">
            <w:pPr>
              <w:rPr>
                <w:sz w:val="16"/>
                <w:szCs w:val="16"/>
              </w:rPr>
            </w:pPr>
            <w:r w:rsidRPr="00CC4667">
              <w:rPr>
                <w:sz w:val="16"/>
                <w:szCs w:val="16"/>
              </w:rPr>
              <w:t>Непрограммные расходы гос. органов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51821CF" w14:textId="77777777" w:rsidR="003232C0" w:rsidRPr="00CC4667" w:rsidRDefault="003232C0" w:rsidP="0046423B">
            <w:pPr>
              <w:ind w:left="-57" w:right="-57"/>
              <w:jc w:val="center"/>
              <w:rPr>
                <w:sz w:val="16"/>
                <w:szCs w:val="16"/>
              </w:rPr>
            </w:pPr>
            <w:r w:rsidRPr="00CC4667">
              <w:rPr>
                <w:sz w:val="16"/>
                <w:szCs w:val="16"/>
              </w:rPr>
              <w:t>750,0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9D5C1F7" w14:textId="77777777" w:rsidR="003232C0" w:rsidRPr="00A43704" w:rsidRDefault="003232C0" w:rsidP="0046423B">
            <w:pPr>
              <w:ind w:left="-57" w:right="-57"/>
              <w:jc w:val="center"/>
              <w:rPr>
                <w:bCs/>
                <w:iCs/>
                <w:sz w:val="16"/>
                <w:szCs w:val="16"/>
              </w:rPr>
            </w:pPr>
            <w:r w:rsidRPr="00A43704">
              <w:rPr>
                <w:bCs/>
                <w:iCs/>
                <w:sz w:val="16"/>
                <w:szCs w:val="16"/>
              </w:rPr>
              <w:t>1 000,0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87EEA50" w14:textId="77777777" w:rsidR="003232C0" w:rsidRPr="00A43704" w:rsidRDefault="003232C0" w:rsidP="0046423B">
            <w:pPr>
              <w:ind w:left="-57" w:right="-57"/>
              <w:jc w:val="center"/>
              <w:rPr>
                <w:bCs/>
                <w:iCs/>
                <w:sz w:val="16"/>
                <w:szCs w:val="16"/>
              </w:rPr>
            </w:pPr>
            <w:r w:rsidRPr="00A43704">
              <w:rPr>
                <w:bCs/>
                <w:iCs/>
                <w:sz w:val="16"/>
                <w:szCs w:val="16"/>
              </w:rPr>
              <w:t>760,4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7EFC0C7" w14:textId="77777777" w:rsidR="003232C0" w:rsidRPr="00250324" w:rsidRDefault="003232C0" w:rsidP="0046423B">
            <w:pPr>
              <w:ind w:right="-57"/>
              <w:jc w:val="center"/>
              <w:rPr>
                <w:bCs/>
                <w:iCs/>
                <w:sz w:val="16"/>
                <w:szCs w:val="16"/>
              </w:rPr>
            </w:pPr>
            <w:r w:rsidRPr="00250324">
              <w:rPr>
                <w:bCs/>
                <w:iCs/>
                <w:sz w:val="16"/>
                <w:szCs w:val="16"/>
              </w:rPr>
              <w:t>-239,6</w:t>
            </w:r>
          </w:p>
        </w:tc>
        <w:tc>
          <w:tcPr>
            <w:tcW w:w="78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3C3513C" w14:textId="77777777" w:rsidR="003232C0" w:rsidRPr="00250324" w:rsidRDefault="003232C0" w:rsidP="0046423B">
            <w:pPr>
              <w:ind w:right="-5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76</w:t>
            </w:r>
            <w:r w:rsidRPr="00250324">
              <w:rPr>
                <w:bCs/>
                <w:iCs/>
                <w:sz w:val="16"/>
                <w:szCs w:val="16"/>
              </w:rPr>
              <w:t>,0%</w:t>
            </w:r>
          </w:p>
        </w:tc>
      </w:tr>
    </w:tbl>
    <w:p w14:paraId="15E7CC01" w14:textId="77777777" w:rsidR="003232C0" w:rsidRDefault="003232C0" w:rsidP="007F0888">
      <w:pPr>
        <w:autoSpaceDE w:val="0"/>
        <w:autoSpaceDN w:val="0"/>
        <w:adjustRightInd w:val="0"/>
        <w:ind w:firstLine="709"/>
        <w:jc w:val="both"/>
      </w:pPr>
    </w:p>
    <w:p w14:paraId="21534B39" w14:textId="700E53B9" w:rsidR="00421ADC" w:rsidRDefault="00421ADC" w:rsidP="00421ADC">
      <w:pPr>
        <w:autoSpaceDE w:val="0"/>
        <w:autoSpaceDN w:val="0"/>
        <w:adjustRightInd w:val="0"/>
        <w:ind w:firstLine="709"/>
        <w:jc w:val="both"/>
      </w:pPr>
      <w:r w:rsidRPr="009442B5">
        <w:t>Бюджетные назначения исполнены в сумме 720 430,7 тыс. руб., или на 91,7 процента.</w:t>
      </w:r>
      <w:r w:rsidRPr="009442B5">
        <w:rPr>
          <w:color w:val="FF0000"/>
        </w:rPr>
        <w:t xml:space="preserve"> </w:t>
      </w:r>
      <w:r w:rsidRPr="003300DA">
        <w:t>Согласно сведениям об исполнении бюджета (ф.0503164) и поясни</w:t>
      </w:r>
      <w:r w:rsidRPr="009442B5">
        <w:t xml:space="preserve">тельной записке (ф.0503160) неисполнение назначений в сумме 65 470,3 тыс. руб. сложилось </w:t>
      </w:r>
      <w:r w:rsidR="00AF4AA4">
        <w:t xml:space="preserve">в основном </w:t>
      </w:r>
      <w:r w:rsidRPr="009442B5">
        <w:t>по причин</w:t>
      </w:r>
      <w:r w:rsidR="00AF4AA4">
        <w:t>ам</w:t>
      </w:r>
      <w:r w:rsidRPr="009442B5">
        <w:t>:</w:t>
      </w:r>
    </w:p>
    <w:p w14:paraId="3F9BECEA" w14:textId="23BA300D" w:rsidR="001A2C99" w:rsidRPr="003354EE" w:rsidRDefault="001A2C99" w:rsidP="00421ADC">
      <w:pPr>
        <w:autoSpaceDE w:val="0"/>
        <w:autoSpaceDN w:val="0"/>
        <w:adjustRightInd w:val="0"/>
        <w:ind w:firstLine="709"/>
        <w:jc w:val="both"/>
      </w:pPr>
      <w:r>
        <w:t xml:space="preserve">-31 105,1 </w:t>
      </w:r>
      <w:r w:rsidR="00701A0D" w:rsidRPr="009851F4">
        <w:t xml:space="preserve">тыс. руб. </w:t>
      </w:r>
      <w:r w:rsidR="00701A0D">
        <w:t xml:space="preserve">- </w:t>
      </w:r>
      <w:r>
        <w:t>доведени</w:t>
      </w:r>
      <w:r w:rsidR="00701A0D">
        <w:t>е</w:t>
      </w:r>
      <w:r>
        <w:t xml:space="preserve"> лимитов бюджетных обязательств меньше бюджетных </w:t>
      </w:r>
      <w:r w:rsidRPr="003354EE">
        <w:t>назначений;</w:t>
      </w:r>
    </w:p>
    <w:p w14:paraId="57574322" w14:textId="5C008393" w:rsidR="00701A0D" w:rsidRDefault="00701A0D" w:rsidP="00701A0D">
      <w:pPr>
        <w:tabs>
          <w:tab w:val="left" w:pos="0"/>
        </w:tabs>
        <w:ind w:firstLine="709"/>
        <w:jc w:val="both"/>
      </w:pPr>
      <w:r w:rsidRPr="003354EE">
        <w:t xml:space="preserve">-11 629,9 тыс. руб. </w:t>
      </w:r>
      <w:r w:rsidR="007F0FB7" w:rsidRPr="003354EE">
        <w:t xml:space="preserve">- </w:t>
      </w:r>
      <w:r w:rsidRPr="003354EE">
        <w:t xml:space="preserve">в результате потребности в бюджетных ассигнованиях </w:t>
      </w:r>
      <w:r w:rsidR="006D1231" w:rsidRPr="003354EE">
        <w:t xml:space="preserve">в меньшем объеме </w:t>
      </w:r>
      <w:r w:rsidRPr="003354EE">
        <w:t xml:space="preserve">на оплату услуг </w:t>
      </w:r>
      <w:r w:rsidR="003354EE" w:rsidRPr="003354EE">
        <w:t xml:space="preserve">по </w:t>
      </w:r>
      <w:r w:rsidR="003354EE" w:rsidRPr="003354EE">
        <w:rPr>
          <w:rFonts w:eastAsiaTheme="minorHAnsi"/>
          <w:lang w:eastAsia="en-US"/>
        </w:rPr>
        <w:t xml:space="preserve">переводу в электронную форму книг государственной регистрации актов гражданского состояния (актовых книг), в том числе </w:t>
      </w:r>
      <w:r w:rsidRPr="003354EE">
        <w:t>по переводу на русский язык актов гражданского состояния, составленных на языках, отличных от русского. Данная ситуация сложилась по причине того, что на момент доведения бюджетных ассигнований</w:t>
      </w:r>
      <w:r w:rsidR="006D1231" w:rsidRPr="003354EE">
        <w:t xml:space="preserve"> большая часть работ в большинстве муниципальных образований региона была завершена</w:t>
      </w:r>
      <w:r w:rsidRPr="003354EE">
        <w:rPr>
          <w:rFonts w:eastAsiaTheme="minorHAnsi"/>
          <w:lang w:eastAsia="en-US"/>
        </w:rPr>
        <w:t xml:space="preserve">, </w:t>
      </w:r>
      <w:r w:rsidR="006D1231" w:rsidRPr="003354EE">
        <w:rPr>
          <w:rFonts w:eastAsiaTheme="minorHAnsi"/>
          <w:lang w:eastAsia="en-US"/>
        </w:rPr>
        <w:t xml:space="preserve">так как </w:t>
      </w:r>
      <w:r w:rsidRPr="003354EE">
        <w:t>указанные работы выполнялись сотрудниками, специально принятыми в штаты отделов ЗАГС на территории Волгоградской области;</w:t>
      </w:r>
    </w:p>
    <w:p w14:paraId="3A8CFA2A" w14:textId="3C978DDB" w:rsidR="00421ADC" w:rsidRDefault="00421ADC" w:rsidP="00421ADC">
      <w:pPr>
        <w:tabs>
          <w:tab w:val="left" w:pos="0"/>
        </w:tabs>
        <w:ind w:firstLine="709"/>
        <w:jc w:val="both"/>
      </w:pPr>
      <w:r w:rsidRPr="009851F4">
        <w:t>-</w:t>
      </w:r>
      <w:r w:rsidR="00701A0D">
        <w:t>7 296,6</w:t>
      </w:r>
      <w:r w:rsidR="00701A0D" w:rsidRPr="009851F4">
        <w:t xml:space="preserve"> </w:t>
      </w:r>
      <w:r w:rsidRPr="009851F4">
        <w:t xml:space="preserve">тыс. руб. </w:t>
      </w:r>
      <w:r w:rsidR="00701A0D">
        <w:t xml:space="preserve">- </w:t>
      </w:r>
      <w:r w:rsidRPr="009851F4">
        <w:t>в результате экономии бюджетных средств по фонду оплаты труда и начислений на оплату труда</w:t>
      </w:r>
      <w:r>
        <w:t xml:space="preserve"> за счет неукомплектованности штатной численности (среднесписочная численность по должностям государственной гражданской службе за 2020 год составила 496 ед., при штатной численности 525 единиц)</w:t>
      </w:r>
      <w:r w:rsidRPr="009851F4">
        <w:t>;</w:t>
      </w:r>
    </w:p>
    <w:p w14:paraId="40871C72" w14:textId="68110853" w:rsidR="00DF74E1" w:rsidRPr="007F0888" w:rsidRDefault="00A05DA5" w:rsidP="00DF74E1">
      <w:pPr>
        <w:autoSpaceDE w:val="0"/>
        <w:autoSpaceDN w:val="0"/>
        <w:adjustRightInd w:val="0"/>
        <w:ind w:firstLine="709"/>
        <w:jc w:val="both"/>
      </w:pPr>
      <w:r w:rsidRPr="00DF74E1">
        <w:t>-</w:t>
      </w:r>
      <w:r w:rsidRPr="00DF74E1">
        <w:rPr>
          <w:kern w:val="24"/>
        </w:rPr>
        <w:t>4</w:t>
      </w:r>
      <w:r w:rsidR="00DF74E1" w:rsidRPr="00DF74E1">
        <w:rPr>
          <w:kern w:val="24"/>
        </w:rPr>
        <w:t> </w:t>
      </w:r>
      <w:r w:rsidRPr="00DF74E1">
        <w:rPr>
          <w:kern w:val="24"/>
        </w:rPr>
        <w:t>829</w:t>
      </w:r>
      <w:r w:rsidR="00DF74E1" w:rsidRPr="00DF74E1">
        <w:rPr>
          <w:kern w:val="24"/>
        </w:rPr>
        <w:t>,</w:t>
      </w:r>
      <w:r w:rsidRPr="00DF74E1">
        <w:rPr>
          <w:kern w:val="24"/>
        </w:rPr>
        <w:t>6</w:t>
      </w:r>
      <w:r w:rsidR="00DF74E1" w:rsidRPr="00DF74E1">
        <w:rPr>
          <w:kern w:val="24"/>
        </w:rPr>
        <w:t xml:space="preserve"> тыс.</w:t>
      </w:r>
      <w:r w:rsidRPr="00DF74E1">
        <w:rPr>
          <w:kern w:val="24"/>
        </w:rPr>
        <w:t xml:space="preserve"> руб.</w:t>
      </w:r>
      <w:r w:rsidR="00AF4AA4">
        <w:rPr>
          <w:kern w:val="24"/>
        </w:rPr>
        <w:t xml:space="preserve"> -</w:t>
      </w:r>
      <w:r w:rsidRPr="00DF74E1">
        <w:rPr>
          <w:kern w:val="24"/>
        </w:rPr>
        <w:t xml:space="preserve"> в связи с </w:t>
      </w:r>
      <w:r w:rsidR="00DF74E1" w:rsidRPr="00DF74E1">
        <w:t>несвоевременным</w:t>
      </w:r>
      <w:r w:rsidR="00DF74E1" w:rsidRPr="007F0888">
        <w:t xml:space="preserve"> исполнение</w:t>
      </w:r>
      <w:r w:rsidR="00DF74E1">
        <w:t>м</w:t>
      </w:r>
      <w:r w:rsidR="00DF74E1" w:rsidRPr="007F0888">
        <w:t xml:space="preserve"> контракт</w:t>
      </w:r>
      <w:r w:rsidR="00DF74E1">
        <w:t>а</w:t>
      </w:r>
      <w:r w:rsidR="00DF74E1" w:rsidRPr="007F0888">
        <w:t xml:space="preserve"> на выполнение работ по текущему ремонту помещений, занимаемых мировыми судьями Волгоградской области, со стороны подрядчиков;</w:t>
      </w:r>
    </w:p>
    <w:p w14:paraId="2A787574" w14:textId="446D1EB9" w:rsidR="006D1231" w:rsidRDefault="006D1231" w:rsidP="006D1231">
      <w:pPr>
        <w:tabs>
          <w:tab w:val="left" w:pos="0"/>
        </w:tabs>
        <w:ind w:firstLine="709"/>
        <w:jc w:val="both"/>
      </w:pPr>
      <w:r>
        <w:t xml:space="preserve">-4 155,3 </w:t>
      </w:r>
      <w:r w:rsidRPr="009851F4">
        <w:t xml:space="preserve">тыс. руб. </w:t>
      </w:r>
      <w:r>
        <w:t xml:space="preserve">- </w:t>
      </w:r>
      <w:r w:rsidRPr="009851F4">
        <w:t>в результате экономии бюджетных средств</w:t>
      </w:r>
      <w:r>
        <w:t xml:space="preserve"> органами </w:t>
      </w:r>
      <w:r w:rsidRPr="006D1231">
        <w:t>местного самоуправления на осуществление переданных им полномочий на государственную регистрацию актов гражданского состояния</w:t>
      </w:r>
      <w:r>
        <w:t>;</w:t>
      </w:r>
      <w:r w:rsidRPr="006D1231">
        <w:t xml:space="preserve"> </w:t>
      </w:r>
    </w:p>
    <w:p w14:paraId="2AE69215" w14:textId="303EA4ED" w:rsidR="00A05DA5" w:rsidRDefault="00A05DA5" w:rsidP="00A05DA5">
      <w:pPr>
        <w:tabs>
          <w:tab w:val="left" w:pos="0"/>
        </w:tabs>
        <w:ind w:firstLine="709"/>
        <w:jc w:val="both"/>
        <w:rPr>
          <w:kern w:val="24"/>
        </w:rPr>
      </w:pPr>
      <w:r>
        <w:t>-</w:t>
      </w:r>
      <w:r>
        <w:rPr>
          <w:kern w:val="24"/>
        </w:rPr>
        <w:t xml:space="preserve">2 727,8 тыс. </w:t>
      </w:r>
      <w:r w:rsidRPr="003A72B9">
        <w:rPr>
          <w:kern w:val="24"/>
        </w:rPr>
        <w:t xml:space="preserve">руб. </w:t>
      </w:r>
      <w:r>
        <w:rPr>
          <w:kern w:val="24"/>
        </w:rPr>
        <w:t>-в результате экономии бюджетных средств на коммунальные платежи в связи с теплыми погодными условиями и экономией энергоресурсов</w:t>
      </w:r>
      <w:r w:rsidRPr="003A72B9">
        <w:rPr>
          <w:kern w:val="24"/>
        </w:rPr>
        <w:t>;</w:t>
      </w:r>
    </w:p>
    <w:p w14:paraId="4D65EEEE" w14:textId="75F123C9" w:rsidR="00421ADC" w:rsidRPr="00DE1D2F" w:rsidRDefault="00421ADC" w:rsidP="00421ADC">
      <w:pPr>
        <w:autoSpaceDE w:val="0"/>
        <w:autoSpaceDN w:val="0"/>
        <w:adjustRightInd w:val="0"/>
        <w:ind w:firstLine="709"/>
        <w:jc w:val="both"/>
      </w:pPr>
      <w:r w:rsidRPr="00DE1D2F">
        <w:t xml:space="preserve">-1 498,6 тыс. руб. </w:t>
      </w:r>
      <w:r w:rsidR="006D1231">
        <w:t xml:space="preserve">- </w:t>
      </w:r>
      <w:r>
        <w:t xml:space="preserve">в результате </w:t>
      </w:r>
      <w:r w:rsidRPr="00DE1D2F">
        <w:t>экономи</w:t>
      </w:r>
      <w:r>
        <w:t>и</w:t>
      </w:r>
      <w:r w:rsidRPr="00DE1D2F">
        <w:t>, образовавш</w:t>
      </w:r>
      <w:r>
        <w:t>ей</w:t>
      </w:r>
      <w:r w:rsidRPr="00DE1D2F">
        <w:t>ся по результатам проведения конкурсных процедур</w:t>
      </w:r>
      <w:r w:rsidR="006D1231">
        <w:t xml:space="preserve"> Комитета и подведомственных ему учреждений</w:t>
      </w:r>
      <w:r w:rsidRPr="00DE1D2F">
        <w:t>;</w:t>
      </w:r>
    </w:p>
    <w:p w14:paraId="5A8BF9D9" w14:textId="1F45B1DE" w:rsidR="00421ADC" w:rsidRDefault="00421ADC" w:rsidP="00421ADC">
      <w:pPr>
        <w:tabs>
          <w:tab w:val="left" w:pos="0"/>
        </w:tabs>
        <w:ind w:firstLine="709"/>
        <w:jc w:val="both"/>
      </w:pPr>
      <w:r w:rsidRPr="009851F4">
        <w:t xml:space="preserve">-1 472,2 тыс. руб. </w:t>
      </w:r>
      <w:r w:rsidR="006D1231">
        <w:t xml:space="preserve">- </w:t>
      </w:r>
      <w:r w:rsidRPr="009851F4">
        <w:t>в результате отсутствия потребности у муниципальных образований в бюджетных ассигнованиях на составление (изменение) списков кандидатов в присяжные заседатели федеральных судов общей юрисдикции Российской Федерации</w:t>
      </w:r>
      <w:r>
        <w:t>;</w:t>
      </w:r>
    </w:p>
    <w:p w14:paraId="46FCEE6C" w14:textId="5EDCC414" w:rsidR="00421ADC" w:rsidRDefault="00421ADC" w:rsidP="00421ADC">
      <w:pPr>
        <w:tabs>
          <w:tab w:val="left" w:pos="0"/>
        </w:tabs>
        <w:ind w:firstLine="709"/>
        <w:jc w:val="both"/>
      </w:pPr>
      <w:r>
        <w:t xml:space="preserve">-239,6 </w:t>
      </w:r>
      <w:r w:rsidRPr="009851F4">
        <w:t xml:space="preserve">тыс. руб. </w:t>
      </w:r>
      <w:r w:rsidR="006D1231">
        <w:t xml:space="preserve">- </w:t>
      </w:r>
      <w:r w:rsidRPr="009851F4">
        <w:t>в результате</w:t>
      </w:r>
      <w:r>
        <w:t xml:space="preserve"> того, что </w:t>
      </w:r>
      <w:r w:rsidRPr="002F5341">
        <w:t xml:space="preserve">расходы, связанные с оплатой труда адвокатов, оказывающих </w:t>
      </w:r>
      <w:r>
        <w:t>отдельным категориям</w:t>
      </w:r>
      <w:r w:rsidRPr="002F5341">
        <w:t xml:space="preserve"> населения бесплатную юридическую помощь</w:t>
      </w:r>
      <w:r>
        <w:t xml:space="preserve">, </w:t>
      </w:r>
      <w:r w:rsidRPr="002F5341">
        <w:t>носят заявительный характер оплаты</w:t>
      </w:r>
      <w:r>
        <w:t>.</w:t>
      </w:r>
    </w:p>
    <w:p w14:paraId="2B3D6901" w14:textId="6DF20AC0" w:rsidR="00421ADC" w:rsidRDefault="00421ADC" w:rsidP="007F0888">
      <w:pPr>
        <w:autoSpaceDE w:val="0"/>
        <w:autoSpaceDN w:val="0"/>
        <w:adjustRightInd w:val="0"/>
        <w:ind w:firstLine="709"/>
        <w:jc w:val="both"/>
      </w:pPr>
    </w:p>
    <w:p w14:paraId="056952B1" w14:textId="06E349AA" w:rsidR="001F2052" w:rsidRDefault="00E8356A" w:rsidP="00E8356A">
      <w:pPr>
        <w:autoSpaceDE w:val="0"/>
        <w:autoSpaceDN w:val="0"/>
        <w:adjustRightInd w:val="0"/>
        <w:ind w:firstLine="709"/>
        <w:jc w:val="both"/>
      </w:pPr>
      <w:r>
        <w:t xml:space="preserve">Проверкой </w:t>
      </w:r>
      <w:r w:rsidRPr="00505E71">
        <w:t xml:space="preserve">установлено, что </w:t>
      </w:r>
      <w:r w:rsidR="005439AD">
        <w:t>2020 году</w:t>
      </w:r>
      <w:r w:rsidR="00AF4AA4">
        <w:t>,</w:t>
      </w:r>
      <w:r w:rsidR="005439AD">
        <w:t xml:space="preserve"> </w:t>
      </w:r>
      <w:r w:rsidR="001F2052">
        <w:t>как и в 2019 году</w:t>
      </w:r>
      <w:r w:rsidR="00AF4AA4">
        <w:t>,</w:t>
      </w:r>
      <w:r w:rsidR="001F2052">
        <w:t xml:space="preserve"> </w:t>
      </w:r>
      <w:r w:rsidR="005439AD">
        <w:t>в нарушение положений ст.18 БК РФ, п. 18.1, 18.2.1 Порядка формирования и применения кодов бюджетной классификации Российской Федерации, их структуре и принципах назначения, утверждённого приказом Минфина России от 06.06.2019 № 85н</w:t>
      </w:r>
      <w:r w:rsidR="001F2052">
        <w:t xml:space="preserve"> (далее – Порядок № 85н)</w:t>
      </w:r>
      <w:r w:rsidR="005439AD">
        <w:t xml:space="preserve">,  </w:t>
      </w:r>
      <w:r w:rsidR="005439AD" w:rsidRPr="00505E71">
        <w:t xml:space="preserve">расходы </w:t>
      </w:r>
      <w:r w:rsidR="001F2052" w:rsidRPr="00505E71">
        <w:t>на содержание ГКУ Дирекция</w:t>
      </w:r>
      <w:r w:rsidR="001F2052">
        <w:t xml:space="preserve"> </w:t>
      </w:r>
      <w:r w:rsidR="005439AD" w:rsidRPr="00505E71">
        <w:t xml:space="preserve">в размере </w:t>
      </w:r>
      <w:r w:rsidR="005439AD" w:rsidRPr="00C305D9">
        <w:t>265 372,2 тыс</w:t>
      </w:r>
      <w:r w:rsidR="005439AD" w:rsidRPr="00505E71">
        <w:t xml:space="preserve">. руб. осуществлены </w:t>
      </w:r>
      <w:r w:rsidRPr="00505E71">
        <w:t>по подразделу 0113 «Другие общегосударственные вопросы»</w:t>
      </w:r>
      <w:r w:rsidR="00825FE8">
        <w:t>.</w:t>
      </w:r>
    </w:p>
    <w:p w14:paraId="48FD6CF0" w14:textId="275D32BD" w:rsidR="001F2052" w:rsidRDefault="001F2052" w:rsidP="001F2052">
      <w:pPr>
        <w:autoSpaceDE w:val="0"/>
        <w:autoSpaceDN w:val="0"/>
        <w:adjustRightInd w:val="0"/>
        <w:ind w:firstLine="709"/>
        <w:jc w:val="both"/>
      </w:pPr>
      <w:r>
        <w:t xml:space="preserve">Согласно ч. 15 п. 18.1 Порядка № 85н отнесение расходов на финансовое обеспечение выполнения функций государственными учреждениями осуществляется по разделам и подразделам классификации расходов бюджетов исходя из осуществляемых указанными учреждениями функций. </w:t>
      </w:r>
      <w:r w:rsidRPr="00505E71">
        <w:t>ГКУ Дирекция</w:t>
      </w:r>
      <w:r>
        <w:t xml:space="preserve"> </w:t>
      </w:r>
      <w:r w:rsidRPr="00CE7AEB">
        <w:t>в соответствии с уставом, утвержденным приказом Комитета от 28.10.2019 № 02-06-03/228, осуществляет мероприятия по материально-техническому и информационному обеспечению деятельности мировых судей Волгоградской области</w:t>
      </w:r>
      <w:r>
        <w:t xml:space="preserve"> и согласно ч. 5 п. 18.2.1 указанного Порядка расходы на обеспечение деятельности федеральных судов, судов субъектов РФ и их аппаратов, расходы на развитие судебной системы России подлежат отражению по подразделу 0105 «Судебная система». </w:t>
      </w:r>
    </w:p>
    <w:p w14:paraId="21F28448" w14:textId="3DE8C510" w:rsidR="00825FE8" w:rsidRDefault="001F2052" w:rsidP="001F2052">
      <w:pPr>
        <w:ind w:firstLine="709"/>
        <w:jc w:val="both"/>
      </w:pPr>
      <w:r>
        <w:t>К</w:t>
      </w:r>
      <w:r w:rsidR="00825FE8">
        <w:t xml:space="preserve">СП по результатам </w:t>
      </w:r>
      <w:r w:rsidR="00825FE8" w:rsidRPr="00BB7344">
        <w:rPr>
          <w:bCs/>
        </w:rPr>
        <w:t>внешней камеральной проверки бюджетной отчетности и отдельных вопросов исполнения областного бюджета за 2019 год</w:t>
      </w:r>
      <w:r w:rsidR="00825FE8" w:rsidRPr="009332EB">
        <w:t xml:space="preserve"> </w:t>
      </w:r>
      <w:r w:rsidR="00825FE8">
        <w:t>предлагал К</w:t>
      </w:r>
      <w:r>
        <w:t>омитет</w:t>
      </w:r>
      <w:r w:rsidR="00825FE8">
        <w:t xml:space="preserve">у </w:t>
      </w:r>
      <w:r w:rsidR="00825FE8" w:rsidRPr="0067069D">
        <w:rPr>
          <w:spacing w:val="-1"/>
        </w:rPr>
        <w:t>инициировать</w:t>
      </w:r>
      <w:r w:rsidR="00825FE8" w:rsidRPr="0067069D">
        <w:rPr>
          <w:b/>
          <w:spacing w:val="-1"/>
        </w:rPr>
        <w:t xml:space="preserve"> </w:t>
      </w:r>
      <w:r w:rsidR="00825FE8" w:rsidRPr="0067069D">
        <w:rPr>
          <w:spacing w:val="-1"/>
        </w:rPr>
        <w:t xml:space="preserve">внесение изменений в </w:t>
      </w:r>
      <w:r w:rsidR="00825FE8">
        <w:rPr>
          <w:spacing w:val="-1"/>
        </w:rPr>
        <w:t xml:space="preserve">Закон </w:t>
      </w:r>
      <w:r w:rsidR="00825FE8" w:rsidRPr="0067069D">
        <w:rPr>
          <w:spacing w:val="-1"/>
        </w:rPr>
        <w:t xml:space="preserve">Волгоградской области от 21.11.2019 № 97-ОД «Об </w:t>
      </w:r>
      <w:r w:rsidR="00825FE8" w:rsidRPr="0067069D">
        <w:rPr>
          <w:spacing w:val="-1"/>
        </w:rPr>
        <w:lastRenderedPageBreak/>
        <w:t xml:space="preserve">областном бюджете на 2020 год и на плановый период 2021 и 2022 годов» с целью </w:t>
      </w:r>
      <w:r w:rsidR="00825FE8" w:rsidRPr="0067069D">
        <w:t>перераспределения ассигновани</w:t>
      </w:r>
      <w:r w:rsidR="00825FE8">
        <w:t>й</w:t>
      </w:r>
      <w:r w:rsidR="00825FE8" w:rsidRPr="0067069D">
        <w:t xml:space="preserve"> на материально-техническое обеспечение мировых судей и их аппаратов с подраздела 0113 «Другие общегосударственные вопросы» на подраздел 0105 «Судебная система».</w:t>
      </w:r>
    </w:p>
    <w:p w14:paraId="4F912B84" w14:textId="3EC16F54" w:rsidR="001F2052" w:rsidRDefault="00825FE8" w:rsidP="001F2052">
      <w:pPr>
        <w:ind w:firstLine="709"/>
        <w:jc w:val="both"/>
      </w:pPr>
      <w:r>
        <w:t xml:space="preserve">Комитет </w:t>
      </w:r>
      <w:r w:rsidR="001F2052">
        <w:t>в ответе (исх. от 15.04.2020 № 02-03-20/2083) сообщил, что корректировка подраздела в течени</w:t>
      </w:r>
      <w:r w:rsidR="00AF4AA4">
        <w:t>е</w:t>
      </w:r>
      <w:r w:rsidR="001F2052">
        <w:t xml:space="preserve"> финансового года сопряжена </w:t>
      </w:r>
      <w:r w:rsidR="00AF4AA4">
        <w:t xml:space="preserve">со </w:t>
      </w:r>
      <w:r w:rsidR="001F2052">
        <w:t>многими трудностями в части заключения дополнительных соглашений к заключенным на тот момент государственным контрактам, что в свою очередь мо</w:t>
      </w:r>
      <w:r>
        <w:t>гло</w:t>
      </w:r>
      <w:r w:rsidR="001F2052">
        <w:t xml:space="preserve"> негативно отразиться на функционировании ГКУ Дирекция </w:t>
      </w:r>
      <w:r>
        <w:t xml:space="preserve">и всей системы в целом </w:t>
      </w:r>
      <w:r w:rsidR="001F2052">
        <w:t xml:space="preserve">и предложил перенести решение данного вопроса </w:t>
      </w:r>
      <w:r>
        <w:t>на</w:t>
      </w:r>
      <w:r w:rsidR="001F2052">
        <w:t xml:space="preserve"> приняти</w:t>
      </w:r>
      <w:r>
        <w:t>е</w:t>
      </w:r>
      <w:r w:rsidR="001F2052">
        <w:t xml:space="preserve"> областного бюджета на 2021 год.</w:t>
      </w:r>
      <w:r w:rsidR="00363A55">
        <w:t xml:space="preserve"> </w:t>
      </w:r>
      <w:r w:rsidR="001F2052" w:rsidRPr="009332EB">
        <w:t xml:space="preserve">В </w:t>
      </w:r>
      <w:r w:rsidR="001F2052" w:rsidRPr="00591C80">
        <w:t>Закон</w:t>
      </w:r>
      <w:r w:rsidR="001F2052">
        <w:t>е</w:t>
      </w:r>
      <w:r w:rsidR="001F2052" w:rsidRPr="00591C80">
        <w:t xml:space="preserve"> Волгоградской области от </w:t>
      </w:r>
      <w:r w:rsidR="001F2052">
        <w:t>11</w:t>
      </w:r>
      <w:r w:rsidR="001F2052" w:rsidRPr="00591C80">
        <w:t>.1</w:t>
      </w:r>
      <w:r w:rsidR="001F2052">
        <w:t>2</w:t>
      </w:r>
      <w:r w:rsidR="001F2052" w:rsidRPr="00591C80">
        <w:t>.20</w:t>
      </w:r>
      <w:r w:rsidR="001F2052">
        <w:t>20</w:t>
      </w:r>
      <w:r w:rsidR="001F2052" w:rsidRPr="00591C80">
        <w:t xml:space="preserve"> № </w:t>
      </w:r>
      <w:r w:rsidR="001F2052">
        <w:t>113</w:t>
      </w:r>
      <w:r w:rsidR="001F2052" w:rsidRPr="00591C80">
        <w:t xml:space="preserve">-ОД «Об областном бюджете </w:t>
      </w:r>
      <w:r w:rsidR="001F2052">
        <w:rPr>
          <w:rFonts w:eastAsiaTheme="minorHAnsi"/>
          <w:lang w:eastAsia="en-US"/>
        </w:rPr>
        <w:t>на 2021 год и на плановый период 2022 и 2023 годов</w:t>
      </w:r>
      <w:r w:rsidR="001F2052" w:rsidRPr="00591C80">
        <w:t>»</w:t>
      </w:r>
      <w:r w:rsidR="001F2052">
        <w:t xml:space="preserve"> </w:t>
      </w:r>
      <w:r w:rsidR="001F2052" w:rsidRPr="00505E71">
        <w:t>содержание ГКУ Дирекция</w:t>
      </w:r>
      <w:r w:rsidR="001F2052">
        <w:t xml:space="preserve"> предусмотрено по подразделу </w:t>
      </w:r>
      <w:r w:rsidR="001F2052" w:rsidRPr="00C305D9">
        <w:t>0105 «Судебная система»</w:t>
      </w:r>
      <w:r w:rsidR="001F2052">
        <w:t>.</w:t>
      </w:r>
    </w:p>
    <w:p w14:paraId="0E226685" w14:textId="77777777" w:rsidR="00225B25" w:rsidRDefault="00225B25" w:rsidP="001F2052">
      <w:pPr>
        <w:ind w:firstLine="708"/>
        <w:jc w:val="center"/>
        <w:rPr>
          <w:b/>
          <w:i/>
        </w:rPr>
      </w:pPr>
    </w:p>
    <w:p w14:paraId="17F007B6" w14:textId="708735A8" w:rsidR="001F2052" w:rsidRPr="00AC0391" w:rsidRDefault="001F2052" w:rsidP="001F2052">
      <w:pPr>
        <w:ind w:firstLine="708"/>
        <w:jc w:val="center"/>
        <w:rPr>
          <w:b/>
          <w:i/>
        </w:rPr>
      </w:pPr>
      <w:r w:rsidRPr="00AC0391">
        <w:rPr>
          <w:b/>
          <w:i/>
        </w:rPr>
        <w:t>Сравнительный анализ показателей</w:t>
      </w:r>
    </w:p>
    <w:p w14:paraId="6E6493BA" w14:textId="77777777" w:rsidR="001F2052" w:rsidRPr="00AC0391" w:rsidRDefault="001F2052" w:rsidP="001F2052">
      <w:pPr>
        <w:ind w:firstLine="708"/>
        <w:jc w:val="center"/>
      </w:pPr>
      <w:r w:rsidRPr="00AC0391">
        <w:rPr>
          <w:b/>
          <w:i/>
        </w:rPr>
        <w:t>исполнения расходов областного бюджета за 201</w:t>
      </w:r>
      <w:r>
        <w:rPr>
          <w:b/>
          <w:i/>
        </w:rPr>
        <w:t>9</w:t>
      </w:r>
      <w:r w:rsidRPr="00AC0391">
        <w:rPr>
          <w:b/>
          <w:i/>
        </w:rPr>
        <w:t xml:space="preserve"> и 20</w:t>
      </w:r>
      <w:r>
        <w:rPr>
          <w:b/>
          <w:i/>
        </w:rPr>
        <w:t>20</w:t>
      </w:r>
      <w:r w:rsidRPr="00AC0391">
        <w:rPr>
          <w:b/>
          <w:i/>
        </w:rPr>
        <w:t xml:space="preserve"> год</w:t>
      </w:r>
      <w:r>
        <w:rPr>
          <w:b/>
          <w:i/>
        </w:rPr>
        <w:t>ы</w:t>
      </w:r>
    </w:p>
    <w:p w14:paraId="238432C5" w14:textId="77777777" w:rsidR="001F2052" w:rsidRPr="00F526B5" w:rsidRDefault="001F2052" w:rsidP="001F2052">
      <w:pPr>
        <w:ind w:firstLine="708"/>
        <w:jc w:val="right"/>
        <w:rPr>
          <w:i/>
          <w:sz w:val="20"/>
          <w:szCs w:val="20"/>
        </w:rPr>
      </w:pPr>
      <w:r w:rsidRPr="00F526B5">
        <w:rPr>
          <w:i/>
          <w:sz w:val="20"/>
          <w:szCs w:val="20"/>
        </w:rPr>
        <w:t>тыс. руб.</w:t>
      </w:r>
    </w:p>
    <w:tbl>
      <w:tblPr>
        <w:tblW w:w="951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62"/>
        <w:gridCol w:w="1134"/>
        <w:gridCol w:w="1276"/>
        <w:gridCol w:w="1134"/>
        <w:gridCol w:w="1417"/>
      </w:tblGrid>
      <w:tr w:rsidR="001F2052" w:rsidRPr="00AC0391" w14:paraId="4B786857" w14:textId="77777777" w:rsidTr="003E6B48">
        <w:trPr>
          <w:trHeight w:val="20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219C6E22" w14:textId="77777777" w:rsidR="001F2052" w:rsidRPr="00462025" w:rsidRDefault="001F2052" w:rsidP="0046423B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356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0939DB88" w14:textId="77777777" w:rsidR="001F2052" w:rsidRPr="00462025" w:rsidRDefault="001F2052" w:rsidP="0046423B">
            <w:pPr>
              <w:jc w:val="center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BA7A755" w14:textId="77777777" w:rsidR="001F2052" w:rsidRPr="00462025" w:rsidRDefault="001F2052" w:rsidP="0046423B">
            <w:pPr>
              <w:jc w:val="center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2019 год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39CB20D3" w14:textId="77777777" w:rsidR="001F2052" w:rsidRPr="00462025" w:rsidRDefault="001F2052" w:rsidP="0046423B">
            <w:pPr>
              <w:jc w:val="center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2020 год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0B71A4A" w14:textId="77777777" w:rsidR="001F2052" w:rsidRPr="00462025" w:rsidRDefault="001F2052" w:rsidP="0046423B">
            <w:pPr>
              <w:jc w:val="center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Отклонение</w:t>
            </w:r>
          </w:p>
        </w:tc>
      </w:tr>
      <w:tr w:rsidR="001F2052" w:rsidRPr="00AC0391" w14:paraId="2C5F06D1" w14:textId="77777777" w:rsidTr="003E6B48">
        <w:trPr>
          <w:trHeight w:val="20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6547BB2D" w14:textId="77777777" w:rsidR="001F2052" w:rsidRPr="00462025" w:rsidRDefault="001F2052" w:rsidP="0046423B">
            <w:pPr>
              <w:rPr>
                <w:sz w:val="16"/>
                <w:szCs w:val="16"/>
              </w:rPr>
            </w:pPr>
          </w:p>
        </w:tc>
        <w:tc>
          <w:tcPr>
            <w:tcW w:w="3562" w:type="dxa"/>
            <w:vMerge/>
            <w:tcBorders>
              <w:bottom w:val="double" w:sz="4" w:space="0" w:color="auto"/>
            </w:tcBorders>
            <w:vAlign w:val="center"/>
            <w:hideMark/>
          </w:tcPr>
          <w:p w14:paraId="0BE4AAEE" w14:textId="77777777" w:rsidR="001F2052" w:rsidRPr="00462025" w:rsidRDefault="001F2052" w:rsidP="0046423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  <w:hideMark/>
          </w:tcPr>
          <w:p w14:paraId="5E7E306B" w14:textId="77777777" w:rsidR="001F2052" w:rsidRPr="00462025" w:rsidRDefault="001F2052" w:rsidP="004642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14:paraId="2A146F69" w14:textId="77777777" w:rsidR="001F2052" w:rsidRPr="00462025" w:rsidRDefault="001F2052" w:rsidP="00464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D02D041" w14:textId="77777777" w:rsidR="001F2052" w:rsidRPr="00462025" w:rsidRDefault="001F2052" w:rsidP="0046423B">
            <w:pPr>
              <w:jc w:val="center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FFC47E6" w14:textId="77777777" w:rsidR="001F2052" w:rsidRPr="00462025" w:rsidRDefault="001F2052" w:rsidP="0046423B">
            <w:pPr>
              <w:jc w:val="center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%</w:t>
            </w:r>
          </w:p>
        </w:tc>
      </w:tr>
      <w:tr w:rsidR="001F2052" w:rsidRPr="00AC0391" w14:paraId="0D529180" w14:textId="77777777" w:rsidTr="003E6B48">
        <w:trPr>
          <w:trHeight w:val="20"/>
        </w:trPr>
        <w:tc>
          <w:tcPr>
            <w:tcW w:w="4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5495459C" w14:textId="77777777" w:rsidR="001F2052" w:rsidRPr="00462025" w:rsidRDefault="001F2052" w:rsidP="0046423B">
            <w:pPr>
              <w:rPr>
                <w:b/>
                <w:bCs/>
                <w:sz w:val="16"/>
                <w:szCs w:val="16"/>
              </w:rPr>
            </w:pPr>
            <w:r w:rsidRPr="00462025">
              <w:rPr>
                <w:b/>
                <w:bCs/>
                <w:sz w:val="16"/>
                <w:szCs w:val="16"/>
              </w:rPr>
              <w:t>Расходы бюджета – всего, в том числе: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D9C48A9" w14:textId="77777777" w:rsidR="001F2052" w:rsidRPr="00462025" w:rsidRDefault="001F2052" w:rsidP="0046423B">
            <w:pPr>
              <w:jc w:val="center"/>
              <w:rPr>
                <w:b/>
                <w:bCs/>
                <w:sz w:val="16"/>
                <w:szCs w:val="16"/>
              </w:rPr>
            </w:pPr>
            <w:r w:rsidRPr="00462025">
              <w:rPr>
                <w:b/>
                <w:bCs/>
                <w:sz w:val="16"/>
                <w:szCs w:val="16"/>
              </w:rPr>
              <w:t>686 605,8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9C772C" w14:textId="77777777" w:rsidR="001F2052" w:rsidRPr="00462025" w:rsidRDefault="001F2052" w:rsidP="0046423B">
            <w:pPr>
              <w:ind w:right="-57"/>
              <w:jc w:val="center"/>
              <w:rPr>
                <w:b/>
                <w:bCs/>
                <w:sz w:val="16"/>
                <w:szCs w:val="16"/>
              </w:rPr>
            </w:pPr>
            <w:r w:rsidRPr="00462025">
              <w:rPr>
                <w:b/>
                <w:bCs/>
                <w:sz w:val="16"/>
                <w:szCs w:val="16"/>
              </w:rPr>
              <w:t>720 430,7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6094D5E2" w14:textId="77777777" w:rsidR="001F2052" w:rsidRPr="00462025" w:rsidRDefault="001F2052" w:rsidP="0046423B">
            <w:pPr>
              <w:ind w:right="-57"/>
              <w:jc w:val="center"/>
              <w:rPr>
                <w:b/>
                <w:bCs/>
                <w:sz w:val="16"/>
                <w:szCs w:val="16"/>
              </w:rPr>
            </w:pPr>
            <w:r w:rsidRPr="00462025">
              <w:rPr>
                <w:b/>
                <w:bCs/>
                <w:sz w:val="16"/>
                <w:szCs w:val="16"/>
              </w:rPr>
              <w:t>+33 824,9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8DE2587" w14:textId="77777777" w:rsidR="001F2052" w:rsidRPr="00462025" w:rsidRDefault="001F2052" w:rsidP="0046423B">
            <w:pPr>
              <w:ind w:right="-57"/>
              <w:jc w:val="center"/>
              <w:rPr>
                <w:b/>
                <w:bCs/>
                <w:sz w:val="16"/>
                <w:szCs w:val="16"/>
              </w:rPr>
            </w:pPr>
            <w:r w:rsidRPr="00462025">
              <w:rPr>
                <w:b/>
                <w:bCs/>
                <w:sz w:val="16"/>
                <w:szCs w:val="16"/>
              </w:rPr>
              <w:t>+4,9%</w:t>
            </w:r>
          </w:p>
        </w:tc>
      </w:tr>
      <w:tr w:rsidR="001F2052" w:rsidRPr="00AC0391" w14:paraId="01F61254" w14:textId="77777777" w:rsidTr="003E6B48">
        <w:trPr>
          <w:trHeight w:val="20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33A48CBB" w14:textId="77777777" w:rsidR="001F2052" w:rsidRPr="00462025" w:rsidRDefault="001F2052" w:rsidP="0046423B">
            <w:pPr>
              <w:jc w:val="center"/>
              <w:rPr>
                <w:b/>
                <w:i/>
                <w:sz w:val="16"/>
                <w:szCs w:val="16"/>
              </w:rPr>
            </w:pPr>
            <w:r w:rsidRPr="00462025">
              <w:rPr>
                <w:b/>
                <w:i/>
                <w:sz w:val="16"/>
                <w:szCs w:val="16"/>
              </w:rPr>
              <w:t>0100</w:t>
            </w:r>
          </w:p>
        </w:tc>
        <w:tc>
          <w:tcPr>
            <w:tcW w:w="356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4AB7A25F" w14:textId="77777777" w:rsidR="001F2052" w:rsidRPr="00462025" w:rsidRDefault="001F2052" w:rsidP="0046423B">
            <w:pPr>
              <w:rPr>
                <w:b/>
                <w:i/>
                <w:sz w:val="16"/>
                <w:szCs w:val="16"/>
              </w:rPr>
            </w:pPr>
            <w:r w:rsidRPr="00462025">
              <w:rPr>
                <w:b/>
                <w:i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1DCF872" w14:textId="77777777" w:rsidR="001F2052" w:rsidRPr="00462025" w:rsidRDefault="001F2052" w:rsidP="0046423B">
            <w:pPr>
              <w:jc w:val="center"/>
              <w:rPr>
                <w:b/>
                <w:i/>
                <w:sz w:val="16"/>
                <w:szCs w:val="16"/>
              </w:rPr>
            </w:pPr>
            <w:r w:rsidRPr="00462025">
              <w:rPr>
                <w:b/>
                <w:i/>
                <w:sz w:val="16"/>
                <w:szCs w:val="16"/>
              </w:rPr>
              <w:t>685 816,</w:t>
            </w:r>
            <w:r w:rsidRPr="00462025">
              <w:rPr>
                <w:b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533F067" w14:textId="77777777" w:rsidR="001F2052" w:rsidRPr="00462025" w:rsidRDefault="001F2052" w:rsidP="0046423B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462025">
              <w:rPr>
                <w:b/>
                <w:bCs/>
                <w:i/>
                <w:iCs/>
                <w:sz w:val="16"/>
                <w:szCs w:val="16"/>
              </w:rPr>
              <w:t>719 670,3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049A61BC" w14:textId="77777777" w:rsidR="001F2052" w:rsidRPr="00462025" w:rsidRDefault="001F2052" w:rsidP="0046423B">
            <w:pPr>
              <w:jc w:val="center"/>
              <w:rPr>
                <w:b/>
                <w:i/>
                <w:sz w:val="16"/>
                <w:szCs w:val="16"/>
              </w:rPr>
            </w:pPr>
            <w:r w:rsidRPr="00462025">
              <w:rPr>
                <w:b/>
                <w:i/>
                <w:sz w:val="16"/>
                <w:szCs w:val="16"/>
              </w:rPr>
              <w:t>+33 854,3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1A42A43" w14:textId="77777777" w:rsidR="001F2052" w:rsidRPr="00462025" w:rsidRDefault="001F2052" w:rsidP="0046423B">
            <w:pPr>
              <w:jc w:val="center"/>
              <w:rPr>
                <w:b/>
                <w:i/>
                <w:sz w:val="16"/>
                <w:szCs w:val="16"/>
              </w:rPr>
            </w:pPr>
            <w:r w:rsidRPr="00462025">
              <w:rPr>
                <w:b/>
                <w:i/>
                <w:sz w:val="16"/>
                <w:szCs w:val="16"/>
              </w:rPr>
              <w:t>+4,9%</w:t>
            </w:r>
          </w:p>
        </w:tc>
      </w:tr>
      <w:tr w:rsidR="001F2052" w:rsidRPr="00AC0391" w14:paraId="2D91C6D7" w14:textId="77777777" w:rsidTr="003E6B48">
        <w:trPr>
          <w:trHeight w:val="20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5829C6A7" w14:textId="77777777" w:rsidR="001F2052" w:rsidRPr="00462025" w:rsidRDefault="001F2052" w:rsidP="0046423B">
            <w:pPr>
              <w:jc w:val="center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0105</w:t>
            </w:r>
          </w:p>
        </w:tc>
        <w:tc>
          <w:tcPr>
            <w:tcW w:w="3562" w:type="dxa"/>
            <w:shd w:val="clear" w:color="auto" w:fill="auto"/>
            <w:vAlign w:val="center"/>
            <w:hideMark/>
          </w:tcPr>
          <w:p w14:paraId="55B6DFF7" w14:textId="77777777" w:rsidR="001F2052" w:rsidRPr="00462025" w:rsidRDefault="001F2052" w:rsidP="0046423B">
            <w:pPr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BAFBC4" w14:textId="77777777" w:rsidR="001F2052" w:rsidRPr="00462025" w:rsidRDefault="001F2052" w:rsidP="0046423B">
            <w:pPr>
              <w:jc w:val="center"/>
              <w:rPr>
                <w:sz w:val="16"/>
                <w:szCs w:val="16"/>
                <w:lang w:val="en-US"/>
              </w:rPr>
            </w:pPr>
            <w:r w:rsidRPr="00462025">
              <w:rPr>
                <w:sz w:val="16"/>
                <w:szCs w:val="16"/>
              </w:rPr>
              <w:t>440 799,3</w:t>
            </w:r>
          </w:p>
        </w:tc>
        <w:tc>
          <w:tcPr>
            <w:tcW w:w="1276" w:type="dxa"/>
            <w:vAlign w:val="center"/>
          </w:tcPr>
          <w:p w14:paraId="175983C5" w14:textId="77777777" w:rsidR="001F2052" w:rsidRPr="00462025" w:rsidRDefault="001F2052" w:rsidP="0046423B">
            <w:pPr>
              <w:jc w:val="center"/>
              <w:rPr>
                <w:bCs/>
                <w:sz w:val="16"/>
                <w:szCs w:val="16"/>
              </w:rPr>
            </w:pPr>
            <w:r w:rsidRPr="00462025">
              <w:rPr>
                <w:bCs/>
                <w:sz w:val="16"/>
                <w:szCs w:val="16"/>
              </w:rPr>
              <w:t>196 108,3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20CFD1" w14:textId="77777777" w:rsidR="001F2052" w:rsidRPr="00462025" w:rsidRDefault="001F2052" w:rsidP="0046423B">
            <w:pPr>
              <w:jc w:val="center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-244 691,0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5D1680E" w14:textId="77777777" w:rsidR="001F2052" w:rsidRPr="00462025" w:rsidRDefault="001F2052" w:rsidP="0046423B">
            <w:pPr>
              <w:jc w:val="center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-55,5%</w:t>
            </w:r>
          </w:p>
        </w:tc>
      </w:tr>
      <w:tr w:rsidR="001F2052" w:rsidRPr="00AC0391" w14:paraId="19D00CA0" w14:textId="77777777" w:rsidTr="003E6B48">
        <w:trPr>
          <w:trHeight w:val="20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4C85F335" w14:textId="77777777" w:rsidR="001F2052" w:rsidRPr="00462025" w:rsidRDefault="001F2052" w:rsidP="0046423B">
            <w:pPr>
              <w:jc w:val="center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0113</w:t>
            </w:r>
          </w:p>
        </w:tc>
        <w:tc>
          <w:tcPr>
            <w:tcW w:w="3562" w:type="dxa"/>
            <w:shd w:val="clear" w:color="auto" w:fill="auto"/>
            <w:vAlign w:val="center"/>
            <w:hideMark/>
          </w:tcPr>
          <w:p w14:paraId="49D00E92" w14:textId="77777777" w:rsidR="001F2052" w:rsidRPr="00462025" w:rsidRDefault="001F2052" w:rsidP="0046423B">
            <w:pPr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CBDA78" w14:textId="77777777" w:rsidR="001F2052" w:rsidRPr="00462025" w:rsidRDefault="001F2052" w:rsidP="0046423B">
            <w:pPr>
              <w:jc w:val="center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245 016,8</w:t>
            </w:r>
          </w:p>
        </w:tc>
        <w:tc>
          <w:tcPr>
            <w:tcW w:w="1276" w:type="dxa"/>
            <w:vAlign w:val="center"/>
          </w:tcPr>
          <w:p w14:paraId="208908DC" w14:textId="77777777" w:rsidR="001F2052" w:rsidRPr="00462025" w:rsidRDefault="001F2052" w:rsidP="0046423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62025">
              <w:rPr>
                <w:bCs/>
                <w:sz w:val="16"/>
                <w:szCs w:val="16"/>
              </w:rPr>
              <w:t>523 562,0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259C8A" w14:textId="77777777" w:rsidR="001F2052" w:rsidRPr="00462025" w:rsidRDefault="001F2052" w:rsidP="0046423B">
            <w:pPr>
              <w:jc w:val="center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+278 545,2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1F331F2" w14:textId="77777777" w:rsidR="001F2052" w:rsidRPr="00462025" w:rsidRDefault="001F2052" w:rsidP="0046423B">
            <w:pPr>
              <w:jc w:val="center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в 2,1 раза</w:t>
            </w:r>
          </w:p>
        </w:tc>
      </w:tr>
      <w:tr w:rsidR="001F2052" w:rsidRPr="00AC0391" w14:paraId="6DB20FA2" w14:textId="77777777" w:rsidTr="003E6B48">
        <w:trPr>
          <w:trHeight w:val="20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5D810567" w14:textId="77777777" w:rsidR="001F2052" w:rsidRPr="00462025" w:rsidRDefault="001F2052" w:rsidP="0046423B">
            <w:pPr>
              <w:jc w:val="center"/>
              <w:rPr>
                <w:b/>
                <w:i/>
                <w:sz w:val="16"/>
                <w:szCs w:val="16"/>
              </w:rPr>
            </w:pPr>
            <w:r w:rsidRPr="00462025">
              <w:rPr>
                <w:b/>
                <w:i/>
                <w:sz w:val="16"/>
                <w:szCs w:val="16"/>
              </w:rPr>
              <w:t>1000</w:t>
            </w:r>
          </w:p>
        </w:tc>
        <w:tc>
          <w:tcPr>
            <w:tcW w:w="3562" w:type="dxa"/>
            <w:shd w:val="clear" w:color="auto" w:fill="auto"/>
            <w:vAlign w:val="center"/>
            <w:hideMark/>
          </w:tcPr>
          <w:p w14:paraId="39B931DC" w14:textId="77777777" w:rsidR="001F2052" w:rsidRPr="00462025" w:rsidRDefault="001F2052" w:rsidP="0046423B">
            <w:pPr>
              <w:rPr>
                <w:b/>
                <w:i/>
                <w:sz w:val="16"/>
                <w:szCs w:val="16"/>
              </w:rPr>
            </w:pPr>
            <w:r w:rsidRPr="00462025">
              <w:rPr>
                <w:b/>
                <w:i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BA9EEA" w14:textId="77777777" w:rsidR="001F2052" w:rsidRPr="00462025" w:rsidRDefault="001F2052" w:rsidP="0046423B">
            <w:pPr>
              <w:jc w:val="center"/>
              <w:rPr>
                <w:b/>
                <w:i/>
                <w:sz w:val="16"/>
                <w:szCs w:val="16"/>
              </w:rPr>
            </w:pPr>
            <w:r w:rsidRPr="00462025">
              <w:rPr>
                <w:b/>
                <w:i/>
                <w:sz w:val="16"/>
                <w:szCs w:val="16"/>
              </w:rPr>
              <w:t>789,8</w:t>
            </w:r>
          </w:p>
        </w:tc>
        <w:tc>
          <w:tcPr>
            <w:tcW w:w="1276" w:type="dxa"/>
            <w:vAlign w:val="center"/>
          </w:tcPr>
          <w:p w14:paraId="626F3040" w14:textId="77777777" w:rsidR="001F2052" w:rsidRPr="00462025" w:rsidRDefault="001F2052" w:rsidP="0046423B">
            <w:pPr>
              <w:jc w:val="center"/>
              <w:rPr>
                <w:b/>
                <w:i/>
                <w:sz w:val="16"/>
                <w:szCs w:val="16"/>
              </w:rPr>
            </w:pPr>
            <w:r w:rsidRPr="00462025">
              <w:rPr>
                <w:b/>
                <w:i/>
                <w:sz w:val="16"/>
                <w:szCs w:val="16"/>
              </w:rPr>
              <w:t>760,4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9AFEC2" w14:textId="77777777" w:rsidR="001F2052" w:rsidRPr="00462025" w:rsidRDefault="001F2052" w:rsidP="0046423B">
            <w:pPr>
              <w:jc w:val="center"/>
              <w:rPr>
                <w:b/>
                <w:i/>
                <w:sz w:val="16"/>
                <w:szCs w:val="16"/>
              </w:rPr>
            </w:pPr>
            <w:r w:rsidRPr="00462025">
              <w:rPr>
                <w:b/>
                <w:i/>
                <w:sz w:val="16"/>
                <w:szCs w:val="16"/>
              </w:rPr>
              <w:t>-29,4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B2C4DD0" w14:textId="77777777" w:rsidR="001F2052" w:rsidRPr="00462025" w:rsidRDefault="001F2052" w:rsidP="0046423B">
            <w:pPr>
              <w:jc w:val="center"/>
              <w:rPr>
                <w:b/>
                <w:i/>
                <w:sz w:val="16"/>
                <w:szCs w:val="16"/>
              </w:rPr>
            </w:pPr>
            <w:r w:rsidRPr="00462025">
              <w:rPr>
                <w:b/>
                <w:i/>
                <w:sz w:val="16"/>
                <w:szCs w:val="16"/>
              </w:rPr>
              <w:t>-3,7%</w:t>
            </w:r>
          </w:p>
        </w:tc>
      </w:tr>
      <w:tr w:rsidR="001F2052" w:rsidRPr="00AC0391" w14:paraId="1B629E1F" w14:textId="77777777" w:rsidTr="003E6B48">
        <w:trPr>
          <w:trHeight w:val="20"/>
        </w:trPr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0EA96B" w14:textId="77777777" w:rsidR="001F2052" w:rsidRPr="00462025" w:rsidRDefault="001F2052" w:rsidP="0046423B">
            <w:pPr>
              <w:jc w:val="center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1006</w:t>
            </w:r>
          </w:p>
        </w:tc>
        <w:tc>
          <w:tcPr>
            <w:tcW w:w="356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486598B" w14:textId="77777777" w:rsidR="001F2052" w:rsidRPr="00462025" w:rsidRDefault="001F2052" w:rsidP="0046423B">
            <w:pPr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1260402" w14:textId="77777777" w:rsidR="001F2052" w:rsidRPr="00462025" w:rsidRDefault="001F2052" w:rsidP="0046423B">
            <w:pPr>
              <w:jc w:val="center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789,8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5A74AAC0" w14:textId="77777777" w:rsidR="001F2052" w:rsidRPr="00462025" w:rsidRDefault="001F2052" w:rsidP="0046423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62025">
              <w:rPr>
                <w:bCs/>
                <w:iCs/>
                <w:sz w:val="16"/>
                <w:szCs w:val="16"/>
              </w:rPr>
              <w:t>760,4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8C7627D" w14:textId="77777777" w:rsidR="001F2052" w:rsidRPr="00462025" w:rsidRDefault="001F2052" w:rsidP="0046423B">
            <w:pPr>
              <w:jc w:val="center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-29,4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41A2DFA" w14:textId="77777777" w:rsidR="001F2052" w:rsidRPr="00462025" w:rsidRDefault="001F2052" w:rsidP="0046423B">
            <w:pPr>
              <w:jc w:val="center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-3,7%</w:t>
            </w:r>
          </w:p>
        </w:tc>
      </w:tr>
    </w:tbl>
    <w:p w14:paraId="3158DDFC" w14:textId="77777777" w:rsidR="001F2052" w:rsidRDefault="001F2052" w:rsidP="001F2052">
      <w:pPr>
        <w:ind w:firstLine="708"/>
        <w:jc w:val="both"/>
      </w:pPr>
    </w:p>
    <w:p w14:paraId="516DD498" w14:textId="202BFBBB" w:rsidR="00734B21" w:rsidRPr="00734B21" w:rsidRDefault="001F2052" w:rsidP="001F2052">
      <w:pPr>
        <w:ind w:firstLine="708"/>
        <w:jc w:val="both"/>
      </w:pPr>
      <w:r w:rsidRPr="009442B5">
        <w:t xml:space="preserve">Увеличение расходов </w:t>
      </w:r>
      <w:r w:rsidRPr="00734B21">
        <w:t xml:space="preserve">Облкомюстиции в 2020 году по сравнению с 2019 годом </w:t>
      </w:r>
      <w:r w:rsidR="00734B21" w:rsidRPr="00734B21">
        <w:t xml:space="preserve">по подразделу 0113 «Другие общегосударственные вопросы» на </w:t>
      </w:r>
      <w:r w:rsidR="00734B21">
        <w:t xml:space="preserve">278 545,2 тыс. руб. </w:t>
      </w:r>
      <w:r w:rsidR="00734B21" w:rsidRPr="00734B21">
        <w:t>и у</w:t>
      </w:r>
      <w:r w:rsidR="00734B21">
        <w:t xml:space="preserve">меньшение </w:t>
      </w:r>
      <w:r w:rsidR="00734B21" w:rsidRPr="00734B21">
        <w:t>по подразделу 0105 «Судебная система»</w:t>
      </w:r>
      <w:r w:rsidR="00734B21">
        <w:t xml:space="preserve"> на 244 691,0 тыс. руб. обусловлено созданием в </w:t>
      </w:r>
      <w:r w:rsidR="00825FE8">
        <w:t xml:space="preserve">конце </w:t>
      </w:r>
      <w:r w:rsidR="00734B21">
        <w:t>2019 год</w:t>
      </w:r>
      <w:r w:rsidR="00825FE8">
        <w:t>а</w:t>
      </w:r>
      <w:r w:rsidR="00734B21">
        <w:t xml:space="preserve"> ГКУ </w:t>
      </w:r>
      <w:r w:rsidR="00734B21" w:rsidRPr="00DC38B6">
        <w:t>Дирекция</w:t>
      </w:r>
      <w:r w:rsidR="00825FE8">
        <w:t xml:space="preserve">, которое стало выполнять функции  </w:t>
      </w:r>
      <w:r w:rsidR="00825FE8" w:rsidRPr="00CE7AEB">
        <w:t>по материально-</w:t>
      </w:r>
      <w:r w:rsidR="00825FE8" w:rsidRPr="006B68DF">
        <w:t xml:space="preserve">техническому и информационному обеспечению деятельности мировых судей Волгоградской области и на </w:t>
      </w:r>
      <w:r w:rsidR="006B68DF" w:rsidRPr="006B68DF">
        <w:t xml:space="preserve">выполнение функций </w:t>
      </w:r>
      <w:r w:rsidR="00825FE8">
        <w:t>которо</w:t>
      </w:r>
      <w:r w:rsidR="006B68DF">
        <w:t>го</w:t>
      </w:r>
      <w:r w:rsidR="00825FE8">
        <w:t xml:space="preserve"> в 2020 году израсходовано </w:t>
      </w:r>
      <w:r w:rsidR="00825FE8" w:rsidRPr="00C305D9">
        <w:t>265 372,2 тыс</w:t>
      </w:r>
      <w:r w:rsidR="00825FE8" w:rsidRPr="00505E71">
        <w:t>. руб</w:t>
      </w:r>
      <w:r w:rsidR="00825FE8">
        <w:t>лей</w:t>
      </w:r>
      <w:r w:rsidR="00825FE8" w:rsidRPr="00505E71">
        <w:t>.</w:t>
      </w:r>
    </w:p>
    <w:p w14:paraId="3948D467" w14:textId="204CA5EA" w:rsidR="001F2052" w:rsidRPr="009442B5" w:rsidRDefault="00825FE8" w:rsidP="001F2052">
      <w:pPr>
        <w:ind w:firstLine="708"/>
        <w:jc w:val="both"/>
      </w:pPr>
      <w:r>
        <w:t xml:space="preserve">Общий объем </w:t>
      </w:r>
      <w:r w:rsidRPr="009442B5">
        <w:t xml:space="preserve">расходов </w:t>
      </w:r>
      <w:r w:rsidRPr="00734B21">
        <w:t>Облкомюстиции в 2020 году по сравнению с 2019 годом</w:t>
      </w:r>
      <w:r>
        <w:t xml:space="preserve"> увеличился </w:t>
      </w:r>
      <w:r w:rsidR="001F2052" w:rsidRPr="009442B5">
        <w:t xml:space="preserve">на 33 824,9 тыс. руб., или на 4,9% </w:t>
      </w:r>
      <w:r w:rsidR="00A05DA5">
        <w:t xml:space="preserve">в основном </w:t>
      </w:r>
      <w:r>
        <w:t>за счет увеличени</w:t>
      </w:r>
      <w:r w:rsidR="00AF4AA4">
        <w:t>я</w:t>
      </w:r>
      <w:r w:rsidR="001F2052" w:rsidRPr="009442B5">
        <w:t>:</w:t>
      </w:r>
    </w:p>
    <w:p w14:paraId="3A0954AD" w14:textId="1628E0EF" w:rsidR="001F2052" w:rsidRPr="00B97A0B" w:rsidRDefault="001F2052" w:rsidP="001F2052">
      <w:pPr>
        <w:ind w:firstLine="708"/>
        <w:jc w:val="both"/>
      </w:pPr>
      <w:r w:rsidRPr="00B97A0B">
        <w:t>-субвенци</w:t>
      </w:r>
      <w:r>
        <w:t>й</w:t>
      </w:r>
      <w:r w:rsidRPr="00B97A0B">
        <w:t xml:space="preserve"> на осуществление переданных органам государственной власти субъектов РФ полномочий РФ на государственную регистрацию актов гражданского состояния (+22 449,4 тыс. руб.);</w:t>
      </w:r>
    </w:p>
    <w:p w14:paraId="130241D9" w14:textId="7E37CDAF" w:rsidR="001F2052" w:rsidRDefault="001F2052" w:rsidP="001F2052">
      <w:pPr>
        <w:ind w:firstLine="708"/>
        <w:jc w:val="both"/>
      </w:pPr>
      <w:r w:rsidRPr="006B68DF">
        <w:t>-премиальных выплат как служащим Комитета, так и работникам подведомственных учреждений (+9 913,2 тыс. руб.).</w:t>
      </w:r>
    </w:p>
    <w:p w14:paraId="3DDABB18" w14:textId="77777777" w:rsidR="003E6B48" w:rsidRDefault="003E6B48" w:rsidP="001F2052">
      <w:pPr>
        <w:ind w:firstLine="708"/>
        <w:jc w:val="both"/>
      </w:pPr>
    </w:p>
    <w:p w14:paraId="6DC3EAAF" w14:textId="19CB8AD6" w:rsidR="00A320D5" w:rsidRPr="00A320D5" w:rsidRDefault="00A320D5" w:rsidP="00A320D5">
      <w:pPr>
        <w:autoSpaceDE w:val="0"/>
        <w:autoSpaceDN w:val="0"/>
        <w:adjustRightInd w:val="0"/>
        <w:jc w:val="center"/>
        <w:rPr>
          <w:b/>
          <w:i/>
        </w:rPr>
      </w:pPr>
      <w:r w:rsidRPr="00A320D5">
        <w:rPr>
          <w:b/>
          <w:i/>
        </w:rPr>
        <w:t>Состояние дебиторской и кредиторской задолженности</w:t>
      </w:r>
    </w:p>
    <w:p w14:paraId="100F2D52" w14:textId="3642EFBF" w:rsidR="00A320D5" w:rsidRPr="00E70363" w:rsidRDefault="00A320D5" w:rsidP="00A320D5">
      <w:pPr>
        <w:autoSpaceDE w:val="0"/>
        <w:autoSpaceDN w:val="0"/>
        <w:adjustRightInd w:val="0"/>
        <w:ind w:firstLine="709"/>
        <w:jc w:val="both"/>
      </w:pPr>
      <w:r w:rsidRPr="00A320D5">
        <w:t xml:space="preserve">Информация о динамике </w:t>
      </w:r>
      <w:r w:rsidR="006B68DF">
        <w:t xml:space="preserve">сводной </w:t>
      </w:r>
      <w:r w:rsidRPr="00A320D5">
        <w:t>дебиторской и кредиторской задолженност</w:t>
      </w:r>
      <w:r w:rsidR="006B68DF">
        <w:t>ях</w:t>
      </w:r>
      <w:r w:rsidRPr="00A320D5">
        <w:t xml:space="preserve"> в 20</w:t>
      </w:r>
      <w:r w:rsidR="006B68DF">
        <w:t>20</w:t>
      </w:r>
      <w:r w:rsidRPr="00A320D5">
        <w:t xml:space="preserve"> году</w:t>
      </w:r>
      <w:r w:rsidRPr="00E70363">
        <w:t xml:space="preserve"> приведена в следующей таблице:</w:t>
      </w:r>
    </w:p>
    <w:p w14:paraId="42C71B1A" w14:textId="77777777" w:rsidR="006B68DF" w:rsidRPr="00E70363" w:rsidRDefault="006B68DF" w:rsidP="006B68DF">
      <w:pPr>
        <w:autoSpaceDE w:val="0"/>
        <w:autoSpaceDN w:val="0"/>
        <w:adjustRightInd w:val="0"/>
        <w:ind w:firstLine="709"/>
        <w:jc w:val="right"/>
      </w:pPr>
      <w:r w:rsidRPr="00E70363">
        <w:rPr>
          <w:i/>
          <w:sz w:val="22"/>
          <w:szCs w:val="22"/>
        </w:rPr>
        <w:t xml:space="preserve">                                                                    тыс. руб.</w:t>
      </w:r>
    </w:p>
    <w:tbl>
      <w:tblPr>
        <w:tblW w:w="951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1294"/>
        <w:gridCol w:w="1134"/>
        <w:gridCol w:w="1134"/>
      </w:tblGrid>
      <w:tr w:rsidR="006B68DF" w:rsidRPr="00BD63EB" w14:paraId="30BDE550" w14:textId="77777777" w:rsidTr="0046423B">
        <w:trPr>
          <w:trHeight w:val="20"/>
        </w:trPr>
        <w:tc>
          <w:tcPr>
            <w:tcW w:w="45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B67921A" w14:textId="77777777" w:rsidR="006B68DF" w:rsidRPr="00462025" w:rsidRDefault="006B68DF" w:rsidP="0046423B">
            <w:pPr>
              <w:jc w:val="center"/>
              <w:rPr>
                <w:b/>
                <w:bCs/>
                <w:sz w:val="16"/>
                <w:szCs w:val="16"/>
              </w:rPr>
            </w:pPr>
            <w:r w:rsidRPr="00462025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712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7F5CF198" w14:textId="77777777" w:rsidR="006B68DF" w:rsidRPr="00462025" w:rsidRDefault="006B68DF" w:rsidP="0046423B">
            <w:pPr>
              <w:jc w:val="center"/>
              <w:rPr>
                <w:b/>
                <w:bCs/>
                <w:sz w:val="16"/>
                <w:szCs w:val="16"/>
              </w:rPr>
            </w:pPr>
            <w:r w:rsidRPr="00462025">
              <w:rPr>
                <w:b/>
                <w:bCs/>
                <w:sz w:val="16"/>
                <w:szCs w:val="16"/>
              </w:rPr>
              <w:t>Сумма задолженности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BAD41B1" w14:textId="77777777" w:rsidR="006B68DF" w:rsidRPr="00462025" w:rsidRDefault="006B68DF" w:rsidP="0046423B">
            <w:pPr>
              <w:jc w:val="center"/>
              <w:rPr>
                <w:b/>
                <w:bCs/>
                <w:sz w:val="16"/>
                <w:szCs w:val="16"/>
              </w:rPr>
            </w:pPr>
            <w:r w:rsidRPr="00462025">
              <w:rPr>
                <w:b/>
                <w:bCs/>
                <w:sz w:val="16"/>
                <w:szCs w:val="16"/>
              </w:rPr>
              <w:t>Отклонение (+/-)</w:t>
            </w:r>
          </w:p>
        </w:tc>
      </w:tr>
      <w:tr w:rsidR="006B68DF" w:rsidRPr="00BD63EB" w14:paraId="5E9A4B65" w14:textId="77777777" w:rsidTr="0046423B">
        <w:trPr>
          <w:trHeight w:val="20"/>
        </w:trPr>
        <w:tc>
          <w:tcPr>
            <w:tcW w:w="45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1308E1" w14:textId="77777777" w:rsidR="006B68DF" w:rsidRPr="00462025" w:rsidRDefault="006B68DF" w:rsidP="004642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54858E8" w14:textId="77777777" w:rsidR="006B68DF" w:rsidRPr="00462025" w:rsidRDefault="006B68DF" w:rsidP="0046423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62025">
              <w:rPr>
                <w:b/>
                <w:bCs/>
                <w:sz w:val="16"/>
                <w:szCs w:val="16"/>
              </w:rPr>
              <w:t>на 01.01.20</w:t>
            </w:r>
            <w:r w:rsidRPr="00462025">
              <w:rPr>
                <w:b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387ACD2" w14:textId="77777777" w:rsidR="006B68DF" w:rsidRPr="00462025" w:rsidRDefault="006B68DF" w:rsidP="0046423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62025">
              <w:rPr>
                <w:b/>
                <w:bCs/>
                <w:sz w:val="16"/>
                <w:szCs w:val="16"/>
              </w:rPr>
              <w:t>на 01.01.20</w:t>
            </w:r>
            <w:r w:rsidRPr="00462025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46202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6FDFB89" w14:textId="77777777" w:rsidR="006B68DF" w:rsidRPr="00462025" w:rsidRDefault="006B68DF" w:rsidP="0046423B">
            <w:pPr>
              <w:jc w:val="center"/>
              <w:rPr>
                <w:b/>
                <w:bCs/>
                <w:sz w:val="16"/>
                <w:szCs w:val="16"/>
              </w:rPr>
            </w:pPr>
            <w:r w:rsidRPr="00462025"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8A78B5D" w14:textId="77777777" w:rsidR="006B68DF" w:rsidRPr="00462025" w:rsidRDefault="006B68DF" w:rsidP="0046423B">
            <w:pPr>
              <w:jc w:val="center"/>
              <w:rPr>
                <w:b/>
                <w:bCs/>
                <w:sz w:val="16"/>
                <w:szCs w:val="16"/>
              </w:rPr>
            </w:pPr>
            <w:r w:rsidRPr="00462025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6B68DF" w:rsidRPr="00BD63EB" w14:paraId="4905E596" w14:textId="77777777" w:rsidTr="0046423B">
        <w:trPr>
          <w:trHeight w:val="20"/>
        </w:trPr>
        <w:tc>
          <w:tcPr>
            <w:tcW w:w="4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04B4F03" w14:textId="60FF45DB" w:rsidR="006B68DF" w:rsidRPr="00462025" w:rsidRDefault="006B68DF" w:rsidP="0046423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62025">
              <w:rPr>
                <w:b/>
                <w:bCs/>
                <w:i/>
                <w:iCs/>
                <w:sz w:val="16"/>
                <w:szCs w:val="16"/>
              </w:rPr>
              <w:t>Дебиторская задолженность ИТОГО</w:t>
            </w:r>
            <w:r w:rsidR="00061017">
              <w:rPr>
                <w:b/>
                <w:bCs/>
                <w:i/>
                <w:iCs/>
                <w:sz w:val="16"/>
                <w:szCs w:val="16"/>
              </w:rPr>
              <w:t xml:space="preserve">, </w:t>
            </w:r>
            <w:r w:rsidR="00061017" w:rsidRPr="00462025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44230074" w14:textId="77777777" w:rsidR="006B68DF" w:rsidRPr="00462025" w:rsidRDefault="006B68DF" w:rsidP="0046423B">
            <w:pPr>
              <w:jc w:val="right"/>
              <w:rPr>
                <w:b/>
                <w:bCs/>
                <w:i/>
                <w:iCs/>
                <w:strike/>
                <w:sz w:val="16"/>
                <w:szCs w:val="16"/>
              </w:rPr>
            </w:pPr>
            <w:r w:rsidRPr="00462025">
              <w:rPr>
                <w:b/>
                <w:bCs/>
                <w:i/>
                <w:iCs/>
                <w:sz w:val="16"/>
                <w:szCs w:val="16"/>
              </w:rPr>
              <w:t>5801,6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D53E3B" w14:textId="77777777" w:rsidR="006B68DF" w:rsidRPr="00462025" w:rsidRDefault="006B68DF" w:rsidP="0046423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62025">
              <w:rPr>
                <w:b/>
                <w:bCs/>
                <w:i/>
                <w:iCs/>
                <w:sz w:val="16"/>
                <w:szCs w:val="16"/>
              </w:rPr>
              <w:t>134 380,3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8C119FA" w14:textId="77777777" w:rsidR="006B68DF" w:rsidRPr="00462025" w:rsidRDefault="006B68DF" w:rsidP="0046423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62025">
              <w:rPr>
                <w:b/>
                <w:bCs/>
                <w:i/>
                <w:iCs/>
                <w:sz w:val="16"/>
                <w:szCs w:val="16"/>
              </w:rPr>
              <w:t>+128 578,7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30E5CAB" w14:textId="77777777" w:rsidR="006B68DF" w:rsidRPr="00462025" w:rsidRDefault="006B68DF" w:rsidP="0046423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62025">
              <w:rPr>
                <w:b/>
                <w:bCs/>
                <w:i/>
                <w:iCs/>
                <w:sz w:val="16"/>
                <w:szCs w:val="16"/>
              </w:rPr>
              <w:t>в 23,2 раза</w:t>
            </w:r>
          </w:p>
        </w:tc>
      </w:tr>
      <w:tr w:rsidR="006B68DF" w:rsidRPr="00BD63EB" w14:paraId="7E3128A2" w14:textId="77777777" w:rsidTr="0046423B">
        <w:trPr>
          <w:trHeight w:val="20"/>
        </w:trPr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98C239" w14:textId="77777777" w:rsidR="006B68DF" w:rsidRPr="00462025" w:rsidRDefault="006B68DF" w:rsidP="0046423B">
            <w:pPr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расчеты по доходам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5FBD95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5F8AB70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129 271,6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D5A4E6" w14:textId="77777777" w:rsidR="006B68DF" w:rsidRPr="00462025" w:rsidRDefault="006B68DF" w:rsidP="0046423B">
            <w:pPr>
              <w:jc w:val="right"/>
              <w:rPr>
                <w:sz w:val="16"/>
                <w:szCs w:val="16"/>
                <w:lang w:val="en-US"/>
              </w:rPr>
            </w:pPr>
            <w:r w:rsidRPr="00462025">
              <w:rPr>
                <w:sz w:val="16"/>
                <w:szCs w:val="16"/>
              </w:rPr>
              <w:t>+129 271,6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42241B1E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+100%</w:t>
            </w:r>
          </w:p>
        </w:tc>
      </w:tr>
      <w:tr w:rsidR="006B68DF" w:rsidRPr="00BD63EB" w14:paraId="02580A2B" w14:textId="77777777" w:rsidTr="0046423B">
        <w:trPr>
          <w:trHeight w:val="20"/>
        </w:trPr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EF0CDC8" w14:textId="77777777" w:rsidR="006B68DF" w:rsidRPr="00462025" w:rsidRDefault="006B68DF" w:rsidP="0046423B">
            <w:pPr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расчеты по выданным авансам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3713401B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  <w:lang w:val="en-US"/>
              </w:rPr>
              <w:t>1</w:t>
            </w:r>
            <w:r w:rsidRPr="00462025">
              <w:rPr>
                <w:sz w:val="16"/>
                <w:szCs w:val="16"/>
              </w:rPr>
              <w:t xml:space="preserve"> </w:t>
            </w:r>
            <w:r w:rsidRPr="00462025">
              <w:rPr>
                <w:sz w:val="16"/>
                <w:szCs w:val="16"/>
                <w:lang w:val="en-US"/>
              </w:rPr>
              <w:t>431</w:t>
            </w:r>
            <w:r w:rsidRPr="00462025">
              <w:rPr>
                <w:sz w:val="16"/>
                <w:szCs w:val="16"/>
              </w:rPr>
              <w:t>,</w:t>
            </w:r>
            <w:r w:rsidRPr="0046202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88F2C77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1 099,6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7A9B736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-332,0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34E64E56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-23,2%</w:t>
            </w:r>
          </w:p>
        </w:tc>
      </w:tr>
      <w:tr w:rsidR="006B68DF" w:rsidRPr="00BD63EB" w14:paraId="1713A472" w14:textId="77777777" w:rsidTr="0046423B">
        <w:trPr>
          <w:trHeight w:val="20"/>
        </w:trPr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68ACDB2" w14:textId="77777777" w:rsidR="006B68DF" w:rsidRPr="00462025" w:rsidRDefault="006B68DF" w:rsidP="0046423B">
            <w:pPr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расчеты с подотчетными лицами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1601D061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2 921,7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EA3D1E0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3 431,3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B75541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+509,6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0D4E7CBA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+17,4%</w:t>
            </w:r>
          </w:p>
        </w:tc>
      </w:tr>
      <w:tr w:rsidR="006B68DF" w:rsidRPr="00BD63EB" w14:paraId="2D095B8A" w14:textId="77777777" w:rsidTr="0046423B">
        <w:trPr>
          <w:trHeight w:val="20"/>
        </w:trPr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79857B8" w14:textId="77777777" w:rsidR="006B68DF" w:rsidRPr="00462025" w:rsidRDefault="006B68DF" w:rsidP="0046423B">
            <w:pPr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расчеты по ущербу и иным доходам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5A6A116C" w14:textId="77777777" w:rsidR="006B68DF" w:rsidRPr="00462025" w:rsidRDefault="006B68DF" w:rsidP="0046423B">
            <w:pPr>
              <w:jc w:val="right"/>
              <w:rPr>
                <w:strike/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555,6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22B456F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480,3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1138E10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-75,3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263DD461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-13,6%</w:t>
            </w:r>
          </w:p>
        </w:tc>
      </w:tr>
      <w:tr w:rsidR="006B68DF" w:rsidRPr="00BD63EB" w14:paraId="2869A15C" w14:textId="77777777" w:rsidTr="0046423B">
        <w:trPr>
          <w:trHeight w:val="20"/>
        </w:trPr>
        <w:tc>
          <w:tcPr>
            <w:tcW w:w="4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B098FDA" w14:textId="77777777" w:rsidR="006B68DF" w:rsidRPr="00462025" w:rsidRDefault="006B68DF" w:rsidP="0046423B">
            <w:pPr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расчеты по платежам в бюджеты</w:t>
            </w: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8E08C6B" w14:textId="77777777" w:rsidR="006B68DF" w:rsidRPr="00462025" w:rsidRDefault="006B68DF" w:rsidP="0046423B">
            <w:pPr>
              <w:jc w:val="right"/>
              <w:rPr>
                <w:strike/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892,7</w:t>
            </w: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779FC3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97,5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7D38F332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-795,2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CD6D302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-89,1%</w:t>
            </w:r>
          </w:p>
        </w:tc>
      </w:tr>
      <w:tr w:rsidR="006B68DF" w:rsidRPr="00BD63EB" w14:paraId="46FC608E" w14:textId="77777777" w:rsidTr="0046423B">
        <w:trPr>
          <w:trHeight w:val="20"/>
        </w:trPr>
        <w:tc>
          <w:tcPr>
            <w:tcW w:w="4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76011A6" w14:textId="57A523B3" w:rsidR="006B68DF" w:rsidRPr="00462025" w:rsidRDefault="006B68DF" w:rsidP="0046423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62025">
              <w:rPr>
                <w:b/>
                <w:bCs/>
                <w:i/>
                <w:iCs/>
                <w:sz w:val="16"/>
                <w:szCs w:val="16"/>
              </w:rPr>
              <w:t>Кредиторская задолженность ИТОГО</w:t>
            </w:r>
            <w:r w:rsidR="00061017">
              <w:rPr>
                <w:b/>
                <w:bCs/>
                <w:i/>
                <w:iCs/>
                <w:sz w:val="16"/>
                <w:szCs w:val="16"/>
              </w:rPr>
              <w:t xml:space="preserve">, </w:t>
            </w:r>
            <w:r w:rsidR="00061017" w:rsidRPr="00462025">
              <w:rPr>
                <w:i/>
                <w:iCs/>
                <w:sz w:val="16"/>
                <w:szCs w:val="16"/>
              </w:rPr>
              <w:t>в</w:t>
            </w:r>
            <w:r w:rsidR="00061017" w:rsidRPr="0046202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061017" w:rsidRPr="00462025">
              <w:rPr>
                <w:i/>
                <w:iCs/>
                <w:sz w:val="16"/>
                <w:szCs w:val="16"/>
              </w:rPr>
              <w:t>том числе:</w:t>
            </w:r>
            <w:r w:rsidRPr="0046202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3B91F53B" w14:textId="77777777" w:rsidR="006B68DF" w:rsidRPr="00462025" w:rsidRDefault="006B68DF" w:rsidP="0046423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62025">
              <w:rPr>
                <w:b/>
                <w:bCs/>
                <w:i/>
                <w:iCs/>
                <w:sz w:val="16"/>
                <w:szCs w:val="16"/>
              </w:rPr>
              <w:t>3 891,3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79AFDF" w14:textId="77777777" w:rsidR="006B68DF" w:rsidRPr="00462025" w:rsidRDefault="006B68DF" w:rsidP="0046423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62025">
              <w:rPr>
                <w:b/>
                <w:bCs/>
                <w:i/>
                <w:iCs/>
                <w:sz w:val="16"/>
                <w:szCs w:val="16"/>
              </w:rPr>
              <w:t>2 175,0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C5CFD3D" w14:textId="77777777" w:rsidR="006B68DF" w:rsidRPr="00462025" w:rsidRDefault="006B68DF" w:rsidP="0046423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-1 716,3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66BF756" w14:textId="77777777" w:rsidR="006B68DF" w:rsidRPr="00462025" w:rsidRDefault="006B68DF" w:rsidP="0046423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-44,1%</w:t>
            </w:r>
          </w:p>
        </w:tc>
      </w:tr>
      <w:tr w:rsidR="006B68DF" w:rsidRPr="00BD63EB" w14:paraId="3AD8C433" w14:textId="77777777" w:rsidTr="0046423B">
        <w:trPr>
          <w:trHeight w:val="20"/>
        </w:trPr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BFA6846" w14:textId="77777777" w:rsidR="006B68DF" w:rsidRPr="00462025" w:rsidRDefault="006B68DF" w:rsidP="0046423B">
            <w:pPr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расчеты по принятым обязательствам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07F251E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3 842,8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8BFA1BA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1 985,5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AC2E64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-1 857,3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1A7CA529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-48,3%</w:t>
            </w:r>
          </w:p>
        </w:tc>
      </w:tr>
      <w:tr w:rsidR="006B68DF" w:rsidRPr="00BD63EB" w14:paraId="22A581C2" w14:textId="77777777" w:rsidTr="0046423B">
        <w:trPr>
          <w:trHeight w:val="20"/>
        </w:trPr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8EBBC1C" w14:textId="77777777" w:rsidR="006B68DF" w:rsidRPr="00462025" w:rsidRDefault="006B68DF" w:rsidP="0046423B">
            <w:pPr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расчеты по платежам в бюджеты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769C4101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1,8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376C477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43,2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5BE1DE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+41,4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05F4FD49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24 раза</w:t>
            </w:r>
          </w:p>
        </w:tc>
      </w:tr>
      <w:tr w:rsidR="006B68DF" w:rsidRPr="00BD63EB" w14:paraId="66DF65FA" w14:textId="77777777" w:rsidTr="0046423B">
        <w:trPr>
          <w:trHeight w:val="20"/>
        </w:trPr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26FB7B5" w14:textId="77777777" w:rsidR="006B68DF" w:rsidRPr="00462025" w:rsidRDefault="006B68DF" w:rsidP="0046423B">
            <w:pPr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расчеты по доходам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52E7787D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0,0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506362B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144,9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58D289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+144,9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2C918D1D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+100%</w:t>
            </w:r>
          </w:p>
        </w:tc>
      </w:tr>
      <w:tr w:rsidR="006B68DF" w:rsidRPr="00BD63EB" w14:paraId="69EF595E" w14:textId="77777777" w:rsidTr="0046423B">
        <w:trPr>
          <w:trHeight w:val="20"/>
        </w:trPr>
        <w:tc>
          <w:tcPr>
            <w:tcW w:w="4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3581CDC" w14:textId="77777777" w:rsidR="006B68DF" w:rsidRPr="00462025" w:rsidRDefault="006B68DF" w:rsidP="0046423B">
            <w:pPr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расчеты с подотчетными лицами</w:t>
            </w: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657F320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46,7</w:t>
            </w: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16C5DF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 w:rsidRPr="00462025">
              <w:rPr>
                <w:sz w:val="16"/>
                <w:szCs w:val="16"/>
              </w:rPr>
              <w:t>1,4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FB20581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-45,3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B8A0BB1" w14:textId="77777777" w:rsidR="006B68DF" w:rsidRPr="00462025" w:rsidRDefault="006B68DF" w:rsidP="004642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-97,0%</w:t>
            </w:r>
          </w:p>
        </w:tc>
      </w:tr>
    </w:tbl>
    <w:p w14:paraId="1E4463B6" w14:textId="77777777" w:rsidR="006B68DF" w:rsidRPr="008E070C" w:rsidRDefault="006B68DF" w:rsidP="006B68DF">
      <w:pPr>
        <w:autoSpaceDE w:val="0"/>
        <w:autoSpaceDN w:val="0"/>
        <w:adjustRightInd w:val="0"/>
        <w:ind w:firstLine="709"/>
        <w:jc w:val="both"/>
      </w:pPr>
    </w:p>
    <w:p w14:paraId="40B1FA8F" w14:textId="77777777" w:rsidR="006B68DF" w:rsidRPr="003914FD" w:rsidRDefault="006B68DF" w:rsidP="006B68DF">
      <w:pPr>
        <w:autoSpaceDE w:val="0"/>
        <w:autoSpaceDN w:val="0"/>
        <w:adjustRightInd w:val="0"/>
        <w:ind w:firstLine="709"/>
        <w:jc w:val="both"/>
      </w:pPr>
      <w:r w:rsidRPr="003914FD">
        <w:t>Дебиторская задолженность Облкомюстиции в течение 2020 года увеличилась в 23,2 раза и на конец года составила 134 380,3 тыс. рублей.</w:t>
      </w:r>
    </w:p>
    <w:p w14:paraId="06E617B2" w14:textId="05442497" w:rsidR="006B68DF" w:rsidRPr="003914FD" w:rsidRDefault="006B68DF" w:rsidP="006B68DF">
      <w:pPr>
        <w:tabs>
          <w:tab w:val="left" w:pos="0"/>
        </w:tabs>
        <w:ind w:firstLine="709"/>
        <w:jc w:val="both"/>
      </w:pPr>
      <w:r w:rsidRPr="003914FD">
        <w:lastRenderedPageBreak/>
        <w:t xml:space="preserve">В структуре дебиторской задолженности по состоянию на 01.01.2021 наибольшую долю </w:t>
      </w:r>
      <w:r w:rsidR="00ED2F25">
        <w:t>(</w:t>
      </w:r>
      <w:r w:rsidRPr="003914FD">
        <w:t>в объеме 129 271,6 тыс. руб.</w:t>
      </w:r>
      <w:r w:rsidR="00ED2F25">
        <w:t>)</w:t>
      </w:r>
      <w:r w:rsidRPr="003914FD">
        <w:t xml:space="preserve"> занимает задолженность по административным штрафам, вынесенным мировыми судьями, которая составляет 96,2% от обще</w:t>
      </w:r>
      <w:r w:rsidR="00532FD6" w:rsidRPr="003914FD">
        <w:t>го объема</w:t>
      </w:r>
      <w:r w:rsidRPr="003914FD">
        <w:t xml:space="preserve"> задолженности. </w:t>
      </w:r>
    </w:p>
    <w:p w14:paraId="03F606A8" w14:textId="04320F74" w:rsidR="006B68DF" w:rsidRDefault="006B68DF" w:rsidP="00FF5B7D">
      <w:pPr>
        <w:tabs>
          <w:tab w:val="left" w:pos="0"/>
        </w:tabs>
        <w:ind w:firstLine="709"/>
        <w:jc w:val="both"/>
      </w:pPr>
      <w:r w:rsidRPr="003914FD">
        <w:t xml:space="preserve">Основной причиной дебиторской задолженности по административным штрафам является большое количество постановлений </w:t>
      </w:r>
      <w:r w:rsidR="00933A51">
        <w:t>(</w:t>
      </w:r>
      <w:r w:rsidR="00933A51" w:rsidRPr="003914FD">
        <w:t>22 982 ед.</w:t>
      </w:r>
      <w:r w:rsidR="00933A51">
        <w:t>)</w:t>
      </w:r>
      <w:r w:rsidR="00933A51" w:rsidRPr="003914FD">
        <w:t xml:space="preserve"> </w:t>
      </w:r>
      <w:r w:rsidR="007C0F6D" w:rsidRPr="003914FD">
        <w:t>о наложении</w:t>
      </w:r>
      <w:r w:rsidRPr="003914FD">
        <w:t xml:space="preserve"> административных </w:t>
      </w:r>
      <w:r w:rsidR="007C0F6D" w:rsidRPr="003914FD">
        <w:t>штрафов</w:t>
      </w:r>
      <w:r w:rsidRPr="003914FD">
        <w:t xml:space="preserve"> </w:t>
      </w:r>
      <w:r w:rsidR="00AF4AA4">
        <w:t xml:space="preserve">в 2020 году </w:t>
      </w:r>
      <w:r w:rsidR="00E02B92" w:rsidRPr="003914FD">
        <w:t>на общую сумму 173 675,8 тыс. руб.</w:t>
      </w:r>
      <w:r w:rsidR="00D74AC0" w:rsidRPr="003914FD">
        <w:t>,</w:t>
      </w:r>
      <w:r w:rsidR="00E02B92" w:rsidRPr="003914FD">
        <w:t xml:space="preserve"> </w:t>
      </w:r>
      <w:r w:rsidRPr="003914FD">
        <w:t>из которых</w:t>
      </w:r>
      <w:r w:rsidR="00E02B92" w:rsidRPr="003914FD">
        <w:t xml:space="preserve"> оплачен</w:t>
      </w:r>
      <w:r w:rsidR="00933A51">
        <w:t>о</w:t>
      </w:r>
      <w:r w:rsidR="00E02B92" w:rsidRPr="003914FD">
        <w:t xml:space="preserve"> 44 404,2 тыс. руб.</w:t>
      </w:r>
      <w:r w:rsidR="00D74AC0" w:rsidRPr="003914FD">
        <w:t>,</w:t>
      </w:r>
      <w:r w:rsidR="00E02B92" w:rsidRPr="003914FD">
        <w:t xml:space="preserve"> или 25,6</w:t>
      </w:r>
      <w:r w:rsidR="00BE1C13">
        <w:t xml:space="preserve"> процента</w:t>
      </w:r>
      <w:r w:rsidR="00D74AC0" w:rsidRPr="003914FD">
        <w:t>. П</w:t>
      </w:r>
      <w:r w:rsidR="00E02B92" w:rsidRPr="003914FD">
        <w:t>ри этом количеств</w:t>
      </w:r>
      <w:r w:rsidR="00D74AC0" w:rsidRPr="003914FD">
        <w:t>о постановлений, по которым произведена оплата</w:t>
      </w:r>
      <w:r w:rsidR="00AF4AA4">
        <w:t>,</w:t>
      </w:r>
      <w:r w:rsidR="00D74AC0" w:rsidRPr="003914FD">
        <w:t xml:space="preserve"> составило</w:t>
      </w:r>
      <w:r w:rsidRPr="003914FD">
        <w:t xml:space="preserve"> 12 242 </w:t>
      </w:r>
      <w:r w:rsidR="00D74AC0" w:rsidRPr="003914FD">
        <w:t xml:space="preserve">ед., или </w:t>
      </w:r>
      <w:r w:rsidR="00E02B92" w:rsidRPr="003914FD">
        <w:t>53,3%</w:t>
      </w:r>
      <w:r w:rsidR="00D74AC0" w:rsidRPr="003914FD">
        <w:t xml:space="preserve"> от общего количества.</w:t>
      </w:r>
    </w:p>
    <w:p w14:paraId="4564BA14" w14:textId="690543DC" w:rsidR="006E1DC1" w:rsidRDefault="006E1DC1" w:rsidP="006E1DC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t>Исходя из вышеизложенного,</w:t>
      </w:r>
      <w:r w:rsidRPr="00ED1A3B">
        <w:t xml:space="preserve"> Комитет в 2020 году не в полной мере исполнял полномочия, установленные ст. 160.1 БК РФ, в части </w:t>
      </w:r>
      <w:r w:rsidRPr="00ED1A3B">
        <w:rPr>
          <w:rFonts w:eastAsiaTheme="minorHAnsi"/>
          <w:lang w:eastAsia="en-US"/>
        </w:rPr>
        <w:t>осуществления взыскания задолженности по платежам в бюджет, пеней и штрафов</w:t>
      </w:r>
      <w:r>
        <w:rPr>
          <w:rFonts w:eastAsiaTheme="minorHAnsi"/>
          <w:lang w:eastAsia="en-US"/>
        </w:rPr>
        <w:t xml:space="preserve">, а именно </w:t>
      </w:r>
      <w:r>
        <w:t xml:space="preserve">Комитет </w:t>
      </w:r>
      <w:r w:rsidRPr="00ED1A3B">
        <w:t xml:space="preserve">не </w:t>
      </w:r>
      <w:r w:rsidRPr="00ED1A3B">
        <w:rPr>
          <w:rFonts w:eastAsiaTheme="minorHAnsi"/>
        </w:rPr>
        <w:t>направлял в Службу судебных приставов запросы</w:t>
      </w:r>
      <w:r w:rsidRPr="00ED1A3B">
        <w:t xml:space="preserve"> </w:t>
      </w:r>
      <w:r w:rsidRPr="00ED1A3B">
        <w:rPr>
          <w:rFonts w:eastAsiaTheme="minorHAnsi"/>
        </w:rPr>
        <w:t xml:space="preserve">с целью получения информации: </w:t>
      </w:r>
    </w:p>
    <w:p w14:paraId="44437CA3" w14:textId="77777777" w:rsidR="006E1DC1" w:rsidRDefault="006E1DC1" w:rsidP="006E1DC1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</w:rPr>
        <w:t>-</w:t>
      </w:r>
      <w:r w:rsidRPr="00ED1A3B">
        <w:rPr>
          <w:rFonts w:eastAsiaTheme="minorHAnsi"/>
        </w:rPr>
        <w:t xml:space="preserve">о принимаемых мерах по принудительному взысканию </w:t>
      </w:r>
      <w:r w:rsidRPr="00ED1A3B">
        <w:t>своевременно неоплаченных административных штрафов</w:t>
      </w:r>
      <w:r>
        <w:t>;</w:t>
      </w:r>
    </w:p>
    <w:p w14:paraId="6C115E37" w14:textId="66E1B6D7" w:rsidR="006E1DC1" w:rsidRPr="00ED1A3B" w:rsidRDefault="006E1DC1" w:rsidP="006E1DC1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</w:rPr>
      </w:pPr>
      <w:r>
        <w:t>-</w:t>
      </w:r>
      <w:r w:rsidR="002F5425">
        <w:t xml:space="preserve">по </w:t>
      </w:r>
      <w:r>
        <w:t>исполнению</w:t>
      </w:r>
      <w:r w:rsidRPr="00ED1A3B">
        <w:t xml:space="preserve"> полномочий, предусмотренных ст. 50 </w:t>
      </w:r>
      <w:r w:rsidRPr="00ED1A3B">
        <w:rPr>
          <w:rFonts w:eastAsiaTheme="minorHAnsi"/>
        </w:rPr>
        <w:t>Федерального закона от 02.10.2007 № 229-ФЗ «Об исполнительном производстве», достаточной для принятия решений о признании безнадежной к взысканию задолженности по платежам в бюджет по административным штрафам согласно п. 3 и п. 4 ст. 46 указанного Федерального закона.</w:t>
      </w:r>
    </w:p>
    <w:p w14:paraId="12E1BF67" w14:textId="7B91CFC6" w:rsidR="00532FD6" w:rsidRDefault="00532FD6" w:rsidP="00FF5B7D">
      <w:pPr>
        <w:tabs>
          <w:tab w:val="left" w:pos="0"/>
        </w:tabs>
        <w:ind w:firstLine="709"/>
        <w:jc w:val="both"/>
      </w:pPr>
      <w:r w:rsidRPr="0046423B">
        <w:t>Согласно пояснений Комитета функциональные обязанности должностных лиц по исполнению полномочий Комитета как администратора доходов</w:t>
      </w:r>
      <w:r w:rsidR="005E18FC" w:rsidRPr="0046423B">
        <w:t xml:space="preserve"> закреплен</w:t>
      </w:r>
      <w:r w:rsidR="00D74AC0" w:rsidRPr="0046423B">
        <w:t>ы</w:t>
      </w:r>
      <w:r w:rsidR="005E18FC" w:rsidRPr="0046423B">
        <w:t xml:space="preserve"> в их должностных обязанностях. При этом локальный нормативный документ (Порядок) организации работы по исполнению полномочий администратора доходов, в котором были бы закреплены функции структурных подразделений (должностных лиц)</w:t>
      </w:r>
      <w:r w:rsidR="00AF4AA4">
        <w:t>,</w:t>
      </w:r>
      <w:r w:rsidR="005E18FC" w:rsidRPr="0046423B">
        <w:t xml:space="preserve"> в Комитете отсутствует.</w:t>
      </w:r>
    </w:p>
    <w:p w14:paraId="5EBB0815" w14:textId="77777777" w:rsidR="0046423B" w:rsidRDefault="0046423B" w:rsidP="00FF5B7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14:paraId="2B381448" w14:textId="07E45C71" w:rsidR="006B68DF" w:rsidRPr="005E18FC" w:rsidRDefault="006B68DF" w:rsidP="00FF5B7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E18FC">
        <w:t xml:space="preserve">Оставшаяся сумма дебиторской задолженности </w:t>
      </w:r>
      <w:r w:rsidR="00532FD6" w:rsidRPr="005E18FC">
        <w:t xml:space="preserve">в основном </w:t>
      </w:r>
      <w:r w:rsidRPr="005E18FC">
        <w:t>состоит из</w:t>
      </w:r>
      <w:r w:rsidR="00532FD6" w:rsidRPr="005E18FC">
        <w:t xml:space="preserve"> сумм, выданных в подотчет государственным знакам почтовой оплаты, а также по авансовым перечислениям другим бюджетам бюджетной системы РФ (субвенция на регистрацию актов гражданского состояния).</w:t>
      </w:r>
    </w:p>
    <w:p w14:paraId="07D3C064" w14:textId="66AC9156" w:rsidR="006B68DF" w:rsidRPr="009C2A9A" w:rsidRDefault="006B68DF" w:rsidP="006B68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EF0907">
        <w:t xml:space="preserve">Кредиторская задолженность </w:t>
      </w:r>
      <w:r>
        <w:t xml:space="preserve">по состоянию </w:t>
      </w:r>
      <w:r w:rsidRPr="00EF0907">
        <w:t xml:space="preserve">на 01.01.2021 по сравнению с началом 2020 года уменьшилась на 1 716,3 тыс. руб., или на 44,1%, и состоит в основном из задолженности по принятым обязательствам </w:t>
      </w:r>
      <w:r w:rsidRPr="006B20C7">
        <w:t>за услуги связи и коммунальные платежи</w:t>
      </w:r>
      <w:r>
        <w:t xml:space="preserve">. Задолженность образовалась </w:t>
      </w:r>
      <w:r w:rsidRPr="006B20C7">
        <w:t xml:space="preserve">за декабрь 2020 года в связи с несвоевременным выставлением </w:t>
      </w:r>
      <w:r>
        <w:t xml:space="preserve">поставщиками </w:t>
      </w:r>
      <w:r w:rsidRPr="006B20C7">
        <w:t>документов за оказанные услуги.</w:t>
      </w:r>
    </w:p>
    <w:p w14:paraId="6188708D" w14:textId="77777777" w:rsidR="006B68DF" w:rsidRPr="008E070C" w:rsidRDefault="006B68DF" w:rsidP="006B68D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F0907">
        <w:t>Согласно отчётности просроченн</w:t>
      </w:r>
      <w:r>
        <w:t>ой</w:t>
      </w:r>
      <w:r w:rsidRPr="00EF0907">
        <w:t xml:space="preserve"> кредиторск</w:t>
      </w:r>
      <w:r>
        <w:t>ой</w:t>
      </w:r>
      <w:r w:rsidRPr="00EF0907">
        <w:t xml:space="preserve"> задолженност</w:t>
      </w:r>
      <w:r>
        <w:t xml:space="preserve">и </w:t>
      </w:r>
      <w:r w:rsidRPr="00EF0907">
        <w:t xml:space="preserve">на 01.01.2021 </w:t>
      </w:r>
      <w:r>
        <w:t>не имеется</w:t>
      </w:r>
      <w:r w:rsidRPr="00EF0907">
        <w:t>.</w:t>
      </w:r>
    </w:p>
    <w:p w14:paraId="4A52C237" w14:textId="77777777" w:rsidR="006B68DF" w:rsidRDefault="006B68DF" w:rsidP="006B68DF">
      <w:pPr>
        <w:tabs>
          <w:tab w:val="left" w:pos="0"/>
        </w:tabs>
        <w:ind w:firstLine="567"/>
        <w:jc w:val="center"/>
        <w:rPr>
          <w:b/>
          <w:i/>
        </w:rPr>
      </w:pPr>
    </w:p>
    <w:p w14:paraId="63F18E85" w14:textId="77777777" w:rsidR="006B68DF" w:rsidRDefault="006B68DF" w:rsidP="006B68DF">
      <w:pPr>
        <w:ind w:firstLine="567"/>
        <w:jc w:val="center"/>
        <w:rPr>
          <w:b/>
          <w:i/>
        </w:rPr>
      </w:pPr>
      <w:r w:rsidRPr="004807BB">
        <w:rPr>
          <w:b/>
          <w:i/>
        </w:rPr>
        <w:t xml:space="preserve">Состояние внутреннего финансового аудита </w:t>
      </w:r>
    </w:p>
    <w:p w14:paraId="44F57CA7" w14:textId="77777777" w:rsidR="006B68DF" w:rsidRPr="004807BB" w:rsidRDefault="006B68DF" w:rsidP="006B68DF">
      <w:pPr>
        <w:ind w:firstLine="567"/>
        <w:jc w:val="center"/>
        <w:rPr>
          <w:b/>
          <w:i/>
        </w:rPr>
      </w:pPr>
      <w:r w:rsidRPr="004807BB">
        <w:rPr>
          <w:b/>
          <w:i/>
        </w:rPr>
        <w:t xml:space="preserve">и </w:t>
      </w:r>
      <w:r w:rsidRPr="004807BB">
        <w:rPr>
          <w:rFonts w:eastAsiaTheme="minorHAnsi"/>
          <w:b/>
          <w:i/>
          <w:lang w:eastAsia="en-US"/>
        </w:rPr>
        <w:t>финансового менеджмента</w:t>
      </w:r>
    </w:p>
    <w:p w14:paraId="18BBE192" w14:textId="77777777" w:rsidR="006B68DF" w:rsidRDefault="006B68DF" w:rsidP="006B68DF">
      <w:pPr>
        <w:autoSpaceDE w:val="0"/>
        <w:autoSpaceDN w:val="0"/>
        <w:adjustRightInd w:val="0"/>
        <w:ind w:firstLine="567"/>
        <w:jc w:val="both"/>
      </w:pPr>
      <w:r w:rsidRPr="007C099E">
        <w:t xml:space="preserve">Статьей 160.2-1 БК РФ определены бюджетные полномочия </w:t>
      </w:r>
      <w:r w:rsidRPr="007C099E">
        <w:rPr>
          <w:rFonts w:eastAsiaTheme="minorHAnsi"/>
          <w:lang w:eastAsia="en-US"/>
        </w:rPr>
        <w:t xml:space="preserve">участников бюджетного процесса по организации и </w:t>
      </w:r>
      <w:r w:rsidRPr="007C099E">
        <w:t>осуществлению внутреннего финансового аудита.</w:t>
      </w:r>
    </w:p>
    <w:p w14:paraId="7AC95BC7" w14:textId="4DD2E194" w:rsidR="006B68DF" w:rsidRDefault="006B68DF" w:rsidP="006B68D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</w:t>
      </w:r>
      <w:r w:rsidR="00846A85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с п. 5 ст. </w:t>
      </w:r>
      <w:r w:rsidRPr="007C099E">
        <w:t xml:space="preserve">160.2-1 БК РФ </w:t>
      </w:r>
      <w:r>
        <w:t xml:space="preserve">приказом </w:t>
      </w:r>
      <w:r>
        <w:rPr>
          <w:rFonts w:eastAsiaTheme="minorHAnsi"/>
          <w:lang w:eastAsia="en-US"/>
        </w:rPr>
        <w:t>Министерства финансов РФ</w:t>
      </w:r>
      <w:r>
        <w:t xml:space="preserve"> от </w:t>
      </w:r>
      <w:r>
        <w:rPr>
          <w:rFonts w:eastAsiaTheme="minorHAnsi"/>
          <w:lang w:eastAsia="en-US"/>
        </w:rPr>
        <w:t>18.12.2019 № 237н утвержден федеральный стандарт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 (далее – Стандарт № 237н).</w:t>
      </w:r>
    </w:p>
    <w:p w14:paraId="19D2D4E9" w14:textId="77777777" w:rsidR="006B68DF" w:rsidRDefault="006B68DF" w:rsidP="006B68D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Согласно п. 1 Стандарта № 237н он применяется должностными лицами (работниками)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бюджета, а также распорядителей бюджетных средств, </w:t>
      </w:r>
      <w:r w:rsidRPr="00505E71">
        <w:rPr>
          <w:rFonts w:eastAsiaTheme="minorHAnsi"/>
          <w:u w:val="single"/>
          <w:lang w:eastAsia="en-US"/>
        </w:rPr>
        <w:t>получателей бюджетных средств</w:t>
      </w:r>
      <w:r>
        <w:rPr>
          <w:rFonts w:eastAsiaTheme="minorHAnsi"/>
          <w:lang w:eastAsia="en-US"/>
        </w:rPr>
        <w:t>, администраторов доходов бюджета, администраторов источников финансирования дефицита бюджета при организации внутреннего финансового аудита.</w:t>
      </w:r>
    </w:p>
    <w:p w14:paraId="483EAC9C" w14:textId="77777777" w:rsidR="006B68DF" w:rsidRDefault="006B68DF" w:rsidP="006B68D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31E42">
        <w:t xml:space="preserve">В нарушение </w:t>
      </w:r>
      <w:r w:rsidRPr="00531E42">
        <w:rPr>
          <w:rFonts w:eastAsiaTheme="minorHAnsi"/>
          <w:lang w:eastAsia="en-US"/>
        </w:rPr>
        <w:t xml:space="preserve">п. 5 ст. </w:t>
      </w:r>
      <w:r w:rsidRPr="00531E42">
        <w:t xml:space="preserve">160.2-1 БК РФ </w:t>
      </w:r>
      <w:r w:rsidRPr="00531E42">
        <w:rPr>
          <w:rFonts w:eastAsia="Calibri"/>
        </w:rPr>
        <w:t xml:space="preserve">внутренний финансовый аудит в подведомственных Комитету учреждениях не организован, порядки, </w:t>
      </w:r>
      <w:r w:rsidRPr="00531E42">
        <w:rPr>
          <w:rFonts w:eastAsiaTheme="minorHAnsi"/>
          <w:lang w:eastAsia="en-US"/>
        </w:rPr>
        <w:t xml:space="preserve">обеспечивающие осуществление </w:t>
      </w:r>
      <w:r w:rsidRPr="00531E42">
        <w:rPr>
          <w:rFonts w:eastAsiaTheme="minorHAnsi"/>
          <w:lang w:eastAsia="en-US"/>
        </w:rPr>
        <w:lastRenderedPageBreak/>
        <w:t>внутреннего финансового аудита с соблюдением федеральных стандартов внутреннего финансового аудита</w:t>
      </w:r>
      <w:r w:rsidRPr="00531E42">
        <w:rPr>
          <w:rFonts w:eastAsia="Calibri"/>
        </w:rPr>
        <w:t xml:space="preserve"> в них не утверждены.</w:t>
      </w:r>
    </w:p>
    <w:p w14:paraId="2770BED4" w14:textId="28DC37A6" w:rsidR="006B68DF" w:rsidRPr="00D03546" w:rsidRDefault="006B68DF" w:rsidP="006B68D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>В</w:t>
      </w:r>
      <w:r w:rsidRPr="00531E42">
        <w:rPr>
          <w:rFonts w:eastAsia="Calibri"/>
        </w:rPr>
        <w:t>нутренний финансовый аудит</w:t>
      </w:r>
      <w:r>
        <w:rPr>
          <w:rFonts w:eastAsia="Calibri"/>
        </w:rPr>
        <w:t xml:space="preserve"> осуществляется только в</w:t>
      </w:r>
      <w:r w:rsidRPr="00D03546">
        <w:rPr>
          <w:rFonts w:eastAsia="Calibri"/>
        </w:rPr>
        <w:t xml:space="preserve"> </w:t>
      </w:r>
      <w:r>
        <w:rPr>
          <w:rFonts w:eastAsia="Calibri"/>
        </w:rPr>
        <w:t>Комитете</w:t>
      </w:r>
      <w:r w:rsidRPr="00D03546">
        <w:rPr>
          <w:rFonts w:eastAsia="Calibri"/>
        </w:rPr>
        <w:t xml:space="preserve"> в соответстви</w:t>
      </w:r>
      <w:r w:rsidR="00AF4AA4">
        <w:rPr>
          <w:rFonts w:eastAsia="Calibri"/>
        </w:rPr>
        <w:t>и</w:t>
      </w:r>
      <w:r w:rsidRPr="00D03546">
        <w:rPr>
          <w:rFonts w:eastAsia="Calibri"/>
        </w:rPr>
        <w:t xml:space="preserve"> с Порядком организации внутреннего финансового аудита, утвержденным приказом Комитета от 28.08.2020 № 02-06-03/214</w:t>
      </w:r>
      <w:r>
        <w:rPr>
          <w:rFonts w:eastAsia="Calibri"/>
        </w:rPr>
        <w:t>.</w:t>
      </w:r>
    </w:p>
    <w:p w14:paraId="2B55A2E8" w14:textId="77777777" w:rsidR="006B68DF" w:rsidRPr="00C113ED" w:rsidRDefault="006B68DF" w:rsidP="006B68D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113ED">
        <w:rPr>
          <w:rFonts w:eastAsia="Calibri"/>
        </w:rPr>
        <w:t>В штатном расписании Облкомюстиции предусмотрен сектор внутреннего финансового аудита численностью 1 штатная единица</w:t>
      </w:r>
      <w:r>
        <w:rPr>
          <w:rFonts w:eastAsia="Calibri"/>
        </w:rPr>
        <w:t xml:space="preserve">, который осуществляет свою деятельность </w:t>
      </w:r>
      <w:r>
        <w:rPr>
          <w:rFonts w:eastAsiaTheme="minorHAnsi"/>
          <w:lang w:eastAsia="en-US"/>
        </w:rPr>
        <w:t>на основе принципа функциональной независимости</w:t>
      </w:r>
      <w:r w:rsidRPr="00C113ED">
        <w:rPr>
          <w:rFonts w:eastAsia="Calibri"/>
        </w:rPr>
        <w:t>.</w:t>
      </w:r>
    </w:p>
    <w:p w14:paraId="0F577A99" w14:textId="3FEB8BE5" w:rsidR="006B68DF" w:rsidRPr="00C113ED" w:rsidRDefault="006B68DF" w:rsidP="006B68DF">
      <w:pPr>
        <w:ind w:firstLine="567"/>
        <w:jc w:val="both"/>
        <w:rPr>
          <w:rFonts w:eastAsia="Calibri"/>
        </w:rPr>
      </w:pPr>
      <w:r w:rsidRPr="00C113ED">
        <w:rPr>
          <w:rFonts w:eastAsia="Calibri"/>
        </w:rPr>
        <w:t>Мероприятия</w:t>
      </w:r>
      <w:r>
        <w:rPr>
          <w:rFonts w:eastAsia="Calibri"/>
        </w:rPr>
        <w:t>,</w:t>
      </w:r>
      <w:r w:rsidRPr="00C113ED">
        <w:rPr>
          <w:rFonts w:eastAsia="Calibri"/>
        </w:rPr>
        <w:t xml:space="preserve"> предусмотренные планом внутреннего финансового аудита на 2020 год,</w:t>
      </w:r>
      <w:r>
        <w:rPr>
          <w:rFonts w:eastAsia="Calibri"/>
        </w:rPr>
        <w:t xml:space="preserve"> в том числе проверки в отношени</w:t>
      </w:r>
      <w:r w:rsidR="00AF4AA4">
        <w:rPr>
          <w:rFonts w:eastAsia="Calibri"/>
        </w:rPr>
        <w:t>и</w:t>
      </w:r>
      <w:r w:rsidRPr="00C113ED">
        <w:rPr>
          <w:rFonts w:eastAsia="Calibri"/>
        </w:rPr>
        <w:t xml:space="preserve"> </w:t>
      </w:r>
      <w:r>
        <w:rPr>
          <w:rFonts w:eastAsia="Calibri"/>
        </w:rPr>
        <w:t>подведомственных учреждений,</w:t>
      </w:r>
      <w:r w:rsidRPr="00C113ED">
        <w:rPr>
          <w:rFonts w:eastAsia="Calibri"/>
        </w:rPr>
        <w:t xml:space="preserve"> утверждены приказом Облкомюстиции от 28.11.2019 № 02-06-03/260, </w:t>
      </w:r>
      <w:r>
        <w:rPr>
          <w:rFonts w:eastAsia="Calibri"/>
        </w:rPr>
        <w:t xml:space="preserve">и </w:t>
      </w:r>
      <w:r w:rsidRPr="00C113ED">
        <w:rPr>
          <w:rFonts w:eastAsia="Calibri"/>
        </w:rPr>
        <w:t>исполнены полностью.</w:t>
      </w:r>
    </w:p>
    <w:p w14:paraId="2A06EAAB" w14:textId="77777777" w:rsidR="006B68DF" w:rsidRDefault="006B68DF" w:rsidP="006B68DF">
      <w:pPr>
        <w:ind w:firstLine="567"/>
        <w:jc w:val="both"/>
        <w:rPr>
          <w:rFonts w:eastAsia="Calibri"/>
        </w:rPr>
      </w:pPr>
      <w:r w:rsidRPr="00505E71">
        <w:rPr>
          <w:rFonts w:eastAsia="Calibri"/>
        </w:rPr>
        <w:t>В Облкомюстиции проведены 6 аудиторских проверок структурных подразделений Комитета</w:t>
      </w:r>
      <w:r>
        <w:rPr>
          <w:rFonts w:eastAsia="Calibri"/>
        </w:rPr>
        <w:t xml:space="preserve"> </w:t>
      </w:r>
      <w:r w:rsidRPr="00D75E5E">
        <w:rPr>
          <w:rFonts w:eastAsia="Calibri"/>
        </w:rPr>
        <w:t>по оценке эффективности системы внутреннего финансового контроля в отношении расходов бюджета, осуществления полномочий главного администратора доходов бюджета,</w:t>
      </w:r>
      <w:r w:rsidRPr="009C2A9A">
        <w:rPr>
          <w:rFonts w:eastAsia="Calibri"/>
          <w:highlight w:val="yellow"/>
        </w:rPr>
        <w:t xml:space="preserve"> </w:t>
      </w:r>
      <w:r w:rsidRPr="00D75E5E">
        <w:rPr>
          <w:rFonts w:eastAsia="Calibri"/>
        </w:rPr>
        <w:t xml:space="preserve">исполнения судебных актов по обращению взыскания на средства бюджета, достоверности и полноты бюджетной отчётности. Проведён финансовый аудит в виде комбинированной проверки эффективности системы внутреннего финансового контроля в отношении исполнения сметы, составления бюджетной отчетности и ведения бюджетного учета ГКУ «Юрбюро» и ГКУ «Дирекция». </w:t>
      </w:r>
      <w:r w:rsidRPr="00A429A8">
        <w:rPr>
          <w:rFonts w:eastAsia="Calibri"/>
        </w:rPr>
        <w:t xml:space="preserve">По результатам проверок установлено, что внутренний финансовый контроль осуществлялся на должном уровне, бюджетная отчётность, предоставленная </w:t>
      </w:r>
      <w:r>
        <w:rPr>
          <w:rFonts w:eastAsia="Calibri"/>
        </w:rPr>
        <w:t xml:space="preserve">в Облфин </w:t>
      </w:r>
      <w:r w:rsidRPr="00A429A8">
        <w:rPr>
          <w:rFonts w:eastAsia="Calibri"/>
        </w:rPr>
        <w:t>по итогам 2019 года, является достоверной и полной.</w:t>
      </w:r>
    </w:p>
    <w:p w14:paraId="6665669B" w14:textId="77777777" w:rsidR="006B68DF" w:rsidRDefault="006B68DF" w:rsidP="006B68DF">
      <w:pPr>
        <w:ind w:firstLine="567"/>
        <w:jc w:val="both"/>
        <w:rPr>
          <w:rFonts w:eastAsiaTheme="minorHAnsi"/>
          <w:lang w:eastAsia="en-US"/>
        </w:rPr>
      </w:pPr>
    </w:p>
    <w:p w14:paraId="5B1E22E5" w14:textId="77777777" w:rsidR="006B68DF" w:rsidRDefault="006B68DF" w:rsidP="006B68DF">
      <w:pPr>
        <w:ind w:firstLine="567"/>
        <w:jc w:val="both"/>
      </w:pPr>
      <w:r>
        <w:rPr>
          <w:rFonts w:eastAsiaTheme="minorHAnsi"/>
          <w:lang w:eastAsia="en-US"/>
        </w:rPr>
        <w:t>Согласно</w:t>
      </w:r>
      <w:r w:rsidRPr="004E4C3F">
        <w:rPr>
          <w:rFonts w:eastAsiaTheme="minorHAnsi"/>
          <w:lang w:eastAsia="en-US"/>
        </w:rPr>
        <w:t xml:space="preserve"> пп. 2 п. 6 ст. </w:t>
      </w:r>
      <w:r w:rsidRPr="004E4C3F">
        <w:t xml:space="preserve">160.2-1 БК РФ </w:t>
      </w:r>
      <w:r w:rsidRPr="004E4C3F">
        <w:rPr>
          <w:rFonts w:eastAsiaTheme="minorHAnsi"/>
          <w:lang w:eastAsia="en-US"/>
        </w:rPr>
        <w:t>главные администраторы бюджетных средств в установленном ими порядке должны пров</w:t>
      </w:r>
      <w:r>
        <w:rPr>
          <w:rFonts w:eastAsiaTheme="minorHAnsi"/>
          <w:lang w:eastAsia="en-US"/>
        </w:rPr>
        <w:t>одить</w:t>
      </w:r>
      <w:r w:rsidRPr="004E4C3F">
        <w:rPr>
          <w:rFonts w:eastAsiaTheme="minorHAnsi"/>
          <w:lang w:eastAsia="en-US"/>
        </w:rPr>
        <w:t xml:space="preserve"> мониторинг качества финансового менеджмента в отношении подведомственных им администраторов бюджетных средств.</w:t>
      </w:r>
    </w:p>
    <w:p w14:paraId="2E2D9C2F" w14:textId="4A62AAA1" w:rsidR="006B68DF" w:rsidRDefault="006B68DF" w:rsidP="006B68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В нарушение </w:t>
      </w:r>
      <w:r w:rsidRPr="004E4C3F">
        <w:rPr>
          <w:rFonts w:eastAsiaTheme="minorHAnsi"/>
          <w:lang w:eastAsia="en-US"/>
        </w:rPr>
        <w:t xml:space="preserve">пп. 2 п. 6 ст. </w:t>
      </w:r>
      <w:r w:rsidRPr="004E4C3F">
        <w:t>160.2-1 БК РФ</w:t>
      </w:r>
      <w:r>
        <w:t xml:space="preserve"> Комитет порядок </w:t>
      </w:r>
      <w:r>
        <w:rPr>
          <w:rFonts w:eastAsiaTheme="minorHAnsi"/>
          <w:lang w:eastAsia="en-US"/>
        </w:rPr>
        <w:t xml:space="preserve">проведения мониторинга качества финансового менеджмента в отношении </w:t>
      </w:r>
      <w:r w:rsidRPr="004E6894">
        <w:rPr>
          <w:rFonts w:eastAsiaTheme="minorHAnsi"/>
          <w:lang w:eastAsia="en-US"/>
        </w:rPr>
        <w:t xml:space="preserve">администраторов </w:t>
      </w:r>
      <w:r w:rsidRPr="004E6894">
        <w:t>средств областного бюджета</w:t>
      </w:r>
      <w:r w:rsidRPr="004E6894">
        <w:rPr>
          <w:rFonts w:eastAsiaTheme="minorHAnsi"/>
          <w:lang w:eastAsia="en-US"/>
        </w:rPr>
        <w:t>, подведомственных Комитету, не разработал</w:t>
      </w:r>
      <w:r w:rsidR="00AF4AA4">
        <w:rPr>
          <w:rFonts w:eastAsiaTheme="minorHAnsi"/>
          <w:lang w:eastAsia="en-US"/>
        </w:rPr>
        <w:t>,</w:t>
      </w:r>
      <w:r w:rsidRPr="004E6894">
        <w:rPr>
          <w:rFonts w:eastAsiaTheme="minorHAnsi"/>
          <w:lang w:eastAsia="en-US"/>
        </w:rPr>
        <w:t xml:space="preserve"> и в 2020 году мониторинг качества финансового менеджмента в отношении </w:t>
      </w:r>
      <w:r>
        <w:rPr>
          <w:rFonts w:eastAsiaTheme="minorHAnsi"/>
          <w:lang w:eastAsia="en-US"/>
        </w:rPr>
        <w:t>них</w:t>
      </w:r>
      <w:r w:rsidRPr="004E6894">
        <w:rPr>
          <w:rFonts w:eastAsiaTheme="minorHAnsi"/>
          <w:lang w:eastAsia="en-US"/>
        </w:rPr>
        <w:t xml:space="preserve"> не осуществлял.</w:t>
      </w:r>
    </w:p>
    <w:p w14:paraId="26CD8D9E" w14:textId="77777777" w:rsidR="006B68DF" w:rsidRDefault="006B68DF" w:rsidP="006B68DF">
      <w:pPr>
        <w:autoSpaceDE w:val="0"/>
        <w:autoSpaceDN w:val="0"/>
        <w:adjustRightInd w:val="0"/>
        <w:ind w:firstLine="720"/>
        <w:jc w:val="both"/>
      </w:pPr>
    </w:p>
    <w:p w14:paraId="7C9C21C3" w14:textId="77777777" w:rsidR="00410EA9" w:rsidRPr="006D2617" w:rsidRDefault="00410EA9" w:rsidP="006D2617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  <w:r w:rsidRPr="006D2617">
        <w:rPr>
          <w:rFonts w:eastAsia="Calibri"/>
          <w:b/>
        </w:rPr>
        <w:t>Выводы:</w:t>
      </w:r>
    </w:p>
    <w:p w14:paraId="0AFD652C" w14:textId="72E42B1A" w:rsidR="006D2617" w:rsidRPr="006D2617" w:rsidRDefault="006D2617" w:rsidP="006D2617">
      <w:pPr>
        <w:pStyle w:val="af8"/>
        <w:numPr>
          <w:ilvl w:val="0"/>
          <w:numId w:val="6"/>
        </w:numPr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617"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Pr="006D2617">
        <w:rPr>
          <w:rFonts w:ascii="Times New Roman" w:eastAsiaTheme="minorHAnsi" w:hAnsi="Times New Roman" w:cs="Times New Roman"/>
          <w:sz w:val="24"/>
          <w:szCs w:val="24"/>
        </w:rPr>
        <w:t xml:space="preserve">п. 5 ст. </w:t>
      </w:r>
      <w:r w:rsidRPr="006D2617">
        <w:rPr>
          <w:rFonts w:ascii="Times New Roman" w:hAnsi="Times New Roman" w:cs="Times New Roman"/>
          <w:sz w:val="24"/>
          <w:szCs w:val="24"/>
        </w:rPr>
        <w:t xml:space="preserve">160.2-1 БК РФ </w:t>
      </w:r>
      <w:r w:rsidRPr="006D2617">
        <w:rPr>
          <w:rFonts w:ascii="Times New Roman" w:eastAsia="Calibri" w:hAnsi="Times New Roman" w:cs="Times New Roman"/>
          <w:sz w:val="24"/>
          <w:szCs w:val="24"/>
        </w:rPr>
        <w:t xml:space="preserve">внутренний финансовый аудит в подведомственных Комитету учреждениях не организован, порядки, </w:t>
      </w:r>
      <w:r w:rsidRPr="006D2617">
        <w:rPr>
          <w:rFonts w:ascii="Times New Roman" w:eastAsiaTheme="minorHAnsi" w:hAnsi="Times New Roman" w:cs="Times New Roman"/>
          <w:sz w:val="24"/>
          <w:szCs w:val="24"/>
        </w:rPr>
        <w:t>обеспечивающие осуществление внутреннего финансового аудита с соблюдением федеральных стандартов внутреннего финансового аудита</w:t>
      </w:r>
      <w:r w:rsidRPr="006D2617">
        <w:rPr>
          <w:rFonts w:ascii="Times New Roman" w:eastAsia="Calibri" w:hAnsi="Times New Roman" w:cs="Times New Roman"/>
          <w:sz w:val="24"/>
          <w:szCs w:val="24"/>
        </w:rPr>
        <w:t xml:space="preserve"> в них</w:t>
      </w:r>
      <w:r w:rsidR="00363A55">
        <w:rPr>
          <w:rFonts w:ascii="Times New Roman" w:eastAsia="Calibri" w:hAnsi="Times New Roman" w:cs="Times New Roman"/>
          <w:sz w:val="24"/>
          <w:szCs w:val="24"/>
        </w:rPr>
        <w:t>,</w:t>
      </w:r>
      <w:r w:rsidRPr="006D2617">
        <w:rPr>
          <w:rFonts w:ascii="Times New Roman" w:eastAsia="Calibri" w:hAnsi="Times New Roman" w:cs="Times New Roman"/>
          <w:sz w:val="24"/>
          <w:szCs w:val="24"/>
        </w:rPr>
        <w:t xml:space="preserve"> не утверждены.</w:t>
      </w:r>
    </w:p>
    <w:p w14:paraId="4FD3CA1C" w14:textId="3541AB13" w:rsidR="006D2617" w:rsidRPr="00B074C0" w:rsidRDefault="006D2617" w:rsidP="0046423B">
      <w:pPr>
        <w:pStyle w:val="af8"/>
        <w:numPr>
          <w:ilvl w:val="0"/>
          <w:numId w:val="6"/>
        </w:numPr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617"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Pr="006D2617">
        <w:rPr>
          <w:rFonts w:ascii="Times New Roman" w:eastAsiaTheme="minorHAnsi" w:hAnsi="Times New Roman" w:cs="Times New Roman"/>
          <w:sz w:val="24"/>
          <w:szCs w:val="24"/>
        </w:rPr>
        <w:t xml:space="preserve">пп. 2 п. 6 ст. </w:t>
      </w:r>
      <w:r w:rsidRPr="006D2617">
        <w:rPr>
          <w:rFonts w:ascii="Times New Roman" w:hAnsi="Times New Roman" w:cs="Times New Roman"/>
          <w:sz w:val="24"/>
          <w:szCs w:val="24"/>
        </w:rPr>
        <w:t xml:space="preserve">160.2-1 БК РФ Комитет порядок </w:t>
      </w:r>
      <w:r w:rsidRPr="006D2617">
        <w:rPr>
          <w:rFonts w:ascii="Times New Roman" w:eastAsiaTheme="minorHAnsi" w:hAnsi="Times New Roman" w:cs="Times New Roman"/>
          <w:sz w:val="24"/>
          <w:szCs w:val="24"/>
        </w:rPr>
        <w:t xml:space="preserve">проведения мониторинга качества финансового менеджмента в отношении администраторов </w:t>
      </w:r>
      <w:r w:rsidRPr="006D2617">
        <w:rPr>
          <w:rFonts w:ascii="Times New Roman" w:hAnsi="Times New Roman" w:cs="Times New Roman"/>
          <w:sz w:val="24"/>
          <w:szCs w:val="24"/>
        </w:rPr>
        <w:t>средств областного бюджета</w:t>
      </w:r>
      <w:r w:rsidRPr="006D2617">
        <w:rPr>
          <w:rFonts w:ascii="Times New Roman" w:eastAsiaTheme="minorHAnsi" w:hAnsi="Times New Roman" w:cs="Times New Roman"/>
          <w:sz w:val="24"/>
          <w:szCs w:val="24"/>
        </w:rPr>
        <w:t>, подведомственных Комитету, не разработал</w:t>
      </w:r>
      <w:r w:rsidR="00AF4AA4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6D2617">
        <w:rPr>
          <w:rFonts w:ascii="Times New Roman" w:eastAsiaTheme="minorHAnsi" w:hAnsi="Times New Roman" w:cs="Times New Roman"/>
          <w:sz w:val="24"/>
          <w:szCs w:val="24"/>
        </w:rPr>
        <w:t xml:space="preserve"> и в 2020 году мониторинг качества финансового менеджмента в отношении них не осуществлял.</w:t>
      </w:r>
    </w:p>
    <w:p w14:paraId="4E8942E0" w14:textId="23CF8671" w:rsidR="00B074C0" w:rsidRDefault="00B074C0" w:rsidP="0046423B">
      <w:pPr>
        <w:pStyle w:val="af8"/>
        <w:numPr>
          <w:ilvl w:val="0"/>
          <w:numId w:val="6"/>
        </w:numPr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423B">
        <w:rPr>
          <w:rFonts w:ascii="Times New Roman" w:hAnsi="Times New Roman" w:cs="Times New Roman"/>
          <w:sz w:val="24"/>
          <w:szCs w:val="24"/>
        </w:rPr>
        <w:t xml:space="preserve">Дебиторская задолженность </w:t>
      </w:r>
      <w:r w:rsidR="00AF4AA4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Pr="0046423B">
        <w:rPr>
          <w:rFonts w:ascii="Times New Roman" w:hAnsi="Times New Roman" w:cs="Times New Roman"/>
          <w:sz w:val="24"/>
          <w:szCs w:val="24"/>
        </w:rPr>
        <w:t xml:space="preserve">по состоянию на 01.01.2021 </w:t>
      </w:r>
      <w:r w:rsidR="0046423B" w:rsidRPr="0046423B">
        <w:rPr>
          <w:rFonts w:ascii="Times New Roman" w:hAnsi="Times New Roman" w:cs="Times New Roman"/>
          <w:sz w:val="24"/>
          <w:szCs w:val="24"/>
        </w:rPr>
        <w:t xml:space="preserve">сложилась </w:t>
      </w:r>
      <w:r w:rsidRPr="0046423B">
        <w:rPr>
          <w:rFonts w:ascii="Times New Roman" w:hAnsi="Times New Roman" w:cs="Times New Roman"/>
          <w:sz w:val="24"/>
          <w:szCs w:val="24"/>
        </w:rPr>
        <w:t xml:space="preserve">в сумме 134 380,3 тыс. руб., из которой 129 271,6 тыс. руб. </w:t>
      </w:r>
      <w:r w:rsidR="00363A55">
        <w:rPr>
          <w:rFonts w:ascii="Times New Roman" w:hAnsi="Times New Roman" w:cs="Times New Roman"/>
          <w:sz w:val="24"/>
          <w:szCs w:val="24"/>
        </w:rPr>
        <w:t>составля</w:t>
      </w:r>
      <w:r w:rsidRPr="0046423B">
        <w:rPr>
          <w:rFonts w:ascii="Times New Roman" w:hAnsi="Times New Roman" w:cs="Times New Roman"/>
          <w:sz w:val="24"/>
          <w:szCs w:val="24"/>
        </w:rPr>
        <w:t>ет задолженность по административным штрафам, вынесенным мировыми судьями</w:t>
      </w:r>
      <w:r w:rsidR="0046423B">
        <w:rPr>
          <w:rFonts w:ascii="Times New Roman" w:hAnsi="Times New Roman" w:cs="Times New Roman"/>
          <w:sz w:val="24"/>
          <w:szCs w:val="24"/>
        </w:rPr>
        <w:t>, в том числе 64 635,8 тыс. руб.</w:t>
      </w:r>
      <w:r w:rsidR="00AF4AA4">
        <w:rPr>
          <w:rFonts w:ascii="Times New Roman" w:hAnsi="Times New Roman" w:cs="Times New Roman"/>
          <w:sz w:val="24"/>
          <w:szCs w:val="24"/>
        </w:rPr>
        <w:t xml:space="preserve"> -</w:t>
      </w:r>
      <w:r w:rsidR="0046423B">
        <w:rPr>
          <w:rFonts w:ascii="Times New Roman" w:hAnsi="Times New Roman" w:cs="Times New Roman"/>
          <w:sz w:val="24"/>
          <w:szCs w:val="24"/>
        </w:rPr>
        <w:t xml:space="preserve"> по поступлениям в областной бюджет (50% от </w:t>
      </w:r>
      <w:r w:rsidR="0046423B" w:rsidRPr="0046423B">
        <w:rPr>
          <w:rFonts w:ascii="Times New Roman" w:hAnsi="Times New Roman" w:cs="Times New Roman"/>
          <w:sz w:val="24"/>
          <w:szCs w:val="24"/>
        </w:rPr>
        <w:t>129 271,6 тыс. руб.</w:t>
      </w:r>
      <w:r w:rsidR="0046423B">
        <w:rPr>
          <w:rFonts w:ascii="Times New Roman" w:hAnsi="Times New Roman" w:cs="Times New Roman"/>
          <w:sz w:val="24"/>
          <w:szCs w:val="24"/>
        </w:rPr>
        <w:t xml:space="preserve">). Данный факт свидетельствует о недостаточности принимаемых Комитетом мер по </w:t>
      </w:r>
      <w:r w:rsidR="00E47627">
        <w:rPr>
          <w:rFonts w:ascii="Times New Roman" w:hAnsi="Times New Roman" w:cs="Times New Roman"/>
          <w:sz w:val="24"/>
          <w:szCs w:val="24"/>
        </w:rPr>
        <w:t>поступлению</w:t>
      </w:r>
      <w:r w:rsidR="0046423B">
        <w:rPr>
          <w:rFonts w:ascii="Times New Roman" w:hAnsi="Times New Roman" w:cs="Times New Roman"/>
          <w:sz w:val="24"/>
          <w:szCs w:val="24"/>
        </w:rPr>
        <w:t xml:space="preserve"> доходов в бюджет Волгоградской области.</w:t>
      </w:r>
    </w:p>
    <w:p w14:paraId="48E6881B" w14:textId="0DAF2066" w:rsidR="00BE1C13" w:rsidRPr="009D56E5" w:rsidRDefault="00BE1C13" w:rsidP="00BE1C13">
      <w:pPr>
        <w:pStyle w:val="af8"/>
        <w:numPr>
          <w:ilvl w:val="0"/>
          <w:numId w:val="6"/>
        </w:numPr>
        <w:autoSpaceDE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Комитете отсутствует </w:t>
      </w:r>
      <w:r w:rsidRPr="009D56E5">
        <w:rPr>
          <w:rFonts w:ascii="Times New Roman" w:hAnsi="Times New Roman" w:cs="Times New Roman"/>
          <w:sz w:val="24"/>
          <w:szCs w:val="24"/>
        </w:rPr>
        <w:t xml:space="preserve">локальный нормативный документ (Порядок) организации работы по исполнению полномочий администратора доходов, в котором были бы закреплены функции структурных подразделений (должностных лиц), осуществляющих выполнение данной работы. </w:t>
      </w:r>
    </w:p>
    <w:p w14:paraId="4DDCE902" w14:textId="4F0059DC" w:rsidR="00BE1C13" w:rsidRPr="0046423B" w:rsidRDefault="00BE1C13" w:rsidP="00BE1C13">
      <w:pPr>
        <w:pStyle w:val="af8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0BBCF" w14:textId="77777777" w:rsidR="008B0765" w:rsidRDefault="008B0765" w:rsidP="0067069D">
      <w:pPr>
        <w:autoSpaceDE w:val="0"/>
        <w:autoSpaceDN w:val="0"/>
        <w:adjustRightInd w:val="0"/>
        <w:spacing w:line="240" w:lineRule="exact"/>
        <w:ind w:left="709"/>
        <w:contextualSpacing/>
        <w:jc w:val="both"/>
        <w:rPr>
          <w:b/>
          <w:i/>
        </w:rPr>
      </w:pPr>
    </w:p>
    <w:p w14:paraId="6F275E23" w14:textId="77777777" w:rsidR="008B0765" w:rsidRDefault="008B0765" w:rsidP="0067069D">
      <w:pPr>
        <w:autoSpaceDE w:val="0"/>
        <w:autoSpaceDN w:val="0"/>
        <w:adjustRightInd w:val="0"/>
        <w:spacing w:line="240" w:lineRule="exact"/>
        <w:ind w:left="709"/>
        <w:contextualSpacing/>
        <w:jc w:val="both"/>
        <w:rPr>
          <w:b/>
          <w:i/>
        </w:rPr>
      </w:pPr>
    </w:p>
    <w:p w14:paraId="2EA28610" w14:textId="6821AE44" w:rsidR="0067069D" w:rsidRPr="002A42EC" w:rsidRDefault="0067069D" w:rsidP="0067069D">
      <w:pPr>
        <w:autoSpaceDE w:val="0"/>
        <w:autoSpaceDN w:val="0"/>
        <w:adjustRightInd w:val="0"/>
        <w:spacing w:line="240" w:lineRule="exact"/>
        <w:ind w:left="709"/>
        <w:contextualSpacing/>
        <w:jc w:val="both"/>
        <w:rPr>
          <w:b/>
          <w:i/>
        </w:rPr>
      </w:pPr>
      <w:r w:rsidRPr="002A42EC">
        <w:rPr>
          <w:b/>
          <w:i/>
        </w:rPr>
        <w:t>Предложения:</w:t>
      </w:r>
    </w:p>
    <w:p w14:paraId="14492801" w14:textId="77777777" w:rsidR="006D2617" w:rsidRDefault="0067069D" w:rsidP="0067069D">
      <w:pPr>
        <w:autoSpaceDE w:val="0"/>
        <w:autoSpaceDN w:val="0"/>
        <w:adjustRightInd w:val="0"/>
        <w:ind w:firstLine="709"/>
        <w:contextualSpacing/>
        <w:jc w:val="both"/>
        <w:rPr>
          <w:b/>
          <w:i/>
        </w:rPr>
      </w:pPr>
      <w:r w:rsidRPr="002A42EC">
        <w:rPr>
          <w:b/>
          <w:i/>
        </w:rPr>
        <w:t xml:space="preserve">Комитету </w:t>
      </w:r>
      <w:r>
        <w:rPr>
          <w:b/>
          <w:i/>
        </w:rPr>
        <w:t>юстиции</w:t>
      </w:r>
      <w:r w:rsidRPr="002A42EC">
        <w:rPr>
          <w:b/>
          <w:i/>
        </w:rPr>
        <w:t xml:space="preserve"> Волгоградской области</w:t>
      </w:r>
      <w:r w:rsidR="006D2617">
        <w:rPr>
          <w:b/>
          <w:i/>
        </w:rPr>
        <w:t>:</w:t>
      </w:r>
    </w:p>
    <w:p w14:paraId="08073CC9" w14:textId="391B7839" w:rsidR="006D2617" w:rsidRPr="006D2617" w:rsidRDefault="006D2617" w:rsidP="00BE1C13">
      <w:pPr>
        <w:pStyle w:val="af8"/>
        <w:numPr>
          <w:ilvl w:val="0"/>
          <w:numId w:val="9"/>
        </w:numPr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</w:t>
      </w:r>
      <w:r w:rsidRPr="006D2617">
        <w:rPr>
          <w:rFonts w:ascii="Times New Roman" w:eastAsia="Calibri" w:hAnsi="Times New Roman" w:cs="Times New Roman"/>
          <w:sz w:val="24"/>
          <w:szCs w:val="24"/>
        </w:rPr>
        <w:t>рганизова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ть </w:t>
      </w:r>
      <w:r w:rsidR="00E37F26">
        <w:rPr>
          <w:rFonts w:ascii="Times New Roman" w:eastAsia="Calibri" w:hAnsi="Times New Roman" w:cs="Times New Roman"/>
          <w:sz w:val="24"/>
          <w:szCs w:val="24"/>
        </w:rPr>
        <w:t>в</w:t>
      </w:r>
      <w:r w:rsidRPr="006D2617">
        <w:rPr>
          <w:rFonts w:ascii="Times New Roman" w:eastAsia="Calibri" w:hAnsi="Times New Roman" w:cs="Times New Roman"/>
          <w:sz w:val="24"/>
          <w:szCs w:val="24"/>
        </w:rPr>
        <w:t xml:space="preserve">нутренний финансовый аудит в подведомственных Комитету учреждениях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6D2617">
        <w:rPr>
          <w:rFonts w:ascii="Times New Roman" w:eastAsiaTheme="minorHAnsi" w:hAnsi="Times New Roman" w:cs="Times New Roman"/>
          <w:sz w:val="24"/>
          <w:szCs w:val="24"/>
        </w:rPr>
        <w:t xml:space="preserve">п. 5 ст. </w:t>
      </w:r>
      <w:r w:rsidRPr="006D2617">
        <w:rPr>
          <w:rFonts w:ascii="Times New Roman" w:hAnsi="Times New Roman" w:cs="Times New Roman"/>
          <w:sz w:val="24"/>
          <w:szCs w:val="24"/>
        </w:rPr>
        <w:t>160.2-1 БК РФ</w:t>
      </w:r>
      <w:r w:rsidRPr="006D261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A17C34" w14:textId="6A96B3C9" w:rsidR="009E0654" w:rsidRDefault="00E37F26" w:rsidP="00BE1C13">
      <w:pPr>
        <w:pStyle w:val="af8"/>
        <w:numPr>
          <w:ilvl w:val="0"/>
          <w:numId w:val="9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6D2617">
        <w:rPr>
          <w:rFonts w:ascii="Times New Roman" w:eastAsia="Calibri" w:hAnsi="Times New Roman" w:cs="Times New Roman"/>
          <w:sz w:val="24"/>
          <w:szCs w:val="24"/>
        </w:rPr>
        <w:t>рганизова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ть </w:t>
      </w:r>
      <w:r w:rsidRPr="006D2617">
        <w:rPr>
          <w:rFonts w:ascii="Times New Roman" w:eastAsiaTheme="minorHAnsi" w:hAnsi="Times New Roman" w:cs="Times New Roman"/>
          <w:sz w:val="24"/>
          <w:szCs w:val="24"/>
        </w:rPr>
        <w:t>мониторинг качества финансового менеджмента в отношении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D2617">
        <w:rPr>
          <w:rFonts w:ascii="Times New Roman" w:eastAsia="Calibri" w:hAnsi="Times New Roman" w:cs="Times New Roman"/>
          <w:sz w:val="24"/>
          <w:szCs w:val="24"/>
        </w:rPr>
        <w:t xml:space="preserve">подведомственных Комитету учреждениях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6D2617">
        <w:rPr>
          <w:rFonts w:ascii="Times New Roman" w:eastAsiaTheme="minorHAnsi" w:hAnsi="Times New Roman" w:cs="Times New Roman"/>
          <w:sz w:val="24"/>
          <w:szCs w:val="24"/>
        </w:rPr>
        <w:t xml:space="preserve">пп. 2 п. 6 ст. </w:t>
      </w:r>
      <w:r w:rsidRPr="006D2617">
        <w:rPr>
          <w:rFonts w:ascii="Times New Roman" w:hAnsi="Times New Roman" w:cs="Times New Roman"/>
          <w:sz w:val="24"/>
          <w:szCs w:val="24"/>
        </w:rPr>
        <w:t>160.2-1 БК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F9F272" w14:textId="2A280D33" w:rsidR="009D56E5" w:rsidRPr="009D56E5" w:rsidRDefault="00AF4AA4" w:rsidP="00BE1C13">
      <w:pPr>
        <w:pStyle w:val="af8"/>
        <w:numPr>
          <w:ilvl w:val="0"/>
          <w:numId w:val="9"/>
        </w:numPr>
        <w:autoSpaceDE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37F26" w:rsidRPr="009D56E5">
        <w:rPr>
          <w:rFonts w:ascii="Times New Roman" w:hAnsi="Times New Roman" w:cs="Times New Roman"/>
          <w:sz w:val="24"/>
          <w:szCs w:val="24"/>
        </w:rPr>
        <w:t xml:space="preserve">ринять локальный нормативный документ (Порядок) организации работы по исполнению полномочий администратора доходов, в котором были бы закреплены функции структурных подразделений (должностных лиц), осуществляющих выполнение данной работы. </w:t>
      </w:r>
    </w:p>
    <w:p w14:paraId="31FF7C28" w14:textId="6EAE06F5" w:rsidR="00D0681F" w:rsidRPr="00AF4AA4" w:rsidRDefault="00B074C0" w:rsidP="00921B25">
      <w:pPr>
        <w:pStyle w:val="af8"/>
        <w:numPr>
          <w:ilvl w:val="0"/>
          <w:numId w:val="9"/>
        </w:numPr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F4AA4">
        <w:rPr>
          <w:rFonts w:ascii="Times New Roman" w:hAnsi="Times New Roman" w:cs="Times New Roman"/>
          <w:sz w:val="24"/>
          <w:szCs w:val="24"/>
        </w:rPr>
        <w:t>В</w:t>
      </w:r>
      <w:r w:rsidR="009D56E5" w:rsidRPr="00AF4AA4">
        <w:rPr>
          <w:rFonts w:ascii="Times New Roman" w:hAnsi="Times New Roman" w:cs="Times New Roman"/>
          <w:sz w:val="24"/>
          <w:szCs w:val="24"/>
        </w:rPr>
        <w:t xml:space="preserve"> рамках полномочий Комитета, </w:t>
      </w:r>
      <w:r w:rsidR="00BE1C13" w:rsidRPr="00AF4AA4">
        <w:rPr>
          <w:rFonts w:ascii="Times New Roman" w:hAnsi="Times New Roman" w:cs="Times New Roman"/>
          <w:sz w:val="24"/>
          <w:szCs w:val="24"/>
        </w:rPr>
        <w:t xml:space="preserve">установленных ст. </w:t>
      </w:r>
      <w:r w:rsidR="00D0681F" w:rsidRPr="00AF4AA4">
        <w:rPr>
          <w:rFonts w:ascii="Times New Roman" w:hAnsi="Times New Roman" w:cs="Times New Roman"/>
          <w:sz w:val="24"/>
          <w:szCs w:val="24"/>
        </w:rPr>
        <w:t>160.1 БК РФ</w:t>
      </w:r>
      <w:r w:rsidR="00363A55" w:rsidRPr="00AF4AA4">
        <w:rPr>
          <w:rFonts w:ascii="Times New Roman" w:hAnsi="Times New Roman" w:cs="Times New Roman"/>
          <w:sz w:val="24"/>
          <w:szCs w:val="24"/>
        </w:rPr>
        <w:t>,</w:t>
      </w:r>
      <w:r w:rsidR="00D0681F" w:rsidRPr="00AF4AA4">
        <w:rPr>
          <w:rFonts w:ascii="Times New Roman" w:hAnsi="Times New Roman" w:cs="Times New Roman"/>
          <w:sz w:val="24"/>
          <w:szCs w:val="24"/>
        </w:rPr>
        <w:t xml:space="preserve"> </w:t>
      </w:r>
      <w:r w:rsidR="00D0681F" w:rsidRPr="00AF4AA4">
        <w:rPr>
          <w:rFonts w:ascii="Times New Roman" w:eastAsiaTheme="minorHAnsi" w:hAnsi="Times New Roman" w:cs="Times New Roman"/>
          <w:sz w:val="24"/>
          <w:szCs w:val="24"/>
        </w:rPr>
        <w:t>направлять в Службу судебных приставов запросы</w:t>
      </w:r>
      <w:r w:rsidR="00D0681F" w:rsidRPr="00AF4AA4">
        <w:rPr>
          <w:rFonts w:ascii="Times New Roman" w:hAnsi="Times New Roman" w:cs="Times New Roman"/>
          <w:sz w:val="24"/>
          <w:szCs w:val="24"/>
        </w:rPr>
        <w:t xml:space="preserve"> </w:t>
      </w:r>
      <w:r w:rsidR="00D0681F" w:rsidRPr="00AF4AA4">
        <w:rPr>
          <w:rFonts w:ascii="Times New Roman" w:eastAsiaTheme="minorHAnsi" w:hAnsi="Times New Roman" w:cs="Times New Roman"/>
          <w:sz w:val="24"/>
          <w:szCs w:val="24"/>
        </w:rPr>
        <w:t>с целью получения информации</w:t>
      </w:r>
      <w:r w:rsidR="00AF4AA4" w:rsidRPr="00AF4AA4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r w:rsidR="00D0681F" w:rsidRPr="00AF4AA4">
        <w:rPr>
          <w:rFonts w:ascii="Times New Roman" w:eastAsiaTheme="minorHAnsi" w:hAnsi="Times New Roman" w:cs="Times New Roman"/>
          <w:sz w:val="24"/>
          <w:szCs w:val="24"/>
        </w:rPr>
        <w:t xml:space="preserve">о принимаемых мерах по принудительному взысканию </w:t>
      </w:r>
      <w:r w:rsidR="00D0681F" w:rsidRPr="00AF4AA4">
        <w:rPr>
          <w:rFonts w:ascii="Times New Roman" w:hAnsi="Times New Roman" w:cs="Times New Roman"/>
          <w:sz w:val="24"/>
          <w:szCs w:val="24"/>
        </w:rPr>
        <w:t>своевременно неоплаченных административных штраф</w:t>
      </w:r>
      <w:r w:rsidR="00AF4AA4" w:rsidRPr="00AF4AA4">
        <w:rPr>
          <w:rFonts w:ascii="Times New Roman" w:hAnsi="Times New Roman" w:cs="Times New Roman"/>
          <w:sz w:val="24"/>
          <w:szCs w:val="24"/>
        </w:rPr>
        <w:t>ов</w:t>
      </w:r>
      <w:r w:rsidR="00D0681F" w:rsidRPr="00AF4AA4">
        <w:rPr>
          <w:rFonts w:ascii="Times New Roman" w:hAnsi="Times New Roman" w:cs="Times New Roman"/>
          <w:sz w:val="24"/>
          <w:szCs w:val="24"/>
        </w:rPr>
        <w:t>, а также полномочий</w:t>
      </w:r>
      <w:r w:rsidR="00363A55" w:rsidRPr="00AF4AA4">
        <w:rPr>
          <w:rFonts w:ascii="Times New Roman" w:hAnsi="Times New Roman" w:cs="Times New Roman"/>
          <w:sz w:val="24"/>
          <w:szCs w:val="24"/>
        </w:rPr>
        <w:t>,</w:t>
      </w:r>
      <w:r w:rsidR="00D0681F" w:rsidRPr="00AF4AA4">
        <w:rPr>
          <w:rFonts w:ascii="Times New Roman" w:hAnsi="Times New Roman" w:cs="Times New Roman"/>
          <w:sz w:val="24"/>
          <w:szCs w:val="24"/>
        </w:rPr>
        <w:t xml:space="preserve"> </w:t>
      </w:r>
      <w:r w:rsidR="009D56E5" w:rsidRPr="00AF4AA4">
        <w:rPr>
          <w:rFonts w:ascii="Times New Roman" w:hAnsi="Times New Roman" w:cs="Times New Roman"/>
          <w:sz w:val="24"/>
          <w:szCs w:val="24"/>
        </w:rPr>
        <w:t>предусмотренных ст.</w:t>
      </w:r>
      <w:r w:rsidRPr="00AF4AA4">
        <w:rPr>
          <w:rFonts w:ascii="Times New Roman" w:hAnsi="Times New Roman" w:cs="Times New Roman"/>
          <w:sz w:val="24"/>
          <w:szCs w:val="24"/>
        </w:rPr>
        <w:t xml:space="preserve"> </w:t>
      </w:r>
      <w:r w:rsidR="009D56E5" w:rsidRPr="00AF4AA4">
        <w:rPr>
          <w:rFonts w:ascii="Times New Roman" w:hAnsi="Times New Roman" w:cs="Times New Roman"/>
          <w:sz w:val="24"/>
          <w:szCs w:val="24"/>
        </w:rPr>
        <w:t xml:space="preserve">50 </w:t>
      </w:r>
      <w:r w:rsidR="009D56E5" w:rsidRPr="00AF4AA4">
        <w:rPr>
          <w:rFonts w:ascii="Times New Roman" w:eastAsiaTheme="minorHAnsi" w:hAnsi="Times New Roman" w:cs="Times New Roman"/>
          <w:sz w:val="24"/>
          <w:szCs w:val="24"/>
        </w:rPr>
        <w:t>Федерального закона от 02.10.2007 № 229-ФЗ «Об исполнительном производстве»</w:t>
      </w:r>
      <w:r w:rsidR="00363A55" w:rsidRPr="00AF4AA4">
        <w:rPr>
          <w:rFonts w:ascii="Times New Roman" w:eastAsiaTheme="minorHAnsi" w:hAnsi="Times New Roman" w:cs="Times New Roman"/>
          <w:sz w:val="24"/>
          <w:szCs w:val="24"/>
        </w:rPr>
        <w:t>,</w:t>
      </w:r>
      <w:r w:rsidR="009D56E5" w:rsidRPr="00AF4AA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028DB" w:rsidRPr="00AF4AA4">
        <w:rPr>
          <w:rFonts w:ascii="Times New Roman" w:eastAsiaTheme="minorHAnsi" w:hAnsi="Times New Roman" w:cs="Times New Roman"/>
          <w:sz w:val="24"/>
          <w:szCs w:val="24"/>
        </w:rPr>
        <w:t xml:space="preserve">достаточной для принятия решений о признании безнадежной к взысканию задолженности по платежам в бюджет по административным штрафам </w:t>
      </w:r>
      <w:r w:rsidR="00933A51" w:rsidRPr="00AF4AA4">
        <w:rPr>
          <w:rFonts w:ascii="Times New Roman" w:eastAsiaTheme="minorHAnsi" w:hAnsi="Times New Roman" w:cs="Times New Roman"/>
          <w:sz w:val="24"/>
          <w:szCs w:val="24"/>
        </w:rPr>
        <w:t>согласно</w:t>
      </w:r>
      <w:r w:rsidR="008028DB" w:rsidRPr="00AF4AA4">
        <w:rPr>
          <w:rFonts w:ascii="Times New Roman" w:eastAsiaTheme="minorHAnsi" w:hAnsi="Times New Roman" w:cs="Times New Roman"/>
          <w:sz w:val="24"/>
          <w:szCs w:val="24"/>
        </w:rPr>
        <w:t xml:space="preserve"> п. 3 и п. 4 ст. 46 указанного Федерального закона</w:t>
      </w:r>
      <w:r w:rsidR="00D0681F" w:rsidRPr="00AF4AA4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0E010A1B" w14:textId="7F415937" w:rsidR="008028DB" w:rsidRDefault="008028DB" w:rsidP="00BE1C13">
      <w:pPr>
        <w:autoSpaceDE w:val="0"/>
        <w:ind w:firstLine="709"/>
        <w:jc w:val="both"/>
        <w:rPr>
          <w:rFonts w:eastAsia="Calibri"/>
          <w:b/>
          <w:i/>
        </w:rPr>
      </w:pPr>
    </w:p>
    <w:p w14:paraId="75D41C5E" w14:textId="65512CEB" w:rsidR="008028DB" w:rsidRDefault="008028DB" w:rsidP="008028DB">
      <w:pPr>
        <w:autoSpaceDE w:val="0"/>
        <w:jc w:val="both"/>
        <w:rPr>
          <w:rFonts w:eastAsia="Calibri"/>
          <w:b/>
          <w:i/>
        </w:rPr>
      </w:pPr>
    </w:p>
    <w:p w14:paraId="76352D6D" w14:textId="77777777" w:rsidR="008028DB" w:rsidRPr="008028DB" w:rsidRDefault="008028DB" w:rsidP="008028DB">
      <w:pPr>
        <w:autoSpaceDE w:val="0"/>
        <w:jc w:val="both"/>
        <w:rPr>
          <w:rFonts w:eastAsia="Calibri"/>
          <w:b/>
          <w:i/>
        </w:rPr>
      </w:pPr>
    </w:p>
    <w:p w14:paraId="3EEBA878" w14:textId="77777777" w:rsidR="00574ECC" w:rsidRPr="00574ECC" w:rsidRDefault="00574ECC" w:rsidP="00410EA9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</w:p>
    <w:p w14:paraId="71AAE094" w14:textId="77777777" w:rsidR="00410EA9" w:rsidRPr="00574ECC" w:rsidRDefault="00410EA9" w:rsidP="00410EA9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574ECC">
        <w:rPr>
          <w:rFonts w:eastAsia="Calibri"/>
          <w:b/>
          <w:i/>
        </w:rPr>
        <w:t>Аудитор                                                                                                Н.Л. Ноздрюхина</w:t>
      </w:r>
    </w:p>
    <w:sectPr w:rsidR="00410EA9" w:rsidRPr="00574ECC" w:rsidSect="0008274B">
      <w:headerReference w:type="default" r:id="rId8"/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172D7" w14:textId="77777777" w:rsidR="0046423B" w:rsidRDefault="0046423B" w:rsidP="007E4D30">
      <w:r>
        <w:separator/>
      </w:r>
    </w:p>
  </w:endnote>
  <w:endnote w:type="continuationSeparator" w:id="0">
    <w:p w14:paraId="365BF748" w14:textId="77777777" w:rsidR="0046423B" w:rsidRDefault="0046423B" w:rsidP="007E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67791" w14:textId="77777777" w:rsidR="0046423B" w:rsidRDefault="0046423B" w:rsidP="007E4D30">
      <w:r>
        <w:separator/>
      </w:r>
    </w:p>
  </w:footnote>
  <w:footnote w:type="continuationSeparator" w:id="0">
    <w:p w14:paraId="4C846F49" w14:textId="77777777" w:rsidR="0046423B" w:rsidRDefault="0046423B" w:rsidP="007E4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AE7D7" w14:textId="77777777" w:rsidR="0046423B" w:rsidRDefault="0008274B">
    <w:pPr>
      <w:pStyle w:val="aa"/>
      <w:jc w:val="center"/>
    </w:pPr>
    <w:sdt>
      <w:sdtPr>
        <w:id w:val="8743594"/>
        <w:docPartObj>
          <w:docPartGallery w:val="Page Numbers (Top of Page)"/>
          <w:docPartUnique/>
        </w:docPartObj>
      </w:sdtPr>
      <w:sdtEndPr/>
      <w:sdtContent>
        <w:r w:rsidR="0046423B">
          <w:fldChar w:fldCharType="begin"/>
        </w:r>
        <w:r w:rsidR="0046423B">
          <w:instrText xml:space="preserve"> PAGE   \* MERGEFORMAT </w:instrText>
        </w:r>
        <w:r w:rsidR="0046423B">
          <w:fldChar w:fldCharType="separate"/>
        </w:r>
        <w:r w:rsidR="0046423B">
          <w:rPr>
            <w:noProof/>
          </w:rPr>
          <w:t>5</w:t>
        </w:r>
        <w:r w:rsidR="0046423B"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62DAF"/>
    <w:multiLevelType w:val="hybridMultilevel"/>
    <w:tmpl w:val="10E21A3A"/>
    <w:lvl w:ilvl="0" w:tplc="98EAD82E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569C9"/>
    <w:multiLevelType w:val="hybridMultilevel"/>
    <w:tmpl w:val="2134428C"/>
    <w:lvl w:ilvl="0" w:tplc="5068050C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696960"/>
    <w:multiLevelType w:val="hybridMultilevel"/>
    <w:tmpl w:val="D8D4B614"/>
    <w:lvl w:ilvl="0" w:tplc="C3040438">
      <w:start w:val="1"/>
      <w:numFmt w:val="bullet"/>
      <w:pStyle w:val="a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00650"/>
    <w:multiLevelType w:val="hybridMultilevel"/>
    <w:tmpl w:val="18027B8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51073D9"/>
    <w:multiLevelType w:val="hybridMultilevel"/>
    <w:tmpl w:val="E47027B0"/>
    <w:lvl w:ilvl="0" w:tplc="193EA14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70480F"/>
    <w:multiLevelType w:val="hybridMultilevel"/>
    <w:tmpl w:val="2CDC6FCE"/>
    <w:lvl w:ilvl="0" w:tplc="D1D8D9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DF442A"/>
    <w:multiLevelType w:val="hybridMultilevel"/>
    <w:tmpl w:val="FC04BBC0"/>
    <w:lvl w:ilvl="0" w:tplc="2528E876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F72BBC"/>
    <w:multiLevelType w:val="hybridMultilevel"/>
    <w:tmpl w:val="C25E1656"/>
    <w:lvl w:ilvl="0" w:tplc="69E048C8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9"/>
  <w:drawingGridHorizontalSpacing w:val="120"/>
  <w:displayHorizontalDrawingGridEvery w:val="2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4E"/>
    <w:rsid w:val="00000DC6"/>
    <w:rsid w:val="0000211E"/>
    <w:rsid w:val="00003410"/>
    <w:rsid w:val="00003B19"/>
    <w:rsid w:val="000078D0"/>
    <w:rsid w:val="000152BD"/>
    <w:rsid w:val="0001589A"/>
    <w:rsid w:val="00021365"/>
    <w:rsid w:val="0002635F"/>
    <w:rsid w:val="000273B2"/>
    <w:rsid w:val="00031391"/>
    <w:rsid w:val="0003489E"/>
    <w:rsid w:val="00037DEB"/>
    <w:rsid w:val="000417A0"/>
    <w:rsid w:val="00042BFD"/>
    <w:rsid w:val="00042C5D"/>
    <w:rsid w:val="00043D17"/>
    <w:rsid w:val="00045AA4"/>
    <w:rsid w:val="00047951"/>
    <w:rsid w:val="00055F48"/>
    <w:rsid w:val="0005601E"/>
    <w:rsid w:val="00056615"/>
    <w:rsid w:val="00061017"/>
    <w:rsid w:val="00067541"/>
    <w:rsid w:val="00067A8E"/>
    <w:rsid w:val="00070BDD"/>
    <w:rsid w:val="00070D4B"/>
    <w:rsid w:val="00070F46"/>
    <w:rsid w:val="000719EB"/>
    <w:rsid w:val="00071BCE"/>
    <w:rsid w:val="00072617"/>
    <w:rsid w:val="00074574"/>
    <w:rsid w:val="00075AE4"/>
    <w:rsid w:val="00076DA1"/>
    <w:rsid w:val="0007713E"/>
    <w:rsid w:val="00077BCC"/>
    <w:rsid w:val="000813FE"/>
    <w:rsid w:val="000821B6"/>
    <w:rsid w:val="0008274B"/>
    <w:rsid w:val="000834EB"/>
    <w:rsid w:val="00085584"/>
    <w:rsid w:val="00085945"/>
    <w:rsid w:val="000861E1"/>
    <w:rsid w:val="00090909"/>
    <w:rsid w:val="00091507"/>
    <w:rsid w:val="0009262F"/>
    <w:rsid w:val="00092A5C"/>
    <w:rsid w:val="000941DC"/>
    <w:rsid w:val="0009694C"/>
    <w:rsid w:val="000A2582"/>
    <w:rsid w:val="000A3AFD"/>
    <w:rsid w:val="000A53B7"/>
    <w:rsid w:val="000A5BA8"/>
    <w:rsid w:val="000B0F68"/>
    <w:rsid w:val="000B3DF6"/>
    <w:rsid w:val="000B5501"/>
    <w:rsid w:val="000C077E"/>
    <w:rsid w:val="000C0A05"/>
    <w:rsid w:val="000C1F73"/>
    <w:rsid w:val="000C5B90"/>
    <w:rsid w:val="000C6739"/>
    <w:rsid w:val="000C74D4"/>
    <w:rsid w:val="000D1DA3"/>
    <w:rsid w:val="000D55D5"/>
    <w:rsid w:val="000D6DBF"/>
    <w:rsid w:val="000D6F7A"/>
    <w:rsid w:val="000E4FE2"/>
    <w:rsid w:val="000E6514"/>
    <w:rsid w:val="000E69CF"/>
    <w:rsid w:val="000E78FD"/>
    <w:rsid w:val="000F2BC8"/>
    <w:rsid w:val="000F4180"/>
    <w:rsid w:val="000F7776"/>
    <w:rsid w:val="000F7BE3"/>
    <w:rsid w:val="000F7F45"/>
    <w:rsid w:val="0010005B"/>
    <w:rsid w:val="001033D2"/>
    <w:rsid w:val="001046B3"/>
    <w:rsid w:val="001124CD"/>
    <w:rsid w:val="00112637"/>
    <w:rsid w:val="00112FAA"/>
    <w:rsid w:val="001164DE"/>
    <w:rsid w:val="00117278"/>
    <w:rsid w:val="00117450"/>
    <w:rsid w:val="0012210E"/>
    <w:rsid w:val="0012283D"/>
    <w:rsid w:val="00126F3C"/>
    <w:rsid w:val="00127FC0"/>
    <w:rsid w:val="0013163A"/>
    <w:rsid w:val="0013243A"/>
    <w:rsid w:val="00134108"/>
    <w:rsid w:val="00135817"/>
    <w:rsid w:val="00135FB5"/>
    <w:rsid w:val="001378B2"/>
    <w:rsid w:val="00137999"/>
    <w:rsid w:val="00140EF8"/>
    <w:rsid w:val="00142110"/>
    <w:rsid w:val="001421C1"/>
    <w:rsid w:val="0014310F"/>
    <w:rsid w:val="001445CD"/>
    <w:rsid w:val="00151DF3"/>
    <w:rsid w:val="0015716F"/>
    <w:rsid w:val="001608B3"/>
    <w:rsid w:val="00163BDC"/>
    <w:rsid w:val="001642C2"/>
    <w:rsid w:val="00164DA0"/>
    <w:rsid w:val="00170E11"/>
    <w:rsid w:val="00174E03"/>
    <w:rsid w:val="00176765"/>
    <w:rsid w:val="00176C62"/>
    <w:rsid w:val="00177A47"/>
    <w:rsid w:val="0018177F"/>
    <w:rsid w:val="00184BDC"/>
    <w:rsid w:val="00184D0F"/>
    <w:rsid w:val="00187F92"/>
    <w:rsid w:val="00190F10"/>
    <w:rsid w:val="0019389F"/>
    <w:rsid w:val="00195584"/>
    <w:rsid w:val="00196161"/>
    <w:rsid w:val="00196DBD"/>
    <w:rsid w:val="001979CF"/>
    <w:rsid w:val="00197BD3"/>
    <w:rsid w:val="001A2C99"/>
    <w:rsid w:val="001B06BE"/>
    <w:rsid w:val="001B5A55"/>
    <w:rsid w:val="001B5DDC"/>
    <w:rsid w:val="001B66F9"/>
    <w:rsid w:val="001B7E3C"/>
    <w:rsid w:val="001C4A02"/>
    <w:rsid w:val="001C7EE9"/>
    <w:rsid w:val="001D0895"/>
    <w:rsid w:val="001D7075"/>
    <w:rsid w:val="001E3516"/>
    <w:rsid w:val="001F02DE"/>
    <w:rsid w:val="001F2052"/>
    <w:rsid w:val="001F45E0"/>
    <w:rsid w:val="001F5ABD"/>
    <w:rsid w:val="001F6081"/>
    <w:rsid w:val="001F6849"/>
    <w:rsid w:val="00201CE8"/>
    <w:rsid w:val="002031B3"/>
    <w:rsid w:val="002073F2"/>
    <w:rsid w:val="002123C3"/>
    <w:rsid w:val="00212E85"/>
    <w:rsid w:val="00213B9C"/>
    <w:rsid w:val="00213D88"/>
    <w:rsid w:val="00216D9B"/>
    <w:rsid w:val="00217B0B"/>
    <w:rsid w:val="00217C91"/>
    <w:rsid w:val="00223544"/>
    <w:rsid w:val="00223D2E"/>
    <w:rsid w:val="00223DBE"/>
    <w:rsid w:val="00224CD6"/>
    <w:rsid w:val="00224D10"/>
    <w:rsid w:val="00225B25"/>
    <w:rsid w:val="00232BE9"/>
    <w:rsid w:val="00233262"/>
    <w:rsid w:val="00240926"/>
    <w:rsid w:val="0024352A"/>
    <w:rsid w:val="00244A12"/>
    <w:rsid w:val="0025054E"/>
    <w:rsid w:val="00251C8C"/>
    <w:rsid w:val="00254E21"/>
    <w:rsid w:val="0025529F"/>
    <w:rsid w:val="0025539F"/>
    <w:rsid w:val="002562F3"/>
    <w:rsid w:val="00260734"/>
    <w:rsid w:val="00262440"/>
    <w:rsid w:val="00263300"/>
    <w:rsid w:val="00264776"/>
    <w:rsid w:val="00265695"/>
    <w:rsid w:val="00270E39"/>
    <w:rsid w:val="0027237A"/>
    <w:rsid w:val="00272E32"/>
    <w:rsid w:val="002732B0"/>
    <w:rsid w:val="0027464C"/>
    <w:rsid w:val="00274BBC"/>
    <w:rsid w:val="0027599A"/>
    <w:rsid w:val="00275D32"/>
    <w:rsid w:val="0027711D"/>
    <w:rsid w:val="0028227A"/>
    <w:rsid w:val="00286668"/>
    <w:rsid w:val="0029046C"/>
    <w:rsid w:val="00290B24"/>
    <w:rsid w:val="00290B5F"/>
    <w:rsid w:val="00291F54"/>
    <w:rsid w:val="00292BEC"/>
    <w:rsid w:val="00295E94"/>
    <w:rsid w:val="00297DF3"/>
    <w:rsid w:val="002A03AE"/>
    <w:rsid w:val="002A0E9C"/>
    <w:rsid w:val="002A1456"/>
    <w:rsid w:val="002B1FCA"/>
    <w:rsid w:val="002B22A6"/>
    <w:rsid w:val="002B49AE"/>
    <w:rsid w:val="002B7596"/>
    <w:rsid w:val="002C001F"/>
    <w:rsid w:val="002C29D9"/>
    <w:rsid w:val="002C4525"/>
    <w:rsid w:val="002C48B4"/>
    <w:rsid w:val="002C542A"/>
    <w:rsid w:val="002D277A"/>
    <w:rsid w:val="002D3962"/>
    <w:rsid w:val="002D65D9"/>
    <w:rsid w:val="002D7F02"/>
    <w:rsid w:val="002E34E9"/>
    <w:rsid w:val="002E55E9"/>
    <w:rsid w:val="002F0BE8"/>
    <w:rsid w:val="002F291A"/>
    <w:rsid w:val="002F2E78"/>
    <w:rsid w:val="002F44E5"/>
    <w:rsid w:val="002F4D5C"/>
    <w:rsid w:val="002F5425"/>
    <w:rsid w:val="002F5BBA"/>
    <w:rsid w:val="00300562"/>
    <w:rsid w:val="003008D4"/>
    <w:rsid w:val="00300F93"/>
    <w:rsid w:val="00301CA2"/>
    <w:rsid w:val="00302B4E"/>
    <w:rsid w:val="00302C4F"/>
    <w:rsid w:val="0030318A"/>
    <w:rsid w:val="00304548"/>
    <w:rsid w:val="00304E31"/>
    <w:rsid w:val="003071C6"/>
    <w:rsid w:val="00307798"/>
    <w:rsid w:val="00311335"/>
    <w:rsid w:val="003126C5"/>
    <w:rsid w:val="003127F2"/>
    <w:rsid w:val="003128B1"/>
    <w:rsid w:val="00313AE4"/>
    <w:rsid w:val="00315AF2"/>
    <w:rsid w:val="00317952"/>
    <w:rsid w:val="003232C0"/>
    <w:rsid w:val="0032498C"/>
    <w:rsid w:val="00325A90"/>
    <w:rsid w:val="00325E6D"/>
    <w:rsid w:val="00326519"/>
    <w:rsid w:val="003308B4"/>
    <w:rsid w:val="00331581"/>
    <w:rsid w:val="0033429A"/>
    <w:rsid w:val="00334F51"/>
    <w:rsid w:val="003352EE"/>
    <w:rsid w:val="003354EE"/>
    <w:rsid w:val="0033658F"/>
    <w:rsid w:val="00336E02"/>
    <w:rsid w:val="0033771F"/>
    <w:rsid w:val="0034020F"/>
    <w:rsid w:val="00340AAD"/>
    <w:rsid w:val="00340F8C"/>
    <w:rsid w:val="003429EB"/>
    <w:rsid w:val="00343636"/>
    <w:rsid w:val="003467E0"/>
    <w:rsid w:val="003505C9"/>
    <w:rsid w:val="00350E4E"/>
    <w:rsid w:val="00352635"/>
    <w:rsid w:val="00354EEE"/>
    <w:rsid w:val="003612AD"/>
    <w:rsid w:val="00362305"/>
    <w:rsid w:val="0036346A"/>
    <w:rsid w:val="00363A55"/>
    <w:rsid w:val="00364887"/>
    <w:rsid w:val="003654EF"/>
    <w:rsid w:val="00366054"/>
    <w:rsid w:val="003668C4"/>
    <w:rsid w:val="00367FCF"/>
    <w:rsid w:val="00370FB8"/>
    <w:rsid w:val="00373767"/>
    <w:rsid w:val="00373FC4"/>
    <w:rsid w:val="00374B43"/>
    <w:rsid w:val="00374C94"/>
    <w:rsid w:val="00374F01"/>
    <w:rsid w:val="0037725A"/>
    <w:rsid w:val="00380F0A"/>
    <w:rsid w:val="00381C0F"/>
    <w:rsid w:val="003828CF"/>
    <w:rsid w:val="00382E39"/>
    <w:rsid w:val="00385016"/>
    <w:rsid w:val="0038509D"/>
    <w:rsid w:val="00385951"/>
    <w:rsid w:val="00386FA3"/>
    <w:rsid w:val="00387867"/>
    <w:rsid w:val="003914FD"/>
    <w:rsid w:val="003946C7"/>
    <w:rsid w:val="00395FC2"/>
    <w:rsid w:val="0039766A"/>
    <w:rsid w:val="00397F2B"/>
    <w:rsid w:val="003A026B"/>
    <w:rsid w:val="003A3D37"/>
    <w:rsid w:val="003B15D9"/>
    <w:rsid w:val="003B1CD3"/>
    <w:rsid w:val="003B3273"/>
    <w:rsid w:val="003B6CC1"/>
    <w:rsid w:val="003C150A"/>
    <w:rsid w:val="003C4FBD"/>
    <w:rsid w:val="003D0144"/>
    <w:rsid w:val="003D2944"/>
    <w:rsid w:val="003D2E7E"/>
    <w:rsid w:val="003D39DC"/>
    <w:rsid w:val="003D68F4"/>
    <w:rsid w:val="003E0307"/>
    <w:rsid w:val="003E1EF8"/>
    <w:rsid w:val="003E2255"/>
    <w:rsid w:val="003E230F"/>
    <w:rsid w:val="003E397A"/>
    <w:rsid w:val="003E6B48"/>
    <w:rsid w:val="003E7B9B"/>
    <w:rsid w:val="003F3CED"/>
    <w:rsid w:val="003F70BE"/>
    <w:rsid w:val="00402052"/>
    <w:rsid w:val="004021C8"/>
    <w:rsid w:val="00402DB5"/>
    <w:rsid w:val="00402FB2"/>
    <w:rsid w:val="00403724"/>
    <w:rsid w:val="00410EA9"/>
    <w:rsid w:val="0041244D"/>
    <w:rsid w:val="00414504"/>
    <w:rsid w:val="00415EA5"/>
    <w:rsid w:val="00417C12"/>
    <w:rsid w:val="004203C0"/>
    <w:rsid w:val="00421ADC"/>
    <w:rsid w:val="00423F22"/>
    <w:rsid w:val="004254FD"/>
    <w:rsid w:val="0042761D"/>
    <w:rsid w:val="00430E12"/>
    <w:rsid w:val="004333CC"/>
    <w:rsid w:val="00433C9F"/>
    <w:rsid w:val="00434382"/>
    <w:rsid w:val="0043778A"/>
    <w:rsid w:val="00443395"/>
    <w:rsid w:val="00444B81"/>
    <w:rsid w:val="00446FE7"/>
    <w:rsid w:val="004528AD"/>
    <w:rsid w:val="00453101"/>
    <w:rsid w:val="00454035"/>
    <w:rsid w:val="004554CE"/>
    <w:rsid w:val="00455770"/>
    <w:rsid w:val="00462D42"/>
    <w:rsid w:val="0046423B"/>
    <w:rsid w:val="004644DF"/>
    <w:rsid w:val="00471CF2"/>
    <w:rsid w:val="00472E15"/>
    <w:rsid w:val="00473D2E"/>
    <w:rsid w:val="0047548E"/>
    <w:rsid w:val="00475E63"/>
    <w:rsid w:val="00477420"/>
    <w:rsid w:val="00481175"/>
    <w:rsid w:val="00481E36"/>
    <w:rsid w:val="00482FC3"/>
    <w:rsid w:val="00483501"/>
    <w:rsid w:val="00486873"/>
    <w:rsid w:val="00490B14"/>
    <w:rsid w:val="00492A7C"/>
    <w:rsid w:val="004930CF"/>
    <w:rsid w:val="00494D1D"/>
    <w:rsid w:val="00494DC1"/>
    <w:rsid w:val="00497E93"/>
    <w:rsid w:val="004A160B"/>
    <w:rsid w:val="004A27E3"/>
    <w:rsid w:val="004A3DCA"/>
    <w:rsid w:val="004A4FB5"/>
    <w:rsid w:val="004A5363"/>
    <w:rsid w:val="004A5B28"/>
    <w:rsid w:val="004A7BA9"/>
    <w:rsid w:val="004B6C0E"/>
    <w:rsid w:val="004C2705"/>
    <w:rsid w:val="004C4944"/>
    <w:rsid w:val="004C5CB3"/>
    <w:rsid w:val="004C629B"/>
    <w:rsid w:val="004D2858"/>
    <w:rsid w:val="004D43E5"/>
    <w:rsid w:val="004E1707"/>
    <w:rsid w:val="004E2135"/>
    <w:rsid w:val="004E271D"/>
    <w:rsid w:val="004E395C"/>
    <w:rsid w:val="004E4751"/>
    <w:rsid w:val="004E4EC9"/>
    <w:rsid w:val="004E787A"/>
    <w:rsid w:val="004E7D93"/>
    <w:rsid w:val="004F188F"/>
    <w:rsid w:val="004F2CCB"/>
    <w:rsid w:val="004F684F"/>
    <w:rsid w:val="00501078"/>
    <w:rsid w:val="00502590"/>
    <w:rsid w:val="005028F8"/>
    <w:rsid w:val="00506491"/>
    <w:rsid w:val="00510C9D"/>
    <w:rsid w:val="00513B62"/>
    <w:rsid w:val="005245E6"/>
    <w:rsid w:val="00525431"/>
    <w:rsid w:val="00527813"/>
    <w:rsid w:val="005279E4"/>
    <w:rsid w:val="005316DD"/>
    <w:rsid w:val="005326BA"/>
    <w:rsid w:val="00532FD6"/>
    <w:rsid w:val="005333A7"/>
    <w:rsid w:val="00533660"/>
    <w:rsid w:val="005361EB"/>
    <w:rsid w:val="00536844"/>
    <w:rsid w:val="005377D8"/>
    <w:rsid w:val="0054020D"/>
    <w:rsid w:val="0054184F"/>
    <w:rsid w:val="005439AD"/>
    <w:rsid w:val="005439C0"/>
    <w:rsid w:val="0054497B"/>
    <w:rsid w:val="00544D78"/>
    <w:rsid w:val="00545088"/>
    <w:rsid w:val="00546133"/>
    <w:rsid w:val="00550161"/>
    <w:rsid w:val="005508F9"/>
    <w:rsid w:val="00551F21"/>
    <w:rsid w:val="00552733"/>
    <w:rsid w:val="00552772"/>
    <w:rsid w:val="00555EF3"/>
    <w:rsid w:val="005566B5"/>
    <w:rsid w:val="00560322"/>
    <w:rsid w:val="0056121D"/>
    <w:rsid w:val="005626B9"/>
    <w:rsid w:val="00563B7E"/>
    <w:rsid w:val="0056490F"/>
    <w:rsid w:val="005650FA"/>
    <w:rsid w:val="005733FD"/>
    <w:rsid w:val="0057370F"/>
    <w:rsid w:val="00574ECC"/>
    <w:rsid w:val="00575D93"/>
    <w:rsid w:val="00575ED2"/>
    <w:rsid w:val="00576F1F"/>
    <w:rsid w:val="00582D55"/>
    <w:rsid w:val="005850DD"/>
    <w:rsid w:val="00593E03"/>
    <w:rsid w:val="00597366"/>
    <w:rsid w:val="00597C66"/>
    <w:rsid w:val="005A17D7"/>
    <w:rsid w:val="005A1C61"/>
    <w:rsid w:val="005A6A76"/>
    <w:rsid w:val="005B1351"/>
    <w:rsid w:val="005B182E"/>
    <w:rsid w:val="005B3488"/>
    <w:rsid w:val="005B515A"/>
    <w:rsid w:val="005B6CB5"/>
    <w:rsid w:val="005B7F13"/>
    <w:rsid w:val="005C2662"/>
    <w:rsid w:val="005C2783"/>
    <w:rsid w:val="005C31E4"/>
    <w:rsid w:val="005C5D2A"/>
    <w:rsid w:val="005D0A29"/>
    <w:rsid w:val="005D207F"/>
    <w:rsid w:val="005D270B"/>
    <w:rsid w:val="005D361F"/>
    <w:rsid w:val="005D53A0"/>
    <w:rsid w:val="005D7722"/>
    <w:rsid w:val="005E18FC"/>
    <w:rsid w:val="005E3D43"/>
    <w:rsid w:val="005E524E"/>
    <w:rsid w:val="005F1C06"/>
    <w:rsid w:val="005F4EF6"/>
    <w:rsid w:val="005F701B"/>
    <w:rsid w:val="005F72A5"/>
    <w:rsid w:val="005F757D"/>
    <w:rsid w:val="00604430"/>
    <w:rsid w:val="00610B8C"/>
    <w:rsid w:val="00611188"/>
    <w:rsid w:val="006206DA"/>
    <w:rsid w:val="00620B73"/>
    <w:rsid w:val="00625A98"/>
    <w:rsid w:val="00633E4C"/>
    <w:rsid w:val="0063689B"/>
    <w:rsid w:val="006401DA"/>
    <w:rsid w:val="00640382"/>
    <w:rsid w:val="00641985"/>
    <w:rsid w:val="00641CED"/>
    <w:rsid w:val="006425E2"/>
    <w:rsid w:val="00645654"/>
    <w:rsid w:val="00650040"/>
    <w:rsid w:val="00657E72"/>
    <w:rsid w:val="00662C47"/>
    <w:rsid w:val="006654A5"/>
    <w:rsid w:val="0066602A"/>
    <w:rsid w:val="00666900"/>
    <w:rsid w:val="006674DA"/>
    <w:rsid w:val="0066763B"/>
    <w:rsid w:val="0067069D"/>
    <w:rsid w:val="006711E9"/>
    <w:rsid w:val="00671277"/>
    <w:rsid w:val="00671996"/>
    <w:rsid w:val="00673E4A"/>
    <w:rsid w:val="006770CD"/>
    <w:rsid w:val="00677FB0"/>
    <w:rsid w:val="00680E3B"/>
    <w:rsid w:val="00683392"/>
    <w:rsid w:val="006836B3"/>
    <w:rsid w:val="00686CEA"/>
    <w:rsid w:val="00686F93"/>
    <w:rsid w:val="00687366"/>
    <w:rsid w:val="006964D1"/>
    <w:rsid w:val="0069724B"/>
    <w:rsid w:val="006A05D9"/>
    <w:rsid w:val="006A36BD"/>
    <w:rsid w:val="006A6394"/>
    <w:rsid w:val="006A6EAB"/>
    <w:rsid w:val="006B0454"/>
    <w:rsid w:val="006B2C56"/>
    <w:rsid w:val="006B3C22"/>
    <w:rsid w:val="006B64A1"/>
    <w:rsid w:val="006B68DF"/>
    <w:rsid w:val="006C17D8"/>
    <w:rsid w:val="006C1D78"/>
    <w:rsid w:val="006C215C"/>
    <w:rsid w:val="006C298F"/>
    <w:rsid w:val="006C79D2"/>
    <w:rsid w:val="006D08AE"/>
    <w:rsid w:val="006D11CF"/>
    <w:rsid w:val="006D1231"/>
    <w:rsid w:val="006D1D03"/>
    <w:rsid w:val="006D2617"/>
    <w:rsid w:val="006D3420"/>
    <w:rsid w:val="006D52AB"/>
    <w:rsid w:val="006D59C9"/>
    <w:rsid w:val="006D6FBF"/>
    <w:rsid w:val="006E04F0"/>
    <w:rsid w:val="006E0E98"/>
    <w:rsid w:val="006E1077"/>
    <w:rsid w:val="006E1DC1"/>
    <w:rsid w:val="006E2177"/>
    <w:rsid w:val="006E2679"/>
    <w:rsid w:val="006E2951"/>
    <w:rsid w:val="006E3F29"/>
    <w:rsid w:val="006F076E"/>
    <w:rsid w:val="006F539D"/>
    <w:rsid w:val="006F55B1"/>
    <w:rsid w:val="006F5633"/>
    <w:rsid w:val="006F59BF"/>
    <w:rsid w:val="00701A0D"/>
    <w:rsid w:val="00701DC8"/>
    <w:rsid w:val="007045BE"/>
    <w:rsid w:val="00705250"/>
    <w:rsid w:val="0070765B"/>
    <w:rsid w:val="0071187F"/>
    <w:rsid w:val="00711C7B"/>
    <w:rsid w:val="00715965"/>
    <w:rsid w:val="00720986"/>
    <w:rsid w:val="00722BFA"/>
    <w:rsid w:val="00726FA0"/>
    <w:rsid w:val="007316F8"/>
    <w:rsid w:val="007322C5"/>
    <w:rsid w:val="00732F6E"/>
    <w:rsid w:val="00734ABF"/>
    <w:rsid w:val="00734B21"/>
    <w:rsid w:val="007363B5"/>
    <w:rsid w:val="00736C49"/>
    <w:rsid w:val="0074011C"/>
    <w:rsid w:val="007420BC"/>
    <w:rsid w:val="0074257C"/>
    <w:rsid w:val="00747C17"/>
    <w:rsid w:val="00750A83"/>
    <w:rsid w:val="00751E6F"/>
    <w:rsid w:val="00753F18"/>
    <w:rsid w:val="00757C6B"/>
    <w:rsid w:val="00760326"/>
    <w:rsid w:val="007613BC"/>
    <w:rsid w:val="0076173E"/>
    <w:rsid w:val="00761F35"/>
    <w:rsid w:val="00763A05"/>
    <w:rsid w:val="007642E6"/>
    <w:rsid w:val="007644A5"/>
    <w:rsid w:val="00764767"/>
    <w:rsid w:val="007753BD"/>
    <w:rsid w:val="00776B75"/>
    <w:rsid w:val="00780E33"/>
    <w:rsid w:val="0078273D"/>
    <w:rsid w:val="00783FDB"/>
    <w:rsid w:val="00784DFB"/>
    <w:rsid w:val="007850EB"/>
    <w:rsid w:val="00786AC6"/>
    <w:rsid w:val="00787029"/>
    <w:rsid w:val="007905A3"/>
    <w:rsid w:val="00793094"/>
    <w:rsid w:val="00793D25"/>
    <w:rsid w:val="00794686"/>
    <w:rsid w:val="007946FC"/>
    <w:rsid w:val="007959CE"/>
    <w:rsid w:val="00796028"/>
    <w:rsid w:val="00797829"/>
    <w:rsid w:val="007A09B2"/>
    <w:rsid w:val="007A12FD"/>
    <w:rsid w:val="007A2CE2"/>
    <w:rsid w:val="007A71FD"/>
    <w:rsid w:val="007A79E7"/>
    <w:rsid w:val="007B3FC8"/>
    <w:rsid w:val="007B51AC"/>
    <w:rsid w:val="007B6460"/>
    <w:rsid w:val="007B7701"/>
    <w:rsid w:val="007C0F6D"/>
    <w:rsid w:val="007C3B03"/>
    <w:rsid w:val="007C4F64"/>
    <w:rsid w:val="007C7AE3"/>
    <w:rsid w:val="007C7CD0"/>
    <w:rsid w:val="007D2740"/>
    <w:rsid w:val="007D2F84"/>
    <w:rsid w:val="007D3659"/>
    <w:rsid w:val="007D37F8"/>
    <w:rsid w:val="007D405A"/>
    <w:rsid w:val="007D57B7"/>
    <w:rsid w:val="007D6DA8"/>
    <w:rsid w:val="007E0743"/>
    <w:rsid w:val="007E4090"/>
    <w:rsid w:val="007E4D30"/>
    <w:rsid w:val="007E62B5"/>
    <w:rsid w:val="007E7B96"/>
    <w:rsid w:val="007E7D8D"/>
    <w:rsid w:val="007E7FA5"/>
    <w:rsid w:val="007F0888"/>
    <w:rsid w:val="007F0FB7"/>
    <w:rsid w:val="007F15F4"/>
    <w:rsid w:val="007F4CF9"/>
    <w:rsid w:val="007F6C71"/>
    <w:rsid w:val="00800451"/>
    <w:rsid w:val="008028DB"/>
    <w:rsid w:val="0080537E"/>
    <w:rsid w:val="00807617"/>
    <w:rsid w:val="00813CB0"/>
    <w:rsid w:val="00814C46"/>
    <w:rsid w:val="00816C3F"/>
    <w:rsid w:val="00820AC3"/>
    <w:rsid w:val="00820E88"/>
    <w:rsid w:val="008219CE"/>
    <w:rsid w:val="00822A37"/>
    <w:rsid w:val="00825FE8"/>
    <w:rsid w:val="008319B8"/>
    <w:rsid w:val="0083321F"/>
    <w:rsid w:val="00834E26"/>
    <w:rsid w:val="008371AC"/>
    <w:rsid w:val="008422B2"/>
    <w:rsid w:val="00843A5E"/>
    <w:rsid w:val="008462E8"/>
    <w:rsid w:val="00846A85"/>
    <w:rsid w:val="00850102"/>
    <w:rsid w:val="0085500C"/>
    <w:rsid w:val="00856668"/>
    <w:rsid w:val="00866EB5"/>
    <w:rsid w:val="0087097E"/>
    <w:rsid w:val="00870DC2"/>
    <w:rsid w:val="008716D3"/>
    <w:rsid w:val="00871D8A"/>
    <w:rsid w:val="00872D1E"/>
    <w:rsid w:val="00873D57"/>
    <w:rsid w:val="00874E33"/>
    <w:rsid w:val="008814E7"/>
    <w:rsid w:val="00884DF0"/>
    <w:rsid w:val="00886B58"/>
    <w:rsid w:val="00886FBE"/>
    <w:rsid w:val="00887623"/>
    <w:rsid w:val="008907A1"/>
    <w:rsid w:val="00890945"/>
    <w:rsid w:val="00891924"/>
    <w:rsid w:val="00894740"/>
    <w:rsid w:val="008970F4"/>
    <w:rsid w:val="00897A24"/>
    <w:rsid w:val="008A11AB"/>
    <w:rsid w:val="008A20C6"/>
    <w:rsid w:val="008A571B"/>
    <w:rsid w:val="008B0245"/>
    <w:rsid w:val="008B0765"/>
    <w:rsid w:val="008B195A"/>
    <w:rsid w:val="008B2BD2"/>
    <w:rsid w:val="008B3A19"/>
    <w:rsid w:val="008B403C"/>
    <w:rsid w:val="008B4542"/>
    <w:rsid w:val="008B532F"/>
    <w:rsid w:val="008C319C"/>
    <w:rsid w:val="008C3494"/>
    <w:rsid w:val="008D2372"/>
    <w:rsid w:val="008D6266"/>
    <w:rsid w:val="008D6F8F"/>
    <w:rsid w:val="008E5B49"/>
    <w:rsid w:val="008E6345"/>
    <w:rsid w:val="008E660D"/>
    <w:rsid w:val="008E75F7"/>
    <w:rsid w:val="008F04E4"/>
    <w:rsid w:val="008F2B60"/>
    <w:rsid w:val="008F2FC7"/>
    <w:rsid w:val="008F3A6E"/>
    <w:rsid w:val="008F6276"/>
    <w:rsid w:val="008F68F9"/>
    <w:rsid w:val="009031B7"/>
    <w:rsid w:val="00903B44"/>
    <w:rsid w:val="009056A3"/>
    <w:rsid w:val="00905942"/>
    <w:rsid w:val="00910238"/>
    <w:rsid w:val="0091087D"/>
    <w:rsid w:val="0091202F"/>
    <w:rsid w:val="00914C33"/>
    <w:rsid w:val="00915794"/>
    <w:rsid w:val="009160E5"/>
    <w:rsid w:val="00916288"/>
    <w:rsid w:val="00916762"/>
    <w:rsid w:val="00917766"/>
    <w:rsid w:val="00920A2D"/>
    <w:rsid w:val="00921DAF"/>
    <w:rsid w:val="00923BBF"/>
    <w:rsid w:val="00927FC4"/>
    <w:rsid w:val="00931775"/>
    <w:rsid w:val="009322C0"/>
    <w:rsid w:val="00932CB7"/>
    <w:rsid w:val="00933180"/>
    <w:rsid w:val="00933A51"/>
    <w:rsid w:val="00933E68"/>
    <w:rsid w:val="00934A59"/>
    <w:rsid w:val="0093778F"/>
    <w:rsid w:val="00942861"/>
    <w:rsid w:val="00942FFD"/>
    <w:rsid w:val="0094423F"/>
    <w:rsid w:val="009459CE"/>
    <w:rsid w:val="0094607B"/>
    <w:rsid w:val="00947809"/>
    <w:rsid w:val="009510C0"/>
    <w:rsid w:val="00953F6C"/>
    <w:rsid w:val="00954780"/>
    <w:rsid w:val="009621EA"/>
    <w:rsid w:val="00966B34"/>
    <w:rsid w:val="00967A8C"/>
    <w:rsid w:val="00970060"/>
    <w:rsid w:val="00970F88"/>
    <w:rsid w:val="00972E14"/>
    <w:rsid w:val="00977DB2"/>
    <w:rsid w:val="00981832"/>
    <w:rsid w:val="00984C95"/>
    <w:rsid w:val="0098522E"/>
    <w:rsid w:val="009870DB"/>
    <w:rsid w:val="00987141"/>
    <w:rsid w:val="009875A9"/>
    <w:rsid w:val="00995B13"/>
    <w:rsid w:val="0099640E"/>
    <w:rsid w:val="0099652A"/>
    <w:rsid w:val="00996C1B"/>
    <w:rsid w:val="009A0EED"/>
    <w:rsid w:val="009A2427"/>
    <w:rsid w:val="009A483B"/>
    <w:rsid w:val="009A6376"/>
    <w:rsid w:val="009A7420"/>
    <w:rsid w:val="009B2171"/>
    <w:rsid w:val="009B6460"/>
    <w:rsid w:val="009C337C"/>
    <w:rsid w:val="009C3650"/>
    <w:rsid w:val="009C384D"/>
    <w:rsid w:val="009C4352"/>
    <w:rsid w:val="009C53A3"/>
    <w:rsid w:val="009D131E"/>
    <w:rsid w:val="009D29F6"/>
    <w:rsid w:val="009D2F9B"/>
    <w:rsid w:val="009D41C3"/>
    <w:rsid w:val="009D44D5"/>
    <w:rsid w:val="009D55F6"/>
    <w:rsid w:val="009D56E5"/>
    <w:rsid w:val="009E0654"/>
    <w:rsid w:val="009E0AEE"/>
    <w:rsid w:val="009E1862"/>
    <w:rsid w:val="009E2BD7"/>
    <w:rsid w:val="009E2D8E"/>
    <w:rsid w:val="009E2E95"/>
    <w:rsid w:val="009E3FE2"/>
    <w:rsid w:val="009E44C7"/>
    <w:rsid w:val="009E768F"/>
    <w:rsid w:val="009E7D6E"/>
    <w:rsid w:val="009F4096"/>
    <w:rsid w:val="009F4A7D"/>
    <w:rsid w:val="009F5C2D"/>
    <w:rsid w:val="009F6980"/>
    <w:rsid w:val="009F734A"/>
    <w:rsid w:val="00A00AD8"/>
    <w:rsid w:val="00A04E98"/>
    <w:rsid w:val="00A04EE9"/>
    <w:rsid w:val="00A05634"/>
    <w:rsid w:val="00A05D2D"/>
    <w:rsid w:val="00A05DA5"/>
    <w:rsid w:val="00A06854"/>
    <w:rsid w:val="00A10975"/>
    <w:rsid w:val="00A139CB"/>
    <w:rsid w:val="00A13F53"/>
    <w:rsid w:val="00A158B9"/>
    <w:rsid w:val="00A16DC9"/>
    <w:rsid w:val="00A17D80"/>
    <w:rsid w:val="00A20D59"/>
    <w:rsid w:val="00A20ECF"/>
    <w:rsid w:val="00A23444"/>
    <w:rsid w:val="00A2466F"/>
    <w:rsid w:val="00A31889"/>
    <w:rsid w:val="00A320D5"/>
    <w:rsid w:val="00A333A1"/>
    <w:rsid w:val="00A35CC6"/>
    <w:rsid w:val="00A369F6"/>
    <w:rsid w:val="00A371A3"/>
    <w:rsid w:val="00A42245"/>
    <w:rsid w:val="00A42B96"/>
    <w:rsid w:val="00A43137"/>
    <w:rsid w:val="00A439B7"/>
    <w:rsid w:val="00A448CC"/>
    <w:rsid w:val="00A51D87"/>
    <w:rsid w:val="00A5621F"/>
    <w:rsid w:val="00A562F4"/>
    <w:rsid w:val="00A57972"/>
    <w:rsid w:val="00A6005F"/>
    <w:rsid w:val="00A67209"/>
    <w:rsid w:val="00A67873"/>
    <w:rsid w:val="00A75B68"/>
    <w:rsid w:val="00A76771"/>
    <w:rsid w:val="00A773C3"/>
    <w:rsid w:val="00A77DEB"/>
    <w:rsid w:val="00A850F4"/>
    <w:rsid w:val="00A85F56"/>
    <w:rsid w:val="00A905B6"/>
    <w:rsid w:val="00A90ABB"/>
    <w:rsid w:val="00A93FF9"/>
    <w:rsid w:val="00AA1F67"/>
    <w:rsid w:val="00AA3D83"/>
    <w:rsid w:val="00AA5EB6"/>
    <w:rsid w:val="00AB0BD5"/>
    <w:rsid w:val="00AB2D0E"/>
    <w:rsid w:val="00AB4B47"/>
    <w:rsid w:val="00AB6CED"/>
    <w:rsid w:val="00AC25B1"/>
    <w:rsid w:val="00AC28FB"/>
    <w:rsid w:val="00AC4609"/>
    <w:rsid w:val="00AD07B7"/>
    <w:rsid w:val="00AD1696"/>
    <w:rsid w:val="00AD2243"/>
    <w:rsid w:val="00AD47FA"/>
    <w:rsid w:val="00AD661F"/>
    <w:rsid w:val="00AD702B"/>
    <w:rsid w:val="00AE0E44"/>
    <w:rsid w:val="00AE19F3"/>
    <w:rsid w:val="00AE47A1"/>
    <w:rsid w:val="00AE6B51"/>
    <w:rsid w:val="00AE72FF"/>
    <w:rsid w:val="00AE775A"/>
    <w:rsid w:val="00AF01A8"/>
    <w:rsid w:val="00AF4AA4"/>
    <w:rsid w:val="00AF6D6F"/>
    <w:rsid w:val="00B02EE4"/>
    <w:rsid w:val="00B02EF0"/>
    <w:rsid w:val="00B031AA"/>
    <w:rsid w:val="00B033EF"/>
    <w:rsid w:val="00B03F5E"/>
    <w:rsid w:val="00B054A0"/>
    <w:rsid w:val="00B074C0"/>
    <w:rsid w:val="00B10CBC"/>
    <w:rsid w:val="00B245C8"/>
    <w:rsid w:val="00B2601C"/>
    <w:rsid w:val="00B33912"/>
    <w:rsid w:val="00B36329"/>
    <w:rsid w:val="00B44855"/>
    <w:rsid w:val="00B45543"/>
    <w:rsid w:val="00B45CC5"/>
    <w:rsid w:val="00B473ED"/>
    <w:rsid w:val="00B5224C"/>
    <w:rsid w:val="00B6396B"/>
    <w:rsid w:val="00B64B06"/>
    <w:rsid w:val="00B65C9D"/>
    <w:rsid w:val="00B678B6"/>
    <w:rsid w:val="00B71B89"/>
    <w:rsid w:val="00B7330C"/>
    <w:rsid w:val="00B80C8B"/>
    <w:rsid w:val="00B81D0E"/>
    <w:rsid w:val="00B82136"/>
    <w:rsid w:val="00B82AF9"/>
    <w:rsid w:val="00B85715"/>
    <w:rsid w:val="00B92DF9"/>
    <w:rsid w:val="00B96D35"/>
    <w:rsid w:val="00BA06A2"/>
    <w:rsid w:val="00BA285B"/>
    <w:rsid w:val="00BA46D1"/>
    <w:rsid w:val="00BB2118"/>
    <w:rsid w:val="00BB222D"/>
    <w:rsid w:val="00BB4CD5"/>
    <w:rsid w:val="00BB4D9A"/>
    <w:rsid w:val="00BB4E2B"/>
    <w:rsid w:val="00BC047E"/>
    <w:rsid w:val="00BC1538"/>
    <w:rsid w:val="00BC2744"/>
    <w:rsid w:val="00BC431A"/>
    <w:rsid w:val="00BC5089"/>
    <w:rsid w:val="00BC65B9"/>
    <w:rsid w:val="00BC684A"/>
    <w:rsid w:val="00BD410C"/>
    <w:rsid w:val="00BD55D6"/>
    <w:rsid w:val="00BD58F2"/>
    <w:rsid w:val="00BE1C13"/>
    <w:rsid w:val="00BE35FD"/>
    <w:rsid w:val="00BE52C7"/>
    <w:rsid w:val="00BE546B"/>
    <w:rsid w:val="00BF06E6"/>
    <w:rsid w:val="00BF1323"/>
    <w:rsid w:val="00BF2361"/>
    <w:rsid w:val="00BF499F"/>
    <w:rsid w:val="00C00310"/>
    <w:rsid w:val="00C01EA2"/>
    <w:rsid w:val="00C02D59"/>
    <w:rsid w:val="00C03818"/>
    <w:rsid w:val="00C04B46"/>
    <w:rsid w:val="00C061EF"/>
    <w:rsid w:val="00C07149"/>
    <w:rsid w:val="00C11608"/>
    <w:rsid w:val="00C11772"/>
    <w:rsid w:val="00C13B56"/>
    <w:rsid w:val="00C17497"/>
    <w:rsid w:val="00C231B9"/>
    <w:rsid w:val="00C23720"/>
    <w:rsid w:val="00C30622"/>
    <w:rsid w:val="00C34BB3"/>
    <w:rsid w:val="00C350EA"/>
    <w:rsid w:val="00C3712B"/>
    <w:rsid w:val="00C37788"/>
    <w:rsid w:val="00C44604"/>
    <w:rsid w:val="00C47DDF"/>
    <w:rsid w:val="00C52F19"/>
    <w:rsid w:val="00C6556A"/>
    <w:rsid w:val="00C80DEA"/>
    <w:rsid w:val="00C87947"/>
    <w:rsid w:val="00C87EA4"/>
    <w:rsid w:val="00C90CAD"/>
    <w:rsid w:val="00CA1475"/>
    <w:rsid w:val="00CA2927"/>
    <w:rsid w:val="00CA34D9"/>
    <w:rsid w:val="00CA41B6"/>
    <w:rsid w:val="00CA50C6"/>
    <w:rsid w:val="00CA786A"/>
    <w:rsid w:val="00CB0722"/>
    <w:rsid w:val="00CB335D"/>
    <w:rsid w:val="00CB3E0E"/>
    <w:rsid w:val="00CB5DAC"/>
    <w:rsid w:val="00CC0DC9"/>
    <w:rsid w:val="00CC35D0"/>
    <w:rsid w:val="00CC3789"/>
    <w:rsid w:val="00CC5351"/>
    <w:rsid w:val="00CC59DE"/>
    <w:rsid w:val="00CC624E"/>
    <w:rsid w:val="00CC708A"/>
    <w:rsid w:val="00CC77AB"/>
    <w:rsid w:val="00CD01F7"/>
    <w:rsid w:val="00CD0415"/>
    <w:rsid w:val="00CD0D33"/>
    <w:rsid w:val="00CD21B4"/>
    <w:rsid w:val="00CD342E"/>
    <w:rsid w:val="00CD510B"/>
    <w:rsid w:val="00CE1CA3"/>
    <w:rsid w:val="00CE342D"/>
    <w:rsid w:val="00CE46A3"/>
    <w:rsid w:val="00CE4CFC"/>
    <w:rsid w:val="00CE69EE"/>
    <w:rsid w:val="00CE7AD3"/>
    <w:rsid w:val="00CF173C"/>
    <w:rsid w:val="00CF23EF"/>
    <w:rsid w:val="00CF3052"/>
    <w:rsid w:val="00CF612E"/>
    <w:rsid w:val="00D052FD"/>
    <w:rsid w:val="00D0681F"/>
    <w:rsid w:val="00D068D6"/>
    <w:rsid w:val="00D12E23"/>
    <w:rsid w:val="00D14B22"/>
    <w:rsid w:val="00D2043F"/>
    <w:rsid w:val="00D230B0"/>
    <w:rsid w:val="00D23BE7"/>
    <w:rsid w:val="00D24C72"/>
    <w:rsid w:val="00D30021"/>
    <w:rsid w:val="00D3090F"/>
    <w:rsid w:val="00D31121"/>
    <w:rsid w:val="00D3128D"/>
    <w:rsid w:val="00D3197F"/>
    <w:rsid w:val="00D32283"/>
    <w:rsid w:val="00D333B6"/>
    <w:rsid w:val="00D3384B"/>
    <w:rsid w:val="00D33E28"/>
    <w:rsid w:val="00D35C04"/>
    <w:rsid w:val="00D35F63"/>
    <w:rsid w:val="00D4347C"/>
    <w:rsid w:val="00D448D3"/>
    <w:rsid w:val="00D454D9"/>
    <w:rsid w:val="00D4561D"/>
    <w:rsid w:val="00D461A8"/>
    <w:rsid w:val="00D462B0"/>
    <w:rsid w:val="00D47E93"/>
    <w:rsid w:val="00D5082F"/>
    <w:rsid w:val="00D535E6"/>
    <w:rsid w:val="00D56C7E"/>
    <w:rsid w:val="00D67DE4"/>
    <w:rsid w:val="00D71EC6"/>
    <w:rsid w:val="00D7261F"/>
    <w:rsid w:val="00D74AC0"/>
    <w:rsid w:val="00D754F5"/>
    <w:rsid w:val="00D76501"/>
    <w:rsid w:val="00D81B22"/>
    <w:rsid w:val="00D82615"/>
    <w:rsid w:val="00D831FF"/>
    <w:rsid w:val="00D83C7B"/>
    <w:rsid w:val="00D84C21"/>
    <w:rsid w:val="00D85B92"/>
    <w:rsid w:val="00D9046B"/>
    <w:rsid w:val="00D90F98"/>
    <w:rsid w:val="00D92A42"/>
    <w:rsid w:val="00D92E39"/>
    <w:rsid w:val="00D94DB7"/>
    <w:rsid w:val="00DA2FC4"/>
    <w:rsid w:val="00DA3C93"/>
    <w:rsid w:val="00DA563B"/>
    <w:rsid w:val="00DA7620"/>
    <w:rsid w:val="00DB0B7E"/>
    <w:rsid w:val="00DB1132"/>
    <w:rsid w:val="00DB434A"/>
    <w:rsid w:val="00DB5EFE"/>
    <w:rsid w:val="00DB6F31"/>
    <w:rsid w:val="00DB789D"/>
    <w:rsid w:val="00DC0F25"/>
    <w:rsid w:val="00DC1149"/>
    <w:rsid w:val="00DC14D8"/>
    <w:rsid w:val="00DC4320"/>
    <w:rsid w:val="00DD0BED"/>
    <w:rsid w:val="00DD23DB"/>
    <w:rsid w:val="00DD780D"/>
    <w:rsid w:val="00DE20A7"/>
    <w:rsid w:val="00DE57F1"/>
    <w:rsid w:val="00DF4B71"/>
    <w:rsid w:val="00DF5988"/>
    <w:rsid w:val="00DF74E1"/>
    <w:rsid w:val="00E00C71"/>
    <w:rsid w:val="00E02B92"/>
    <w:rsid w:val="00E04FAD"/>
    <w:rsid w:val="00E05CA7"/>
    <w:rsid w:val="00E071C2"/>
    <w:rsid w:val="00E07A03"/>
    <w:rsid w:val="00E127B4"/>
    <w:rsid w:val="00E14F70"/>
    <w:rsid w:val="00E16FEB"/>
    <w:rsid w:val="00E176CC"/>
    <w:rsid w:val="00E177C7"/>
    <w:rsid w:val="00E20805"/>
    <w:rsid w:val="00E214D5"/>
    <w:rsid w:val="00E24EF9"/>
    <w:rsid w:val="00E26375"/>
    <w:rsid w:val="00E274D9"/>
    <w:rsid w:val="00E307B3"/>
    <w:rsid w:val="00E31204"/>
    <w:rsid w:val="00E36137"/>
    <w:rsid w:val="00E36B3F"/>
    <w:rsid w:val="00E36CF9"/>
    <w:rsid w:val="00E37A29"/>
    <w:rsid w:val="00E37F26"/>
    <w:rsid w:val="00E41B59"/>
    <w:rsid w:val="00E420A1"/>
    <w:rsid w:val="00E425F2"/>
    <w:rsid w:val="00E43BB1"/>
    <w:rsid w:val="00E45F65"/>
    <w:rsid w:val="00E47627"/>
    <w:rsid w:val="00E519C7"/>
    <w:rsid w:val="00E54701"/>
    <w:rsid w:val="00E56435"/>
    <w:rsid w:val="00E56B96"/>
    <w:rsid w:val="00E60CE2"/>
    <w:rsid w:val="00E64F94"/>
    <w:rsid w:val="00E65921"/>
    <w:rsid w:val="00E65CEB"/>
    <w:rsid w:val="00E66324"/>
    <w:rsid w:val="00E67778"/>
    <w:rsid w:val="00E67E20"/>
    <w:rsid w:val="00E700D4"/>
    <w:rsid w:val="00E73F1C"/>
    <w:rsid w:val="00E75164"/>
    <w:rsid w:val="00E753D9"/>
    <w:rsid w:val="00E8356A"/>
    <w:rsid w:val="00E8356C"/>
    <w:rsid w:val="00E856A5"/>
    <w:rsid w:val="00E86920"/>
    <w:rsid w:val="00E874F6"/>
    <w:rsid w:val="00E8775F"/>
    <w:rsid w:val="00E91889"/>
    <w:rsid w:val="00E94596"/>
    <w:rsid w:val="00E971C9"/>
    <w:rsid w:val="00EA1F8F"/>
    <w:rsid w:val="00EA34B6"/>
    <w:rsid w:val="00EA3B33"/>
    <w:rsid w:val="00EA589A"/>
    <w:rsid w:val="00EA59C6"/>
    <w:rsid w:val="00EA69CC"/>
    <w:rsid w:val="00EA73E6"/>
    <w:rsid w:val="00EA754B"/>
    <w:rsid w:val="00EA7C48"/>
    <w:rsid w:val="00EB0839"/>
    <w:rsid w:val="00EB1E01"/>
    <w:rsid w:val="00EB23A4"/>
    <w:rsid w:val="00EB23AA"/>
    <w:rsid w:val="00EB27D5"/>
    <w:rsid w:val="00EB3A3D"/>
    <w:rsid w:val="00EB459A"/>
    <w:rsid w:val="00EB7630"/>
    <w:rsid w:val="00EC0AFF"/>
    <w:rsid w:val="00EC150D"/>
    <w:rsid w:val="00EC4197"/>
    <w:rsid w:val="00EC65ED"/>
    <w:rsid w:val="00EC68B4"/>
    <w:rsid w:val="00ED1A3B"/>
    <w:rsid w:val="00ED1ED9"/>
    <w:rsid w:val="00ED2F25"/>
    <w:rsid w:val="00ED32AB"/>
    <w:rsid w:val="00ED3F0D"/>
    <w:rsid w:val="00ED53A7"/>
    <w:rsid w:val="00ED6977"/>
    <w:rsid w:val="00EE041D"/>
    <w:rsid w:val="00EE1306"/>
    <w:rsid w:val="00EE1BFB"/>
    <w:rsid w:val="00EE20C6"/>
    <w:rsid w:val="00EE5EB6"/>
    <w:rsid w:val="00EF02E3"/>
    <w:rsid w:val="00EF0DE8"/>
    <w:rsid w:val="00EF10D7"/>
    <w:rsid w:val="00EF57CB"/>
    <w:rsid w:val="00F025D6"/>
    <w:rsid w:val="00F0575A"/>
    <w:rsid w:val="00F05E74"/>
    <w:rsid w:val="00F05F56"/>
    <w:rsid w:val="00F063B4"/>
    <w:rsid w:val="00F0766A"/>
    <w:rsid w:val="00F10261"/>
    <w:rsid w:val="00F10434"/>
    <w:rsid w:val="00F12173"/>
    <w:rsid w:val="00F1632A"/>
    <w:rsid w:val="00F202C7"/>
    <w:rsid w:val="00F21970"/>
    <w:rsid w:val="00F2419D"/>
    <w:rsid w:val="00F30239"/>
    <w:rsid w:val="00F3082A"/>
    <w:rsid w:val="00F316FE"/>
    <w:rsid w:val="00F3193A"/>
    <w:rsid w:val="00F50F0C"/>
    <w:rsid w:val="00F50FE5"/>
    <w:rsid w:val="00F51CEC"/>
    <w:rsid w:val="00F51F0F"/>
    <w:rsid w:val="00F526B5"/>
    <w:rsid w:val="00F52B39"/>
    <w:rsid w:val="00F542D2"/>
    <w:rsid w:val="00F55C3C"/>
    <w:rsid w:val="00F60CAB"/>
    <w:rsid w:val="00F63F5F"/>
    <w:rsid w:val="00F67330"/>
    <w:rsid w:val="00F67901"/>
    <w:rsid w:val="00F70101"/>
    <w:rsid w:val="00F76F26"/>
    <w:rsid w:val="00F83D87"/>
    <w:rsid w:val="00F87E95"/>
    <w:rsid w:val="00F9277F"/>
    <w:rsid w:val="00F94A3D"/>
    <w:rsid w:val="00F953AC"/>
    <w:rsid w:val="00FA3216"/>
    <w:rsid w:val="00FA3EA1"/>
    <w:rsid w:val="00FA48DA"/>
    <w:rsid w:val="00FA6846"/>
    <w:rsid w:val="00FA762B"/>
    <w:rsid w:val="00FA7C01"/>
    <w:rsid w:val="00FB1CB3"/>
    <w:rsid w:val="00FB2970"/>
    <w:rsid w:val="00FB2FA4"/>
    <w:rsid w:val="00FB3A62"/>
    <w:rsid w:val="00FB4484"/>
    <w:rsid w:val="00FC47D8"/>
    <w:rsid w:val="00FC6953"/>
    <w:rsid w:val="00FC7446"/>
    <w:rsid w:val="00FC7616"/>
    <w:rsid w:val="00FD091D"/>
    <w:rsid w:val="00FD39C2"/>
    <w:rsid w:val="00FD4A1D"/>
    <w:rsid w:val="00FD4B5D"/>
    <w:rsid w:val="00FD64CB"/>
    <w:rsid w:val="00FE1BD4"/>
    <w:rsid w:val="00FE1DC2"/>
    <w:rsid w:val="00FE22A4"/>
    <w:rsid w:val="00FE56D5"/>
    <w:rsid w:val="00FE76FC"/>
    <w:rsid w:val="00FF121E"/>
    <w:rsid w:val="00FF1BB7"/>
    <w:rsid w:val="00FF1C4E"/>
    <w:rsid w:val="00FF2F20"/>
    <w:rsid w:val="00FF36F7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  <w14:docId w14:val="6BBC658A"/>
  <w15:docId w15:val="{31E1D596-742F-4175-9991-D34BD9EE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9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505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2505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2505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5054E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2505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2505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4">
    <w:name w:val="Hyperlink"/>
    <w:basedOn w:val="a1"/>
    <w:uiPriority w:val="99"/>
    <w:semiHidden/>
    <w:unhideWhenUsed/>
    <w:rsid w:val="0025054E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25054E"/>
    <w:rPr>
      <w:color w:val="800080" w:themeColor="followedHyperlink"/>
      <w:u w:val="single"/>
    </w:rPr>
  </w:style>
  <w:style w:type="paragraph" w:styleId="a6">
    <w:name w:val="footnote text"/>
    <w:basedOn w:val="a0"/>
    <w:link w:val="11"/>
    <w:uiPriority w:val="99"/>
    <w:semiHidden/>
    <w:unhideWhenUsed/>
    <w:rsid w:val="0025054E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1"/>
    <w:uiPriority w:val="99"/>
    <w:semiHidden/>
    <w:rsid w:val="00250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0"/>
    <w:link w:val="12"/>
    <w:uiPriority w:val="99"/>
    <w:semiHidden/>
    <w:unhideWhenUsed/>
    <w:rsid w:val="0025054E"/>
    <w:rPr>
      <w:sz w:val="20"/>
      <w:szCs w:val="20"/>
    </w:rPr>
  </w:style>
  <w:style w:type="character" w:customStyle="1" w:styleId="a9">
    <w:name w:val="Текст примечания Знак"/>
    <w:basedOn w:val="a1"/>
    <w:uiPriority w:val="99"/>
    <w:semiHidden/>
    <w:rsid w:val="00250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250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unhideWhenUsed/>
    <w:rsid w:val="00250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0"/>
    <w:link w:val="af"/>
    <w:uiPriority w:val="99"/>
    <w:qFormat/>
    <w:rsid w:val="0025054E"/>
    <w:pPr>
      <w:jc w:val="center"/>
    </w:pPr>
    <w:rPr>
      <w:b/>
      <w:bCs/>
    </w:rPr>
  </w:style>
  <w:style w:type="character" w:customStyle="1" w:styleId="af">
    <w:name w:val="Заголовок Знак"/>
    <w:basedOn w:val="a1"/>
    <w:link w:val="ae"/>
    <w:uiPriority w:val="99"/>
    <w:rsid w:val="002505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unhideWhenUsed/>
    <w:rsid w:val="0025054E"/>
    <w:pPr>
      <w:jc w:val="both"/>
    </w:pPr>
    <w:rPr>
      <w:szCs w:val="20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2505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0"/>
    <w:link w:val="af3"/>
    <w:uiPriority w:val="99"/>
    <w:unhideWhenUsed/>
    <w:rsid w:val="0025054E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25054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25054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2505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2505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annotation subject"/>
    <w:basedOn w:val="a8"/>
    <w:next w:val="a8"/>
    <w:link w:val="13"/>
    <w:uiPriority w:val="99"/>
    <w:semiHidden/>
    <w:unhideWhenUsed/>
    <w:rsid w:val="0025054E"/>
    <w:rPr>
      <w:b/>
      <w:bCs/>
    </w:rPr>
  </w:style>
  <w:style w:type="character" w:customStyle="1" w:styleId="af5">
    <w:name w:val="Тема примечания Знак"/>
    <w:basedOn w:val="a9"/>
    <w:uiPriority w:val="99"/>
    <w:semiHidden/>
    <w:rsid w:val="002505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semiHidden/>
    <w:unhideWhenUsed/>
    <w:rsid w:val="0025054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5054E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0"/>
    <w:uiPriority w:val="34"/>
    <w:qFormat/>
    <w:rsid w:val="0025054E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Пробный"/>
    <w:basedOn w:val="a0"/>
    <w:uiPriority w:val="99"/>
    <w:rsid w:val="0025054E"/>
    <w:pPr>
      <w:numPr>
        <w:numId w:val="1"/>
      </w:numPr>
      <w:jc w:val="both"/>
    </w:pPr>
    <w:rPr>
      <w:sz w:val="28"/>
      <w:szCs w:val="28"/>
    </w:rPr>
  </w:style>
  <w:style w:type="paragraph" w:customStyle="1" w:styleId="af9">
    <w:name w:val="Заголовок статьи"/>
    <w:basedOn w:val="a0"/>
    <w:next w:val="a0"/>
    <w:uiPriority w:val="99"/>
    <w:rsid w:val="0025054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18"/>
      <w:szCs w:val="18"/>
    </w:rPr>
  </w:style>
  <w:style w:type="paragraph" w:customStyle="1" w:styleId="afa">
    <w:name w:val="Комментарий"/>
    <w:basedOn w:val="a0"/>
    <w:next w:val="a0"/>
    <w:uiPriority w:val="99"/>
    <w:rsid w:val="0025054E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customStyle="1" w:styleId="afb">
    <w:name w:val="Прижатый влево"/>
    <w:basedOn w:val="a0"/>
    <w:next w:val="a0"/>
    <w:uiPriority w:val="99"/>
    <w:rsid w:val="0025054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Таблицы (моноширинный)"/>
    <w:basedOn w:val="a0"/>
    <w:next w:val="a0"/>
    <w:uiPriority w:val="99"/>
    <w:rsid w:val="00250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5054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2505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Колонтитул (правый)"/>
    <w:basedOn w:val="a0"/>
    <w:next w:val="a0"/>
    <w:uiPriority w:val="99"/>
    <w:rsid w:val="0025054E"/>
    <w:pPr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2505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0"/>
    <w:uiPriority w:val="99"/>
    <w:rsid w:val="0025054E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e">
    <w:name w:val="Нормальный (таблица)"/>
    <w:basedOn w:val="a0"/>
    <w:next w:val="a0"/>
    <w:uiPriority w:val="99"/>
    <w:rsid w:val="0025054E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character" w:customStyle="1" w:styleId="ConsPlusCell">
    <w:name w:val="ConsPlusCell Знак"/>
    <w:link w:val="ConsPlusCell0"/>
    <w:uiPriority w:val="99"/>
    <w:locked/>
    <w:rsid w:val="0025054E"/>
    <w:rPr>
      <w:sz w:val="24"/>
      <w:szCs w:val="24"/>
    </w:rPr>
  </w:style>
  <w:style w:type="paragraph" w:customStyle="1" w:styleId="ConsPlusCell0">
    <w:name w:val="ConsPlusCell"/>
    <w:link w:val="ConsPlusCell"/>
    <w:uiPriority w:val="99"/>
    <w:rsid w:val="0025054E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b-b2b-toption-rowtype-data">
    <w:name w:val="b-b2b-toption-row__type-data"/>
    <w:basedOn w:val="a0"/>
    <w:rsid w:val="0025054E"/>
    <w:pPr>
      <w:spacing w:before="100" w:beforeAutospacing="1" w:after="100" w:afterAutospacing="1"/>
    </w:pPr>
  </w:style>
  <w:style w:type="paragraph" w:customStyle="1" w:styleId="25">
    <w:name w:val="Знак Знак2 Знак Знак Знак"/>
    <w:basedOn w:val="a0"/>
    <w:rsid w:val="002505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">
    <w:name w:val="annotation reference"/>
    <w:basedOn w:val="a1"/>
    <w:uiPriority w:val="99"/>
    <w:semiHidden/>
    <w:unhideWhenUsed/>
    <w:rsid w:val="0025054E"/>
    <w:rPr>
      <w:sz w:val="16"/>
      <w:szCs w:val="16"/>
    </w:rPr>
  </w:style>
  <w:style w:type="character" w:styleId="aff0">
    <w:name w:val="page number"/>
    <w:basedOn w:val="a1"/>
    <w:uiPriority w:val="99"/>
    <w:semiHidden/>
    <w:unhideWhenUsed/>
    <w:rsid w:val="0025054E"/>
    <w:rPr>
      <w:rFonts w:ascii="Times New Roman" w:hAnsi="Times New Roman" w:cs="Times New Roman" w:hint="default"/>
    </w:rPr>
  </w:style>
  <w:style w:type="character" w:customStyle="1" w:styleId="aff1">
    <w:name w:val="Цветовое выделение"/>
    <w:uiPriority w:val="99"/>
    <w:rsid w:val="0025054E"/>
    <w:rPr>
      <w:b/>
      <w:bCs w:val="0"/>
      <w:color w:val="000080"/>
      <w:sz w:val="18"/>
    </w:rPr>
  </w:style>
  <w:style w:type="character" w:customStyle="1" w:styleId="aff2">
    <w:name w:val="Гипертекстовая ссылка"/>
    <w:basedOn w:val="aff1"/>
    <w:uiPriority w:val="99"/>
    <w:rsid w:val="0025054E"/>
    <w:rPr>
      <w:rFonts w:ascii="Times New Roman" w:hAnsi="Times New Roman" w:cs="Times New Roman" w:hint="default"/>
      <w:b/>
      <w:bCs/>
      <w:color w:val="008000"/>
      <w:sz w:val="18"/>
      <w:szCs w:val="18"/>
      <w:u w:val="single"/>
    </w:rPr>
  </w:style>
  <w:style w:type="character" w:customStyle="1" w:styleId="12">
    <w:name w:val="Текст примечания Знак1"/>
    <w:basedOn w:val="a1"/>
    <w:link w:val="a8"/>
    <w:uiPriority w:val="99"/>
    <w:semiHidden/>
    <w:locked/>
    <w:rsid w:val="002505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basedOn w:val="a1"/>
    <w:uiPriority w:val="99"/>
    <w:semiHidden/>
    <w:locked/>
    <w:rsid w:val="0025054E"/>
    <w:rPr>
      <w:rFonts w:ascii="Times New Roman" w:hAnsi="Times New Roman" w:cs="Times New Roman" w:hint="default"/>
      <w:sz w:val="20"/>
      <w:szCs w:val="20"/>
    </w:rPr>
  </w:style>
  <w:style w:type="character" w:customStyle="1" w:styleId="13">
    <w:name w:val="Тема примечания Знак1"/>
    <w:basedOn w:val="12"/>
    <w:link w:val="af4"/>
    <w:uiPriority w:val="99"/>
    <w:semiHidden/>
    <w:locked/>
    <w:rsid w:val="002505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mmentSubjectChar1">
    <w:name w:val="Comment Subject Char1"/>
    <w:basedOn w:val="a9"/>
    <w:uiPriority w:val="99"/>
    <w:semiHidden/>
    <w:locked/>
    <w:rsid w:val="002505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Текст сноски Знак1"/>
    <w:basedOn w:val="a1"/>
    <w:link w:val="a6"/>
    <w:uiPriority w:val="99"/>
    <w:semiHidden/>
    <w:locked/>
    <w:rsid w:val="0025054E"/>
    <w:rPr>
      <w:rFonts w:ascii="Calibri" w:eastAsia="Times New Roman" w:hAnsi="Calibri" w:cs="Times New Roman"/>
      <w:sz w:val="20"/>
      <w:szCs w:val="20"/>
    </w:rPr>
  </w:style>
  <w:style w:type="character" w:customStyle="1" w:styleId="FootnoteTextChar1">
    <w:name w:val="Footnote Text Char1"/>
    <w:basedOn w:val="a1"/>
    <w:uiPriority w:val="99"/>
    <w:semiHidden/>
    <w:locked/>
    <w:rsid w:val="0025054E"/>
    <w:rPr>
      <w:rFonts w:ascii="Times New Roman" w:hAnsi="Times New Roman" w:cs="Times New Roman" w:hint="default"/>
      <w:sz w:val="20"/>
      <w:szCs w:val="20"/>
    </w:rPr>
  </w:style>
  <w:style w:type="character" w:customStyle="1" w:styleId="aff3">
    <w:name w:val="Сравнение редакций. Удаленный фрагмент"/>
    <w:uiPriority w:val="99"/>
    <w:rsid w:val="0025054E"/>
    <w:rPr>
      <w:color w:val="000000"/>
      <w:shd w:val="clear" w:color="auto" w:fill="C4C413"/>
    </w:rPr>
  </w:style>
  <w:style w:type="character" w:customStyle="1" w:styleId="b-b2b-toption-rowtype-name">
    <w:name w:val="b-b2b-toption-row__type-name"/>
    <w:basedOn w:val="a1"/>
    <w:rsid w:val="0025054E"/>
  </w:style>
  <w:style w:type="character" w:customStyle="1" w:styleId="apple-converted-space">
    <w:name w:val="apple-converted-space"/>
    <w:basedOn w:val="a1"/>
    <w:rsid w:val="0025054E"/>
  </w:style>
  <w:style w:type="character" w:customStyle="1" w:styleId="b-b2b-toption-rowtype-content">
    <w:name w:val="b-b2b-toption-row__type-content"/>
    <w:basedOn w:val="a1"/>
    <w:rsid w:val="0025054E"/>
  </w:style>
  <w:style w:type="table" w:styleId="aff4">
    <w:name w:val="Table Grid"/>
    <w:basedOn w:val="a2"/>
    <w:rsid w:val="00250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Strong"/>
    <w:basedOn w:val="a1"/>
    <w:uiPriority w:val="22"/>
    <w:qFormat/>
    <w:rsid w:val="0025054E"/>
    <w:rPr>
      <w:b/>
      <w:bCs/>
    </w:rPr>
  </w:style>
  <w:style w:type="paragraph" w:customStyle="1" w:styleId="210">
    <w:name w:val="Основной текст 21"/>
    <w:basedOn w:val="a0"/>
    <w:rsid w:val="0009262F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pacing w:val="-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80FB5-A8EB-4DB2-9261-F4756BE4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8</Pages>
  <Words>3940</Words>
  <Characters>22461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26349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Виктор_2</dc:creator>
  <cp:lastModifiedBy>Черниченко Виктор Владимирович</cp:lastModifiedBy>
  <cp:revision>17</cp:revision>
  <cp:lastPrinted>2021-03-15T10:10:00Z</cp:lastPrinted>
  <dcterms:created xsi:type="dcterms:W3CDTF">2021-03-10T06:44:00Z</dcterms:created>
  <dcterms:modified xsi:type="dcterms:W3CDTF">2021-03-15T12:09:00Z</dcterms:modified>
</cp:coreProperties>
</file>