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F1" w:rsidRPr="0054172A" w:rsidRDefault="00D579A0" w:rsidP="002D1EF1">
      <w:pPr>
        <w:pStyle w:val="ac"/>
        <w:tabs>
          <w:tab w:val="left" w:pos="180"/>
          <w:tab w:val="left" w:pos="360"/>
        </w:tabs>
        <w:spacing w:after="0"/>
        <w:ind w:left="6120"/>
        <w:rPr>
          <w:b/>
        </w:rPr>
      </w:pPr>
      <w:r>
        <w:rPr>
          <w:b/>
        </w:rPr>
        <w:t xml:space="preserve">   </w:t>
      </w:r>
      <w:r w:rsidR="002D1EF1" w:rsidRPr="0054172A">
        <w:rPr>
          <w:b/>
        </w:rPr>
        <w:t xml:space="preserve">УТВЕРЖДАЮ </w:t>
      </w:r>
    </w:p>
    <w:p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54172A">
        <w:t xml:space="preserve">председатель контрольно - </w:t>
      </w:r>
      <w:proofErr w:type="gramStart"/>
      <w:r w:rsidRPr="0054172A">
        <w:t>счетной</w:t>
      </w:r>
      <w:proofErr w:type="gramEnd"/>
    </w:p>
    <w:p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54172A">
        <w:t>палаты Волгоградской области</w:t>
      </w:r>
    </w:p>
    <w:p w:rsidR="002D1EF1" w:rsidRPr="0054172A" w:rsidRDefault="002D1EF1" w:rsidP="00CF0BCA">
      <w:pPr>
        <w:pStyle w:val="ac"/>
        <w:tabs>
          <w:tab w:val="left" w:pos="180"/>
          <w:tab w:val="left" w:pos="360"/>
          <w:tab w:val="left" w:pos="1725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="00CF0BC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</w:p>
    <w:p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54172A">
        <w:t>_________________ И.А. Дьяченко</w:t>
      </w:r>
    </w:p>
    <w:p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bookmarkStart w:id="0" w:name="_GoBack"/>
      <w:bookmarkEnd w:id="0"/>
      <w:r>
        <w:t xml:space="preserve">                       </w:t>
      </w:r>
      <w:r w:rsidRPr="002E19A7">
        <w:t xml:space="preserve">«  </w:t>
      </w:r>
      <w:r>
        <w:t xml:space="preserve">  </w:t>
      </w:r>
      <w:r w:rsidRPr="002E19A7">
        <w:t xml:space="preserve">» </w:t>
      </w:r>
      <w:r>
        <w:t>марта</w:t>
      </w:r>
      <w:r w:rsidRPr="002E19A7">
        <w:t xml:space="preserve"> 201</w:t>
      </w:r>
      <w:r>
        <w:t>8</w:t>
      </w:r>
      <w:r w:rsidRPr="0054172A">
        <w:t xml:space="preserve"> года </w:t>
      </w:r>
    </w:p>
    <w:p w:rsidR="002D1EF1" w:rsidRDefault="002D1EF1" w:rsidP="002D1EF1">
      <w:pPr>
        <w:jc w:val="center"/>
        <w:rPr>
          <w:b/>
          <w:i/>
        </w:rPr>
      </w:pPr>
    </w:p>
    <w:p w:rsidR="00C14675" w:rsidRDefault="00C14675" w:rsidP="002D1EF1">
      <w:pPr>
        <w:jc w:val="center"/>
        <w:rPr>
          <w:b/>
          <w:i/>
        </w:rPr>
      </w:pPr>
    </w:p>
    <w:p w:rsidR="002D1EF1" w:rsidRPr="002D1EF1" w:rsidRDefault="002D1EF1" w:rsidP="002D1EF1">
      <w:pPr>
        <w:jc w:val="center"/>
        <w:rPr>
          <w:b/>
          <w:i/>
        </w:rPr>
      </w:pPr>
      <w:r w:rsidRPr="002D1EF1">
        <w:rPr>
          <w:b/>
          <w:i/>
        </w:rPr>
        <w:t>ЗАКЛЮЧЕНИЕ</w:t>
      </w:r>
    </w:p>
    <w:p w:rsidR="002D1EF1" w:rsidRPr="002D1EF1" w:rsidRDefault="002D1EF1" w:rsidP="002D1EF1">
      <w:pPr>
        <w:pStyle w:val="a6"/>
        <w:tabs>
          <w:tab w:val="left" w:pos="8007"/>
        </w:tabs>
        <w:rPr>
          <w:i/>
        </w:rPr>
      </w:pPr>
      <w:r w:rsidRPr="002D1EF1">
        <w:rPr>
          <w:rStyle w:val="FontStyle52"/>
          <w:b/>
          <w:szCs w:val="24"/>
        </w:rPr>
        <w:t xml:space="preserve">по результатам внешней проверки бюджетной отчетности и отдельных вопросов исполнения областного бюджета за 2017 год главным администратором средств областного бюджета </w:t>
      </w:r>
    </w:p>
    <w:p w:rsidR="000C5513" w:rsidRDefault="00D579A0" w:rsidP="00CB18F0">
      <w:pPr>
        <w:pStyle w:val="a6"/>
        <w:rPr>
          <w:bCs/>
          <w:i/>
          <w:iCs/>
          <w:color w:val="000000"/>
        </w:rPr>
      </w:pPr>
      <w:r>
        <w:rPr>
          <w:i/>
        </w:rPr>
        <w:t>-</w:t>
      </w:r>
      <w:r w:rsidR="00CB18F0" w:rsidRPr="002D1EF1">
        <w:rPr>
          <w:i/>
        </w:rPr>
        <w:t xml:space="preserve"> </w:t>
      </w:r>
      <w:r w:rsidR="00CB18F0" w:rsidRPr="002D1EF1">
        <w:rPr>
          <w:bCs/>
          <w:i/>
          <w:iCs/>
          <w:color w:val="000000"/>
        </w:rPr>
        <w:t xml:space="preserve">комитетом по регулированию контрактной системы в сфере закупок </w:t>
      </w:r>
    </w:p>
    <w:p w:rsidR="00DD3278" w:rsidRPr="002D1EF1" w:rsidRDefault="00CB18F0" w:rsidP="00CB18F0">
      <w:pPr>
        <w:pStyle w:val="a6"/>
        <w:rPr>
          <w:i/>
          <w:szCs w:val="24"/>
        </w:rPr>
      </w:pPr>
      <w:r w:rsidRPr="002D1EF1">
        <w:rPr>
          <w:bCs/>
          <w:i/>
          <w:iCs/>
          <w:color w:val="000000"/>
        </w:rPr>
        <w:t>Волгоградской области</w:t>
      </w:r>
      <w:r w:rsidRPr="002D1EF1">
        <w:rPr>
          <w:i/>
        </w:rPr>
        <w:t xml:space="preserve"> </w:t>
      </w:r>
    </w:p>
    <w:p w:rsidR="00DD3278" w:rsidRPr="00060441" w:rsidRDefault="00DD3278" w:rsidP="00DD3278">
      <w:pPr>
        <w:pStyle w:val="a4"/>
      </w:pPr>
    </w:p>
    <w:p w:rsidR="00497844" w:rsidRPr="00D579A0" w:rsidRDefault="00DD3278" w:rsidP="00D41288">
      <w:pPr>
        <w:pStyle w:val="a6"/>
        <w:ind w:firstLine="708"/>
        <w:jc w:val="both"/>
        <w:rPr>
          <w:b w:val="0"/>
        </w:rPr>
      </w:pPr>
      <w:proofErr w:type="gramStart"/>
      <w:r w:rsidRPr="00D579A0">
        <w:rPr>
          <w:b w:val="0"/>
        </w:rPr>
        <w:t>На основании статьи 264.4 Бюджетного Кодекса РФ (далее - БК РФ) и в соответствии с планом работы контрольно-счетной палаты Волгоградской области (далее КСП)</w:t>
      </w:r>
      <w:r w:rsidR="009822FE" w:rsidRPr="00D579A0">
        <w:rPr>
          <w:b w:val="0"/>
        </w:rPr>
        <w:t xml:space="preserve"> на 201</w:t>
      </w:r>
      <w:r w:rsidR="008A0841" w:rsidRPr="00D579A0">
        <w:rPr>
          <w:b w:val="0"/>
        </w:rPr>
        <w:t>8</w:t>
      </w:r>
      <w:r w:rsidRPr="00D579A0">
        <w:rPr>
          <w:b w:val="0"/>
        </w:rPr>
        <w:t xml:space="preserve"> год, утвержденным постановлением коллегии </w:t>
      </w:r>
      <w:r w:rsidR="00497844" w:rsidRPr="00D579A0">
        <w:rPr>
          <w:b w:val="0"/>
        </w:rPr>
        <w:t xml:space="preserve">КСП от </w:t>
      </w:r>
      <w:r w:rsidR="008A0841" w:rsidRPr="00D579A0">
        <w:rPr>
          <w:b w:val="0"/>
        </w:rPr>
        <w:t>19.12</w:t>
      </w:r>
      <w:r w:rsidR="00497844" w:rsidRPr="00D579A0">
        <w:rPr>
          <w:b w:val="0"/>
        </w:rPr>
        <w:t>.20</w:t>
      </w:r>
      <w:r w:rsidR="001F0393" w:rsidRPr="00D579A0">
        <w:rPr>
          <w:b w:val="0"/>
        </w:rPr>
        <w:t>1</w:t>
      </w:r>
      <w:r w:rsidR="008A0841" w:rsidRPr="00D579A0">
        <w:rPr>
          <w:b w:val="0"/>
        </w:rPr>
        <w:t>7</w:t>
      </w:r>
      <w:r w:rsidR="00497844" w:rsidRPr="00D579A0">
        <w:rPr>
          <w:b w:val="0"/>
        </w:rPr>
        <w:t xml:space="preserve"> № </w:t>
      </w:r>
      <w:r w:rsidR="008A0841" w:rsidRPr="00D579A0">
        <w:rPr>
          <w:b w:val="0"/>
        </w:rPr>
        <w:t>20</w:t>
      </w:r>
      <w:r w:rsidR="00497844" w:rsidRPr="00D579A0">
        <w:rPr>
          <w:b w:val="0"/>
        </w:rPr>
        <w:t>/</w:t>
      </w:r>
      <w:r w:rsidR="008A0841" w:rsidRPr="00D579A0">
        <w:rPr>
          <w:b w:val="0"/>
        </w:rPr>
        <w:t>2</w:t>
      </w:r>
      <w:r w:rsidR="009822FE" w:rsidRPr="00D579A0">
        <w:rPr>
          <w:b w:val="0"/>
        </w:rPr>
        <w:t xml:space="preserve">, </w:t>
      </w:r>
      <w:r w:rsidRPr="00D579A0">
        <w:rPr>
          <w:b w:val="0"/>
        </w:rPr>
        <w:t xml:space="preserve">проведена внешняя </w:t>
      </w:r>
      <w:r w:rsidR="00F65529">
        <w:rPr>
          <w:b w:val="0"/>
        </w:rPr>
        <w:t xml:space="preserve">камеральная </w:t>
      </w:r>
      <w:r w:rsidRPr="00D579A0">
        <w:rPr>
          <w:b w:val="0"/>
        </w:rPr>
        <w:t xml:space="preserve">проверка бюджетной отчетности и </w:t>
      </w:r>
      <w:r w:rsidRPr="00D579A0">
        <w:rPr>
          <w:b w:val="0"/>
          <w:szCs w:val="24"/>
        </w:rPr>
        <w:t>отдельных вопросов исполнения областного бюджета</w:t>
      </w:r>
      <w:r w:rsidR="009822FE" w:rsidRPr="00D579A0">
        <w:rPr>
          <w:b w:val="0"/>
        </w:rPr>
        <w:t xml:space="preserve"> за 201</w:t>
      </w:r>
      <w:r w:rsidR="008A0841" w:rsidRPr="00D579A0">
        <w:rPr>
          <w:b w:val="0"/>
        </w:rPr>
        <w:t>7</w:t>
      </w:r>
      <w:r w:rsidRPr="00D579A0">
        <w:rPr>
          <w:b w:val="0"/>
        </w:rPr>
        <w:t xml:space="preserve"> год главным администратором средств областного бюджета </w:t>
      </w:r>
      <w:r w:rsidR="00AD2CDD" w:rsidRPr="00D579A0">
        <w:rPr>
          <w:b w:val="0"/>
        </w:rPr>
        <w:t>-</w:t>
      </w:r>
      <w:r w:rsidRPr="00D579A0">
        <w:rPr>
          <w:b w:val="0"/>
        </w:rPr>
        <w:t xml:space="preserve"> комитетом по </w:t>
      </w:r>
      <w:r w:rsidR="008A0841" w:rsidRPr="00D579A0">
        <w:rPr>
          <w:b w:val="0"/>
        </w:rPr>
        <w:t>регулированию контрактной системы в сфере</w:t>
      </w:r>
      <w:proofErr w:type="gramEnd"/>
      <w:r w:rsidR="008A0841" w:rsidRPr="00D579A0">
        <w:rPr>
          <w:b w:val="0"/>
        </w:rPr>
        <w:t xml:space="preserve"> закупок </w:t>
      </w:r>
      <w:r w:rsidRPr="00D579A0">
        <w:rPr>
          <w:b w:val="0"/>
        </w:rPr>
        <w:t>Волгогр</w:t>
      </w:r>
      <w:r w:rsidR="00795FCC" w:rsidRPr="00D579A0">
        <w:rPr>
          <w:b w:val="0"/>
        </w:rPr>
        <w:t>адской области</w:t>
      </w:r>
      <w:r w:rsidR="00D41288" w:rsidRPr="00D579A0">
        <w:rPr>
          <w:b w:val="0"/>
        </w:rPr>
        <w:t xml:space="preserve"> (далее </w:t>
      </w:r>
      <w:proofErr w:type="spellStart"/>
      <w:r w:rsidR="00D41288" w:rsidRPr="00D579A0">
        <w:rPr>
          <w:b w:val="0"/>
        </w:rPr>
        <w:t>Облкомзакупк</w:t>
      </w:r>
      <w:r w:rsidR="00377CA9">
        <w:rPr>
          <w:b w:val="0"/>
        </w:rPr>
        <w:t>а</w:t>
      </w:r>
      <w:proofErr w:type="spellEnd"/>
      <w:r w:rsidR="00D41288" w:rsidRPr="00D579A0">
        <w:rPr>
          <w:b w:val="0"/>
        </w:rPr>
        <w:t>)</w:t>
      </w:r>
      <w:r w:rsidRPr="00D579A0">
        <w:rPr>
          <w:b w:val="0"/>
        </w:rPr>
        <w:t>.</w:t>
      </w:r>
    </w:p>
    <w:p w:rsidR="00D579A0" w:rsidRPr="005C2835" w:rsidRDefault="0042538C" w:rsidP="005C2835">
      <w:pPr>
        <w:pStyle w:val="a6"/>
        <w:ind w:firstLine="708"/>
        <w:jc w:val="both"/>
        <w:rPr>
          <w:b w:val="0"/>
        </w:rPr>
      </w:pPr>
      <w:proofErr w:type="spellStart"/>
      <w:r w:rsidRPr="005C2835">
        <w:rPr>
          <w:b w:val="0"/>
        </w:rPr>
        <w:t>Облкомзакупк</w:t>
      </w:r>
      <w:r w:rsidR="00377CA9">
        <w:rPr>
          <w:b w:val="0"/>
        </w:rPr>
        <w:t>а</w:t>
      </w:r>
      <w:proofErr w:type="spellEnd"/>
      <w:r w:rsidR="00D579A0" w:rsidRPr="005C2835">
        <w:rPr>
          <w:b w:val="0"/>
        </w:rPr>
        <w:t xml:space="preserve"> является органом исполнительной власти Волгоградской области, уполномоченным в сфере закупок товаров, работ, услуг для обеспечения государственных нужд</w:t>
      </w:r>
      <w:r w:rsidR="00D579A0" w:rsidRPr="0042538C">
        <w:t xml:space="preserve"> </w:t>
      </w:r>
      <w:r w:rsidR="00D579A0" w:rsidRPr="005C2835">
        <w:rPr>
          <w:b w:val="0"/>
        </w:rPr>
        <w:t>Волгоградской области.</w:t>
      </w:r>
    </w:p>
    <w:p w:rsidR="005C2835" w:rsidRPr="00E31ED0" w:rsidRDefault="00FB12F6" w:rsidP="005C2835">
      <w:pPr>
        <w:pStyle w:val="a6"/>
        <w:ind w:firstLine="708"/>
        <w:jc w:val="both"/>
        <w:rPr>
          <w:b w:val="0"/>
        </w:rPr>
      </w:pPr>
      <w:proofErr w:type="gramStart"/>
      <w:r w:rsidRPr="00E31ED0">
        <w:rPr>
          <w:b w:val="0"/>
        </w:rPr>
        <w:t xml:space="preserve">Предельная штатная численность государственных гражданских служащих комитета (далее – ГГС) утверждена Законом Волгоградской области </w:t>
      </w:r>
      <w:r w:rsidR="003B4596" w:rsidRPr="003B4596">
        <w:rPr>
          <w:b w:val="0"/>
        </w:rPr>
        <w:t>от 06.12.2016 № 126-ОД «Об областном бюджете на 2017 год и на плановый период 2018 и 2019 годов»</w:t>
      </w:r>
      <w:r w:rsidR="003B4596" w:rsidRPr="004C1467">
        <w:t xml:space="preserve"> </w:t>
      </w:r>
      <w:r w:rsidRPr="00E31ED0">
        <w:rPr>
          <w:b w:val="0"/>
        </w:rPr>
        <w:t>(далее - Закон об областном бюджете на 201</w:t>
      </w:r>
      <w:r w:rsidR="005C2835" w:rsidRPr="00E31ED0">
        <w:rPr>
          <w:b w:val="0"/>
        </w:rPr>
        <w:t>7</w:t>
      </w:r>
      <w:r w:rsidRPr="00E31ED0">
        <w:rPr>
          <w:b w:val="0"/>
        </w:rPr>
        <w:t xml:space="preserve"> год) в количестве 69 единиц</w:t>
      </w:r>
      <w:r w:rsidR="005C2835" w:rsidRPr="00E31ED0">
        <w:rPr>
          <w:b w:val="0"/>
        </w:rPr>
        <w:t xml:space="preserve"> и</w:t>
      </w:r>
      <w:r w:rsidRPr="00E31ED0">
        <w:rPr>
          <w:b w:val="0"/>
        </w:rPr>
        <w:t xml:space="preserve"> к уровню прошлого года </w:t>
      </w:r>
      <w:r w:rsidR="005C2835" w:rsidRPr="00E31ED0">
        <w:rPr>
          <w:b w:val="0"/>
        </w:rPr>
        <w:t xml:space="preserve">сократилась </w:t>
      </w:r>
      <w:r w:rsidRPr="00E31ED0">
        <w:rPr>
          <w:b w:val="0"/>
        </w:rPr>
        <w:t>на 8 единиц</w:t>
      </w:r>
      <w:r w:rsidR="005C2835" w:rsidRPr="00E31ED0">
        <w:rPr>
          <w:b w:val="0"/>
        </w:rPr>
        <w:t xml:space="preserve"> в связи с принятием постановления Губернатора Волгоградской области от</w:t>
      </w:r>
      <w:proofErr w:type="gramEnd"/>
      <w:r w:rsidR="005C2835" w:rsidRPr="00E31ED0">
        <w:rPr>
          <w:b w:val="0"/>
        </w:rPr>
        <w:t xml:space="preserve"> 15.12.2016 № 932 «Об утверждении структуры и штатной численности комитета по регулированию контрактной системы в сфере закупок Волгоградской области». </w:t>
      </w:r>
    </w:p>
    <w:p w:rsidR="0042538C" w:rsidRPr="00E31ED0" w:rsidRDefault="00D579A0" w:rsidP="0042538C">
      <w:pPr>
        <w:pStyle w:val="a6"/>
        <w:ind w:firstLine="708"/>
        <w:jc w:val="both"/>
        <w:rPr>
          <w:b w:val="0"/>
        </w:rPr>
      </w:pPr>
      <w:r w:rsidRPr="00E31ED0">
        <w:rPr>
          <w:b w:val="0"/>
        </w:rPr>
        <w:t xml:space="preserve">Штатная численность </w:t>
      </w:r>
      <w:r w:rsidR="0042538C" w:rsidRPr="00E31ED0">
        <w:rPr>
          <w:b w:val="0"/>
        </w:rPr>
        <w:t>к</w:t>
      </w:r>
      <w:r w:rsidRPr="00E31ED0">
        <w:rPr>
          <w:b w:val="0"/>
        </w:rPr>
        <w:t xml:space="preserve">омитета </w:t>
      </w:r>
      <w:r w:rsidR="005C2835" w:rsidRPr="00E31ED0">
        <w:rPr>
          <w:b w:val="0"/>
        </w:rPr>
        <w:t>составляет</w:t>
      </w:r>
      <w:r w:rsidRPr="00E31ED0">
        <w:rPr>
          <w:b w:val="0"/>
        </w:rPr>
        <w:t xml:space="preserve"> </w:t>
      </w:r>
      <w:r w:rsidR="0042538C" w:rsidRPr="00E31ED0">
        <w:rPr>
          <w:b w:val="0"/>
        </w:rPr>
        <w:t>72</w:t>
      </w:r>
      <w:r w:rsidRPr="00E31ED0">
        <w:rPr>
          <w:b w:val="0"/>
        </w:rPr>
        <w:t xml:space="preserve"> единиц</w:t>
      </w:r>
      <w:r w:rsidR="005C2835" w:rsidRPr="00E31ED0">
        <w:rPr>
          <w:b w:val="0"/>
        </w:rPr>
        <w:t>ы</w:t>
      </w:r>
      <w:r w:rsidRPr="00E31ED0">
        <w:rPr>
          <w:b w:val="0"/>
        </w:rPr>
        <w:t>, в том числе</w:t>
      </w:r>
      <w:r w:rsidR="003356AB" w:rsidRPr="00E31ED0">
        <w:rPr>
          <w:b w:val="0"/>
        </w:rPr>
        <w:t>:</w:t>
      </w:r>
      <w:r w:rsidRPr="00E31ED0">
        <w:rPr>
          <w:b w:val="0"/>
        </w:rPr>
        <w:t xml:space="preserve"> </w:t>
      </w:r>
      <w:r w:rsidR="003356AB" w:rsidRPr="00E31ED0">
        <w:rPr>
          <w:b w:val="0"/>
        </w:rPr>
        <w:t>председатель комитета (</w:t>
      </w:r>
      <w:proofErr w:type="spellStart"/>
      <w:r w:rsidR="003356AB" w:rsidRPr="00E31ED0">
        <w:rPr>
          <w:b w:val="0"/>
        </w:rPr>
        <w:t>госдолжность</w:t>
      </w:r>
      <w:proofErr w:type="spellEnd"/>
      <w:r w:rsidR="003356AB" w:rsidRPr="00E31ED0">
        <w:rPr>
          <w:b w:val="0"/>
        </w:rPr>
        <w:t xml:space="preserve">); </w:t>
      </w:r>
      <w:r w:rsidR="0042538C" w:rsidRPr="00E31ED0">
        <w:rPr>
          <w:b w:val="0"/>
        </w:rPr>
        <w:t>69</w:t>
      </w:r>
      <w:r w:rsidRPr="00E31ED0">
        <w:rPr>
          <w:b w:val="0"/>
        </w:rPr>
        <w:t xml:space="preserve"> должностей </w:t>
      </w:r>
      <w:r w:rsidR="005C2835" w:rsidRPr="00E31ED0">
        <w:rPr>
          <w:b w:val="0"/>
        </w:rPr>
        <w:t xml:space="preserve">ГГС </w:t>
      </w:r>
      <w:r w:rsidR="0042538C" w:rsidRPr="00E31ED0">
        <w:rPr>
          <w:b w:val="0"/>
        </w:rPr>
        <w:t xml:space="preserve">и 2 должности, не относящиеся к ГГС. </w:t>
      </w:r>
      <w:r w:rsidR="0078289E">
        <w:rPr>
          <w:b w:val="0"/>
        </w:rPr>
        <w:t>Штатная численность подведомственного учреждения</w:t>
      </w:r>
      <w:r w:rsidR="003B4596">
        <w:rPr>
          <w:b w:val="0"/>
        </w:rPr>
        <w:t xml:space="preserve"> увеличилась по сравнению с 2016 годом на 5 единиц в связи </w:t>
      </w:r>
      <w:r w:rsidR="00101274">
        <w:rPr>
          <w:b w:val="0"/>
        </w:rPr>
        <w:t xml:space="preserve">с передачей учреждению полномочий по подготовке и проведению торгов в сфере земельных отношений </w:t>
      </w:r>
      <w:r w:rsidR="003B4596">
        <w:rPr>
          <w:b w:val="0"/>
        </w:rPr>
        <w:t>и составила</w:t>
      </w:r>
      <w:r w:rsidR="0078289E">
        <w:rPr>
          <w:b w:val="0"/>
        </w:rPr>
        <w:t xml:space="preserve"> 55 </w:t>
      </w:r>
      <w:r w:rsidR="00101274">
        <w:rPr>
          <w:b w:val="0"/>
        </w:rPr>
        <w:t xml:space="preserve">штатных </w:t>
      </w:r>
      <w:r w:rsidR="0078289E">
        <w:rPr>
          <w:b w:val="0"/>
        </w:rPr>
        <w:t>единиц.</w:t>
      </w:r>
    </w:p>
    <w:p w:rsidR="002B15B9" w:rsidRPr="00D95875" w:rsidRDefault="002B15B9" w:rsidP="005C2835">
      <w:pPr>
        <w:ind w:firstLine="680"/>
        <w:jc w:val="both"/>
      </w:pPr>
      <w:r w:rsidRPr="00D95875">
        <w:t xml:space="preserve">Фактическая численность комитета на 01.01.2018 согласно Отчету о расходах и численности работников государственных федеральных органов и государственных органов субъектов Российской Федерации соответствует утвержденной, фактическая численность подведомственного учреждения </w:t>
      </w:r>
      <w:r w:rsidR="00E9664D">
        <w:t>-</w:t>
      </w:r>
      <w:r w:rsidRPr="00D95875">
        <w:t xml:space="preserve"> 5</w:t>
      </w:r>
      <w:r w:rsidR="00377CA9" w:rsidRPr="00D95875">
        <w:t>3</w:t>
      </w:r>
      <w:r w:rsidRPr="00D95875">
        <w:t xml:space="preserve"> единиц</w:t>
      </w:r>
      <w:r w:rsidR="00377CA9" w:rsidRPr="00D95875">
        <w:t>ы</w:t>
      </w:r>
      <w:r w:rsidRPr="00D95875">
        <w:t>.</w:t>
      </w:r>
    </w:p>
    <w:p w:rsidR="005C2835" w:rsidRPr="00D95875" w:rsidRDefault="005C2835" w:rsidP="005C2835">
      <w:pPr>
        <w:ind w:firstLine="680"/>
        <w:jc w:val="both"/>
        <w:rPr>
          <w:bCs/>
        </w:rPr>
      </w:pPr>
      <w:r w:rsidRPr="00D95875">
        <w:t>В 2017</w:t>
      </w:r>
      <w:r w:rsidR="002B15B9" w:rsidRPr="00D95875">
        <w:t xml:space="preserve"> г.</w:t>
      </w:r>
      <w:r w:rsidRPr="00D95875">
        <w:t xml:space="preserve"> комитет осуществлял </w:t>
      </w:r>
      <w:r w:rsidRPr="00D95875">
        <w:rPr>
          <w:bCs/>
        </w:rPr>
        <w:t>функции и полномочия учредителя</w:t>
      </w:r>
      <w:r w:rsidRPr="00D95875">
        <w:t xml:space="preserve"> </w:t>
      </w:r>
      <w:proofErr w:type="gramStart"/>
      <w:r w:rsidRPr="00D95875">
        <w:t>г</w:t>
      </w:r>
      <w:hyperlink r:id="rId8" w:history="1">
        <w:r w:rsidRPr="00D95875">
          <w:rPr>
            <w:rStyle w:val="af4"/>
            <w:bCs/>
            <w:color w:val="auto"/>
            <w:u w:val="none"/>
          </w:rPr>
          <w:t>осударственного</w:t>
        </w:r>
        <w:proofErr w:type="gramEnd"/>
        <w:r w:rsidRPr="00D95875">
          <w:rPr>
            <w:rStyle w:val="af4"/>
            <w:bCs/>
            <w:color w:val="auto"/>
            <w:u w:val="none"/>
          </w:rPr>
          <w:t xml:space="preserve"> казенного учреждения Волгоградской области «Центр организации закупок»</w:t>
        </w:r>
      </w:hyperlink>
      <w:r w:rsidRPr="00D95875">
        <w:t xml:space="preserve"> (далее ГКУ</w:t>
      </w:r>
      <w:hyperlink r:id="rId9" w:history="1">
        <w:r w:rsidRPr="00D95875">
          <w:rPr>
            <w:rStyle w:val="af4"/>
            <w:bCs/>
            <w:color w:val="auto"/>
            <w:u w:val="none"/>
          </w:rPr>
          <w:t xml:space="preserve"> «Центр организации закупок»</w:t>
        </w:r>
      </w:hyperlink>
      <w:r w:rsidRPr="00D95875">
        <w:t>)</w:t>
      </w:r>
      <w:r w:rsidRPr="00D95875">
        <w:rPr>
          <w:bCs/>
        </w:rPr>
        <w:t xml:space="preserve">. </w:t>
      </w:r>
    </w:p>
    <w:p w:rsidR="002B15B9" w:rsidRPr="00D95875" w:rsidRDefault="002B15B9" w:rsidP="005C2835">
      <w:pPr>
        <w:ind w:firstLine="680"/>
        <w:jc w:val="both"/>
        <w:rPr>
          <w:bCs/>
        </w:rPr>
      </w:pPr>
      <w:r w:rsidRPr="00D95875">
        <w:t xml:space="preserve">В соответствии с соглашением от 30.12.2016 № 15 полномочия </w:t>
      </w:r>
      <w:r w:rsidR="00BC2903">
        <w:t xml:space="preserve">комитета </w:t>
      </w:r>
      <w:r w:rsidRPr="00D95875">
        <w:t xml:space="preserve">по ведению бухгалтерского учета и формированию бюджетной отчетности переданы </w:t>
      </w:r>
      <w:r w:rsidR="00BC2903">
        <w:t>г</w:t>
      </w:r>
      <w:r w:rsidRPr="00D95875">
        <w:t>осударственному казенному учреждению Волгоградской области «Центр бюджетного учета и отчетности».</w:t>
      </w:r>
    </w:p>
    <w:p w:rsidR="00547A68" w:rsidRPr="00D579A0" w:rsidRDefault="00547A68" w:rsidP="00AE582B">
      <w:pPr>
        <w:pStyle w:val="1"/>
        <w:spacing w:before="0" w:after="0"/>
        <w:ind w:firstLine="680"/>
        <w:jc w:val="both"/>
        <w:rPr>
          <w:i/>
          <w:color w:val="auto"/>
          <w:highlight w:val="yellow"/>
        </w:rPr>
      </w:pPr>
    </w:p>
    <w:p w:rsidR="00DD3278" w:rsidRPr="005C2835" w:rsidRDefault="00DD3278" w:rsidP="00DD3278">
      <w:pPr>
        <w:ind w:firstLine="709"/>
        <w:jc w:val="center"/>
        <w:rPr>
          <w:b/>
        </w:rPr>
      </w:pPr>
      <w:r w:rsidRPr="005C2835">
        <w:rPr>
          <w:b/>
        </w:rPr>
        <w:t>Проверка бюджетной отчетности</w:t>
      </w:r>
    </w:p>
    <w:p w:rsidR="002970D5" w:rsidRPr="005C2835" w:rsidRDefault="00F00DA3" w:rsidP="00960A1D">
      <w:pPr>
        <w:ind w:firstLine="709"/>
        <w:jc w:val="both"/>
      </w:pPr>
      <w:r w:rsidRPr="005C2835">
        <w:t>Б</w:t>
      </w:r>
      <w:r w:rsidR="00960A1D" w:rsidRPr="005C2835">
        <w:t xml:space="preserve">юджетная </w:t>
      </w:r>
      <w:r w:rsidR="00960A1D" w:rsidRPr="005C2835">
        <w:rPr>
          <w:bCs/>
        </w:rPr>
        <w:t xml:space="preserve">отчетность </w:t>
      </w:r>
      <w:r w:rsidR="003B189C" w:rsidRPr="005C2835">
        <w:rPr>
          <w:bCs/>
        </w:rPr>
        <w:t>к</w:t>
      </w:r>
      <w:r w:rsidR="00960A1D" w:rsidRPr="005C2835">
        <w:rPr>
          <w:bCs/>
        </w:rPr>
        <w:t>омитета за 201</w:t>
      </w:r>
      <w:r w:rsidR="00C72F1B" w:rsidRPr="005C2835">
        <w:rPr>
          <w:bCs/>
        </w:rPr>
        <w:t>7</w:t>
      </w:r>
      <w:r w:rsidR="00960A1D" w:rsidRPr="005C2835">
        <w:rPr>
          <w:bCs/>
        </w:rPr>
        <w:t xml:space="preserve"> год представлена к </w:t>
      </w:r>
      <w:r w:rsidR="00960A1D" w:rsidRPr="005C2835">
        <w:t xml:space="preserve">проверке в составе, определенном ст. 264.1 БК РФ и </w:t>
      </w:r>
      <w:r w:rsidR="002970D5" w:rsidRPr="005C2835"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 191н)</w:t>
      </w:r>
      <w:r w:rsidR="00960A1D" w:rsidRPr="005C2835">
        <w:t xml:space="preserve">. </w:t>
      </w:r>
    </w:p>
    <w:p w:rsidR="00F00DA3" w:rsidRPr="00E5017D" w:rsidRDefault="00F00DA3" w:rsidP="00F00DA3">
      <w:pPr>
        <w:ind w:firstLine="720"/>
        <w:jc w:val="both"/>
      </w:pPr>
      <w:r w:rsidRPr="00E5017D">
        <w:t>Проверкой правильности заполнения бюджетной отчетности установлены следующие нарушения:</w:t>
      </w:r>
    </w:p>
    <w:p w:rsidR="00F6507F" w:rsidRPr="00E5017D" w:rsidRDefault="00F6507F" w:rsidP="002970D5">
      <w:pPr>
        <w:ind w:firstLine="709"/>
        <w:jc w:val="both"/>
      </w:pPr>
      <w:r w:rsidRPr="00E5017D">
        <w:lastRenderedPageBreak/>
        <w:t>- в нарушение приложения к Инструкции № 191н в форме 0503121</w:t>
      </w:r>
      <w:r w:rsidR="002970D5" w:rsidRPr="00E5017D">
        <w:t xml:space="preserve"> «Отчет о финансовых результатах деятельности»</w:t>
      </w:r>
      <w:r w:rsidRPr="00E5017D">
        <w:t xml:space="preserve"> отсутствует подпись исполнителя, предусмотрен</w:t>
      </w:r>
      <w:r w:rsidR="00E5017D">
        <w:t>н</w:t>
      </w:r>
      <w:r w:rsidRPr="00E5017D">
        <w:t>а</w:t>
      </w:r>
      <w:r w:rsidR="00E5017D">
        <w:t>я</w:t>
      </w:r>
      <w:r w:rsidRPr="00E5017D">
        <w:t xml:space="preserve"> данной форм</w:t>
      </w:r>
      <w:r w:rsidR="00E5017D">
        <w:t>ой</w:t>
      </w:r>
      <w:r w:rsidR="003B189C" w:rsidRPr="00E5017D">
        <w:t>;</w:t>
      </w:r>
    </w:p>
    <w:p w:rsidR="00AE7193" w:rsidRPr="00E5017D" w:rsidRDefault="00AE7193" w:rsidP="004B67FA">
      <w:pPr>
        <w:ind w:firstLine="709"/>
        <w:jc w:val="both"/>
      </w:pPr>
      <w:r w:rsidRPr="00E5017D">
        <w:t xml:space="preserve">- в нарушение п.152 Инструкции №191н в 5 разделе пояснительной записки в перечень форм отчетности, не включенных в состав бюджетной отчетности согласно </w:t>
      </w:r>
      <w:hyperlink w:anchor="Par90" w:tooltip="8.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 подлежит отражению в пояснительной записке к бюджетной отче" w:history="1">
        <w:r w:rsidRPr="00E5017D">
          <w:t>абзацу первому пункта 8</w:t>
        </w:r>
      </w:hyperlink>
      <w:r w:rsidRPr="00E5017D">
        <w:t xml:space="preserve"> Инструкции №191н </w:t>
      </w:r>
      <w:r w:rsidR="00E5017D" w:rsidRPr="00E5017D">
        <w:t>(</w:t>
      </w:r>
      <w:r w:rsidRPr="00E5017D">
        <w:t>ввиду отсутстви</w:t>
      </w:r>
      <w:r w:rsidR="00E5017D" w:rsidRPr="00E5017D">
        <w:t>я числовых значений показателей)</w:t>
      </w:r>
      <w:r w:rsidR="00904CF5">
        <w:t>,</w:t>
      </w:r>
      <w:r w:rsidRPr="00E5017D">
        <w:t xml:space="preserve"> включена форма 0503177 «Сведения об использовании информационных технологий», </w:t>
      </w:r>
      <w:r w:rsidR="00904CF5">
        <w:t>имеющая</w:t>
      </w:r>
      <w:r w:rsidRPr="00E5017D">
        <w:t xml:space="preserve"> числовые значения</w:t>
      </w:r>
      <w:r w:rsidR="008D218D" w:rsidRPr="00E5017D">
        <w:t>.</w:t>
      </w:r>
    </w:p>
    <w:p w:rsidR="00E5017D" w:rsidRDefault="00E5017D" w:rsidP="00DD3278">
      <w:pPr>
        <w:jc w:val="center"/>
        <w:rPr>
          <w:b/>
          <w:color w:val="0000FF"/>
          <w:highlight w:val="yellow"/>
        </w:rPr>
      </w:pPr>
    </w:p>
    <w:p w:rsidR="00F337E0" w:rsidRDefault="00F337E0" w:rsidP="00F337E0">
      <w:pPr>
        <w:autoSpaceDE w:val="0"/>
        <w:autoSpaceDN w:val="0"/>
        <w:adjustRightInd w:val="0"/>
        <w:ind w:firstLine="360"/>
        <w:jc w:val="center"/>
        <w:rPr>
          <w:b/>
        </w:rPr>
      </w:pPr>
      <w:bookmarkStart w:id="1" w:name="OLE_LINK2"/>
      <w:r w:rsidRPr="00E5017D">
        <w:rPr>
          <w:b/>
        </w:rPr>
        <w:t>Исполнение плановых назначений по закрепленным доходам</w:t>
      </w:r>
    </w:p>
    <w:p w:rsidR="00E5017D" w:rsidRPr="00E5017D" w:rsidRDefault="00E5017D" w:rsidP="00E5017D">
      <w:pPr>
        <w:ind w:firstLine="709"/>
        <w:jc w:val="both"/>
      </w:pPr>
      <w:r w:rsidRPr="00E5017D">
        <w:t xml:space="preserve">Законом об областном бюджете на 2017 год </w:t>
      </w:r>
      <w:proofErr w:type="spellStart"/>
      <w:r w:rsidRPr="00E5017D">
        <w:t>Облкомзакупки</w:t>
      </w:r>
      <w:proofErr w:type="spellEnd"/>
      <w:r w:rsidRPr="00E5017D">
        <w:t xml:space="preserve"> определен главным администратором доходов областного бюджета без закрепления по видам доходов, план по доходам на 2017 год комитету не утвержден. Предложения комитета по внесению изменений (письма от 04.04.2017 № 08-03-11/563, от 10.07.2017 № 08-03-11/1210, 08.09.2017 № 08-03-11/1702) не были учтены при внесении поправок в Закон об областном бюджете на 2017 год. </w:t>
      </w:r>
    </w:p>
    <w:p w:rsidR="00E5017D" w:rsidRPr="00E5017D" w:rsidRDefault="00E5017D" w:rsidP="00E5017D">
      <w:pPr>
        <w:pStyle w:val="a6"/>
        <w:ind w:firstLine="708"/>
        <w:jc w:val="both"/>
        <w:rPr>
          <w:b w:val="0"/>
          <w:szCs w:val="24"/>
        </w:rPr>
      </w:pPr>
      <w:r w:rsidRPr="00E5017D">
        <w:rPr>
          <w:b w:val="0"/>
          <w:szCs w:val="24"/>
        </w:rPr>
        <w:t xml:space="preserve">Согласно Отчёту об исполнении бюджета (ф. </w:t>
      </w:r>
      <w:r w:rsidRPr="00E31ED0">
        <w:rPr>
          <w:b w:val="0"/>
          <w:szCs w:val="24"/>
        </w:rPr>
        <w:t>0503127) поступление</w:t>
      </w:r>
      <w:r w:rsidRPr="00E5017D">
        <w:rPr>
          <w:b w:val="0"/>
          <w:szCs w:val="24"/>
        </w:rPr>
        <w:t xml:space="preserve"> доходов, </w:t>
      </w:r>
      <w:proofErr w:type="spellStart"/>
      <w:r w:rsidRPr="00E5017D">
        <w:rPr>
          <w:b w:val="0"/>
          <w:szCs w:val="24"/>
        </w:rPr>
        <w:t>администрируемых</w:t>
      </w:r>
      <w:proofErr w:type="spellEnd"/>
      <w:r w:rsidRPr="00E5017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в соответствии с </w:t>
      </w:r>
      <w:r w:rsidRPr="00E5017D">
        <w:rPr>
          <w:b w:val="0"/>
          <w:szCs w:val="24"/>
        </w:rPr>
        <w:t xml:space="preserve">приказом комитета от 05.03.2015 № 102/01, сложилось за счет возврата Волгоградским региональным отделением ФСС РФ </w:t>
      </w:r>
      <w:r w:rsidR="00404E6D" w:rsidRPr="00404E6D">
        <w:rPr>
          <w:b w:val="0"/>
        </w:rPr>
        <w:t xml:space="preserve">(далее ФСС) </w:t>
      </w:r>
      <w:r w:rsidRPr="00E5017D">
        <w:rPr>
          <w:b w:val="0"/>
          <w:szCs w:val="24"/>
        </w:rPr>
        <w:t xml:space="preserve">дебиторской задолженности прошлых лет в сумме 67,1 тыс. рублей.  </w:t>
      </w:r>
    </w:p>
    <w:p w:rsidR="00E5017D" w:rsidRPr="00E5017D" w:rsidRDefault="00E5017D" w:rsidP="00F337E0">
      <w:pPr>
        <w:autoSpaceDE w:val="0"/>
        <w:autoSpaceDN w:val="0"/>
        <w:adjustRightInd w:val="0"/>
        <w:ind w:firstLine="360"/>
        <w:jc w:val="center"/>
        <w:rPr>
          <w:bCs/>
        </w:rPr>
      </w:pPr>
    </w:p>
    <w:bookmarkEnd w:id="1"/>
    <w:p w:rsidR="007D20E5" w:rsidRPr="00E5017D" w:rsidRDefault="007D20E5" w:rsidP="007D20E5">
      <w:pPr>
        <w:jc w:val="center"/>
        <w:rPr>
          <w:b/>
          <w:bCs/>
        </w:rPr>
      </w:pPr>
      <w:r w:rsidRPr="00E5017D">
        <w:rPr>
          <w:b/>
          <w:bCs/>
        </w:rPr>
        <w:t>Исполнение расходов</w:t>
      </w:r>
    </w:p>
    <w:p w:rsidR="007D20E5" w:rsidRPr="005A723F" w:rsidRDefault="007D20E5" w:rsidP="007D20E5">
      <w:pPr>
        <w:ind w:firstLine="709"/>
        <w:jc w:val="both"/>
      </w:pPr>
      <w:r w:rsidRPr="005A723F">
        <w:t xml:space="preserve">Законом об областном бюджете на 2017 год комитету предусмотрены бюджетные ассигнования в размере 75267,4 тыс. руб., в том числе на обеспечение деятельности комитета - 50510,9 тыс. руб., на обеспечение деятельности ГКУ «Центр организации закупок» - 24756,5 тыс. рублей. </w:t>
      </w:r>
    </w:p>
    <w:p w:rsidR="007D20E5" w:rsidRPr="00E31ED0" w:rsidRDefault="005A723F" w:rsidP="007D20E5">
      <w:pPr>
        <w:ind w:firstLine="709"/>
        <w:jc w:val="both"/>
      </w:pPr>
      <w:r w:rsidRPr="00E31ED0">
        <w:t xml:space="preserve">В Отчете об исполнении бюджета (ф.0503127) утвержденные бюджетные назначения отражены в сумме </w:t>
      </w:r>
      <w:r w:rsidR="007D20E5" w:rsidRPr="00E31ED0">
        <w:t xml:space="preserve">84498,5 тыс. руб., из них на обеспечение деятельности комитета </w:t>
      </w:r>
      <w:r w:rsidRPr="00E31ED0">
        <w:t>-</w:t>
      </w:r>
      <w:r w:rsidR="007D20E5" w:rsidRPr="00E31ED0">
        <w:t xml:space="preserve"> 54643,</w:t>
      </w:r>
      <w:r w:rsidR="00A43F84" w:rsidRPr="00E31ED0">
        <w:t>8</w:t>
      </w:r>
      <w:r w:rsidR="007D20E5" w:rsidRPr="00E31ED0">
        <w:t xml:space="preserve"> тыс. руб., на обеспечение деятельности ГКУ «Центр организации закупок» - 29854,7 тыс. рублей. </w:t>
      </w:r>
    </w:p>
    <w:p w:rsidR="007D20E5" w:rsidRPr="005A723F" w:rsidRDefault="007D20E5" w:rsidP="007D20E5">
      <w:pPr>
        <w:ind w:firstLine="709"/>
        <w:jc w:val="both"/>
        <w:rPr>
          <w:bCs/>
        </w:rPr>
      </w:pPr>
      <w:r w:rsidRPr="00E31ED0">
        <w:t xml:space="preserve">Увеличение бюджетных назначений на 9231,1 тыс. руб. (из них на обеспечение деятельности комитета - на 4132,9 руб., подведомственного учреждения - на 5098,2 тыс. руб.) </w:t>
      </w:r>
      <w:r w:rsidRPr="00E31ED0">
        <w:rPr>
          <w:bCs/>
        </w:rPr>
        <w:t xml:space="preserve">произведено на основании уведомлений </w:t>
      </w:r>
      <w:r w:rsidR="006C179B" w:rsidRPr="00E31ED0">
        <w:t xml:space="preserve">комитета финансов Волгоградской области </w:t>
      </w:r>
      <w:r w:rsidR="005267B1" w:rsidRPr="00E31ED0">
        <w:t xml:space="preserve">(далее – </w:t>
      </w:r>
      <w:proofErr w:type="spellStart"/>
      <w:r w:rsidRPr="00E31ED0">
        <w:t>Облфин</w:t>
      </w:r>
      <w:proofErr w:type="spellEnd"/>
      <w:r w:rsidR="005267B1" w:rsidRPr="00E31ED0">
        <w:t>)</w:t>
      </w:r>
      <w:r w:rsidRPr="00E31ED0">
        <w:t xml:space="preserve"> </w:t>
      </w:r>
      <w:r w:rsidRPr="00E31ED0">
        <w:rPr>
          <w:bCs/>
        </w:rPr>
        <w:t>в соответствии с абзацами 3,5 статьи 42 Закона об областном бюджете на 2017</w:t>
      </w:r>
      <w:r w:rsidRPr="005A723F">
        <w:rPr>
          <w:bCs/>
        </w:rPr>
        <w:t xml:space="preserve"> год.</w:t>
      </w:r>
    </w:p>
    <w:p w:rsidR="007D20E5" w:rsidRPr="005A723F" w:rsidRDefault="007D20E5" w:rsidP="007D20E5">
      <w:pPr>
        <w:ind w:firstLine="709"/>
        <w:jc w:val="both"/>
      </w:pPr>
      <w:r w:rsidRPr="005A723F">
        <w:t>Анализ исполнения бюджетных назначений по расходам представлен в нижеследующей таблице.</w:t>
      </w:r>
    </w:p>
    <w:p w:rsidR="007D20E5" w:rsidRPr="00CD3CE3" w:rsidRDefault="007D20E5" w:rsidP="007D20E5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CD3CE3">
        <w:rPr>
          <w:i/>
          <w:sz w:val="20"/>
          <w:szCs w:val="20"/>
        </w:rPr>
        <w:t>тыс. руб.</w:t>
      </w:r>
    </w:p>
    <w:tbl>
      <w:tblPr>
        <w:tblW w:w="10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64"/>
        <w:gridCol w:w="1264"/>
        <w:gridCol w:w="992"/>
        <w:gridCol w:w="1159"/>
        <w:gridCol w:w="967"/>
        <w:gridCol w:w="851"/>
        <w:gridCol w:w="992"/>
        <w:gridCol w:w="709"/>
      </w:tblGrid>
      <w:tr w:rsidR="007D20E5" w:rsidRPr="005A723F" w:rsidTr="00B112A7">
        <w:trPr>
          <w:trHeight w:val="227"/>
        </w:trPr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Утверждено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областным бюджетом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Утверждено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бюджетной росписью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Лимиты</w:t>
            </w:r>
          </w:p>
        </w:tc>
        <w:tc>
          <w:tcPr>
            <w:tcW w:w="11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Исполнено</w:t>
            </w:r>
          </w:p>
          <w:p w:rsidR="007D20E5" w:rsidRPr="005A723F" w:rsidRDefault="007D20E5" w:rsidP="00F04045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7D20E5" w:rsidRPr="005A723F" w:rsidTr="00B112A7">
        <w:trPr>
          <w:trHeight w:val="245"/>
        </w:trPr>
        <w:tc>
          <w:tcPr>
            <w:tcW w:w="2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20E5" w:rsidRPr="005A723F" w:rsidRDefault="007D20E5" w:rsidP="00F040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гр.3-гр.2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гр.5-гр.3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%</w:t>
            </w:r>
          </w:p>
        </w:tc>
      </w:tr>
      <w:tr w:rsidR="007D20E5" w:rsidRPr="005A723F" w:rsidTr="00B112A7">
        <w:trPr>
          <w:trHeight w:val="181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6 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 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</w:t>
            </w:r>
          </w:p>
        </w:tc>
      </w:tr>
      <w:tr w:rsidR="007D20E5" w:rsidRPr="005A723F" w:rsidTr="00B112A7">
        <w:trPr>
          <w:trHeight w:val="254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Расходы - всего,  в т.ч.: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75267,4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84498,5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84491,4</w:t>
            </w:r>
          </w:p>
        </w:tc>
        <w:tc>
          <w:tcPr>
            <w:tcW w:w="1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i/>
                <w:sz w:val="20"/>
                <w:szCs w:val="20"/>
              </w:rPr>
              <w:t>81669,1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9231,1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- 2829,4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723F">
              <w:rPr>
                <w:b/>
                <w:bCs/>
                <w:i/>
                <w:sz w:val="20"/>
                <w:szCs w:val="20"/>
              </w:rPr>
              <w:t>96,7</w:t>
            </w:r>
          </w:p>
        </w:tc>
      </w:tr>
      <w:tr w:rsidR="007D20E5" w:rsidRPr="005A723F" w:rsidTr="006E4CC7">
        <w:trPr>
          <w:trHeight w:val="315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Default="007D20E5" w:rsidP="005A723F">
            <w:pPr>
              <w:rPr>
                <w:i/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Общегосударственные вопросы</w:t>
            </w:r>
            <w:r w:rsidRPr="005A723F">
              <w:rPr>
                <w:i/>
                <w:iCs/>
                <w:sz w:val="20"/>
                <w:szCs w:val="20"/>
              </w:rPr>
              <w:t xml:space="preserve">  </w:t>
            </w:r>
          </w:p>
          <w:p w:rsidR="0083348C" w:rsidRPr="005A723F" w:rsidRDefault="0083348C" w:rsidP="005A723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75267,4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84498,5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84491,4</w:t>
            </w: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81669,1</w:t>
            </w: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9231,1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- 2829,4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96,7</w:t>
            </w:r>
          </w:p>
        </w:tc>
      </w:tr>
      <w:tr w:rsidR="007D20E5" w:rsidRPr="005A723F" w:rsidTr="006E4CC7">
        <w:trPr>
          <w:trHeight w:val="705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348C" w:rsidRPr="005A723F" w:rsidRDefault="007D20E5" w:rsidP="0083348C">
            <w:pPr>
              <w:ind w:right="-107"/>
              <w:rPr>
                <w:iCs/>
                <w:sz w:val="20"/>
                <w:szCs w:val="20"/>
              </w:rPr>
            </w:pPr>
            <w:proofErr w:type="spellStart"/>
            <w:r w:rsidRPr="005A723F">
              <w:rPr>
                <w:iCs/>
                <w:sz w:val="20"/>
                <w:szCs w:val="20"/>
              </w:rPr>
              <w:t>Непрограммные</w:t>
            </w:r>
            <w:proofErr w:type="spellEnd"/>
            <w:r w:rsidRPr="005A723F">
              <w:rPr>
                <w:iCs/>
                <w:sz w:val="20"/>
                <w:szCs w:val="20"/>
              </w:rPr>
              <w:t xml:space="preserve"> направления деятельности</w:t>
            </w:r>
            <w:r w:rsidR="007B1BE8" w:rsidRPr="005A723F">
              <w:rPr>
                <w:iCs/>
                <w:sz w:val="20"/>
                <w:szCs w:val="20"/>
              </w:rPr>
              <w:t xml:space="preserve"> </w:t>
            </w:r>
            <w:r w:rsidR="001A025E">
              <w:rPr>
                <w:iCs/>
                <w:sz w:val="20"/>
                <w:szCs w:val="20"/>
              </w:rPr>
              <w:t xml:space="preserve"> государственных </w:t>
            </w:r>
            <w:r w:rsidRPr="005A723F">
              <w:rPr>
                <w:iCs/>
                <w:sz w:val="20"/>
                <w:szCs w:val="20"/>
              </w:rPr>
              <w:t xml:space="preserve"> органов Волгоградской области</w:t>
            </w:r>
            <w:r w:rsidR="007B1BE8" w:rsidRPr="005A723F">
              <w:rPr>
                <w:iCs/>
                <w:sz w:val="20"/>
                <w:szCs w:val="20"/>
              </w:rPr>
              <w:t xml:space="preserve"> </w:t>
            </w:r>
            <w:r w:rsidRPr="005A723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50510,9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54643,8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54636,8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52375,0</w:t>
            </w: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4133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108,2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- 2268,8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  <w:r w:rsidRPr="005A723F">
              <w:rPr>
                <w:iCs/>
                <w:sz w:val="20"/>
                <w:szCs w:val="20"/>
              </w:rPr>
              <w:t>95,9</w:t>
            </w:r>
          </w:p>
          <w:p w:rsidR="007D20E5" w:rsidRPr="005A723F" w:rsidRDefault="007D20E5" w:rsidP="00F0404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D20E5" w:rsidRPr="005A723F" w:rsidTr="006E4CC7">
        <w:trPr>
          <w:trHeight w:val="990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348C" w:rsidRPr="001A025E" w:rsidRDefault="007D20E5" w:rsidP="0083348C">
            <w:pPr>
              <w:rPr>
                <w:iCs/>
                <w:sz w:val="20"/>
                <w:szCs w:val="20"/>
              </w:rPr>
            </w:pPr>
            <w:r w:rsidRPr="001A025E">
              <w:rPr>
                <w:iCs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r w:rsidR="001A025E">
              <w:rPr>
                <w:iCs/>
                <w:sz w:val="20"/>
                <w:szCs w:val="20"/>
              </w:rPr>
              <w:t>государственных</w:t>
            </w:r>
            <w:r w:rsidR="001A025E" w:rsidRPr="001A025E">
              <w:rPr>
                <w:iCs/>
                <w:sz w:val="20"/>
                <w:szCs w:val="20"/>
              </w:rPr>
              <w:t xml:space="preserve"> </w:t>
            </w:r>
            <w:r w:rsidRPr="001A025E">
              <w:rPr>
                <w:iCs/>
                <w:sz w:val="20"/>
                <w:szCs w:val="20"/>
              </w:rPr>
              <w:t xml:space="preserve">органами 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49769,5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54080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54072,9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51811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4310,5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108,7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- 2268,</w:t>
            </w:r>
            <w:r w:rsidR="00502267" w:rsidRPr="005A723F">
              <w:rPr>
                <w:sz w:val="20"/>
                <w:szCs w:val="20"/>
              </w:rPr>
              <w:t>9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95,8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</w:tr>
      <w:tr w:rsidR="007D20E5" w:rsidRPr="005A723F" w:rsidTr="006E4CC7">
        <w:trPr>
          <w:trHeight w:val="503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1ED0" w:rsidRPr="001A025E" w:rsidRDefault="007D20E5" w:rsidP="0083348C">
            <w:pPr>
              <w:rPr>
                <w:iCs/>
                <w:sz w:val="20"/>
                <w:szCs w:val="20"/>
              </w:rPr>
            </w:pPr>
            <w:r w:rsidRPr="001A025E">
              <w:rPr>
                <w:iCs/>
                <w:sz w:val="20"/>
                <w:szCs w:val="20"/>
              </w:rPr>
              <w:t xml:space="preserve">Закупка товаров, работ и услуг для обеспечения государственных нужд 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736,9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503,2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503,2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503,2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- 233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68,3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100,0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</w:tr>
      <w:tr w:rsidR="007D20E5" w:rsidRPr="005A723F" w:rsidTr="006E4CC7">
        <w:trPr>
          <w:trHeight w:val="503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1ED0" w:rsidRDefault="007D20E5" w:rsidP="0083348C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 xml:space="preserve"> Иные бюджетные ассигнования  </w:t>
            </w:r>
          </w:p>
          <w:p w:rsidR="0083348C" w:rsidRPr="005A723F" w:rsidRDefault="0083348C" w:rsidP="0083348C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4,5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60,7</w:t>
            </w: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60,7</w:t>
            </w: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56,2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134,9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100,0</w:t>
            </w:r>
          </w:p>
        </w:tc>
      </w:tr>
      <w:tr w:rsidR="0083348C" w:rsidRPr="005A723F" w:rsidTr="006E4CC7">
        <w:trPr>
          <w:trHeight w:val="136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3348C" w:rsidRPr="005A723F" w:rsidRDefault="0083348C" w:rsidP="00833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7D20E5" w:rsidRPr="005A723F" w:rsidTr="006E4CC7">
        <w:trPr>
          <w:trHeight w:val="136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1ED0" w:rsidRPr="005A723F" w:rsidRDefault="007D20E5" w:rsidP="00D95875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5A723F">
              <w:rPr>
                <w:bCs/>
                <w:sz w:val="20"/>
                <w:szCs w:val="20"/>
              </w:rPr>
              <w:t>Неп</w:t>
            </w:r>
            <w:r w:rsidR="00B112A7">
              <w:rPr>
                <w:bCs/>
                <w:sz w:val="20"/>
                <w:szCs w:val="20"/>
              </w:rPr>
              <w:t>рограммные</w:t>
            </w:r>
            <w:proofErr w:type="spellEnd"/>
            <w:r w:rsidR="00B112A7">
              <w:rPr>
                <w:bCs/>
                <w:sz w:val="20"/>
                <w:szCs w:val="20"/>
              </w:rPr>
              <w:t xml:space="preserve"> расходы государственных </w:t>
            </w:r>
            <w:r w:rsidR="005A723F">
              <w:rPr>
                <w:bCs/>
                <w:sz w:val="20"/>
                <w:szCs w:val="20"/>
              </w:rPr>
              <w:t xml:space="preserve">органов </w:t>
            </w:r>
            <w:r w:rsidRPr="005A723F">
              <w:rPr>
                <w:bCs/>
                <w:sz w:val="20"/>
                <w:szCs w:val="20"/>
              </w:rPr>
              <w:t>Волгоградской области</w:t>
            </w:r>
            <w:r w:rsidRPr="005A723F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24756,5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29854,7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29854,7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29294,1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530,9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120,6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- 560,6</w:t>
            </w:r>
          </w:p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5A723F">
              <w:rPr>
                <w:bCs/>
                <w:sz w:val="20"/>
                <w:szCs w:val="20"/>
              </w:rPr>
              <w:t>98,1</w:t>
            </w:r>
          </w:p>
        </w:tc>
      </w:tr>
      <w:tr w:rsidR="007D20E5" w:rsidRPr="005A723F" w:rsidTr="00B112A7">
        <w:trPr>
          <w:trHeight w:val="136"/>
        </w:trPr>
        <w:tc>
          <w:tcPr>
            <w:tcW w:w="255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20E5" w:rsidRPr="005A723F" w:rsidRDefault="007D20E5" w:rsidP="005A723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 xml:space="preserve">Расходы на выплату персоналу в целях обеспечения  выполнения функций казенными учреждениями 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22238,9</w:t>
            </w:r>
          </w:p>
        </w:tc>
        <w:tc>
          <w:tcPr>
            <w:tcW w:w="12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27695,8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27695,8</w:t>
            </w:r>
          </w:p>
        </w:tc>
        <w:tc>
          <w:tcPr>
            <w:tcW w:w="11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27135,2</w:t>
            </w:r>
          </w:p>
        </w:tc>
        <w:tc>
          <w:tcPr>
            <w:tcW w:w="9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5456,9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F04045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124,5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- 560,6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6C179B" w:rsidRDefault="007D20E5" w:rsidP="005A723F">
            <w:pPr>
              <w:jc w:val="center"/>
              <w:rPr>
                <w:bCs/>
                <w:sz w:val="20"/>
                <w:szCs w:val="20"/>
              </w:rPr>
            </w:pPr>
            <w:r w:rsidRPr="006C179B">
              <w:rPr>
                <w:bCs/>
                <w:sz w:val="20"/>
                <w:szCs w:val="20"/>
              </w:rPr>
              <w:t>98,0</w:t>
            </w:r>
          </w:p>
        </w:tc>
      </w:tr>
      <w:tr w:rsidR="007D20E5" w:rsidRPr="005A723F" w:rsidTr="00E31ED0">
        <w:trPr>
          <w:cantSplit/>
          <w:trHeight w:val="136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20E5" w:rsidRPr="005A723F" w:rsidRDefault="007D20E5" w:rsidP="005A723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Закупка товаров, ра</w:t>
            </w:r>
            <w:r w:rsidR="00B112A7">
              <w:rPr>
                <w:sz w:val="20"/>
                <w:szCs w:val="20"/>
              </w:rPr>
              <w:t xml:space="preserve">бот и услуг для обеспечения государственных </w:t>
            </w:r>
            <w:r w:rsidRPr="005A723F">
              <w:rPr>
                <w:sz w:val="20"/>
                <w:szCs w:val="20"/>
              </w:rPr>
              <w:t xml:space="preserve"> нужд</w:t>
            </w:r>
            <w:r w:rsidRPr="005A723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2514,6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2158,6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2158,6</w:t>
            </w:r>
          </w:p>
        </w:tc>
        <w:tc>
          <w:tcPr>
            <w:tcW w:w="1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2158,6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- 356,1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100,0</w:t>
            </w:r>
          </w:p>
        </w:tc>
      </w:tr>
      <w:tr w:rsidR="007D20E5" w:rsidRPr="005A723F" w:rsidTr="00B112A7">
        <w:trPr>
          <w:trHeight w:val="420"/>
        </w:trPr>
        <w:tc>
          <w:tcPr>
            <w:tcW w:w="25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D20E5" w:rsidRPr="005A723F" w:rsidRDefault="007D20E5" w:rsidP="005A723F">
            <w:pPr>
              <w:rPr>
                <w:i/>
                <w:iCs/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  <w:r w:rsidRPr="005A723F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3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0,3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0,3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0,3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- 2,7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10,0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0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100,0</w:t>
            </w:r>
          </w:p>
          <w:p w:rsidR="007D20E5" w:rsidRPr="005A723F" w:rsidRDefault="007D20E5" w:rsidP="00F04045">
            <w:pPr>
              <w:jc w:val="center"/>
              <w:rPr>
                <w:sz w:val="20"/>
                <w:szCs w:val="20"/>
              </w:rPr>
            </w:pPr>
          </w:p>
        </w:tc>
      </w:tr>
      <w:tr w:rsidR="007D20E5" w:rsidRPr="00D579A0" w:rsidTr="00B112A7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751" w:type="dxa"/>
            <w:gridSpan w:val="9"/>
            <w:tcBorders>
              <w:top w:val="double" w:sz="4" w:space="0" w:color="auto"/>
            </w:tcBorders>
          </w:tcPr>
          <w:p w:rsidR="007D20E5" w:rsidRPr="00D579A0" w:rsidRDefault="007D20E5" w:rsidP="00F04045">
            <w:pPr>
              <w:tabs>
                <w:tab w:val="left" w:pos="0"/>
              </w:tabs>
              <w:ind w:right="-82"/>
              <w:jc w:val="right"/>
              <w:rPr>
                <w:i/>
                <w:sz w:val="18"/>
                <w:szCs w:val="18"/>
                <w:highlight w:val="yellow"/>
              </w:rPr>
            </w:pPr>
          </w:p>
        </w:tc>
      </w:tr>
    </w:tbl>
    <w:p w:rsidR="007D20E5" w:rsidRPr="006C179B" w:rsidRDefault="007D20E5" w:rsidP="006C179B">
      <w:pPr>
        <w:ind w:firstLine="709"/>
        <w:jc w:val="both"/>
      </w:pPr>
      <w:r w:rsidRPr="006C179B">
        <w:t>Кассовые расходы в 2017 году исполнены на 81669,1 тыс. руб., или на 112,3</w:t>
      </w:r>
      <w:r w:rsidR="00BC2903">
        <w:t xml:space="preserve"> %</w:t>
      </w:r>
      <w:r w:rsidRPr="006C179B">
        <w:t xml:space="preserve"> к утвержденным </w:t>
      </w:r>
      <w:r w:rsidR="002B15B9" w:rsidRPr="00377CA9">
        <w:t>законом</w:t>
      </w:r>
      <w:r w:rsidR="002B15B9">
        <w:t xml:space="preserve"> </w:t>
      </w:r>
      <w:r w:rsidRPr="006C179B">
        <w:t xml:space="preserve">бюджетным назначениям и на 96,7% </w:t>
      </w:r>
      <w:r w:rsidR="00B11E8E" w:rsidRPr="006C179B">
        <w:t>к утвержденным бюджетной росписью</w:t>
      </w:r>
      <w:r w:rsidRPr="006C179B">
        <w:t xml:space="preserve">. </w:t>
      </w:r>
    </w:p>
    <w:p w:rsidR="00EA6478" w:rsidRPr="00E31ED0" w:rsidRDefault="007D20E5" w:rsidP="00EA6478">
      <w:pPr>
        <w:ind w:firstLine="709"/>
        <w:jc w:val="both"/>
      </w:pPr>
      <w:r w:rsidRPr="00E31ED0">
        <w:t>Неисполнение бюджетных назначений на 2829,4 тыс. руб. (из них по комитету на 2268,</w:t>
      </w:r>
      <w:r w:rsidR="00502267" w:rsidRPr="00E31ED0">
        <w:t>9</w:t>
      </w:r>
      <w:r w:rsidRPr="00E31ED0">
        <w:t xml:space="preserve"> тыс. руб., по учреждению на 560,6 тыс. руб.) согласно Сведениям об исполнении бюджета (ф. 0503164) и Сведениям о принятых и неисполненных обязательствах (ф. 0503175) объясняется </w:t>
      </w:r>
      <w:r w:rsidR="00EA6478" w:rsidRPr="00E31ED0">
        <w:t>отсутствием финансирования кассового плана на IV квартал 2017 года.</w:t>
      </w:r>
    </w:p>
    <w:p w:rsidR="006C179B" w:rsidRPr="00E31ED0" w:rsidRDefault="006C179B" w:rsidP="006C179B">
      <w:pPr>
        <w:ind w:firstLine="708"/>
        <w:jc w:val="both"/>
      </w:pPr>
      <w:r w:rsidRPr="00E31ED0">
        <w:t>Согласно Сведениям о принятых и неисполненных обязательствах (ф. 0503175) комитетом в нарушение п. 5 ст. 161 БК РФ приняты</w:t>
      </w:r>
      <w:r w:rsidR="007D20E5" w:rsidRPr="00E31ED0">
        <w:t xml:space="preserve"> бюджетные обязательства сверх доведенных бюджетных назначений и лимитов бюджетных обязательств на сумму</w:t>
      </w:r>
      <w:r w:rsidR="00812BCE" w:rsidRPr="00E31ED0">
        <w:t xml:space="preserve"> -</w:t>
      </w:r>
      <w:r w:rsidR="007D20E5" w:rsidRPr="00E31ED0">
        <w:t xml:space="preserve"> 536,5 тыс. руб</w:t>
      </w:r>
      <w:r w:rsidRPr="00E31ED0">
        <w:t>лей</w:t>
      </w:r>
      <w:r w:rsidR="007D20E5" w:rsidRPr="00E31ED0">
        <w:t xml:space="preserve">. </w:t>
      </w:r>
    </w:p>
    <w:p w:rsidR="007D20E5" w:rsidRPr="00E31ED0" w:rsidRDefault="007D20E5" w:rsidP="005267B1">
      <w:pPr>
        <w:ind w:firstLine="709"/>
        <w:jc w:val="both"/>
      </w:pPr>
      <w:r w:rsidRPr="00E31ED0">
        <w:t xml:space="preserve">Указанное нарушение произошло </w:t>
      </w:r>
      <w:r w:rsidR="005267B1" w:rsidRPr="00E31ED0">
        <w:t>в связи с</w:t>
      </w:r>
      <w:r w:rsidRPr="00E31ED0">
        <w:t xml:space="preserve"> сокращени</w:t>
      </w:r>
      <w:r w:rsidR="005267B1" w:rsidRPr="00E31ED0">
        <w:t>ем</w:t>
      </w:r>
      <w:r w:rsidRPr="00E31ED0">
        <w:t xml:space="preserve"> в ноябре 2017 года лимитов бюджетных обязательств на основании уведомлений </w:t>
      </w:r>
      <w:proofErr w:type="spellStart"/>
      <w:r w:rsidR="005267B1" w:rsidRPr="00E31ED0">
        <w:t>Облфина</w:t>
      </w:r>
      <w:proofErr w:type="spellEnd"/>
      <w:r w:rsidRPr="00E31ED0">
        <w:t xml:space="preserve"> </w:t>
      </w:r>
      <w:r w:rsidR="00812BCE" w:rsidRPr="00E31ED0">
        <w:t xml:space="preserve">и </w:t>
      </w:r>
      <w:r w:rsidR="005267B1" w:rsidRPr="00E31ED0">
        <w:t>неисполнением</w:t>
      </w:r>
      <w:r w:rsidRPr="00E31ED0">
        <w:t xml:space="preserve"> бюджетных заявок на оплату расходов по ранее принятым обязательствам за поставленный товар, выполненные работы (услуги), в том числе: по комитету </w:t>
      </w:r>
      <w:r w:rsidR="005267B1" w:rsidRPr="00E31ED0">
        <w:t>на 95,1 тыс. руб., по учреждению на</w:t>
      </w:r>
      <w:r w:rsidRPr="00E31ED0">
        <w:t xml:space="preserve"> 441,4 тыс. рублей. </w:t>
      </w:r>
    </w:p>
    <w:p w:rsidR="007D20E5" w:rsidRPr="005267B1" w:rsidRDefault="007D20E5" w:rsidP="007D20E5">
      <w:pPr>
        <w:ind w:firstLine="708"/>
        <w:jc w:val="both"/>
      </w:pPr>
      <w:r w:rsidRPr="005267B1">
        <w:t>Принятие бюджетных обязатель</w:t>
      </w:r>
      <w:proofErr w:type="gramStart"/>
      <w:r w:rsidRPr="005267B1">
        <w:t>ств пр</w:t>
      </w:r>
      <w:proofErr w:type="gramEnd"/>
      <w:r w:rsidRPr="005267B1">
        <w:t xml:space="preserve">и наличии лимитов бюджетных обязательств подтверждается </w:t>
      </w:r>
      <w:r w:rsidR="005267B1" w:rsidRPr="005267B1">
        <w:t>р</w:t>
      </w:r>
      <w:r w:rsidRPr="005267B1">
        <w:t xml:space="preserve">еестром </w:t>
      </w:r>
      <w:r w:rsidR="005267B1" w:rsidRPr="005267B1">
        <w:t>государственных контрактов на</w:t>
      </w:r>
      <w:r w:rsidRPr="005267B1">
        <w:t xml:space="preserve"> поставку товаров, выполнение работ, оказание услуг для нужд комитета за 2017 год, согласно которому</w:t>
      </w:r>
      <w:r w:rsidR="002B15B9">
        <w:t xml:space="preserve"> </w:t>
      </w:r>
      <w:r w:rsidRPr="005267B1">
        <w:t xml:space="preserve">государственные контракты были заключены до даты снятия лимитов бюджетных обязательств (06.11.2017). </w:t>
      </w:r>
    </w:p>
    <w:p w:rsidR="007B1BE8" w:rsidRPr="008912BF" w:rsidRDefault="007B1BE8" w:rsidP="007D20E5">
      <w:pPr>
        <w:ind w:firstLine="708"/>
        <w:jc w:val="both"/>
      </w:pPr>
    </w:p>
    <w:p w:rsidR="009407E8" w:rsidRPr="008912BF" w:rsidRDefault="00D24B5C" w:rsidP="00D24B5C">
      <w:pPr>
        <w:rPr>
          <w:b/>
        </w:rPr>
      </w:pPr>
      <w:r w:rsidRPr="008912BF">
        <w:rPr>
          <w:b/>
          <w:color w:val="0000FF"/>
        </w:rPr>
        <w:t xml:space="preserve">                                      </w:t>
      </w:r>
      <w:r w:rsidRPr="008912BF">
        <w:rPr>
          <w:b/>
        </w:rPr>
        <w:t xml:space="preserve"> Сравнительный анализ </w:t>
      </w:r>
      <w:r w:rsidR="009407E8" w:rsidRPr="008912BF">
        <w:rPr>
          <w:b/>
        </w:rPr>
        <w:t>показателей исполнения</w:t>
      </w:r>
    </w:p>
    <w:p w:rsidR="009407E8" w:rsidRPr="008912BF" w:rsidRDefault="009407E8" w:rsidP="0030422B">
      <w:pPr>
        <w:jc w:val="center"/>
      </w:pPr>
      <w:r w:rsidRPr="008912BF">
        <w:rPr>
          <w:b/>
        </w:rPr>
        <w:t>расходов областного бюджета за отчетный год и предыдущий год</w:t>
      </w:r>
    </w:p>
    <w:p w:rsidR="00392C4D" w:rsidRPr="008912BF" w:rsidRDefault="005E4A2C" w:rsidP="001F1DFF">
      <w:pPr>
        <w:ind w:firstLine="708"/>
        <w:jc w:val="both"/>
        <w:rPr>
          <w:b/>
          <w:sz w:val="22"/>
          <w:szCs w:val="22"/>
        </w:rPr>
      </w:pPr>
      <w:r w:rsidRPr="008912BF">
        <w:t xml:space="preserve">Сравнительный анализ показателей исполнения расходов за отчетный и предыдущий год </w:t>
      </w:r>
      <w:r w:rsidR="00502693" w:rsidRPr="008912BF">
        <w:t>представлен в следующей таблице</w:t>
      </w:r>
      <w:r w:rsidR="008912BF">
        <w:t>.</w:t>
      </w:r>
      <w:r w:rsidR="0016773D" w:rsidRPr="008912BF">
        <w:rPr>
          <w:b/>
          <w:sz w:val="22"/>
          <w:szCs w:val="22"/>
        </w:rPr>
        <w:t xml:space="preserve"> </w:t>
      </w:r>
    </w:p>
    <w:p w:rsidR="00392C4D" w:rsidRPr="008912BF" w:rsidRDefault="001A025E" w:rsidP="001F1DF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тыс.</w:t>
      </w:r>
      <w:r w:rsidR="001F1DF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руб.</w:t>
      </w:r>
    </w:p>
    <w:tbl>
      <w:tblPr>
        <w:tblpPr w:leftFromText="180" w:rightFromText="180" w:vertAnchor="text" w:horzAnchor="margin" w:tblpX="108" w:tblpY="12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01"/>
        <w:gridCol w:w="1559"/>
        <w:gridCol w:w="1417"/>
        <w:gridCol w:w="1277"/>
      </w:tblGrid>
      <w:tr w:rsidR="00392C4D" w:rsidRPr="008912BF" w:rsidTr="00FF6DAA">
        <w:trPr>
          <w:trHeight w:val="290"/>
        </w:trPr>
        <w:tc>
          <w:tcPr>
            <w:tcW w:w="42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92C4D" w:rsidRPr="008912BF" w:rsidRDefault="00392C4D" w:rsidP="00392C4D">
            <w:pPr>
              <w:ind w:firstLine="720"/>
              <w:jc w:val="center"/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Направление расходов</w:t>
            </w:r>
          </w:p>
          <w:p w:rsidR="00392C4D" w:rsidRPr="008912BF" w:rsidRDefault="00392C4D" w:rsidP="00392C4D">
            <w:pPr>
              <w:ind w:firstLine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392C4D">
            <w:pPr>
              <w:ind w:firstLine="720"/>
              <w:jc w:val="center"/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Исполнено расходов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DF30AF" w:rsidP="008912BF">
            <w:pPr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Отклонение</w:t>
            </w:r>
            <w:r w:rsidR="008912BF" w:rsidRPr="008912BF">
              <w:rPr>
                <w:bCs/>
                <w:sz w:val="20"/>
                <w:szCs w:val="20"/>
              </w:rPr>
              <w:t xml:space="preserve">    </w:t>
            </w:r>
            <w:r w:rsidR="00392C4D" w:rsidRPr="008912BF">
              <w:rPr>
                <w:bCs/>
                <w:sz w:val="20"/>
                <w:szCs w:val="20"/>
              </w:rPr>
              <w:t>2017/2016</w:t>
            </w:r>
          </w:p>
        </w:tc>
      </w:tr>
      <w:tr w:rsidR="00FF6DAA" w:rsidRPr="008912BF" w:rsidTr="00FF6DAA">
        <w:trPr>
          <w:trHeight w:val="138"/>
        </w:trPr>
        <w:tc>
          <w:tcPr>
            <w:tcW w:w="42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92C4D" w:rsidRPr="008912BF" w:rsidRDefault="00392C4D" w:rsidP="00392C4D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DF30AF">
            <w:pPr>
              <w:jc w:val="center"/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DF30AF">
            <w:pPr>
              <w:jc w:val="center"/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DF30AF">
            <w:pPr>
              <w:jc w:val="center"/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DF30AF">
            <w:pPr>
              <w:jc w:val="center"/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%</w:t>
            </w:r>
          </w:p>
        </w:tc>
      </w:tr>
      <w:tr w:rsidR="00FF6DAA" w:rsidRPr="008912BF" w:rsidTr="001F1DFF">
        <w:trPr>
          <w:trHeight w:val="36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1F1DFF">
            <w:pPr>
              <w:ind w:firstLine="720"/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Расходы - всего,  в т.ч.: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82498,6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bCs/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81669,1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-829,5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9</w:t>
            </w:r>
            <w:r w:rsidR="00F974D7" w:rsidRPr="008912BF">
              <w:rPr>
                <w:bCs/>
                <w:sz w:val="20"/>
                <w:szCs w:val="20"/>
              </w:rPr>
              <w:t>9,0</w:t>
            </w:r>
          </w:p>
        </w:tc>
      </w:tr>
      <w:tr w:rsidR="00FF6DAA" w:rsidRPr="008912BF" w:rsidTr="001F1DFF">
        <w:trPr>
          <w:trHeight w:val="160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1F1DFF">
            <w:pPr>
              <w:rPr>
                <w:bCs/>
                <w:i/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82498,6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81669,1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- 829,5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9</w:t>
            </w:r>
            <w:r w:rsidR="00F974D7" w:rsidRPr="008912BF">
              <w:rPr>
                <w:bCs/>
                <w:sz w:val="20"/>
                <w:szCs w:val="20"/>
              </w:rPr>
              <w:t>9,0</w:t>
            </w:r>
          </w:p>
        </w:tc>
      </w:tr>
      <w:tr w:rsidR="00FF6DAA" w:rsidRPr="008912BF" w:rsidTr="00073AA0">
        <w:trPr>
          <w:trHeight w:val="620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392C4D" w:rsidRPr="008912BF" w:rsidRDefault="00392C4D" w:rsidP="00073AA0">
            <w:pPr>
              <w:rPr>
                <w:bCs/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Обеспечение деятельности гос</w:t>
            </w:r>
            <w:r w:rsidR="00B112A7">
              <w:rPr>
                <w:sz w:val="20"/>
                <w:szCs w:val="20"/>
              </w:rPr>
              <w:t xml:space="preserve">ударственных </w:t>
            </w:r>
            <w:r w:rsidRPr="008912BF">
              <w:rPr>
                <w:sz w:val="20"/>
                <w:szCs w:val="20"/>
              </w:rPr>
              <w:t>органов Волгоградской области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073AA0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55348,6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5237</w:t>
            </w:r>
            <w:r w:rsidR="00F04045" w:rsidRPr="008912B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- 2973,</w:t>
            </w:r>
            <w:r w:rsidR="00F04045" w:rsidRPr="008912BF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94,6</w:t>
            </w:r>
          </w:p>
        </w:tc>
      </w:tr>
      <w:tr w:rsidR="00FF6DAA" w:rsidRPr="008912BF" w:rsidTr="00073AA0">
        <w:trPr>
          <w:trHeight w:val="558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392C4D" w:rsidRPr="008912BF" w:rsidRDefault="00392C4D" w:rsidP="00073AA0">
            <w:pPr>
              <w:rPr>
                <w:b/>
                <w:bCs/>
                <w:i/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92C4D" w:rsidRPr="008912BF" w:rsidRDefault="00392C4D" w:rsidP="00073AA0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27109,8</w:t>
            </w:r>
          </w:p>
          <w:p w:rsidR="00392C4D" w:rsidRPr="008912BF" w:rsidRDefault="00392C4D" w:rsidP="00073AA0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92C4D" w:rsidRPr="008912BF" w:rsidRDefault="00392C4D" w:rsidP="00073AA0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2929</w:t>
            </w:r>
            <w:r w:rsidR="00F04045" w:rsidRPr="008912BF">
              <w:rPr>
                <w:sz w:val="20"/>
                <w:szCs w:val="20"/>
              </w:rPr>
              <w:t>4</w:t>
            </w:r>
            <w:r w:rsidRPr="008912BF">
              <w:rPr>
                <w:sz w:val="20"/>
                <w:szCs w:val="20"/>
              </w:rPr>
              <w:t>,</w:t>
            </w:r>
            <w:r w:rsidR="00F04045" w:rsidRPr="008912BF">
              <w:rPr>
                <w:sz w:val="20"/>
                <w:szCs w:val="20"/>
              </w:rPr>
              <w:t>1</w:t>
            </w:r>
          </w:p>
          <w:p w:rsidR="00392C4D" w:rsidRPr="008912BF" w:rsidRDefault="00392C4D" w:rsidP="00073AA0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92C4D" w:rsidRPr="008912BF" w:rsidRDefault="00392C4D" w:rsidP="00073AA0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2184,</w:t>
            </w:r>
            <w:r w:rsidR="00F04045" w:rsidRPr="008912BF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92C4D" w:rsidRPr="008912BF" w:rsidRDefault="00392C4D" w:rsidP="00073AA0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108,1</w:t>
            </w:r>
          </w:p>
        </w:tc>
      </w:tr>
      <w:tr w:rsidR="00FF6DAA" w:rsidRPr="008912BF" w:rsidTr="00073AA0">
        <w:trPr>
          <w:trHeight w:val="215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392C4D" w:rsidRPr="008912BF" w:rsidRDefault="00392C4D" w:rsidP="00073AA0">
            <w:pPr>
              <w:rPr>
                <w:bCs/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1DFF" w:rsidRDefault="001F1DFF" w:rsidP="001F1DFF">
            <w:pPr>
              <w:rPr>
                <w:sz w:val="20"/>
                <w:szCs w:val="20"/>
              </w:rPr>
            </w:pPr>
          </w:p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3,1</w:t>
            </w:r>
          </w:p>
          <w:p w:rsidR="00392C4D" w:rsidRPr="008912BF" w:rsidRDefault="00392C4D" w:rsidP="001F1DFF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1DFF" w:rsidRDefault="001F1DFF" w:rsidP="001F1DFF">
            <w:pPr>
              <w:rPr>
                <w:sz w:val="20"/>
                <w:szCs w:val="20"/>
              </w:rPr>
            </w:pPr>
          </w:p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1,3</w:t>
            </w:r>
          </w:p>
          <w:p w:rsidR="00392C4D" w:rsidRPr="008912BF" w:rsidRDefault="00392C4D" w:rsidP="001F1DFF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-1,8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41,9</w:t>
            </w:r>
          </w:p>
        </w:tc>
      </w:tr>
      <w:tr w:rsidR="00FF6DAA" w:rsidRPr="008912BF" w:rsidTr="001F1DFF">
        <w:trPr>
          <w:trHeight w:val="161"/>
        </w:trPr>
        <w:tc>
          <w:tcPr>
            <w:tcW w:w="4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2C4D" w:rsidRPr="008912BF" w:rsidRDefault="00392C4D" w:rsidP="001F1DFF">
            <w:pPr>
              <w:rPr>
                <w:bCs/>
                <w:sz w:val="20"/>
                <w:szCs w:val="20"/>
              </w:rPr>
            </w:pPr>
            <w:r w:rsidRPr="008912BF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37,1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59,4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2,3</w:t>
            </w:r>
          </w:p>
        </w:tc>
        <w:tc>
          <w:tcPr>
            <w:tcW w:w="12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92C4D" w:rsidRPr="008912BF" w:rsidRDefault="00392C4D" w:rsidP="001F1DFF">
            <w:pPr>
              <w:rPr>
                <w:sz w:val="20"/>
                <w:szCs w:val="20"/>
              </w:rPr>
            </w:pPr>
            <w:r w:rsidRPr="008912BF">
              <w:rPr>
                <w:sz w:val="20"/>
                <w:szCs w:val="20"/>
              </w:rPr>
              <w:t>160,1</w:t>
            </w:r>
          </w:p>
        </w:tc>
      </w:tr>
    </w:tbl>
    <w:p w:rsidR="00392C4D" w:rsidRPr="00D579A0" w:rsidRDefault="00392C4D" w:rsidP="00392C4D">
      <w:pPr>
        <w:rPr>
          <w:sz w:val="20"/>
          <w:szCs w:val="20"/>
          <w:highlight w:val="yellow"/>
        </w:rPr>
      </w:pPr>
    </w:p>
    <w:p w:rsidR="00C7087A" w:rsidRPr="001A025E" w:rsidRDefault="001A025E" w:rsidP="00812BCE">
      <w:pPr>
        <w:ind w:firstLine="708"/>
        <w:jc w:val="both"/>
      </w:pPr>
      <w:r w:rsidRPr="00E31ED0">
        <w:t xml:space="preserve">К уровню </w:t>
      </w:r>
      <w:r w:rsidR="00C7087A" w:rsidRPr="00E31ED0">
        <w:t>2016 год</w:t>
      </w:r>
      <w:r w:rsidRPr="00E31ED0">
        <w:t xml:space="preserve">а расходы комитета (ГРБС) в отчетном периоде </w:t>
      </w:r>
      <w:r w:rsidR="00C7087A" w:rsidRPr="001A025E">
        <w:t>у</w:t>
      </w:r>
      <w:r w:rsidRPr="001A025E">
        <w:t>меньшились на 829,5 тыс. руб., или на 1,0%</w:t>
      </w:r>
      <w:r w:rsidR="00C7087A" w:rsidRPr="001A025E">
        <w:t>, при этом расходы на обеспечение деятельности:</w:t>
      </w:r>
    </w:p>
    <w:p w:rsidR="00F04045" w:rsidRPr="001A025E" w:rsidRDefault="00C7087A" w:rsidP="00812BCE">
      <w:pPr>
        <w:ind w:firstLine="708"/>
        <w:jc w:val="both"/>
      </w:pPr>
      <w:r w:rsidRPr="001A025E">
        <w:lastRenderedPageBreak/>
        <w:t>- комитета сократились на 2973,</w:t>
      </w:r>
      <w:r w:rsidR="00F04045" w:rsidRPr="001A025E">
        <w:t>6</w:t>
      </w:r>
      <w:r w:rsidRPr="001A025E">
        <w:t xml:space="preserve"> тыс. руб., или на 5,4%, что обусловлено</w:t>
      </w:r>
      <w:r w:rsidR="00F04045" w:rsidRPr="001A025E">
        <w:t xml:space="preserve"> сокращением штатной численности на 8 человек;</w:t>
      </w:r>
    </w:p>
    <w:p w:rsidR="006C0A80" w:rsidRPr="001A025E" w:rsidRDefault="00C7087A" w:rsidP="00812BCE">
      <w:pPr>
        <w:ind w:firstLine="708"/>
        <w:jc w:val="both"/>
      </w:pPr>
      <w:r w:rsidRPr="001A025E">
        <w:t>- учреждения возросли на 2</w:t>
      </w:r>
      <w:r w:rsidR="001A025E">
        <w:t xml:space="preserve">184,0 тыс. руб., или на 8,1% в </w:t>
      </w:r>
      <w:r w:rsidRPr="001A025E">
        <w:t xml:space="preserve">связи с </w:t>
      </w:r>
      <w:r w:rsidR="00F04045" w:rsidRPr="001A025E">
        <w:t>увеличением штатной численности на 5 человек</w:t>
      </w:r>
      <w:r w:rsidR="00907429" w:rsidRPr="001A025E">
        <w:t>.</w:t>
      </w:r>
    </w:p>
    <w:p w:rsidR="00502267" w:rsidRPr="00D579A0" w:rsidRDefault="00502267" w:rsidP="00907429">
      <w:pPr>
        <w:pStyle w:val="af6"/>
        <w:ind w:firstLine="680"/>
        <w:jc w:val="both"/>
        <w:rPr>
          <w:color w:val="0000FF"/>
          <w:highlight w:val="yellow"/>
        </w:rPr>
      </w:pPr>
    </w:p>
    <w:p w:rsidR="00907429" w:rsidRPr="001A025E" w:rsidRDefault="00907429" w:rsidP="00907429">
      <w:pPr>
        <w:autoSpaceDE w:val="0"/>
        <w:autoSpaceDN w:val="0"/>
        <w:adjustRightInd w:val="0"/>
        <w:jc w:val="center"/>
        <w:rPr>
          <w:b/>
        </w:rPr>
      </w:pPr>
      <w:r w:rsidRPr="001A025E">
        <w:rPr>
          <w:b/>
        </w:rPr>
        <w:t>Состояние дебиторской и кредиторской задолженности</w:t>
      </w:r>
    </w:p>
    <w:p w:rsidR="00E31ED0" w:rsidRDefault="001A025E" w:rsidP="00BC2903">
      <w:pPr>
        <w:ind w:firstLine="708"/>
        <w:jc w:val="both"/>
      </w:pPr>
      <w:r w:rsidRPr="001A025E">
        <w:t xml:space="preserve">Информация о динамике дебиторской и кредиторской задолженностей комитета </w:t>
      </w:r>
      <w:r w:rsidR="00907429" w:rsidRPr="001A025E">
        <w:t>пр</w:t>
      </w:r>
      <w:r w:rsidR="00B04019" w:rsidRPr="001A025E">
        <w:t>едставлена</w:t>
      </w:r>
      <w:r w:rsidR="00907429" w:rsidRPr="001A025E">
        <w:t xml:space="preserve"> в следующей таблице. </w:t>
      </w:r>
    </w:p>
    <w:p w:rsidR="00907429" w:rsidRDefault="001A025E" w:rsidP="001A025E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1A025E">
        <w:rPr>
          <w:i/>
          <w:sz w:val="20"/>
          <w:szCs w:val="20"/>
        </w:rPr>
        <w:t>тыс. руб.</w:t>
      </w: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03"/>
        <w:gridCol w:w="1275"/>
        <w:gridCol w:w="1441"/>
        <w:gridCol w:w="2246"/>
      </w:tblGrid>
      <w:tr w:rsidR="00907429" w:rsidRPr="00A765DE" w:rsidTr="001A025E">
        <w:trPr>
          <w:trHeight w:val="255"/>
        </w:trPr>
        <w:tc>
          <w:tcPr>
            <w:tcW w:w="5103" w:type="dxa"/>
            <w:vMerge w:val="restart"/>
            <w:vAlign w:val="center"/>
            <w:hideMark/>
          </w:tcPr>
          <w:p w:rsidR="00907429" w:rsidRPr="00A765DE" w:rsidRDefault="00DB1B24" w:rsidP="00DB1B24">
            <w:pPr>
              <w:jc w:val="center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center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на 01.01.2017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center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на 01.01.2018</w:t>
            </w:r>
          </w:p>
        </w:tc>
        <w:tc>
          <w:tcPr>
            <w:tcW w:w="2246" w:type="dxa"/>
            <w:vMerge w:val="restart"/>
            <w:vAlign w:val="center"/>
            <w:hideMark/>
          </w:tcPr>
          <w:p w:rsidR="00A765DE" w:rsidRPr="00A765DE" w:rsidRDefault="00A765DE" w:rsidP="00A765DE">
            <w:pPr>
              <w:jc w:val="center"/>
              <w:rPr>
                <w:bCs/>
                <w:sz w:val="16"/>
                <w:szCs w:val="16"/>
              </w:rPr>
            </w:pPr>
            <w:r w:rsidRPr="00A765DE">
              <w:rPr>
                <w:bCs/>
                <w:sz w:val="16"/>
                <w:szCs w:val="16"/>
              </w:rPr>
              <w:t>Рост (снижение)</w:t>
            </w:r>
          </w:p>
          <w:p w:rsidR="00907429" w:rsidRPr="00A765DE" w:rsidRDefault="00A765DE" w:rsidP="00A765DE">
            <w:pPr>
              <w:jc w:val="center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6"/>
                <w:szCs w:val="16"/>
              </w:rPr>
              <w:t>%, раз</w:t>
            </w:r>
          </w:p>
        </w:tc>
      </w:tr>
      <w:tr w:rsidR="00907429" w:rsidRPr="00A765DE" w:rsidTr="001A025E">
        <w:trPr>
          <w:trHeight w:val="207"/>
        </w:trPr>
        <w:tc>
          <w:tcPr>
            <w:tcW w:w="5103" w:type="dxa"/>
            <w:vMerge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907429" w:rsidRPr="00A765DE" w:rsidTr="001A025E">
        <w:trPr>
          <w:trHeight w:val="270"/>
        </w:trPr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ind w:firstLine="459"/>
              <w:jc w:val="both"/>
              <w:rPr>
                <w:bCs/>
                <w:sz w:val="18"/>
                <w:szCs w:val="18"/>
              </w:rPr>
            </w:pPr>
            <w:r w:rsidRPr="00522C89">
              <w:rPr>
                <w:bCs/>
                <w:i/>
                <w:sz w:val="18"/>
                <w:szCs w:val="18"/>
              </w:rPr>
              <w:t>Дебиторская  задолженность</w:t>
            </w:r>
            <w:r w:rsidRPr="00A765DE">
              <w:rPr>
                <w:bCs/>
                <w:sz w:val="18"/>
                <w:szCs w:val="18"/>
              </w:rPr>
              <w:t xml:space="preserve"> </w:t>
            </w:r>
            <w:r w:rsidRPr="00522C89">
              <w:rPr>
                <w:bCs/>
                <w:i/>
                <w:sz w:val="18"/>
                <w:szCs w:val="18"/>
              </w:rPr>
              <w:t>всего:  в том числе: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67,3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176,3</w:t>
            </w:r>
          </w:p>
        </w:tc>
        <w:tc>
          <w:tcPr>
            <w:tcW w:w="22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увеличение в 2,6 раза</w:t>
            </w:r>
          </w:p>
        </w:tc>
      </w:tr>
      <w:tr w:rsidR="00907429" w:rsidRPr="00A765DE" w:rsidTr="001A025E">
        <w:trPr>
          <w:trHeight w:val="210"/>
        </w:trPr>
        <w:tc>
          <w:tcPr>
            <w:tcW w:w="5103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67,3</w:t>
            </w:r>
          </w:p>
        </w:tc>
        <w:tc>
          <w:tcPr>
            <w:tcW w:w="1441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176,3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907429" w:rsidRPr="00A765DE" w:rsidRDefault="00907429" w:rsidP="00907429">
            <w:pPr>
              <w:autoSpaceDE w:val="0"/>
              <w:autoSpaceDN w:val="0"/>
              <w:adjustRightInd w:val="0"/>
              <w:ind w:right="-1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увеличение в 2,6 раза</w:t>
            </w:r>
          </w:p>
        </w:tc>
      </w:tr>
      <w:tr w:rsidR="00907429" w:rsidRPr="00A765DE" w:rsidTr="001A025E">
        <w:trPr>
          <w:trHeight w:val="210"/>
        </w:trPr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7429" w:rsidRPr="00522C89" w:rsidRDefault="00907429" w:rsidP="00907429">
            <w:pPr>
              <w:ind w:firstLine="459"/>
              <w:jc w:val="both"/>
              <w:rPr>
                <w:bCs/>
                <w:i/>
                <w:sz w:val="18"/>
                <w:szCs w:val="18"/>
              </w:rPr>
            </w:pPr>
            <w:r w:rsidRPr="00522C89">
              <w:rPr>
                <w:bCs/>
                <w:i/>
                <w:sz w:val="18"/>
                <w:szCs w:val="18"/>
              </w:rPr>
              <w:t>Кредиторская задолженность всего: в том числе: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315,0</w:t>
            </w: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3338,4</w:t>
            </w:r>
          </w:p>
        </w:tc>
        <w:tc>
          <w:tcPr>
            <w:tcW w:w="22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07429" w:rsidRPr="00A765DE" w:rsidRDefault="00D71F1E" w:rsidP="00D71F1E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 xml:space="preserve">увеличение </w:t>
            </w:r>
            <w:r w:rsidR="00907429" w:rsidRPr="00A765DE">
              <w:rPr>
                <w:bCs/>
                <w:sz w:val="18"/>
                <w:szCs w:val="18"/>
              </w:rPr>
              <w:t>в 10,6 раз</w:t>
            </w:r>
          </w:p>
        </w:tc>
      </w:tr>
      <w:tr w:rsidR="00907429" w:rsidRPr="00A765DE" w:rsidTr="001A025E">
        <w:trPr>
          <w:trHeight w:val="255"/>
        </w:trPr>
        <w:tc>
          <w:tcPr>
            <w:tcW w:w="5103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314,9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1775,4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увеличение  в 5,6 раза</w:t>
            </w:r>
          </w:p>
        </w:tc>
      </w:tr>
      <w:tr w:rsidR="00907429" w:rsidRPr="00A765DE" w:rsidTr="001A025E">
        <w:trPr>
          <w:trHeight w:val="255"/>
        </w:trPr>
        <w:tc>
          <w:tcPr>
            <w:tcW w:w="5103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1563,0</w:t>
            </w:r>
          </w:p>
        </w:tc>
        <w:tc>
          <w:tcPr>
            <w:tcW w:w="2246" w:type="dxa"/>
            <w:shd w:val="clear" w:color="auto" w:fill="auto"/>
            <w:noWrap/>
            <w:vAlign w:val="center"/>
            <w:hideMark/>
          </w:tcPr>
          <w:p w:rsidR="00907429" w:rsidRPr="00A765DE" w:rsidRDefault="00907429" w:rsidP="00907429">
            <w:pPr>
              <w:jc w:val="both"/>
              <w:rPr>
                <w:bCs/>
                <w:sz w:val="18"/>
                <w:szCs w:val="18"/>
              </w:rPr>
            </w:pPr>
            <w:r w:rsidRPr="00A765DE">
              <w:rPr>
                <w:bCs/>
                <w:sz w:val="18"/>
                <w:szCs w:val="18"/>
              </w:rPr>
              <w:t>увеличение 100 %</w:t>
            </w:r>
          </w:p>
        </w:tc>
      </w:tr>
    </w:tbl>
    <w:p w:rsidR="00502267" w:rsidRPr="00A765DE" w:rsidRDefault="00502267" w:rsidP="00FC22CD">
      <w:pPr>
        <w:ind w:firstLine="720"/>
        <w:jc w:val="both"/>
        <w:rPr>
          <w:i/>
          <w:u w:val="single"/>
        </w:rPr>
      </w:pPr>
    </w:p>
    <w:p w:rsidR="00B041D2" w:rsidRPr="00522C89" w:rsidRDefault="00B041D2" w:rsidP="008636FD">
      <w:pPr>
        <w:ind w:firstLine="709"/>
        <w:jc w:val="both"/>
      </w:pPr>
      <w:r w:rsidRPr="00522C89">
        <w:t xml:space="preserve">Дебиторская задолженность </w:t>
      </w:r>
      <w:r w:rsidR="00522C89" w:rsidRPr="00522C89">
        <w:t xml:space="preserve">в течение года увеличилась на 109,0 </w:t>
      </w:r>
      <w:r w:rsidRPr="00522C89">
        <w:t>тыс. руб</w:t>
      </w:r>
      <w:r w:rsidR="00F417DE" w:rsidRPr="00522C89">
        <w:t>.</w:t>
      </w:r>
      <w:r w:rsidR="00D0011A" w:rsidRPr="00522C89">
        <w:t>,</w:t>
      </w:r>
      <w:r w:rsidR="00522C89" w:rsidRPr="00522C89">
        <w:t xml:space="preserve"> или в 2,6 раза и</w:t>
      </w:r>
      <w:r w:rsidR="007D1961" w:rsidRPr="00522C89">
        <w:t xml:space="preserve"> </w:t>
      </w:r>
      <w:r w:rsidR="008636FD" w:rsidRPr="00522C89">
        <w:t xml:space="preserve">сложилась </w:t>
      </w:r>
      <w:r w:rsidRPr="00522C89">
        <w:t xml:space="preserve">в </w:t>
      </w:r>
      <w:r w:rsidR="00522C89" w:rsidRPr="00522C89">
        <w:t>расчетах с</w:t>
      </w:r>
      <w:r w:rsidRPr="00522C89">
        <w:t xml:space="preserve"> ФСС по пособиям временной нетрудоспособности. </w:t>
      </w:r>
    </w:p>
    <w:p w:rsidR="00B041D2" w:rsidRPr="00522C89" w:rsidRDefault="00B041D2" w:rsidP="00B041D2">
      <w:pPr>
        <w:ind w:firstLine="709"/>
        <w:jc w:val="both"/>
      </w:pPr>
      <w:r w:rsidRPr="00522C89">
        <w:t>Долгосрочная, просроченная дебиторская задолженность на 01.01.201</w:t>
      </w:r>
      <w:r w:rsidR="007D1961" w:rsidRPr="00522C89">
        <w:t>8</w:t>
      </w:r>
      <w:r w:rsidRPr="00522C89">
        <w:t xml:space="preserve"> отсутствует.</w:t>
      </w:r>
    </w:p>
    <w:p w:rsidR="001F72DA" w:rsidRPr="00194E60" w:rsidRDefault="00B041D2" w:rsidP="001F72DA">
      <w:pPr>
        <w:ind w:firstLine="709"/>
        <w:jc w:val="both"/>
      </w:pPr>
      <w:r w:rsidRPr="00522C89">
        <w:t>Кредиторская задолженность</w:t>
      </w:r>
      <w:r w:rsidR="001F72DA">
        <w:t>,</w:t>
      </w:r>
      <w:r w:rsidRPr="00522C89">
        <w:t xml:space="preserve"> </w:t>
      </w:r>
      <w:r w:rsidR="00522C89" w:rsidRPr="00522C89">
        <w:t>увеличи</w:t>
      </w:r>
      <w:r w:rsidR="001F72DA">
        <w:t>вшаяся</w:t>
      </w:r>
      <w:r w:rsidR="00522C89" w:rsidRPr="00522C89">
        <w:t xml:space="preserve"> </w:t>
      </w:r>
      <w:r w:rsidR="001F72DA" w:rsidRPr="00522C89">
        <w:t xml:space="preserve">за отчетный год </w:t>
      </w:r>
      <w:r w:rsidR="00522C89" w:rsidRPr="00522C89">
        <w:t>на</w:t>
      </w:r>
      <w:r w:rsidRPr="00522C89">
        <w:t xml:space="preserve"> </w:t>
      </w:r>
      <w:r w:rsidR="007D1961" w:rsidRPr="00522C89">
        <w:t>3</w:t>
      </w:r>
      <w:r w:rsidR="00544123">
        <w:t>023,4</w:t>
      </w:r>
      <w:r w:rsidRPr="00522C89">
        <w:t xml:space="preserve"> тыс. руб.,</w:t>
      </w:r>
      <w:r w:rsidR="00522C89" w:rsidRPr="00522C89">
        <w:t xml:space="preserve"> или в 10,6 раз,</w:t>
      </w:r>
      <w:r w:rsidRPr="00522C89">
        <w:t xml:space="preserve"> </w:t>
      </w:r>
      <w:r w:rsidR="001F72DA" w:rsidRPr="00194E60">
        <w:t xml:space="preserve">в основном носит текущий характер и сложилась </w:t>
      </w:r>
      <w:proofErr w:type="gramStart"/>
      <w:r w:rsidR="001F72DA" w:rsidRPr="00194E60">
        <w:t>по</w:t>
      </w:r>
      <w:proofErr w:type="gramEnd"/>
      <w:r w:rsidR="001F72DA" w:rsidRPr="00194E60">
        <w:t>:</w:t>
      </w:r>
    </w:p>
    <w:p w:rsidR="001F72DA" w:rsidRPr="00812BCE" w:rsidRDefault="001F72DA" w:rsidP="001F72DA">
      <w:pPr>
        <w:ind w:firstLine="709"/>
        <w:jc w:val="both"/>
      </w:pPr>
      <w:proofErr w:type="gramStart"/>
      <w:r w:rsidRPr="00812BCE">
        <w:t>-комитету в сумме 2337,7 тыс.</w:t>
      </w:r>
      <w:r>
        <w:t xml:space="preserve"> </w:t>
      </w:r>
      <w:r w:rsidRPr="00812BCE">
        <w:t>руб.</w:t>
      </w:r>
      <w:r w:rsidR="00BF6271">
        <w:t>, в том числе:</w:t>
      </w:r>
      <w:r>
        <w:t xml:space="preserve"> </w:t>
      </w:r>
      <w:r w:rsidRPr="00812BCE">
        <w:t xml:space="preserve">в расчетах  </w:t>
      </w:r>
      <w:r>
        <w:t xml:space="preserve">по заработной плате </w:t>
      </w:r>
      <w:r w:rsidRPr="00812BCE">
        <w:t>(1212,3 тыс.</w:t>
      </w:r>
      <w:r>
        <w:t xml:space="preserve"> </w:t>
      </w:r>
      <w:r w:rsidRPr="00812BCE">
        <w:t xml:space="preserve">руб.), </w:t>
      </w:r>
      <w:r w:rsidR="00BF6271" w:rsidRPr="00812BCE">
        <w:t>с ПФР (581,8 тыс.</w:t>
      </w:r>
      <w:r w:rsidR="00BF6271">
        <w:t xml:space="preserve"> </w:t>
      </w:r>
      <w:r w:rsidR="00BF6271" w:rsidRPr="00812BCE">
        <w:t>руб.)</w:t>
      </w:r>
      <w:r w:rsidR="00BF6271">
        <w:t xml:space="preserve">, </w:t>
      </w:r>
      <w:r w:rsidR="00BF6271" w:rsidRPr="00812BCE">
        <w:t>по налогам (322,7 тыс. руб.), с ФОМС (123,9 тыс.</w:t>
      </w:r>
      <w:r w:rsidR="00BF6271">
        <w:t xml:space="preserve"> </w:t>
      </w:r>
      <w:r w:rsidR="00BF6271" w:rsidRPr="00812BCE">
        <w:t>руб.),</w:t>
      </w:r>
      <w:r w:rsidR="00BF6271">
        <w:t xml:space="preserve"> </w:t>
      </w:r>
      <w:r w:rsidRPr="00812BCE">
        <w:t>по арендной плате (46,1 тыс.</w:t>
      </w:r>
      <w:r>
        <w:t xml:space="preserve"> </w:t>
      </w:r>
      <w:r w:rsidRPr="00812BCE">
        <w:t>руб.), в расчетах за услуги (28,0 тыс.</w:t>
      </w:r>
      <w:r>
        <w:t xml:space="preserve"> </w:t>
      </w:r>
      <w:r w:rsidRPr="00812BCE">
        <w:t>руб.), за поставленные материальные ценности (21,0 тыс.</w:t>
      </w:r>
      <w:r>
        <w:t xml:space="preserve"> </w:t>
      </w:r>
      <w:r w:rsidRPr="00812BCE">
        <w:t xml:space="preserve">руб.), </w:t>
      </w:r>
      <w:r w:rsidR="00BF6271">
        <w:t>с ФСС (1,9 тыс. руб.)</w:t>
      </w:r>
      <w:r w:rsidRPr="00812BCE">
        <w:t>;</w:t>
      </w:r>
      <w:proofErr w:type="gramEnd"/>
    </w:p>
    <w:p w:rsidR="001F72DA" w:rsidRPr="00812BCE" w:rsidRDefault="001F72DA" w:rsidP="001F72DA">
      <w:pPr>
        <w:ind w:firstLine="709"/>
        <w:jc w:val="both"/>
      </w:pPr>
      <w:proofErr w:type="gramStart"/>
      <w:r w:rsidRPr="00812BCE">
        <w:t>-учре</w:t>
      </w:r>
      <w:r w:rsidR="00120F4F">
        <w:t>ждению в сумме 1000,7 тыс.</w:t>
      </w:r>
      <w:r w:rsidR="00BF6271">
        <w:t xml:space="preserve"> </w:t>
      </w:r>
      <w:r w:rsidR="00120F4F">
        <w:t>руб.</w:t>
      </w:r>
      <w:r w:rsidR="00BF6271">
        <w:t>, в том числе:</w:t>
      </w:r>
      <w:r w:rsidR="00120F4F">
        <w:t xml:space="preserve"> </w:t>
      </w:r>
      <w:r w:rsidRPr="00812BCE">
        <w:t>в расчетах по арендной плате (423,6 тыс.</w:t>
      </w:r>
      <w:r w:rsidR="00BF6271">
        <w:t xml:space="preserve"> </w:t>
      </w:r>
      <w:r w:rsidRPr="00812BCE">
        <w:t xml:space="preserve">руб.), </w:t>
      </w:r>
      <w:r w:rsidR="00120F4F" w:rsidRPr="00812BCE">
        <w:t>с ПФР (388,0</w:t>
      </w:r>
      <w:r w:rsidR="00120F4F">
        <w:t xml:space="preserve"> тыс.</w:t>
      </w:r>
      <w:r w:rsidR="00BF6271">
        <w:t xml:space="preserve"> </w:t>
      </w:r>
      <w:r w:rsidR="00120F4F">
        <w:t xml:space="preserve">руб.), </w:t>
      </w:r>
      <w:r w:rsidR="00120F4F" w:rsidRPr="00812BCE">
        <w:t>с ФОМС (92,</w:t>
      </w:r>
      <w:r w:rsidR="004A5D51">
        <w:t>4</w:t>
      </w:r>
      <w:r w:rsidR="00120F4F" w:rsidRPr="00812BCE">
        <w:t xml:space="preserve"> тыс.</w:t>
      </w:r>
      <w:r w:rsidR="00BF6271">
        <w:t xml:space="preserve"> </w:t>
      </w:r>
      <w:r w:rsidR="00120F4F" w:rsidRPr="00812BCE">
        <w:t>руб.)</w:t>
      </w:r>
      <w:r w:rsidR="00120F4F">
        <w:t xml:space="preserve">, </w:t>
      </w:r>
      <w:r w:rsidR="00120F4F" w:rsidRPr="00812BCE">
        <w:t>с ФСС (30,1 тыс. руб.)</w:t>
      </w:r>
      <w:r w:rsidR="00120F4F">
        <w:t xml:space="preserve">, </w:t>
      </w:r>
      <w:r w:rsidR="00120F4F" w:rsidRPr="00812BCE">
        <w:t>по налогам (48,7 тыс. руб.)</w:t>
      </w:r>
      <w:r w:rsidR="00120F4F">
        <w:t>,</w:t>
      </w:r>
      <w:r w:rsidR="00BF6271">
        <w:t xml:space="preserve"> </w:t>
      </w:r>
      <w:r w:rsidR="00120F4F">
        <w:t>за услуги (17,8 тыс.</w:t>
      </w:r>
      <w:r w:rsidR="00BF6271">
        <w:t xml:space="preserve"> </w:t>
      </w:r>
      <w:r w:rsidR="00120F4F">
        <w:t>рублей)</w:t>
      </w:r>
      <w:r>
        <w:t>.</w:t>
      </w:r>
      <w:proofErr w:type="gramEnd"/>
    </w:p>
    <w:p w:rsidR="00F417DE" w:rsidRPr="00BF6271" w:rsidRDefault="00BF6271" w:rsidP="00F417DE">
      <w:pPr>
        <w:ind w:firstLine="709"/>
        <w:jc w:val="both"/>
      </w:pPr>
      <w:r w:rsidRPr="00BF6271">
        <w:t>Долгосрочная</w:t>
      </w:r>
      <w:r w:rsidR="00F417DE" w:rsidRPr="00BF6271">
        <w:t xml:space="preserve"> просроченная кредиторская задолженность на 01.01.2018 отсутствует</w:t>
      </w:r>
      <w:r w:rsidR="003A3906" w:rsidRPr="00BF6271">
        <w:t>.</w:t>
      </w:r>
    </w:p>
    <w:p w:rsidR="00B041D2" w:rsidRPr="00D579A0" w:rsidRDefault="00B041D2" w:rsidP="00F43958">
      <w:pPr>
        <w:autoSpaceDE w:val="0"/>
        <w:autoSpaceDN w:val="0"/>
        <w:adjustRightInd w:val="0"/>
        <w:ind w:firstLine="709"/>
        <w:jc w:val="both"/>
        <w:rPr>
          <w:color w:val="0000FF"/>
          <w:highlight w:val="yellow"/>
        </w:rPr>
      </w:pPr>
    </w:p>
    <w:p w:rsidR="00DD3278" w:rsidRPr="00BF6271" w:rsidRDefault="00DD3278" w:rsidP="00DA4D47">
      <w:pPr>
        <w:autoSpaceDE w:val="0"/>
        <w:autoSpaceDN w:val="0"/>
        <w:adjustRightInd w:val="0"/>
        <w:ind w:firstLine="720"/>
        <w:rPr>
          <w:b/>
        </w:rPr>
      </w:pPr>
      <w:r w:rsidRPr="00BF6271">
        <w:rPr>
          <w:b/>
        </w:rPr>
        <w:t>Организация внутреннего финансового контроля и внутреннего финансового аудита</w:t>
      </w:r>
    </w:p>
    <w:p w:rsidR="00305751" w:rsidRPr="00EB78B6" w:rsidRDefault="00772198" w:rsidP="00772198">
      <w:pPr>
        <w:ind w:firstLine="680"/>
        <w:jc w:val="both"/>
      </w:pPr>
      <w:proofErr w:type="gramStart"/>
      <w:r>
        <w:t xml:space="preserve">На основании </w:t>
      </w:r>
      <w:r w:rsidRPr="00305751">
        <w:t xml:space="preserve">приказа </w:t>
      </w:r>
      <w:proofErr w:type="spellStart"/>
      <w:r w:rsidRPr="00305751">
        <w:t>Облкомзакупки</w:t>
      </w:r>
      <w:proofErr w:type="spellEnd"/>
      <w:r w:rsidRPr="00305751">
        <w:t xml:space="preserve"> от 18.07.2016 № 59/01 «О мерах по реализации постановления Правительства Волгоградской области от 26 мая 2014 г. № 266-п «Об утверждении порядка осуществления внутреннего финансового контроля и внутреннего финансового аудита на территории Волгоградской области в комитете по регулированию</w:t>
      </w:r>
      <w:r>
        <w:t xml:space="preserve"> контрактной системы в сфере закупок Волгоградской области</w:t>
      </w:r>
      <w:r w:rsidRPr="00B40CA0">
        <w:t xml:space="preserve">» </w:t>
      </w:r>
      <w:r>
        <w:t xml:space="preserve">(с учетом изменений от 30.12.2016 №98/01) </w:t>
      </w:r>
      <w:r w:rsidRPr="00EB78B6">
        <w:t>ответственн</w:t>
      </w:r>
      <w:r w:rsidR="00305751" w:rsidRPr="00EB78B6">
        <w:t xml:space="preserve">ыми </w:t>
      </w:r>
      <w:r w:rsidRPr="00EB78B6">
        <w:t xml:space="preserve">за </w:t>
      </w:r>
      <w:r w:rsidR="00305751" w:rsidRPr="00EB78B6">
        <w:t>проведение:</w:t>
      </w:r>
      <w:proofErr w:type="gramEnd"/>
    </w:p>
    <w:p w:rsidR="00772198" w:rsidRPr="00EB78B6" w:rsidRDefault="00305751" w:rsidP="00772198">
      <w:pPr>
        <w:ind w:firstLine="680"/>
        <w:jc w:val="both"/>
      </w:pPr>
      <w:r w:rsidRPr="00EB78B6">
        <w:t xml:space="preserve">-внутреннего финансового контроля </w:t>
      </w:r>
      <w:r w:rsidR="000C7E1B" w:rsidRPr="00EB78B6">
        <w:t xml:space="preserve">является </w:t>
      </w:r>
      <w:r w:rsidRPr="00EB78B6">
        <w:t>начальник общего отдела Серебрякова Е.И.;</w:t>
      </w:r>
    </w:p>
    <w:p w:rsidR="00305751" w:rsidRPr="00EB78B6" w:rsidRDefault="00305751" w:rsidP="00772198">
      <w:pPr>
        <w:ind w:firstLine="680"/>
        <w:jc w:val="both"/>
      </w:pPr>
      <w:r w:rsidRPr="00EB78B6">
        <w:t>-внутреннего финансового аудита – заместитель председателя комитета Ярославцев П.А.</w:t>
      </w:r>
    </w:p>
    <w:p w:rsidR="00377CA9" w:rsidRDefault="000C7E1B" w:rsidP="000C7E1B">
      <w:pPr>
        <w:ind w:firstLine="680"/>
        <w:jc w:val="both"/>
      </w:pPr>
      <w:r w:rsidRPr="00EB78B6">
        <w:t>За</w:t>
      </w:r>
      <w:r w:rsidR="00B640A5" w:rsidRPr="00EB78B6">
        <w:t xml:space="preserve"> 2017 год </w:t>
      </w:r>
      <w:r w:rsidRPr="00EB78B6">
        <w:t xml:space="preserve">в рамках финансового контроля проведено </w:t>
      </w:r>
      <w:r w:rsidR="00B640A5" w:rsidRPr="00EB78B6">
        <w:t>135 контрольных ме</w:t>
      </w:r>
      <w:r w:rsidRPr="00EB78B6">
        <w:t xml:space="preserve">роприятий, в том числе методом </w:t>
      </w:r>
      <w:r w:rsidR="00B640A5" w:rsidRPr="00EB78B6">
        <w:t xml:space="preserve">самоконтроля </w:t>
      </w:r>
      <w:r w:rsidRPr="00EB78B6">
        <w:t>-</w:t>
      </w:r>
      <w:r w:rsidR="00B640A5" w:rsidRPr="00EB78B6">
        <w:t xml:space="preserve"> 72;</w:t>
      </w:r>
      <w:r w:rsidRPr="00EB78B6">
        <w:t xml:space="preserve"> </w:t>
      </w:r>
      <w:r w:rsidR="00B640A5" w:rsidRPr="00EB78B6">
        <w:t xml:space="preserve">контроля по уровню подчиненности </w:t>
      </w:r>
      <w:r w:rsidRPr="00EB78B6">
        <w:t>-</w:t>
      </w:r>
      <w:r w:rsidR="00B640A5" w:rsidRPr="00EB78B6">
        <w:t xml:space="preserve"> 32;</w:t>
      </w:r>
      <w:r w:rsidRPr="00EB78B6">
        <w:t xml:space="preserve"> </w:t>
      </w:r>
      <w:r w:rsidR="00B640A5" w:rsidRPr="00EB78B6">
        <w:t xml:space="preserve">контроля по уровню подведомственности </w:t>
      </w:r>
      <w:r w:rsidRPr="00EB78B6">
        <w:t>-</w:t>
      </w:r>
      <w:r w:rsidR="00B640A5" w:rsidRPr="00EB78B6">
        <w:t xml:space="preserve"> 31.</w:t>
      </w:r>
      <w:r w:rsidRPr="00EB78B6">
        <w:t xml:space="preserve"> </w:t>
      </w:r>
    </w:p>
    <w:p w:rsidR="00B640A5" w:rsidRPr="00EB78B6" w:rsidRDefault="000C7E1B" w:rsidP="000C7E1B">
      <w:pPr>
        <w:ind w:firstLine="680"/>
        <w:jc w:val="both"/>
      </w:pPr>
      <w:r w:rsidRPr="00EB78B6">
        <w:t>У</w:t>
      </w:r>
      <w:r w:rsidR="00B640A5" w:rsidRPr="00EB78B6">
        <w:t xml:space="preserve">становлено нарушение комитетом </w:t>
      </w:r>
      <w:r w:rsidR="00377CA9">
        <w:t>в части применения кода бюджетной классификации расходов</w:t>
      </w:r>
      <w:r w:rsidR="00101274">
        <w:t xml:space="preserve"> в сфере информационных технологий</w:t>
      </w:r>
      <w:r w:rsidR="00377CA9">
        <w:t xml:space="preserve"> (40,0 тыс. руб.)</w:t>
      </w:r>
      <w:r w:rsidR="00883058" w:rsidRPr="00EB78B6">
        <w:t>, в результате чего в декабре 2017 года уточнен</w:t>
      </w:r>
      <w:r w:rsidRPr="00EB78B6">
        <w:t xml:space="preserve"> </w:t>
      </w:r>
      <w:r w:rsidR="00883058" w:rsidRPr="00EB78B6">
        <w:t>код бюджетной классификации, вид и принадлежност</w:t>
      </w:r>
      <w:r w:rsidR="00101274">
        <w:t>ь</w:t>
      </w:r>
      <w:r w:rsidR="00883058" w:rsidRPr="00EB78B6">
        <w:t xml:space="preserve"> платежа. </w:t>
      </w:r>
    </w:p>
    <w:p w:rsidR="00883058" w:rsidRPr="00EB78B6" w:rsidRDefault="00883058" w:rsidP="000C7E1B">
      <w:pPr>
        <w:ind w:firstLine="680"/>
        <w:jc w:val="both"/>
      </w:pPr>
      <w:r w:rsidRPr="00EB78B6">
        <w:t>В рамках внутреннего финансового аудита проведены 3 проверки по вопросам:</w:t>
      </w:r>
      <w:r w:rsidR="000C7E1B" w:rsidRPr="00EB78B6">
        <w:t xml:space="preserve"> </w:t>
      </w:r>
      <w:r w:rsidRPr="00EB78B6">
        <w:t>достоверности и полноты бюджетной отчетности;</w:t>
      </w:r>
      <w:r w:rsidR="000C7E1B" w:rsidRPr="00EB78B6">
        <w:t xml:space="preserve"> </w:t>
      </w:r>
      <w:r w:rsidRPr="00EB78B6">
        <w:t>соответствия порядка ведения бюджетного учета методологии и стандартам бюджетного учета комитета;</w:t>
      </w:r>
      <w:r w:rsidR="000C7E1B" w:rsidRPr="00EB78B6">
        <w:t xml:space="preserve"> </w:t>
      </w:r>
      <w:r w:rsidRPr="00EB78B6">
        <w:t>оценк</w:t>
      </w:r>
      <w:r w:rsidR="000C7E1B" w:rsidRPr="00EB78B6">
        <w:t>и</w:t>
      </w:r>
      <w:r w:rsidRPr="00EB78B6">
        <w:t xml:space="preserve"> </w:t>
      </w:r>
      <w:r w:rsidR="00FC0E3C" w:rsidRPr="00EB78B6">
        <w:t>надежности и эффективности внутреннего финансового контроля.</w:t>
      </w:r>
    </w:p>
    <w:p w:rsidR="00377CA9" w:rsidRDefault="00FC0E3C" w:rsidP="00BC2903">
      <w:pPr>
        <w:ind w:firstLine="680"/>
        <w:jc w:val="both"/>
        <w:rPr>
          <w:b/>
          <w:i/>
        </w:rPr>
      </w:pPr>
      <w:r w:rsidRPr="000C7E1B">
        <w:t>По итогам проверок внутреннего финансового аудита отклонений и нарушений не установлено.</w:t>
      </w:r>
    </w:p>
    <w:p w:rsidR="00377CA9" w:rsidRDefault="00377CA9" w:rsidP="003A3906">
      <w:pPr>
        <w:autoSpaceDE w:val="0"/>
        <w:autoSpaceDN w:val="0"/>
        <w:adjustRightInd w:val="0"/>
        <w:ind w:firstLine="698"/>
        <w:jc w:val="center"/>
        <w:rPr>
          <w:b/>
          <w:i/>
        </w:rPr>
      </w:pPr>
    </w:p>
    <w:p w:rsidR="00D313C2" w:rsidRDefault="00D313C2" w:rsidP="003A3906">
      <w:pPr>
        <w:autoSpaceDE w:val="0"/>
        <w:autoSpaceDN w:val="0"/>
        <w:adjustRightInd w:val="0"/>
        <w:ind w:firstLine="698"/>
        <w:jc w:val="center"/>
        <w:rPr>
          <w:b/>
          <w:i/>
        </w:rPr>
      </w:pPr>
    </w:p>
    <w:p w:rsidR="00D313C2" w:rsidRDefault="00D313C2" w:rsidP="003A3906">
      <w:pPr>
        <w:autoSpaceDE w:val="0"/>
        <w:autoSpaceDN w:val="0"/>
        <w:adjustRightInd w:val="0"/>
        <w:ind w:firstLine="698"/>
        <w:jc w:val="center"/>
        <w:rPr>
          <w:b/>
          <w:i/>
        </w:rPr>
      </w:pPr>
    </w:p>
    <w:p w:rsidR="00D313C2" w:rsidRDefault="00D313C2" w:rsidP="003A3906">
      <w:pPr>
        <w:autoSpaceDE w:val="0"/>
        <w:autoSpaceDN w:val="0"/>
        <w:adjustRightInd w:val="0"/>
        <w:ind w:firstLine="698"/>
        <w:jc w:val="center"/>
        <w:rPr>
          <w:b/>
          <w:i/>
        </w:rPr>
      </w:pPr>
    </w:p>
    <w:p w:rsidR="003A3906" w:rsidRPr="00772198" w:rsidRDefault="003A3906" w:rsidP="003A3906">
      <w:pPr>
        <w:autoSpaceDE w:val="0"/>
        <w:autoSpaceDN w:val="0"/>
        <w:adjustRightInd w:val="0"/>
        <w:ind w:firstLine="698"/>
        <w:jc w:val="center"/>
        <w:rPr>
          <w:b/>
          <w:i/>
        </w:rPr>
      </w:pPr>
      <w:r w:rsidRPr="00772198">
        <w:rPr>
          <w:b/>
          <w:i/>
        </w:rPr>
        <w:t>Выводы:</w:t>
      </w:r>
    </w:p>
    <w:p w:rsidR="00DB3D4B" w:rsidRPr="00222402" w:rsidRDefault="003A3906" w:rsidP="00D313C2">
      <w:pPr>
        <w:ind w:firstLine="720"/>
        <w:jc w:val="both"/>
      </w:pPr>
      <w:r w:rsidRPr="00222402">
        <w:rPr>
          <w:b/>
        </w:rPr>
        <w:t xml:space="preserve"> 1.</w:t>
      </w:r>
      <w:r w:rsidR="001F51BD" w:rsidRPr="00222402">
        <w:t xml:space="preserve"> Ра</w:t>
      </w:r>
      <w:r w:rsidR="007B1BE8" w:rsidRPr="00222402">
        <w:t xml:space="preserve">сходы </w:t>
      </w:r>
      <w:proofErr w:type="spellStart"/>
      <w:r w:rsidR="00DB3D4B" w:rsidRPr="00222402">
        <w:t>Облкомзакупки</w:t>
      </w:r>
      <w:proofErr w:type="spellEnd"/>
      <w:r w:rsidR="00DB3D4B" w:rsidRPr="00222402">
        <w:t xml:space="preserve"> </w:t>
      </w:r>
      <w:r w:rsidR="001F51BD" w:rsidRPr="00222402">
        <w:t xml:space="preserve">в 2017 году </w:t>
      </w:r>
      <w:r w:rsidR="007B1BE8" w:rsidRPr="00222402">
        <w:t xml:space="preserve">исполнены </w:t>
      </w:r>
      <w:r w:rsidR="00DB3D4B" w:rsidRPr="00222402">
        <w:t xml:space="preserve">на 81669,1 тыс. руб. или на 112,3 % к утвержденным </w:t>
      </w:r>
      <w:r w:rsidR="00544123">
        <w:t xml:space="preserve">законом </w:t>
      </w:r>
      <w:r w:rsidR="00DB3D4B" w:rsidRPr="00222402">
        <w:t xml:space="preserve">бюджетным назначениям и на 96,7% к </w:t>
      </w:r>
      <w:r w:rsidR="001E25C9" w:rsidRPr="00222402">
        <w:t>утвержденным бюджетной росписью</w:t>
      </w:r>
      <w:r w:rsidR="00DB3D4B" w:rsidRPr="00222402">
        <w:t xml:space="preserve">. </w:t>
      </w:r>
    </w:p>
    <w:p w:rsidR="00DB3D4B" w:rsidRPr="00222402" w:rsidRDefault="00DB3D4B" w:rsidP="00D313C2">
      <w:pPr>
        <w:ind w:firstLine="720"/>
        <w:jc w:val="both"/>
      </w:pPr>
      <w:r w:rsidRPr="00222402">
        <w:t>Неисполнение бюджетных назначений на 2829,4 тыс. руб.</w:t>
      </w:r>
      <w:r w:rsidR="00544123">
        <w:t>,</w:t>
      </w:r>
      <w:r w:rsidR="001F51BD" w:rsidRPr="00222402">
        <w:t xml:space="preserve"> </w:t>
      </w:r>
      <w:r w:rsidR="001E25C9" w:rsidRPr="00222402">
        <w:t>или на 3,3%</w:t>
      </w:r>
      <w:r w:rsidRPr="00222402">
        <w:t xml:space="preserve"> в основном объясняется недофинансированием заявок на оплату труда с начислениями</w:t>
      </w:r>
      <w:r w:rsidR="005A5C2F" w:rsidRPr="00222402">
        <w:t>.</w:t>
      </w:r>
    </w:p>
    <w:p w:rsidR="00222402" w:rsidRDefault="005A5C2F" w:rsidP="00D313C2">
      <w:pPr>
        <w:pStyle w:val="af1"/>
        <w:spacing w:before="0" w:beforeAutospacing="0" w:after="0" w:afterAutospacing="0"/>
        <w:ind w:firstLine="720"/>
        <w:jc w:val="both"/>
      </w:pPr>
      <w:r w:rsidRPr="00222402">
        <w:rPr>
          <w:b/>
        </w:rPr>
        <w:t>2</w:t>
      </w:r>
      <w:r w:rsidR="007B1BE8" w:rsidRPr="00222402">
        <w:rPr>
          <w:b/>
        </w:rPr>
        <w:t>.</w:t>
      </w:r>
      <w:r w:rsidRPr="00222402">
        <w:t xml:space="preserve"> </w:t>
      </w:r>
      <w:r w:rsidR="00222402" w:rsidRPr="00222402">
        <w:t>Сводная</w:t>
      </w:r>
      <w:r w:rsidR="00222402">
        <w:t xml:space="preserve"> бюджетная отчетность комитета представлена к проверке в установленном составе. Две формы бюджетной отчетности составлены с нарушениями положений Инструкции № </w:t>
      </w:r>
      <w:r w:rsidR="00544123">
        <w:t>191н.</w:t>
      </w:r>
      <w:r w:rsidR="00222402">
        <w:t xml:space="preserve"> </w:t>
      </w:r>
    </w:p>
    <w:p w:rsidR="005A5C2F" w:rsidRDefault="005A5C2F" w:rsidP="00D313C2">
      <w:pPr>
        <w:autoSpaceDE w:val="0"/>
        <w:autoSpaceDN w:val="0"/>
        <w:adjustRightInd w:val="0"/>
        <w:ind w:firstLine="720"/>
        <w:jc w:val="both"/>
        <w:outlineLvl w:val="0"/>
      </w:pPr>
      <w:r w:rsidRPr="00222402">
        <w:rPr>
          <w:b/>
        </w:rPr>
        <w:t>3.</w:t>
      </w:r>
      <w:r w:rsidRPr="00222402">
        <w:t xml:space="preserve"> </w:t>
      </w:r>
      <w:r w:rsidR="001F51BD" w:rsidRPr="00222402">
        <w:t>В 2017 году отмечен рост кредиторской задолженности в 10,6 раза до 3338,4 тыс. руб., которая носит текущий характер и сложилась в основном по заработной плате, начислениям во внебюджетные фонды, арендной плате по учреждению.</w:t>
      </w:r>
    </w:p>
    <w:p w:rsidR="00D60DD2" w:rsidRPr="00EB78B6" w:rsidRDefault="00D60DD2" w:rsidP="00D313C2">
      <w:pPr>
        <w:ind w:firstLine="720"/>
        <w:jc w:val="both"/>
      </w:pPr>
      <w:r w:rsidRPr="00EB78B6">
        <w:rPr>
          <w:b/>
        </w:rPr>
        <w:t>4.</w:t>
      </w:r>
      <w:r w:rsidRPr="00EB78B6">
        <w:t xml:space="preserve"> </w:t>
      </w:r>
      <w:proofErr w:type="gramStart"/>
      <w:r w:rsidRPr="00EB78B6">
        <w:t>Комитетом в нарушение п. 5 ст. 161 БК РФ приняты бюджетные обязательства сверх доведенных бюджетных назначений и лимитов бюджетных обязательств на сумму - 536,5 тыс. руб.</w:t>
      </w:r>
      <w:r w:rsidR="00544123">
        <w:t xml:space="preserve">, что </w:t>
      </w:r>
      <w:r w:rsidRPr="00EB78B6">
        <w:t xml:space="preserve">произошло в связи с сокращением в ноябре 2017 года лимитов бюджетных обязательств на основании уведомлений </w:t>
      </w:r>
      <w:proofErr w:type="spellStart"/>
      <w:r w:rsidRPr="00EB78B6">
        <w:t>Облфина</w:t>
      </w:r>
      <w:proofErr w:type="spellEnd"/>
      <w:r w:rsidRPr="00EB78B6">
        <w:t xml:space="preserve">, </w:t>
      </w:r>
      <w:r w:rsidR="00544123">
        <w:t xml:space="preserve">при этом </w:t>
      </w:r>
      <w:r w:rsidRPr="00EB78B6">
        <w:t xml:space="preserve">принятие бюджетных обязательств </w:t>
      </w:r>
      <w:r w:rsidR="00544123">
        <w:t xml:space="preserve">произошло </w:t>
      </w:r>
      <w:r w:rsidRPr="00EB78B6">
        <w:t xml:space="preserve">при наличии лимитов бюджетных обязательств, </w:t>
      </w:r>
      <w:r w:rsidR="00544123">
        <w:t xml:space="preserve">что </w:t>
      </w:r>
      <w:r w:rsidRPr="00EB78B6">
        <w:t>подтверждается реестром государственных контрактов на поставку</w:t>
      </w:r>
      <w:proofErr w:type="gramEnd"/>
      <w:r w:rsidRPr="00EB78B6">
        <w:t xml:space="preserve"> товаров, выполнение работ, оказание услуг для нужд комитета за 2017 год. </w:t>
      </w:r>
    </w:p>
    <w:p w:rsidR="00D60DD2" w:rsidRPr="00D60DD2" w:rsidRDefault="00D60DD2" w:rsidP="00D313C2">
      <w:pPr>
        <w:autoSpaceDE w:val="0"/>
        <w:autoSpaceDN w:val="0"/>
        <w:adjustRightInd w:val="0"/>
        <w:ind w:firstLine="720"/>
        <w:jc w:val="both"/>
        <w:outlineLvl w:val="0"/>
        <w:rPr>
          <w:b/>
        </w:rPr>
      </w:pPr>
    </w:p>
    <w:p w:rsidR="00511DD7" w:rsidRPr="006E4CC7" w:rsidRDefault="00511DD7" w:rsidP="00511DD7">
      <w:pPr>
        <w:pStyle w:val="Style49"/>
        <w:widowControl/>
        <w:tabs>
          <w:tab w:val="left" w:pos="7805"/>
        </w:tabs>
        <w:spacing w:before="120" w:line="240" w:lineRule="auto"/>
        <w:rPr>
          <w:rStyle w:val="FontStyle52"/>
          <w:sz w:val="24"/>
          <w:szCs w:val="24"/>
        </w:rPr>
      </w:pPr>
      <w:r>
        <w:rPr>
          <w:rStyle w:val="FontStyle52"/>
        </w:rPr>
        <w:t xml:space="preserve">         </w:t>
      </w:r>
      <w:r w:rsidRPr="006E4CC7">
        <w:rPr>
          <w:rStyle w:val="FontStyle52"/>
          <w:sz w:val="24"/>
          <w:szCs w:val="24"/>
        </w:rPr>
        <w:t>Аудитор</w:t>
      </w:r>
      <w:r w:rsidRPr="006E4CC7">
        <w:rPr>
          <w:rStyle w:val="FontStyle52"/>
          <w:sz w:val="24"/>
          <w:szCs w:val="24"/>
        </w:rPr>
        <w:tab/>
        <w:t xml:space="preserve">        В.В. </w:t>
      </w:r>
      <w:proofErr w:type="spellStart"/>
      <w:r w:rsidRPr="006E4CC7">
        <w:rPr>
          <w:rStyle w:val="FontStyle52"/>
          <w:sz w:val="24"/>
          <w:szCs w:val="24"/>
        </w:rPr>
        <w:t>Подгайнов</w:t>
      </w:r>
      <w:proofErr w:type="spellEnd"/>
    </w:p>
    <w:p w:rsidR="00511DD7" w:rsidRPr="00983D67" w:rsidRDefault="00511DD7" w:rsidP="00F56768">
      <w:pPr>
        <w:autoSpaceDE w:val="0"/>
        <w:autoSpaceDN w:val="0"/>
        <w:adjustRightInd w:val="0"/>
        <w:ind w:firstLine="708"/>
        <w:jc w:val="both"/>
        <w:rPr>
          <w:color w:val="0000FF"/>
        </w:rPr>
      </w:pPr>
    </w:p>
    <w:sectPr w:rsidR="00511DD7" w:rsidRPr="00983D67" w:rsidSect="00D313C2">
      <w:headerReference w:type="even" r:id="rId10"/>
      <w:headerReference w:type="default" r:id="rId11"/>
      <w:pgSz w:w="11906" w:h="16838" w:code="9"/>
      <w:pgMar w:top="851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9D" w:rsidRDefault="0004189D" w:rsidP="00223DA8">
      <w:r>
        <w:separator/>
      </w:r>
    </w:p>
  </w:endnote>
  <w:endnote w:type="continuationSeparator" w:id="0">
    <w:p w:rsidR="0004189D" w:rsidRDefault="0004189D" w:rsidP="0022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9D" w:rsidRDefault="0004189D" w:rsidP="00223DA8">
      <w:r>
        <w:separator/>
      </w:r>
    </w:p>
  </w:footnote>
  <w:footnote w:type="continuationSeparator" w:id="0">
    <w:p w:rsidR="0004189D" w:rsidRDefault="0004189D" w:rsidP="00223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FF" w:rsidRDefault="009D2773" w:rsidP="00022E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1DF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DFF" w:rsidRDefault="001F1DF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FF" w:rsidRDefault="009D2773" w:rsidP="00022E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1DF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13C2">
      <w:rPr>
        <w:rStyle w:val="aa"/>
        <w:noProof/>
      </w:rPr>
      <w:t>2</w:t>
    </w:r>
    <w:r>
      <w:rPr>
        <w:rStyle w:val="aa"/>
      </w:rPr>
      <w:fldChar w:fldCharType="end"/>
    </w:r>
  </w:p>
  <w:p w:rsidR="001F1DFF" w:rsidRDefault="001F1D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D77B6"/>
    <w:multiLevelType w:val="hybridMultilevel"/>
    <w:tmpl w:val="167CF090"/>
    <w:lvl w:ilvl="0" w:tplc="12A6E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3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5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DD3278"/>
    <w:rsid w:val="0000228C"/>
    <w:rsid w:val="000035B0"/>
    <w:rsid w:val="00006320"/>
    <w:rsid w:val="00016A9C"/>
    <w:rsid w:val="00020B0D"/>
    <w:rsid w:val="00020B3D"/>
    <w:rsid w:val="00022E2A"/>
    <w:rsid w:val="00023A44"/>
    <w:rsid w:val="00026922"/>
    <w:rsid w:val="00027206"/>
    <w:rsid w:val="000337F6"/>
    <w:rsid w:val="00034DCA"/>
    <w:rsid w:val="0003539D"/>
    <w:rsid w:val="0004189D"/>
    <w:rsid w:val="00045A77"/>
    <w:rsid w:val="000508D4"/>
    <w:rsid w:val="00051832"/>
    <w:rsid w:val="0005404D"/>
    <w:rsid w:val="00056EC8"/>
    <w:rsid w:val="00057F58"/>
    <w:rsid w:val="00065214"/>
    <w:rsid w:val="000655E5"/>
    <w:rsid w:val="0006575D"/>
    <w:rsid w:val="000675FF"/>
    <w:rsid w:val="00073AA0"/>
    <w:rsid w:val="00073DC6"/>
    <w:rsid w:val="0007518C"/>
    <w:rsid w:val="000753BB"/>
    <w:rsid w:val="00075972"/>
    <w:rsid w:val="00080A59"/>
    <w:rsid w:val="00084EBA"/>
    <w:rsid w:val="00091185"/>
    <w:rsid w:val="00095185"/>
    <w:rsid w:val="000A04C4"/>
    <w:rsid w:val="000A203B"/>
    <w:rsid w:val="000A4034"/>
    <w:rsid w:val="000C2AD2"/>
    <w:rsid w:val="000C33C4"/>
    <w:rsid w:val="000C497E"/>
    <w:rsid w:val="000C54AA"/>
    <w:rsid w:val="000C5513"/>
    <w:rsid w:val="000C79C7"/>
    <w:rsid w:val="000C7E1B"/>
    <w:rsid w:val="000D2936"/>
    <w:rsid w:val="000D6246"/>
    <w:rsid w:val="000E12F0"/>
    <w:rsid w:val="000E5502"/>
    <w:rsid w:val="000F0F67"/>
    <w:rsid w:val="000F5A9A"/>
    <w:rsid w:val="00101274"/>
    <w:rsid w:val="00103141"/>
    <w:rsid w:val="0010643A"/>
    <w:rsid w:val="001135BE"/>
    <w:rsid w:val="00114BF8"/>
    <w:rsid w:val="001169C1"/>
    <w:rsid w:val="001169E4"/>
    <w:rsid w:val="001204C1"/>
    <w:rsid w:val="00120F4F"/>
    <w:rsid w:val="0012282F"/>
    <w:rsid w:val="00123597"/>
    <w:rsid w:val="001242F9"/>
    <w:rsid w:val="0013432C"/>
    <w:rsid w:val="00136500"/>
    <w:rsid w:val="001422C4"/>
    <w:rsid w:val="00143451"/>
    <w:rsid w:val="00166F0A"/>
    <w:rsid w:val="0016773D"/>
    <w:rsid w:val="00192014"/>
    <w:rsid w:val="00194E60"/>
    <w:rsid w:val="00196A12"/>
    <w:rsid w:val="001A025E"/>
    <w:rsid w:val="001A2034"/>
    <w:rsid w:val="001A2E23"/>
    <w:rsid w:val="001A2FAA"/>
    <w:rsid w:val="001A444C"/>
    <w:rsid w:val="001A4925"/>
    <w:rsid w:val="001A6C2E"/>
    <w:rsid w:val="001B094F"/>
    <w:rsid w:val="001B627F"/>
    <w:rsid w:val="001C3389"/>
    <w:rsid w:val="001C39A5"/>
    <w:rsid w:val="001D049C"/>
    <w:rsid w:val="001D1BA4"/>
    <w:rsid w:val="001D5D83"/>
    <w:rsid w:val="001D7E35"/>
    <w:rsid w:val="001E00CA"/>
    <w:rsid w:val="001E0D69"/>
    <w:rsid w:val="001E25C9"/>
    <w:rsid w:val="001F0393"/>
    <w:rsid w:val="001F1DFF"/>
    <w:rsid w:val="001F35FD"/>
    <w:rsid w:val="001F51BD"/>
    <w:rsid w:val="001F6BE5"/>
    <w:rsid w:val="001F7140"/>
    <w:rsid w:val="001F72DA"/>
    <w:rsid w:val="00201F95"/>
    <w:rsid w:val="002031C8"/>
    <w:rsid w:val="00211ECF"/>
    <w:rsid w:val="00217638"/>
    <w:rsid w:val="00221722"/>
    <w:rsid w:val="00222402"/>
    <w:rsid w:val="00223DA8"/>
    <w:rsid w:val="002315AF"/>
    <w:rsid w:val="002343A2"/>
    <w:rsid w:val="00234694"/>
    <w:rsid w:val="0024680D"/>
    <w:rsid w:val="00252431"/>
    <w:rsid w:val="0025403C"/>
    <w:rsid w:val="00255A15"/>
    <w:rsid w:val="00264788"/>
    <w:rsid w:val="00272442"/>
    <w:rsid w:val="00273DCE"/>
    <w:rsid w:val="00274371"/>
    <w:rsid w:val="002777E7"/>
    <w:rsid w:val="002835DB"/>
    <w:rsid w:val="002864A3"/>
    <w:rsid w:val="002970D5"/>
    <w:rsid w:val="002A2A1E"/>
    <w:rsid w:val="002A71BA"/>
    <w:rsid w:val="002A7A47"/>
    <w:rsid w:val="002B0D92"/>
    <w:rsid w:val="002B15B9"/>
    <w:rsid w:val="002B2F80"/>
    <w:rsid w:val="002B3C2F"/>
    <w:rsid w:val="002B4445"/>
    <w:rsid w:val="002B5508"/>
    <w:rsid w:val="002B7B65"/>
    <w:rsid w:val="002D1EF1"/>
    <w:rsid w:val="002D2B98"/>
    <w:rsid w:val="002D6850"/>
    <w:rsid w:val="002E0669"/>
    <w:rsid w:val="002E1E1F"/>
    <w:rsid w:val="002E355B"/>
    <w:rsid w:val="002E73C7"/>
    <w:rsid w:val="002F348F"/>
    <w:rsid w:val="002F7D0D"/>
    <w:rsid w:val="0030422B"/>
    <w:rsid w:val="00305751"/>
    <w:rsid w:val="00305D9C"/>
    <w:rsid w:val="00310A83"/>
    <w:rsid w:val="00311313"/>
    <w:rsid w:val="003129D5"/>
    <w:rsid w:val="00316F5D"/>
    <w:rsid w:val="00322A5C"/>
    <w:rsid w:val="00322D77"/>
    <w:rsid w:val="003301D8"/>
    <w:rsid w:val="003356AB"/>
    <w:rsid w:val="0034080D"/>
    <w:rsid w:val="00345E43"/>
    <w:rsid w:val="00350C67"/>
    <w:rsid w:val="0036221F"/>
    <w:rsid w:val="00362A01"/>
    <w:rsid w:val="003634C0"/>
    <w:rsid w:val="00364CFB"/>
    <w:rsid w:val="00365EC6"/>
    <w:rsid w:val="0037199E"/>
    <w:rsid w:val="00375949"/>
    <w:rsid w:val="00377CA9"/>
    <w:rsid w:val="00380048"/>
    <w:rsid w:val="003830F3"/>
    <w:rsid w:val="00383192"/>
    <w:rsid w:val="00387FFC"/>
    <w:rsid w:val="00391780"/>
    <w:rsid w:val="00392665"/>
    <w:rsid w:val="00392C4D"/>
    <w:rsid w:val="0039504A"/>
    <w:rsid w:val="0039527B"/>
    <w:rsid w:val="003952CA"/>
    <w:rsid w:val="003A3906"/>
    <w:rsid w:val="003A4A5D"/>
    <w:rsid w:val="003B189C"/>
    <w:rsid w:val="003B4596"/>
    <w:rsid w:val="003C0DA3"/>
    <w:rsid w:val="003C152A"/>
    <w:rsid w:val="003E553C"/>
    <w:rsid w:val="003E7EE8"/>
    <w:rsid w:val="003E7F59"/>
    <w:rsid w:val="003F0396"/>
    <w:rsid w:val="003F23C4"/>
    <w:rsid w:val="003F34D5"/>
    <w:rsid w:val="004005AF"/>
    <w:rsid w:val="004008C4"/>
    <w:rsid w:val="00402AD5"/>
    <w:rsid w:val="00403FCA"/>
    <w:rsid w:val="00404E6D"/>
    <w:rsid w:val="00412908"/>
    <w:rsid w:val="004141CA"/>
    <w:rsid w:val="00414884"/>
    <w:rsid w:val="00423126"/>
    <w:rsid w:val="0042538C"/>
    <w:rsid w:val="004317BE"/>
    <w:rsid w:val="004317CD"/>
    <w:rsid w:val="00437FB3"/>
    <w:rsid w:val="00440ABC"/>
    <w:rsid w:val="0044527F"/>
    <w:rsid w:val="004509EB"/>
    <w:rsid w:val="00455A1A"/>
    <w:rsid w:val="00455C15"/>
    <w:rsid w:val="00457734"/>
    <w:rsid w:val="00460045"/>
    <w:rsid w:val="004610C3"/>
    <w:rsid w:val="004666EB"/>
    <w:rsid w:val="00467F9C"/>
    <w:rsid w:val="004735D3"/>
    <w:rsid w:val="00474B91"/>
    <w:rsid w:val="0047577B"/>
    <w:rsid w:val="00480894"/>
    <w:rsid w:val="004824CA"/>
    <w:rsid w:val="00482D6E"/>
    <w:rsid w:val="0048381D"/>
    <w:rsid w:val="004846D6"/>
    <w:rsid w:val="00487D78"/>
    <w:rsid w:val="0049235F"/>
    <w:rsid w:val="00495E2C"/>
    <w:rsid w:val="00497844"/>
    <w:rsid w:val="004A56B2"/>
    <w:rsid w:val="004A577A"/>
    <w:rsid w:val="004A5D51"/>
    <w:rsid w:val="004B11C4"/>
    <w:rsid w:val="004B1463"/>
    <w:rsid w:val="004B67FA"/>
    <w:rsid w:val="004B7263"/>
    <w:rsid w:val="004C1D48"/>
    <w:rsid w:val="004C6370"/>
    <w:rsid w:val="004D1A34"/>
    <w:rsid w:val="004D572D"/>
    <w:rsid w:val="004E059D"/>
    <w:rsid w:val="004E2085"/>
    <w:rsid w:val="004E21E9"/>
    <w:rsid w:val="004E4580"/>
    <w:rsid w:val="004E7963"/>
    <w:rsid w:val="004E7FBF"/>
    <w:rsid w:val="004F038C"/>
    <w:rsid w:val="004F5331"/>
    <w:rsid w:val="00500FC1"/>
    <w:rsid w:val="00502267"/>
    <w:rsid w:val="00502693"/>
    <w:rsid w:val="00503757"/>
    <w:rsid w:val="0050463E"/>
    <w:rsid w:val="0050615A"/>
    <w:rsid w:val="00506DD0"/>
    <w:rsid w:val="00511DD7"/>
    <w:rsid w:val="00522C89"/>
    <w:rsid w:val="00525630"/>
    <w:rsid w:val="005267B1"/>
    <w:rsid w:val="0053131A"/>
    <w:rsid w:val="005329CE"/>
    <w:rsid w:val="005348B4"/>
    <w:rsid w:val="0053575B"/>
    <w:rsid w:val="005376CA"/>
    <w:rsid w:val="00537A88"/>
    <w:rsid w:val="00540C56"/>
    <w:rsid w:val="00542DC9"/>
    <w:rsid w:val="00544123"/>
    <w:rsid w:val="00547A68"/>
    <w:rsid w:val="005537F6"/>
    <w:rsid w:val="00560DA8"/>
    <w:rsid w:val="00563406"/>
    <w:rsid w:val="005664BC"/>
    <w:rsid w:val="005744B0"/>
    <w:rsid w:val="00580618"/>
    <w:rsid w:val="00592984"/>
    <w:rsid w:val="00595823"/>
    <w:rsid w:val="005A5C2F"/>
    <w:rsid w:val="005A723F"/>
    <w:rsid w:val="005B2E45"/>
    <w:rsid w:val="005C2835"/>
    <w:rsid w:val="005C3F19"/>
    <w:rsid w:val="005C6DC5"/>
    <w:rsid w:val="005D633E"/>
    <w:rsid w:val="005D7261"/>
    <w:rsid w:val="005E1480"/>
    <w:rsid w:val="005E2A3F"/>
    <w:rsid w:val="005E41EB"/>
    <w:rsid w:val="005E4A2C"/>
    <w:rsid w:val="005E5113"/>
    <w:rsid w:val="005F279C"/>
    <w:rsid w:val="005F59F8"/>
    <w:rsid w:val="005F7566"/>
    <w:rsid w:val="006026BC"/>
    <w:rsid w:val="00614412"/>
    <w:rsid w:val="0062355D"/>
    <w:rsid w:val="00634620"/>
    <w:rsid w:val="00634DA6"/>
    <w:rsid w:val="006351B3"/>
    <w:rsid w:val="00635436"/>
    <w:rsid w:val="00641A31"/>
    <w:rsid w:val="00642E68"/>
    <w:rsid w:val="00652359"/>
    <w:rsid w:val="0065268A"/>
    <w:rsid w:val="00662F3D"/>
    <w:rsid w:val="006735C5"/>
    <w:rsid w:val="0067406D"/>
    <w:rsid w:val="00677329"/>
    <w:rsid w:val="00685176"/>
    <w:rsid w:val="00686658"/>
    <w:rsid w:val="00690157"/>
    <w:rsid w:val="00691BCC"/>
    <w:rsid w:val="00694A88"/>
    <w:rsid w:val="00695A0D"/>
    <w:rsid w:val="006A0CAB"/>
    <w:rsid w:val="006A35B9"/>
    <w:rsid w:val="006B3425"/>
    <w:rsid w:val="006B49D3"/>
    <w:rsid w:val="006B49DE"/>
    <w:rsid w:val="006C0517"/>
    <w:rsid w:val="006C0A80"/>
    <w:rsid w:val="006C179B"/>
    <w:rsid w:val="006C1DAE"/>
    <w:rsid w:val="006C2E78"/>
    <w:rsid w:val="006D1ECE"/>
    <w:rsid w:val="006D5DA4"/>
    <w:rsid w:val="006D655D"/>
    <w:rsid w:val="006E3242"/>
    <w:rsid w:val="006E4CC7"/>
    <w:rsid w:val="006F1263"/>
    <w:rsid w:val="006F2EC9"/>
    <w:rsid w:val="00700334"/>
    <w:rsid w:val="00705269"/>
    <w:rsid w:val="00712690"/>
    <w:rsid w:val="00712C2D"/>
    <w:rsid w:val="00712C33"/>
    <w:rsid w:val="00721B9C"/>
    <w:rsid w:val="00727B1C"/>
    <w:rsid w:val="00731090"/>
    <w:rsid w:val="007315B5"/>
    <w:rsid w:val="007354A0"/>
    <w:rsid w:val="007356CE"/>
    <w:rsid w:val="0073587A"/>
    <w:rsid w:val="00736477"/>
    <w:rsid w:val="00740B6F"/>
    <w:rsid w:val="00743DE5"/>
    <w:rsid w:val="00744ED7"/>
    <w:rsid w:val="00747714"/>
    <w:rsid w:val="00753340"/>
    <w:rsid w:val="00766D2C"/>
    <w:rsid w:val="0077090B"/>
    <w:rsid w:val="00772198"/>
    <w:rsid w:val="00776330"/>
    <w:rsid w:val="0078289E"/>
    <w:rsid w:val="007876E5"/>
    <w:rsid w:val="007919ED"/>
    <w:rsid w:val="00795FCC"/>
    <w:rsid w:val="007A2CAE"/>
    <w:rsid w:val="007B1BE8"/>
    <w:rsid w:val="007B5E37"/>
    <w:rsid w:val="007B6EC8"/>
    <w:rsid w:val="007C3CCC"/>
    <w:rsid w:val="007C5924"/>
    <w:rsid w:val="007C5DD2"/>
    <w:rsid w:val="007D0ECD"/>
    <w:rsid w:val="007D1961"/>
    <w:rsid w:val="007D20E5"/>
    <w:rsid w:val="007D499F"/>
    <w:rsid w:val="007D6B94"/>
    <w:rsid w:val="007E235F"/>
    <w:rsid w:val="007F634B"/>
    <w:rsid w:val="007F6E61"/>
    <w:rsid w:val="0081109C"/>
    <w:rsid w:val="00811FD9"/>
    <w:rsid w:val="00812BCE"/>
    <w:rsid w:val="00815621"/>
    <w:rsid w:val="00816915"/>
    <w:rsid w:val="008211AC"/>
    <w:rsid w:val="00821A31"/>
    <w:rsid w:val="00830992"/>
    <w:rsid w:val="0083271C"/>
    <w:rsid w:val="0083348C"/>
    <w:rsid w:val="00840DA6"/>
    <w:rsid w:val="00845C79"/>
    <w:rsid w:val="00855816"/>
    <w:rsid w:val="00856A0F"/>
    <w:rsid w:val="008636FD"/>
    <w:rsid w:val="008726BB"/>
    <w:rsid w:val="008744AD"/>
    <w:rsid w:val="00874BD4"/>
    <w:rsid w:val="00874E9C"/>
    <w:rsid w:val="00883058"/>
    <w:rsid w:val="00887B7E"/>
    <w:rsid w:val="00891006"/>
    <w:rsid w:val="008912BF"/>
    <w:rsid w:val="00891A85"/>
    <w:rsid w:val="008A049C"/>
    <w:rsid w:val="008A0841"/>
    <w:rsid w:val="008A1313"/>
    <w:rsid w:val="008A3EF8"/>
    <w:rsid w:val="008A6BBC"/>
    <w:rsid w:val="008B5100"/>
    <w:rsid w:val="008B6BBF"/>
    <w:rsid w:val="008B7AA2"/>
    <w:rsid w:val="008C0B34"/>
    <w:rsid w:val="008C4C3A"/>
    <w:rsid w:val="008C7309"/>
    <w:rsid w:val="008D0334"/>
    <w:rsid w:val="008D12AF"/>
    <w:rsid w:val="008D1930"/>
    <w:rsid w:val="008D19A3"/>
    <w:rsid w:val="008D218D"/>
    <w:rsid w:val="008D51DA"/>
    <w:rsid w:val="008D57B6"/>
    <w:rsid w:val="008E330D"/>
    <w:rsid w:val="008E7761"/>
    <w:rsid w:val="008E7987"/>
    <w:rsid w:val="008F646F"/>
    <w:rsid w:val="008F6EA6"/>
    <w:rsid w:val="0090049D"/>
    <w:rsid w:val="00903CC6"/>
    <w:rsid w:val="00904CF5"/>
    <w:rsid w:val="00906521"/>
    <w:rsid w:val="00907429"/>
    <w:rsid w:val="00913D49"/>
    <w:rsid w:val="00916F24"/>
    <w:rsid w:val="00940454"/>
    <w:rsid w:val="009407E8"/>
    <w:rsid w:val="00942B94"/>
    <w:rsid w:val="0094475A"/>
    <w:rsid w:val="0094630F"/>
    <w:rsid w:val="00950AA0"/>
    <w:rsid w:val="00954B80"/>
    <w:rsid w:val="00956ABB"/>
    <w:rsid w:val="00957405"/>
    <w:rsid w:val="00957DA5"/>
    <w:rsid w:val="00960A1D"/>
    <w:rsid w:val="009632C9"/>
    <w:rsid w:val="009666D2"/>
    <w:rsid w:val="009701B5"/>
    <w:rsid w:val="00980764"/>
    <w:rsid w:val="009822FE"/>
    <w:rsid w:val="00983D67"/>
    <w:rsid w:val="00985009"/>
    <w:rsid w:val="00986286"/>
    <w:rsid w:val="00987BB7"/>
    <w:rsid w:val="009901BF"/>
    <w:rsid w:val="00990920"/>
    <w:rsid w:val="009916FA"/>
    <w:rsid w:val="00992E78"/>
    <w:rsid w:val="00997181"/>
    <w:rsid w:val="009A190C"/>
    <w:rsid w:val="009A4617"/>
    <w:rsid w:val="009B1A35"/>
    <w:rsid w:val="009B610D"/>
    <w:rsid w:val="009B6542"/>
    <w:rsid w:val="009B69BB"/>
    <w:rsid w:val="009D2773"/>
    <w:rsid w:val="009D363C"/>
    <w:rsid w:val="009D4102"/>
    <w:rsid w:val="009D51C5"/>
    <w:rsid w:val="009D7960"/>
    <w:rsid w:val="009E110F"/>
    <w:rsid w:val="009E49B7"/>
    <w:rsid w:val="009E5BBA"/>
    <w:rsid w:val="009F0CCB"/>
    <w:rsid w:val="009F456C"/>
    <w:rsid w:val="009F5F85"/>
    <w:rsid w:val="009F7048"/>
    <w:rsid w:val="00A03B92"/>
    <w:rsid w:val="00A04256"/>
    <w:rsid w:val="00A046EA"/>
    <w:rsid w:val="00A06248"/>
    <w:rsid w:val="00A12EF1"/>
    <w:rsid w:val="00A17AD5"/>
    <w:rsid w:val="00A20135"/>
    <w:rsid w:val="00A205F9"/>
    <w:rsid w:val="00A20D69"/>
    <w:rsid w:val="00A23FE4"/>
    <w:rsid w:val="00A27D5B"/>
    <w:rsid w:val="00A30077"/>
    <w:rsid w:val="00A339B6"/>
    <w:rsid w:val="00A35953"/>
    <w:rsid w:val="00A36CBC"/>
    <w:rsid w:val="00A37EE4"/>
    <w:rsid w:val="00A411EF"/>
    <w:rsid w:val="00A41814"/>
    <w:rsid w:val="00A4267B"/>
    <w:rsid w:val="00A43F84"/>
    <w:rsid w:val="00A47034"/>
    <w:rsid w:val="00A47BB8"/>
    <w:rsid w:val="00A51F88"/>
    <w:rsid w:val="00A56BDF"/>
    <w:rsid w:val="00A577D2"/>
    <w:rsid w:val="00A60A75"/>
    <w:rsid w:val="00A61008"/>
    <w:rsid w:val="00A63C01"/>
    <w:rsid w:val="00A765DE"/>
    <w:rsid w:val="00A77E8E"/>
    <w:rsid w:val="00A83DAE"/>
    <w:rsid w:val="00A875D2"/>
    <w:rsid w:val="00A87D01"/>
    <w:rsid w:val="00A96BF9"/>
    <w:rsid w:val="00AA0A78"/>
    <w:rsid w:val="00AA1537"/>
    <w:rsid w:val="00AA245D"/>
    <w:rsid w:val="00AA33D2"/>
    <w:rsid w:val="00AA7D79"/>
    <w:rsid w:val="00AB02EE"/>
    <w:rsid w:val="00AB3433"/>
    <w:rsid w:val="00AB6666"/>
    <w:rsid w:val="00AC484F"/>
    <w:rsid w:val="00AC6C72"/>
    <w:rsid w:val="00AD2CDD"/>
    <w:rsid w:val="00AE0514"/>
    <w:rsid w:val="00AE5750"/>
    <w:rsid w:val="00AE582B"/>
    <w:rsid w:val="00AE7193"/>
    <w:rsid w:val="00B0153E"/>
    <w:rsid w:val="00B021B0"/>
    <w:rsid w:val="00B02596"/>
    <w:rsid w:val="00B03507"/>
    <w:rsid w:val="00B04019"/>
    <w:rsid w:val="00B041D2"/>
    <w:rsid w:val="00B05830"/>
    <w:rsid w:val="00B061BB"/>
    <w:rsid w:val="00B10F96"/>
    <w:rsid w:val="00B112A7"/>
    <w:rsid w:val="00B11E8E"/>
    <w:rsid w:val="00B15F28"/>
    <w:rsid w:val="00B17A92"/>
    <w:rsid w:val="00B21320"/>
    <w:rsid w:val="00B336CA"/>
    <w:rsid w:val="00B350AB"/>
    <w:rsid w:val="00B40837"/>
    <w:rsid w:val="00B50B29"/>
    <w:rsid w:val="00B522FE"/>
    <w:rsid w:val="00B542B3"/>
    <w:rsid w:val="00B5486C"/>
    <w:rsid w:val="00B60B11"/>
    <w:rsid w:val="00B640A5"/>
    <w:rsid w:val="00B708C4"/>
    <w:rsid w:val="00B71003"/>
    <w:rsid w:val="00B713BE"/>
    <w:rsid w:val="00B81C3F"/>
    <w:rsid w:val="00B828CE"/>
    <w:rsid w:val="00B916EB"/>
    <w:rsid w:val="00B923E3"/>
    <w:rsid w:val="00B92B30"/>
    <w:rsid w:val="00B96AA9"/>
    <w:rsid w:val="00BC2903"/>
    <w:rsid w:val="00BC48A3"/>
    <w:rsid w:val="00BD01E3"/>
    <w:rsid w:val="00BE0CAA"/>
    <w:rsid w:val="00BE1A46"/>
    <w:rsid w:val="00BE3C8D"/>
    <w:rsid w:val="00BE4B2A"/>
    <w:rsid w:val="00BE735C"/>
    <w:rsid w:val="00BF6271"/>
    <w:rsid w:val="00C05F72"/>
    <w:rsid w:val="00C07721"/>
    <w:rsid w:val="00C14675"/>
    <w:rsid w:val="00C1598F"/>
    <w:rsid w:val="00C16ADE"/>
    <w:rsid w:val="00C231A0"/>
    <w:rsid w:val="00C24DCF"/>
    <w:rsid w:val="00C27F9B"/>
    <w:rsid w:val="00C43B98"/>
    <w:rsid w:val="00C459D4"/>
    <w:rsid w:val="00C52D36"/>
    <w:rsid w:val="00C53E4E"/>
    <w:rsid w:val="00C54118"/>
    <w:rsid w:val="00C54BE3"/>
    <w:rsid w:val="00C5641E"/>
    <w:rsid w:val="00C60DAE"/>
    <w:rsid w:val="00C620BC"/>
    <w:rsid w:val="00C66FCD"/>
    <w:rsid w:val="00C6707E"/>
    <w:rsid w:val="00C7087A"/>
    <w:rsid w:val="00C717B3"/>
    <w:rsid w:val="00C72F1B"/>
    <w:rsid w:val="00C735B3"/>
    <w:rsid w:val="00C766B5"/>
    <w:rsid w:val="00C76CD0"/>
    <w:rsid w:val="00C80FC7"/>
    <w:rsid w:val="00C840AA"/>
    <w:rsid w:val="00C908D9"/>
    <w:rsid w:val="00C910CF"/>
    <w:rsid w:val="00C92E50"/>
    <w:rsid w:val="00C92F1F"/>
    <w:rsid w:val="00C9561B"/>
    <w:rsid w:val="00C95824"/>
    <w:rsid w:val="00C95E91"/>
    <w:rsid w:val="00CA04DF"/>
    <w:rsid w:val="00CA79DE"/>
    <w:rsid w:val="00CB18F0"/>
    <w:rsid w:val="00CB67A9"/>
    <w:rsid w:val="00CC3DBC"/>
    <w:rsid w:val="00CD3CE3"/>
    <w:rsid w:val="00CD79CC"/>
    <w:rsid w:val="00CE47F0"/>
    <w:rsid w:val="00CE4E82"/>
    <w:rsid w:val="00CF0BCA"/>
    <w:rsid w:val="00CF185A"/>
    <w:rsid w:val="00CF4038"/>
    <w:rsid w:val="00D0011A"/>
    <w:rsid w:val="00D0320C"/>
    <w:rsid w:val="00D053E1"/>
    <w:rsid w:val="00D07B24"/>
    <w:rsid w:val="00D10342"/>
    <w:rsid w:val="00D11204"/>
    <w:rsid w:val="00D11447"/>
    <w:rsid w:val="00D1468C"/>
    <w:rsid w:val="00D215C6"/>
    <w:rsid w:val="00D22534"/>
    <w:rsid w:val="00D227FD"/>
    <w:rsid w:val="00D2326E"/>
    <w:rsid w:val="00D23E92"/>
    <w:rsid w:val="00D24B5C"/>
    <w:rsid w:val="00D24DA8"/>
    <w:rsid w:val="00D313C2"/>
    <w:rsid w:val="00D33120"/>
    <w:rsid w:val="00D339B7"/>
    <w:rsid w:val="00D34821"/>
    <w:rsid w:val="00D37557"/>
    <w:rsid w:val="00D41288"/>
    <w:rsid w:val="00D52B10"/>
    <w:rsid w:val="00D579A0"/>
    <w:rsid w:val="00D602F7"/>
    <w:rsid w:val="00D60DD2"/>
    <w:rsid w:val="00D63384"/>
    <w:rsid w:val="00D64FCF"/>
    <w:rsid w:val="00D65CA3"/>
    <w:rsid w:val="00D71F1E"/>
    <w:rsid w:val="00D730A9"/>
    <w:rsid w:val="00D74D0E"/>
    <w:rsid w:val="00D76AF1"/>
    <w:rsid w:val="00D823D7"/>
    <w:rsid w:val="00D8534E"/>
    <w:rsid w:val="00D92324"/>
    <w:rsid w:val="00D950E7"/>
    <w:rsid w:val="00D95875"/>
    <w:rsid w:val="00DA0162"/>
    <w:rsid w:val="00DA37EC"/>
    <w:rsid w:val="00DA4D47"/>
    <w:rsid w:val="00DA5EF7"/>
    <w:rsid w:val="00DB12CB"/>
    <w:rsid w:val="00DB1B24"/>
    <w:rsid w:val="00DB1FD7"/>
    <w:rsid w:val="00DB23EF"/>
    <w:rsid w:val="00DB3D4B"/>
    <w:rsid w:val="00DB4989"/>
    <w:rsid w:val="00DB58F6"/>
    <w:rsid w:val="00DB5DB2"/>
    <w:rsid w:val="00DC04EA"/>
    <w:rsid w:val="00DC43B7"/>
    <w:rsid w:val="00DC555B"/>
    <w:rsid w:val="00DD0223"/>
    <w:rsid w:val="00DD323A"/>
    <w:rsid w:val="00DD3278"/>
    <w:rsid w:val="00DD3BCA"/>
    <w:rsid w:val="00DD4A49"/>
    <w:rsid w:val="00DE2759"/>
    <w:rsid w:val="00DE5006"/>
    <w:rsid w:val="00DE5BAC"/>
    <w:rsid w:val="00DE6988"/>
    <w:rsid w:val="00DE6D63"/>
    <w:rsid w:val="00DF2FA8"/>
    <w:rsid w:val="00DF30AF"/>
    <w:rsid w:val="00DF33B1"/>
    <w:rsid w:val="00E01AB4"/>
    <w:rsid w:val="00E05DB0"/>
    <w:rsid w:val="00E10D98"/>
    <w:rsid w:val="00E10F1D"/>
    <w:rsid w:val="00E11CF8"/>
    <w:rsid w:val="00E14450"/>
    <w:rsid w:val="00E15D0F"/>
    <w:rsid w:val="00E16459"/>
    <w:rsid w:val="00E21C35"/>
    <w:rsid w:val="00E23A0E"/>
    <w:rsid w:val="00E25262"/>
    <w:rsid w:val="00E266FD"/>
    <w:rsid w:val="00E31ED0"/>
    <w:rsid w:val="00E341A5"/>
    <w:rsid w:val="00E442CF"/>
    <w:rsid w:val="00E5017D"/>
    <w:rsid w:val="00E57C4E"/>
    <w:rsid w:val="00E64CA0"/>
    <w:rsid w:val="00E713DD"/>
    <w:rsid w:val="00E75AFB"/>
    <w:rsid w:val="00E80566"/>
    <w:rsid w:val="00E8516C"/>
    <w:rsid w:val="00E92A79"/>
    <w:rsid w:val="00E94C66"/>
    <w:rsid w:val="00E9664D"/>
    <w:rsid w:val="00EA38A2"/>
    <w:rsid w:val="00EA6478"/>
    <w:rsid w:val="00EB2B16"/>
    <w:rsid w:val="00EB3395"/>
    <w:rsid w:val="00EB5EAF"/>
    <w:rsid w:val="00EB78B6"/>
    <w:rsid w:val="00EC3CCD"/>
    <w:rsid w:val="00EC5312"/>
    <w:rsid w:val="00ED40E2"/>
    <w:rsid w:val="00ED5A44"/>
    <w:rsid w:val="00ED6F3E"/>
    <w:rsid w:val="00ED74AA"/>
    <w:rsid w:val="00EE4CEB"/>
    <w:rsid w:val="00EF2A22"/>
    <w:rsid w:val="00EF412E"/>
    <w:rsid w:val="00EF7800"/>
    <w:rsid w:val="00F00DA3"/>
    <w:rsid w:val="00F04045"/>
    <w:rsid w:val="00F11E19"/>
    <w:rsid w:val="00F128C8"/>
    <w:rsid w:val="00F141B9"/>
    <w:rsid w:val="00F200B4"/>
    <w:rsid w:val="00F219AC"/>
    <w:rsid w:val="00F21F15"/>
    <w:rsid w:val="00F27A03"/>
    <w:rsid w:val="00F30D60"/>
    <w:rsid w:val="00F337E0"/>
    <w:rsid w:val="00F417DE"/>
    <w:rsid w:val="00F43958"/>
    <w:rsid w:val="00F443A1"/>
    <w:rsid w:val="00F51076"/>
    <w:rsid w:val="00F5134D"/>
    <w:rsid w:val="00F51AA8"/>
    <w:rsid w:val="00F549E8"/>
    <w:rsid w:val="00F56768"/>
    <w:rsid w:val="00F56A68"/>
    <w:rsid w:val="00F63A03"/>
    <w:rsid w:val="00F6507F"/>
    <w:rsid w:val="00F65529"/>
    <w:rsid w:val="00F742AB"/>
    <w:rsid w:val="00F83A1E"/>
    <w:rsid w:val="00F852D5"/>
    <w:rsid w:val="00F85E64"/>
    <w:rsid w:val="00F930A3"/>
    <w:rsid w:val="00F97324"/>
    <w:rsid w:val="00F974D7"/>
    <w:rsid w:val="00FA12D7"/>
    <w:rsid w:val="00FA3295"/>
    <w:rsid w:val="00FA7482"/>
    <w:rsid w:val="00FA7591"/>
    <w:rsid w:val="00FA7700"/>
    <w:rsid w:val="00FA7808"/>
    <w:rsid w:val="00FB12F6"/>
    <w:rsid w:val="00FB2844"/>
    <w:rsid w:val="00FB3068"/>
    <w:rsid w:val="00FC0E3C"/>
    <w:rsid w:val="00FC22CD"/>
    <w:rsid w:val="00FC334A"/>
    <w:rsid w:val="00FC534D"/>
    <w:rsid w:val="00FD0D87"/>
    <w:rsid w:val="00FD2344"/>
    <w:rsid w:val="00FD3317"/>
    <w:rsid w:val="00FD6E83"/>
    <w:rsid w:val="00FE1D18"/>
    <w:rsid w:val="00FE324C"/>
    <w:rsid w:val="00FE3B57"/>
    <w:rsid w:val="00FF091C"/>
    <w:rsid w:val="00FF1A01"/>
    <w:rsid w:val="00FF2DC6"/>
    <w:rsid w:val="00FF4521"/>
    <w:rsid w:val="00FF6200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32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4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32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DD327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uiPriority w:val="99"/>
    <w:qFormat/>
    <w:rsid w:val="00DD3278"/>
    <w:pPr>
      <w:jc w:val="center"/>
    </w:pPr>
    <w:rPr>
      <w:b/>
      <w:szCs w:val="20"/>
    </w:rPr>
  </w:style>
  <w:style w:type="character" w:customStyle="1" w:styleId="a7">
    <w:name w:val="Название Знак"/>
    <w:basedOn w:val="a1"/>
    <w:link w:val="a6"/>
    <w:uiPriority w:val="99"/>
    <w:rsid w:val="00DD3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0"/>
    <w:link w:val="a9"/>
    <w:uiPriority w:val="99"/>
    <w:rsid w:val="00DD3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DD3278"/>
    <w:rPr>
      <w:rFonts w:cs="Times New Roman"/>
    </w:rPr>
  </w:style>
  <w:style w:type="paragraph" w:customStyle="1" w:styleId="ab">
    <w:name w:val="Заголовок статьи"/>
    <w:basedOn w:val="a0"/>
    <w:next w:val="a0"/>
    <w:uiPriority w:val="99"/>
    <w:rsid w:val="00DD327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c">
    <w:name w:val="Body Text Indent"/>
    <w:basedOn w:val="a0"/>
    <w:link w:val="ad"/>
    <w:uiPriority w:val="99"/>
    <w:unhideWhenUsed/>
    <w:rsid w:val="004B67F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4B6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1"/>
    <w:rsid w:val="004B67FA"/>
    <w:rPr>
      <w:rFonts w:ascii="Arial" w:hAnsi="Arial" w:cs="Arial" w:hint="default"/>
      <w:color w:val="666666"/>
      <w:sz w:val="14"/>
      <w:szCs w:val="14"/>
    </w:rPr>
  </w:style>
  <w:style w:type="paragraph" w:styleId="ae">
    <w:name w:val="List Paragraph"/>
    <w:basedOn w:val="a0"/>
    <w:uiPriority w:val="34"/>
    <w:qFormat/>
    <w:rsid w:val="00A6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semiHidden/>
    <w:unhideWhenUsed/>
    <w:rsid w:val="00B60B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B6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B522FE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4E059D"/>
    <w:rPr>
      <w:b/>
      <w:bCs/>
    </w:rPr>
  </w:style>
  <w:style w:type="paragraph" w:customStyle="1" w:styleId="af3">
    <w:name w:val="Прижатый влево"/>
    <w:basedOn w:val="a0"/>
    <w:next w:val="a0"/>
    <w:uiPriority w:val="99"/>
    <w:rsid w:val="005E14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0"/>
    <w:rsid w:val="00903CC6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uiPriority w:val="9"/>
    <w:semiHidden/>
    <w:rsid w:val="00D348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semiHidden/>
    <w:unhideWhenUsed/>
    <w:rsid w:val="00D34821"/>
    <w:rPr>
      <w:color w:val="0000FF"/>
      <w:u w:val="single"/>
    </w:rPr>
  </w:style>
  <w:style w:type="table" w:styleId="af5">
    <w:name w:val="Table Grid"/>
    <w:basedOn w:val="a2"/>
    <w:uiPriority w:val="59"/>
    <w:rsid w:val="00A0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0"/>
    <w:link w:val="af7"/>
    <w:rsid w:val="00C7087A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1"/>
    <w:link w:val="af6"/>
    <w:rsid w:val="00C708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Пробный"/>
    <w:basedOn w:val="a0"/>
    <w:uiPriority w:val="99"/>
    <w:rsid w:val="002D1EF1"/>
    <w:pPr>
      <w:numPr>
        <w:numId w:val="5"/>
      </w:numPr>
      <w:jc w:val="both"/>
    </w:pPr>
    <w:rPr>
      <w:sz w:val="28"/>
      <w:szCs w:val="28"/>
    </w:rPr>
  </w:style>
  <w:style w:type="character" w:customStyle="1" w:styleId="FontStyle52">
    <w:name w:val="Font Style52"/>
    <w:basedOn w:val="a1"/>
    <w:uiPriority w:val="99"/>
    <w:rsid w:val="002D1EF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9">
    <w:name w:val="Style49"/>
    <w:basedOn w:val="a0"/>
    <w:uiPriority w:val="99"/>
    <w:rsid w:val="00511DD7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z.volgograd.ru/about/organizations/list/3853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z.volgograd.ru/about/organizations/list/385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FEC6-C2DA-4DB3-A148-C9ACFE68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5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</dc:creator>
  <cp:lastModifiedBy>Сидельникова И.В.</cp:lastModifiedBy>
  <cp:revision>137</cp:revision>
  <cp:lastPrinted>2018-03-29T14:04:00Z</cp:lastPrinted>
  <dcterms:created xsi:type="dcterms:W3CDTF">2018-03-11T09:09:00Z</dcterms:created>
  <dcterms:modified xsi:type="dcterms:W3CDTF">2018-03-30T06:22:00Z</dcterms:modified>
</cp:coreProperties>
</file>