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AC" w:rsidRPr="00F737D1" w:rsidRDefault="009B7FAC" w:rsidP="009B7FAC">
      <w:pPr>
        <w:ind w:left="5760"/>
        <w:jc w:val="center"/>
        <w:rPr>
          <w:b/>
        </w:rPr>
      </w:pPr>
      <w:r w:rsidRPr="00F737D1">
        <w:rPr>
          <w:b/>
        </w:rPr>
        <w:t>УТВЕРЖДАЮ</w:t>
      </w:r>
    </w:p>
    <w:p w:rsidR="009B7FAC" w:rsidRPr="00F737D1" w:rsidRDefault="009B7FAC" w:rsidP="009B7FAC">
      <w:pPr>
        <w:ind w:left="5760"/>
        <w:jc w:val="both"/>
        <w:rPr>
          <w:b/>
        </w:rPr>
      </w:pPr>
      <w:r w:rsidRPr="00F737D1">
        <w:rPr>
          <w:b/>
        </w:rPr>
        <w:t>председатель контрольно-счетной палаты Волгоградской области</w:t>
      </w:r>
      <w:r>
        <w:rPr>
          <w:b/>
        </w:rPr>
        <w:t xml:space="preserve"> ___</w:t>
      </w:r>
      <w:r w:rsidRPr="00F737D1">
        <w:rPr>
          <w:b/>
        </w:rPr>
        <w:t>______________</w:t>
      </w:r>
      <w:r>
        <w:rPr>
          <w:b/>
        </w:rPr>
        <w:t xml:space="preserve">  </w:t>
      </w:r>
      <w:r w:rsidRPr="00F737D1">
        <w:rPr>
          <w:b/>
        </w:rPr>
        <w:t>И. А. Дьяченко</w:t>
      </w:r>
    </w:p>
    <w:p w:rsidR="009B7FAC" w:rsidRPr="00F737D1" w:rsidRDefault="009B7FAC" w:rsidP="009B7FAC">
      <w:pPr>
        <w:ind w:left="5760"/>
        <w:rPr>
          <w:b/>
        </w:rPr>
      </w:pPr>
      <w:r>
        <w:rPr>
          <w:b/>
        </w:rPr>
        <w:t xml:space="preserve">«____» </w:t>
      </w:r>
      <w:r w:rsidR="00A6190A">
        <w:rPr>
          <w:b/>
        </w:rPr>
        <w:t>март</w:t>
      </w:r>
      <w:r w:rsidR="00A0358E">
        <w:rPr>
          <w:b/>
        </w:rPr>
        <w:t>а</w:t>
      </w:r>
      <w:r>
        <w:rPr>
          <w:b/>
        </w:rPr>
        <w:t xml:space="preserve"> 201</w:t>
      </w:r>
      <w:r w:rsidR="00A0358E">
        <w:rPr>
          <w:b/>
        </w:rPr>
        <w:t>7</w:t>
      </w:r>
      <w:r w:rsidRPr="00F737D1">
        <w:rPr>
          <w:b/>
        </w:rPr>
        <w:t xml:space="preserve"> года</w:t>
      </w:r>
    </w:p>
    <w:p w:rsidR="009B7FAC" w:rsidRDefault="009B7FAC" w:rsidP="009B7FAC">
      <w:pPr>
        <w:pStyle w:val="21"/>
        <w:spacing w:after="0" w:line="240" w:lineRule="auto"/>
        <w:jc w:val="center"/>
        <w:rPr>
          <w:b/>
          <w:i/>
        </w:rPr>
      </w:pPr>
    </w:p>
    <w:p w:rsidR="009B7FAC" w:rsidRPr="006D6B86" w:rsidRDefault="009B7FAC" w:rsidP="009B7FAC">
      <w:pPr>
        <w:pStyle w:val="21"/>
        <w:spacing w:after="0" w:line="240" w:lineRule="auto"/>
        <w:jc w:val="center"/>
        <w:rPr>
          <w:b/>
          <w:i/>
        </w:rPr>
      </w:pPr>
      <w:r w:rsidRPr="006D6B86">
        <w:rPr>
          <w:b/>
          <w:i/>
        </w:rPr>
        <w:t>ЗАКЛЮЧЕНИЕ</w:t>
      </w:r>
    </w:p>
    <w:p w:rsidR="00A0358E" w:rsidRPr="00110740" w:rsidRDefault="009B7FAC" w:rsidP="00A0358E">
      <w:pPr>
        <w:ind w:firstLine="708"/>
        <w:jc w:val="center"/>
        <w:rPr>
          <w:b/>
        </w:rPr>
      </w:pPr>
      <w:r>
        <w:rPr>
          <w:b/>
        </w:rPr>
        <w:t xml:space="preserve">по результатам </w:t>
      </w:r>
      <w:r w:rsidR="00A0358E" w:rsidRPr="00110740">
        <w:rPr>
          <w:b/>
        </w:rPr>
        <w:t>внешней проверки бюджетной отчетности и отдельных вопросов исполнения областного бюджета за 2016 год главным администратором средств областного бюджета – Волгоградской областной Думой</w:t>
      </w:r>
    </w:p>
    <w:p w:rsidR="001976BC" w:rsidRDefault="001976BC" w:rsidP="009B7FAC">
      <w:pPr>
        <w:pStyle w:val="21"/>
        <w:spacing w:after="0" w:line="240" w:lineRule="auto"/>
        <w:jc w:val="center"/>
        <w:rPr>
          <w:b/>
        </w:rPr>
      </w:pPr>
    </w:p>
    <w:p w:rsidR="001976BC" w:rsidRPr="00A0743C" w:rsidRDefault="004302E5" w:rsidP="00F74945">
      <w:pPr>
        <w:autoSpaceDE w:val="0"/>
        <w:autoSpaceDN w:val="0"/>
        <w:adjustRightInd w:val="0"/>
        <w:ind w:firstLine="680"/>
        <w:jc w:val="both"/>
      </w:pPr>
      <w:proofErr w:type="gramStart"/>
      <w:r w:rsidRPr="00A0743C">
        <w:t>В</w:t>
      </w:r>
      <w:r w:rsidR="00C279EB" w:rsidRPr="00A0743C">
        <w:t xml:space="preserve"> соответствии с планом работы</w:t>
      </w:r>
      <w:r w:rsidRPr="00A0743C">
        <w:t xml:space="preserve"> контрольно-счетной палаты Волгоградской области (далее – КСП)</w:t>
      </w:r>
      <w:r w:rsidR="00C279EB" w:rsidRPr="00A0743C">
        <w:t xml:space="preserve"> на 201</w:t>
      </w:r>
      <w:r w:rsidR="00A0743C" w:rsidRPr="00A0743C">
        <w:t>7</w:t>
      </w:r>
      <w:r w:rsidR="00C279EB" w:rsidRPr="00A0743C">
        <w:t xml:space="preserve"> год, </w:t>
      </w:r>
      <w:r w:rsidR="001976BC" w:rsidRPr="00A0743C">
        <w:t xml:space="preserve">утвержденным постановлением коллегии КСП </w:t>
      </w:r>
      <w:r w:rsidR="00A0743C" w:rsidRPr="00A0743C">
        <w:t>от 09.12.2016 №29/3</w:t>
      </w:r>
      <w:r w:rsidR="001976BC" w:rsidRPr="00A0743C">
        <w:t>,</w:t>
      </w:r>
      <w:r w:rsidRPr="00A0743C">
        <w:t xml:space="preserve"> </w:t>
      </w:r>
      <w:r w:rsidRPr="00A0743C">
        <w:rPr>
          <w:bCs/>
        </w:rPr>
        <w:t>в целях подготовки заключения на годовой отчет об исполнении областного бюджета за 201</w:t>
      </w:r>
      <w:r w:rsidR="00A0743C" w:rsidRPr="00A0743C">
        <w:rPr>
          <w:bCs/>
        </w:rPr>
        <w:t>6</w:t>
      </w:r>
      <w:r w:rsidR="008365AE" w:rsidRPr="00A0743C">
        <w:rPr>
          <w:bCs/>
        </w:rPr>
        <w:t xml:space="preserve"> год </w:t>
      </w:r>
      <w:r w:rsidRPr="00A0743C">
        <w:t>проведена камеральная внешняя проверка бюджетной отчетности и отдельных вопросов исполнения областного бюджета за 201</w:t>
      </w:r>
      <w:r w:rsidR="00A0743C" w:rsidRPr="00A0743C">
        <w:t>6</w:t>
      </w:r>
      <w:r w:rsidRPr="00A0743C">
        <w:t xml:space="preserve"> год главным администратором средств областного бюджета – </w:t>
      </w:r>
      <w:r w:rsidR="00A0743C" w:rsidRPr="00A0743C">
        <w:t xml:space="preserve">Волгоградской областной Думой </w:t>
      </w:r>
      <w:r w:rsidR="00436FE1" w:rsidRPr="00A0743C">
        <w:rPr>
          <w:bCs/>
        </w:rPr>
        <w:t>(далее</w:t>
      </w:r>
      <w:proofErr w:type="gramEnd"/>
      <w:r w:rsidR="00436FE1" w:rsidRPr="00A0743C">
        <w:rPr>
          <w:bCs/>
        </w:rPr>
        <w:t xml:space="preserve"> – </w:t>
      </w:r>
      <w:proofErr w:type="gramStart"/>
      <w:r w:rsidR="00A0743C" w:rsidRPr="00A0743C">
        <w:rPr>
          <w:bCs/>
        </w:rPr>
        <w:t>Дума</w:t>
      </w:r>
      <w:r w:rsidR="00436FE1" w:rsidRPr="00A0743C">
        <w:rPr>
          <w:bCs/>
        </w:rPr>
        <w:t>)</w:t>
      </w:r>
      <w:r w:rsidRPr="00A0743C">
        <w:t>.</w:t>
      </w:r>
      <w:proofErr w:type="gramEnd"/>
      <w:r w:rsidR="008365AE" w:rsidRPr="00A0743C">
        <w:t xml:space="preserve"> </w:t>
      </w:r>
      <w:r w:rsidR="005228E4" w:rsidRPr="00A0743C">
        <w:t>По итогам проверки составлен</w:t>
      </w:r>
      <w:r w:rsidR="00616137" w:rsidRPr="00A0743C">
        <w:t xml:space="preserve"> </w:t>
      </w:r>
      <w:r w:rsidR="001976BC" w:rsidRPr="00A0743C">
        <w:t>один акт.</w:t>
      </w:r>
    </w:p>
    <w:p w:rsidR="00A0743C" w:rsidRDefault="00A0743C" w:rsidP="00F74945">
      <w:pPr>
        <w:autoSpaceDE w:val="0"/>
        <w:autoSpaceDN w:val="0"/>
        <w:adjustRightInd w:val="0"/>
        <w:ind w:firstLine="680"/>
        <w:jc w:val="both"/>
        <w:outlineLvl w:val="1"/>
        <w:rPr>
          <w:rFonts w:eastAsiaTheme="minorHAnsi"/>
          <w:lang w:eastAsia="en-US"/>
        </w:rPr>
      </w:pPr>
      <w:bookmarkStart w:id="0" w:name="sub_408"/>
      <w:bookmarkStart w:id="1" w:name="sub_22"/>
      <w:r>
        <w:t>Согласно ст. 14 Устава Волгоградской области от 24.02.2012 № 1-ОД Дума является постоянно действующим высшим и единственным законодательным и представительным органом государственной власти Волгоградской области, обладает правами юридического лица.</w:t>
      </w:r>
      <w:bookmarkStart w:id="2" w:name="sub_1405"/>
      <w:r>
        <w:t xml:space="preserve"> </w:t>
      </w:r>
      <w:r w:rsidRPr="007A6DB8">
        <w:rPr>
          <w:rFonts w:eastAsiaTheme="minorHAnsi"/>
          <w:lang w:eastAsia="en-US"/>
        </w:rPr>
        <w:t>Организационное, правовое, информационное и материально-техническое обеспечение работы Думы осуществляет аппарат.</w:t>
      </w:r>
    </w:p>
    <w:p w:rsidR="00664D1A" w:rsidRPr="00321F55" w:rsidRDefault="00664D1A" w:rsidP="00F74945">
      <w:pPr>
        <w:ind w:firstLine="680"/>
        <w:jc w:val="both"/>
      </w:pPr>
      <w:r w:rsidRPr="00321F55">
        <w:t xml:space="preserve">В соответствии с Законом Волгоградской области от 07.12.2015 № 206-ОД «Об областном бюджете на 2016 год и на плановый период 2017 и 2018 годов» (далее - Закон об областном бюджете) </w:t>
      </w:r>
      <w:r w:rsidR="00321F55" w:rsidRPr="00321F55">
        <w:t xml:space="preserve">Дума включена </w:t>
      </w:r>
      <w:r w:rsidRPr="00321F55">
        <w:t>в перечень главных администраторов доходов областного бюджета и главных распорядителей средств областного бюджета.</w:t>
      </w:r>
    </w:p>
    <w:p w:rsidR="009A208B" w:rsidRPr="009A208B" w:rsidRDefault="009A208B" w:rsidP="00F74945">
      <w:pPr>
        <w:pStyle w:val="1"/>
        <w:spacing w:before="0" w:after="0"/>
        <w:ind w:firstLine="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A208B">
        <w:rPr>
          <w:rFonts w:ascii="Times New Roman" w:hAnsi="Times New Roman"/>
          <w:b w:val="0"/>
          <w:color w:val="auto"/>
          <w:sz w:val="24"/>
          <w:szCs w:val="24"/>
        </w:rPr>
        <w:t xml:space="preserve">Законом об областном бюджете предельная штатная численность государственных гражданских служащих (далее – ГГС) Думы утверждена в количестве 119 единиц. </w:t>
      </w:r>
    </w:p>
    <w:p w:rsidR="009A208B" w:rsidRDefault="009A208B" w:rsidP="00F74945">
      <w:pPr>
        <w:autoSpaceDE w:val="0"/>
        <w:autoSpaceDN w:val="0"/>
        <w:adjustRightInd w:val="0"/>
        <w:ind w:firstLine="680"/>
        <w:jc w:val="both"/>
        <w:outlineLvl w:val="0"/>
      </w:pPr>
      <w:r w:rsidRPr="009A208B">
        <w:t>Штатная численность Думы по состоянию на 01.01.2017 утверждена в количестве 145 ед., в том числе 15 депутатов</w:t>
      </w:r>
      <w:r w:rsidR="00B02E5C">
        <w:t>, работающих на постоянной основе,</w:t>
      </w:r>
      <w:r w:rsidRPr="009A208B">
        <w:t xml:space="preserve"> и 130 сотрудников аппарата Думы, из которых 110 ГГС и 20 работников, занимающих должности, не отнесенные к должностям ГГС, и осуществляющих</w:t>
      </w:r>
      <w:r>
        <w:t xml:space="preserve"> техническое обеспечение деятельности Думы. По сравнению с началом года штатная численность уменьшилась на 6 единиц. </w:t>
      </w:r>
    </w:p>
    <w:p w:rsidR="009A208B" w:rsidRDefault="009A208B" w:rsidP="009A208B">
      <w:pPr>
        <w:autoSpaceDE w:val="0"/>
        <w:autoSpaceDN w:val="0"/>
        <w:adjustRightInd w:val="0"/>
        <w:ind w:firstLine="680"/>
        <w:jc w:val="both"/>
        <w:outlineLvl w:val="0"/>
      </w:pPr>
    </w:p>
    <w:p w:rsidR="009A208B" w:rsidRPr="002B20A2" w:rsidRDefault="009A208B" w:rsidP="009A208B">
      <w:pPr>
        <w:autoSpaceDE w:val="0"/>
        <w:autoSpaceDN w:val="0"/>
        <w:adjustRightInd w:val="0"/>
        <w:ind w:firstLine="680"/>
        <w:jc w:val="center"/>
        <w:rPr>
          <w:b/>
        </w:rPr>
      </w:pPr>
      <w:r w:rsidRPr="002B20A2">
        <w:rPr>
          <w:b/>
        </w:rPr>
        <w:t xml:space="preserve">Проверка полноты и правильности заполнения бюджетной отчетности </w:t>
      </w:r>
      <w:r w:rsidR="00EE23F1" w:rsidRPr="002B20A2">
        <w:rPr>
          <w:b/>
        </w:rPr>
        <w:t>Думы</w:t>
      </w:r>
    </w:p>
    <w:bookmarkEnd w:id="0"/>
    <w:bookmarkEnd w:id="1"/>
    <w:bookmarkEnd w:id="2"/>
    <w:p w:rsidR="00EE23F1" w:rsidRPr="002B20A2" w:rsidRDefault="00EE23F1" w:rsidP="00EE23F1">
      <w:pPr>
        <w:ind w:firstLine="709"/>
        <w:jc w:val="both"/>
        <w:rPr>
          <w:i/>
        </w:rPr>
      </w:pPr>
      <w:r w:rsidRPr="002B20A2">
        <w:t>Бюджетная отчетность Думы за 2016 год представлена к проверке в составе, определенном ст. 264.1 БК РФ и п. 11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- Инструкция № 191н).</w:t>
      </w:r>
    </w:p>
    <w:p w:rsidR="00EE23F1" w:rsidRPr="002B20A2" w:rsidRDefault="00EE23F1" w:rsidP="00EE23F1">
      <w:pPr>
        <w:ind w:firstLine="680"/>
        <w:jc w:val="both"/>
      </w:pPr>
      <w:r w:rsidRPr="002B20A2">
        <w:t>Проверкой правильности заполнения Думой бюджетной отчетности установлены следующие нарушения и недостатки:</w:t>
      </w:r>
    </w:p>
    <w:p w:rsidR="00005287" w:rsidRDefault="00CE5A0C" w:rsidP="009A1194">
      <w:pPr>
        <w:pStyle w:val="afb"/>
        <w:numPr>
          <w:ilvl w:val="0"/>
          <w:numId w:val="4"/>
        </w:numPr>
        <w:autoSpaceDE w:val="0"/>
        <w:autoSpaceDN w:val="0"/>
        <w:adjustRightInd w:val="0"/>
        <w:ind w:left="0" w:firstLine="68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 xml:space="preserve">неведение аналитического учета </w:t>
      </w:r>
      <w:r w:rsidRPr="000224A8">
        <w:rPr>
          <w:rFonts w:eastAsiaTheme="minorHAnsi"/>
        </w:rPr>
        <w:t xml:space="preserve">по </w:t>
      </w:r>
      <w:proofErr w:type="spellStart"/>
      <w:r>
        <w:rPr>
          <w:rFonts w:eastAsiaTheme="minorHAnsi"/>
        </w:rPr>
        <w:t>забалансовым</w:t>
      </w:r>
      <w:proofErr w:type="spellEnd"/>
      <w:r>
        <w:rPr>
          <w:rFonts w:eastAsiaTheme="minorHAnsi"/>
        </w:rPr>
        <w:t xml:space="preserve"> </w:t>
      </w:r>
      <w:r w:rsidRPr="000224A8">
        <w:rPr>
          <w:rFonts w:eastAsiaTheme="minorHAnsi"/>
        </w:rPr>
        <w:t>счетам 17 «Поступления денежных средств» и 18 «Выбытия денежных средств»</w:t>
      </w:r>
      <w:r>
        <w:rPr>
          <w:rFonts w:eastAsiaTheme="minorHAnsi"/>
        </w:rPr>
        <w:t xml:space="preserve">, чем не соблюдены </w:t>
      </w:r>
      <w:r w:rsidRPr="000224A8">
        <w:rPr>
          <w:rFonts w:eastAsiaTheme="minorHAnsi"/>
        </w:rPr>
        <w:t xml:space="preserve">ч.1 ст. 30 </w:t>
      </w:r>
      <w:r w:rsidRPr="000224A8">
        <w:t xml:space="preserve">Федерального закона от 06.12.2011 № 402-ФЗ «О бухгалтерском учете» (далее - Закон о бухгалтерском учете), </w:t>
      </w:r>
      <w:r w:rsidRPr="000224A8">
        <w:rPr>
          <w:rFonts w:eastAsiaTheme="minorHAnsi"/>
          <w:lang w:eastAsia="en-US"/>
        </w:rPr>
        <w:t>п.п. 365</w:t>
      </w:r>
      <w:r w:rsidR="006659EC">
        <w:rPr>
          <w:rFonts w:eastAsiaTheme="minorHAnsi"/>
          <w:lang w:eastAsia="en-US"/>
        </w:rPr>
        <w:t xml:space="preserve"> и</w:t>
      </w:r>
      <w:r w:rsidRPr="000224A8">
        <w:rPr>
          <w:rFonts w:eastAsiaTheme="minorHAnsi"/>
          <w:lang w:eastAsia="en-US"/>
        </w:rPr>
        <w:t xml:space="preserve"> 367 </w:t>
      </w:r>
      <w:r w:rsidRPr="000224A8">
        <w:t>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</w:t>
      </w:r>
      <w:proofErr w:type="gramEnd"/>
      <w:r w:rsidRPr="000224A8">
        <w:t xml:space="preserve"> внебюджетными фондами, государственных академий наук, государственных (муниципальных) учреждений, утвержденной приказом Минфина РФ от 01.12.2010 №157н (далее – Инструкция № 157н)</w:t>
      </w:r>
      <w:r w:rsidRPr="000224A8">
        <w:rPr>
          <w:rFonts w:eastAsiaTheme="minorHAnsi"/>
        </w:rPr>
        <w:t xml:space="preserve">, </w:t>
      </w:r>
      <w:r>
        <w:rPr>
          <w:rFonts w:eastAsiaTheme="minorHAnsi"/>
        </w:rPr>
        <w:t>п.</w:t>
      </w:r>
      <w:r w:rsidR="00005287">
        <w:rPr>
          <w:rFonts w:eastAsiaTheme="minorHAnsi"/>
        </w:rPr>
        <w:t>п.</w:t>
      </w:r>
      <w:r>
        <w:rPr>
          <w:rFonts w:eastAsiaTheme="minorHAnsi"/>
        </w:rPr>
        <w:t xml:space="preserve"> 2</w:t>
      </w:r>
      <w:r w:rsidR="006659EC">
        <w:rPr>
          <w:rFonts w:eastAsiaTheme="minorHAnsi"/>
        </w:rPr>
        <w:t xml:space="preserve"> и</w:t>
      </w:r>
      <w:r w:rsidR="00005287">
        <w:rPr>
          <w:rFonts w:eastAsiaTheme="minorHAnsi"/>
        </w:rPr>
        <w:t xml:space="preserve"> 152</w:t>
      </w:r>
      <w:r w:rsidRPr="00FC4D8C">
        <w:rPr>
          <w:rFonts w:eastAsiaTheme="minorHAnsi"/>
          <w:lang w:eastAsia="en-US"/>
        </w:rPr>
        <w:t xml:space="preserve"> </w:t>
      </w:r>
      <w:r w:rsidRPr="00595EFC">
        <w:t>Инструкции по применению Плана счетов бюджетного учета, утвержденной приказом Минфина РФ от 06.12.2010 №162н (далее – Инструкция №162н)</w:t>
      </w:r>
      <w:r>
        <w:rPr>
          <w:rFonts w:eastAsiaTheme="minorHAnsi"/>
          <w:lang w:eastAsia="en-US"/>
        </w:rPr>
        <w:t>.</w:t>
      </w:r>
      <w:r w:rsidR="00005287">
        <w:rPr>
          <w:rFonts w:eastAsiaTheme="minorHAnsi"/>
          <w:lang w:eastAsia="en-US"/>
        </w:rPr>
        <w:t xml:space="preserve"> </w:t>
      </w:r>
      <w:r w:rsidRPr="00CE5A0C">
        <w:rPr>
          <w:rFonts w:eastAsiaTheme="minorHAnsi"/>
        </w:rPr>
        <w:t xml:space="preserve">Соответственно </w:t>
      </w:r>
      <w:r w:rsidR="00EE23F1" w:rsidRPr="00CE5A0C">
        <w:rPr>
          <w:rFonts w:eastAsiaTheme="minorHAnsi"/>
        </w:rPr>
        <w:t xml:space="preserve">в </w:t>
      </w:r>
      <w:r w:rsidR="00005287">
        <w:rPr>
          <w:rFonts w:eastAsiaTheme="minorHAnsi"/>
        </w:rPr>
        <w:t xml:space="preserve">нарушение п. 20 Инструкции № 191н в </w:t>
      </w:r>
      <w:r w:rsidR="00EE23F1" w:rsidRPr="00CE5A0C">
        <w:rPr>
          <w:rFonts w:eastAsiaTheme="minorHAnsi"/>
        </w:rPr>
        <w:t xml:space="preserve">Справке о наличии имущества и обязательств на </w:t>
      </w:r>
      <w:proofErr w:type="spellStart"/>
      <w:r w:rsidR="00EE23F1" w:rsidRPr="00CE5A0C">
        <w:rPr>
          <w:rFonts w:eastAsiaTheme="minorHAnsi"/>
        </w:rPr>
        <w:t>забалансовых</w:t>
      </w:r>
      <w:proofErr w:type="spellEnd"/>
      <w:r w:rsidR="00EE23F1" w:rsidRPr="00CE5A0C">
        <w:rPr>
          <w:rFonts w:eastAsiaTheme="minorHAnsi"/>
        </w:rPr>
        <w:t xml:space="preserve"> счетах в составе Баланса (ф. 0503130) не отражены данные по</w:t>
      </w:r>
      <w:r w:rsidRPr="00CE5A0C">
        <w:rPr>
          <w:rFonts w:eastAsiaTheme="minorHAnsi"/>
        </w:rPr>
        <w:t xml:space="preserve"> указанным счетам</w:t>
      </w:r>
      <w:r w:rsidR="00005287">
        <w:rPr>
          <w:rFonts w:eastAsiaTheme="minorHAnsi"/>
        </w:rPr>
        <w:t>.</w:t>
      </w:r>
    </w:p>
    <w:p w:rsidR="00EE23F1" w:rsidRPr="006456C7" w:rsidRDefault="00EE23F1" w:rsidP="00EE23F1">
      <w:pPr>
        <w:pStyle w:val="afb"/>
        <w:autoSpaceDE w:val="0"/>
        <w:autoSpaceDN w:val="0"/>
        <w:adjustRightInd w:val="0"/>
        <w:ind w:left="0" w:firstLine="680"/>
        <w:jc w:val="both"/>
      </w:pPr>
      <w:r>
        <w:lastRenderedPageBreak/>
        <w:t>В ходе проверки вышеприведенное</w:t>
      </w:r>
      <w:r w:rsidRPr="00024EB1">
        <w:t xml:space="preserve"> нарушени</w:t>
      </w:r>
      <w:r>
        <w:t xml:space="preserve">е устранено. В комитет финансов Волгоградской области (далее – </w:t>
      </w:r>
      <w:proofErr w:type="spellStart"/>
      <w:r>
        <w:t>Облфин</w:t>
      </w:r>
      <w:proofErr w:type="spellEnd"/>
      <w:r>
        <w:t xml:space="preserve">) </w:t>
      </w:r>
      <w:r w:rsidR="006659EC">
        <w:t xml:space="preserve">Думой </w:t>
      </w:r>
      <w:r>
        <w:t xml:space="preserve">представлена уточненная Справка о наличии имущества и обязательств </w:t>
      </w:r>
      <w:r w:rsidRPr="00EA4DD1">
        <w:t xml:space="preserve">на </w:t>
      </w:r>
      <w:proofErr w:type="spellStart"/>
      <w:r w:rsidRPr="00EA4DD1">
        <w:t>забалансовых</w:t>
      </w:r>
      <w:proofErr w:type="spellEnd"/>
      <w:r w:rsidRPr="00EA4DD1">
        <w:t xml:space="preserve"> счетах </w:t>
      </w:r>
      <w:r>
        <w:t xml:space="preserve">с заполнением </w:t>
      </w:r>
      <w:r w:rsidRPr="006456C7">
        <w:t>строк 170-173, 180</w:t>
      </w:r>
      <w:r>
        <w:t>-182</w:t>
      </w:r>
      <w:r w:rsidR="006659EC">
        <w:t xml:space="preserve"> - в</w:t>
      </w:r>
      <w:r w:rsidRPr="006456C7">
        <w:t>сего по строке 170 «Поступления денежных средств» отражено 10 383,3 тыс. руб., а по строке 180 «Выбытия денежных средств» - 10 277,5 тыс. руб</w:t>
      </w:r>
      <w:r>
        <w:t>.;</w:t>
      </w:r>
    </w:p>
    <w:p w:rsidR="00EE23F1" w:rsidRPr="00C0231F" w:rsidRDefault="00EE23F1" w:rsidP="009A1194">
      <w:pPr>
        <w:pStyle w:val="afb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outlineLvl w:val="0"/>
        <w:rPr>
          <w:rFonts w:eastAsiaTheme="minorHAnsi"/>
          <w:lang w:eastAsia="en-US"/>
        </w:rPr>
      </w:pPr>
      <w:proofErr w:type="gramStart"/>
      <w:r>
        <w:t>п</w:t>
      </w:r>
      <w:r w:rsidRPr="006456C7">
        <w:t xml:space="preserve">о строкам 900 «Обязательства финансовых годов, следующих за текущим (отчетным) финансовым годом, всего» и 910 «в том числе по расходам» в графе 4 «Утверждено (доведено) ассигнований бюджетных обязательств» Отчета о </w:t>
      </w:r>
      <w:r w:rsidR="00B42F92">
        <w:t>бюджетных</w:t>
      </w:r>
      <w:r w:rsidRPr="006456C7">
        <w:t xml:space="preserve"> обязательствах (ф.0503128) Думой отражены ассигнования в размере 246 879,0 тыс. руб.</w:t>
      </w:r>
      <w:r>
        <w:t>,</w:t>
      </w:r>
      <w:r w:rsidRPr="006456C7">
        <w:t xml:space="preserve"> в то время как по данным главной книги по счету 050325000 «Полученные бюджетные ассигнования </w:t>
      </w:r>
      <w:r w:rsidRPr="006659EC">
        <w:rPr>
          <w:rFonts w:eastAsiaTheme="minorHAnsi"/>
          <w:lang w:eastAsia="en-US"/>
        </w:rPr>
        <w:t>по первому году</w:t>
      </w:r>
      <w:proofErr w:type="gramEnd"/>
      <w:r w:rsidRPr="006659EC">
        <w:rPr>
          <w:rFonts w:eastAsiaTheme="minorHAnsi"/>
          <w:lang w:eastAsia="en-US"/>
        </w:rPr>
        <w:t xml:space="preserve">, следующему за текущим (очередным финансовым годом)» и 050323000 «Бюджетные ассигнования получателей бюджетных средств и администраторов выплат по </w:t>
      </w:r>
      <w:r w:rsidRPr="00C0231F">
        <w:rPr>
          <w:rFonts w:eastAsiaTheme="minorHAnsi"/>
          <w:lang w:eastAsia="en-US"/>
        </w:rPr>
        <w:t xml:space="preserve">источникам по первому году, следующему за текущим (очередным финансовым годом)» они составили 246 849,0 тыс. рублей. В результате не соблюдены </w:t>
      </w:r>
      <w:r w:rsidRPr="00C0231F">
        <w:t>п.1 ст.13 Закона о бухгалтерском учете</w:t>
      </w:r>
      <w:r w:rsidR="00C60EBF" w:rsidRPr="00C0231F">
        <w:t xml:space="preserve"> и</w:t>
      </w:r>
      <w:r w:rsidRPr="00C0231F">
        <w:t xml:space="preserve"> п. 7 Инструкции № 191н</w:t>
      </w:r>
      <w:r w:rsidR="00C60EBF" w:rsidRPr="00C0231F">
        <w:t xml:space="preserve">, согласно которым бухгалтерская отчетность должна составляться на основе данных, содержащихся в регистрах бухгалтерского учета. </w:t>
      </w:r>
      <w:r w:rsidRPr="00C0231F">
        <w:rPr>
          <w:rFonts w:eastAsiaTheme="minorHAnsi"/>
          <w:lang w:eastAsia="en-US"/>
        </w:rPr>
        <w:t xml:space="preserve">По пояснению главного бухгалтера Думы произошла техническая ошибка при переносе данных в </w:t>
      </w:r>
      <w:r w:rsidRPr="00C0231F">
        <w:t>программу «БАРС». В ходе проверки</w:t>
      </w:r>
      <w:r w:rsidR="006659EC" w:rsidRPr="00C0231F">
        <w:t xml:space="preserve"> Думой</w:t>
      </w:r>
      <w:r w:rsidRPr="00C0231F">
        <w:t xml:space="preserve"> внесены изменения в указанную форму отчетности, которые приняты </w:t>
      </w:r>
      <w:proofErr w:type="spellStart"/>
      <w:r w:rsidRPr="00C0231F">
        <w:t>Облфином</w:t>
      </w:r>
      <w:proofErr w:type="spellEnd"/>
      <w:r w:rsidR="00C60EBF" w:rsidRPr="00C0231F">
        <w:t>;</w:t>
      </w:r>
    </w:p>
    <w:p w:rsidR="00A44B4B" w:rsidRPr="00C0231F" w:rsidRDefault="00A44B4B" w:rsidP="009A1194">
      <w:pPr>
        <w:pStyle w:val="afb"/>
        <w:numPr>
          <w:ilvl w:val="0"/>
          <w:numId w:val="1"/>
        </w:numPr>
        <w:ind w:left="0" w:firstLine="680"/>
        <w:jc w:val="both"/>
      </w:pPr>
      <w:proofErr w:type="gramStart"/>
      <w:r w:rsidRPr="00C0231F">
        <w:rPr>
          <w:rFonts w:eastAsiaTheme="minorHAnsi"/>
          <w:lang w:eastAsia="en-US"/>
        </w:rPr>
        <w:t xml:space="preserve">просроченная кредиторская задолженность </w:t>
      </w:r>
      <w:r w:rsidRPr="00C0231F">
        <w:t xml:space="preserve">по договору гражданско-правового характера с помощником депутата в размере 0,9 тыс. руб. </w:t>
      </w:r>
      <w:r w:rsidRPr="00C0231F">
        <w:rPr>
          <w:rFonts w:eastAsiaTheme="minorHAnsi"/>
          <w:lang w:eastAsia="en-US"/>
        </w:rPr>
        <w:t xml:space="preserve">не </w:t>
      </w:r>
      <w:r w:rsidR="00EE23F1" w:rsidRPr="00C0231F">
        <w:rPr>
          <w:rFonts w:eastAsiaTheme="minorHAnsi"/>
          <w:lang w:eastAsia="en-US"/>
        </w:rPr>
        <w:t xml:space="preserve">отражена </w:t>
      </w:r>
      <w:r w:rsidR="004E7D4E" w:rsidRPr="00C0231F">
        <w:rPr>
          <w:rFonts w:eastAsiaTheme="minorHAnsi"/>
          <w:lang w:eastAsia="en-US"/>
        </w:rPr>
        <w:t>по графе 4 (на начало года)</w:t>
      </w:r>
      <w:r w:rsidR="004E7D4E" w:rsidRPr="00C0231F">
        <w:t xml:space="preserve"> </w:t>
      </w:r>
      <w:r w:rsidR="00EE23F1" w:rsidRPr="00C0231F">
        <w:rPr>
          <w:rFonts w:eastAsiaTheme="minorHAnsi"/>
          <w:lang w:eastAsia="en-US"/>
        </w:rPr>
        <w:t>раздел</w:t>
      </w:r>
      <w:r w:rsidR="00BA17CD" w:rsidRPr="00C0231F">
        <w:rPr>
          <w:rFonts w:eastAsiaTheme="minorHAnsi"/>
          <w:lang w:eastAsia="en-US"/>
        </w:rPr>
        <w:t>а</w:t>
      </w:r>
      <w:r w:rsidR="00EE23F1" w:rsidRPr="00C0231F">
        <w:rPr>
          <w:rFonts w:eastAsiaTheme="minorHAnsi"/>
          <w:lang w:eastAsia="en-US"/>
        </w:rPr>
        <w:t xml:space="preserve"> 1 Сведений по дебиторской и кредиторской задолженности (ф. 0503169) </w:t>
      </w:r>
      <w:r w:rsidRPr="00C0231F">
        <w:t>по номеру счета бюджетного учета 0113 990001112К 123 1 302 26000</w:t>
      </w:r>
      <w:r w:rsidR="00EE23F1" w:rsidRPr="00C0231F">
        <w:rPr>
          <w:rFonts w:eastAsiaTheme="minorHAnsi"/>
          <w:lang w:eastAsia="en-US"/>
        </w:rPr>
        <w:t>, чем не соблюден п. 167 Инструкции № 191н</w:t>
      </w:r>
      <w:r w:rsidRPr="00C0231F">
        <w:rPr>
          <w:rFonts w:eastAsiaTheme="minorHAnsi"/>
          <w:lang w:eastAsia="en-US"/>
        </w:rPr>
        <w:t>.</w:t>
      </w:r>
      <w:proofErr w:type="gramEnd"/>
      <w:r w:rsidRPr="00C0231F">
        <w:rPr>
          <w:rFonts w:eastAsiaTheme="minorHAnsi"/>
          <w:lang w:eastAsia="en-US"/>
        </w:rPr>
        <w:t xml:space="preserve"> </w:t>
      </w:r>
      <w:r w:rsidR="00EE23F1" w:rsidRPr="00C0231F">
        <w:t xml:space="preserve">В ходе проверки Думой внесены </w:t>
      </w:r>
      <w:r w:rsidR="00BA17CD" w:rsidRPr="00C0231F">
        <w:t xml:space="preserve">соответствующие </w:t>
      </w:r>
      <w:r w:rsidR="00EE23F1" w:rsidRPr="00C0231F">
        <w:t xml:space="preserve">изменения в указанную форму отчетности, которые приняты </w:t>
      </w:r>
      <w:proofErr w:type="spellStart"/>
      <w:r w:rsidR="00EE23F1" w:rsidRPr="00C0231F">
        <w:t>Облфином</w:t>
      </w:r>
      <w:proofErr w:type="spellEnd"/>
      <w:r w:rsidRPr="00C0231F">
        <w:t>;</w:t>
      </w:r>
    </w:p>
    <w:p w:rsidR="00EE23F1" w:rsidRPr="00C0231F" w:rsidRDefault="00EE23F1" w:rsidP="009A1194">
      <w:pPr>
        <w:pStyle w:val="afb"/>
        <w:numPr>
          <w:ilvl w:val="0"/>
          <w:numId w:val="1"/>
        </w:numPr>
        <w:autoSpaceDE w:val="0"/>
        <w:autoSpaceDN w:val="0"/>
        <w:adjustRightInd w:val="0"/>
        <w:ind w:left="0" w:firstLine="680"/>
        <w:jc w:val="both"/>
        <w:rPr>
          <w:b/>
        </w:rPr>
      </w:pPr>
      <w:r w:rsidRPr="00C0231F">
        <w:t xml:space="preserve">графа 4 «Утвержденные бюджетные назначения» по разделу «Доходы бюджета» Отчета об исполнении бюджета (ф.0503127) заполнена в отсутствие данных </w:t>
      </w:r>
      <w:r w:rsidR="00C0231F" w:rsidRPr="00C0231F">
        <w:t xml:space="preserve">по счету </w:t>
      </w:r>
      <w:r w:rsidRPr="00C0231F">
        <w:t>050400000 «Сметные (плановые, прогнозные) назначения»</w:t>
      </w:r>
      <w:r w:rsidRPr="00C0231F">
        <w:rPr>
          <w:rFonts w:eastAsiaTheme="minorHAnsi"/>
          <w:iCs/>
          <w:lang w:eastAsia="en-US"/>
        </w:rPr>
        <w:t xml:space="preserve">, чем не </w:t>
      </w:r>
      <w:proofErr w:type="gramStart"/>
      <w:r w:rsidRPr="00C0231F">
        <w:rPr>
          <w:rFonts w:eastAsiaTheme="minorHAnsi"/>
          <w:iCs/>
          <w:lang w:eastAsia="en-US"/>
        </w:rPr>
        <w:t>соблюден</w:t>
      </w:r>
      <w:proofErr w:type="gramEnd"/>
      <w:r w:rsidRPr="00C0231F">
        <w:rPr>
          <w:rFonts w:eastAsiaTheme="minorHAnsi"/>
          <w:iCs/>
          <w:lang w:eastAsia="en-US"/>
        </w:rPr>
        <w:t xml:space="preserve"> </w:t>
      </w:r>
      <w:r w:rsidR="00F43A3E" w:rsidRPr="00C0231F">
        <w:rPr>
          <w:rFonts w:eastAsiaTheme="minorHAnsi"/>
          <w:iCs/>
          <w:lang w:eastAsia="en-US"/>
        </w:rPr>
        <w:t xml:space="preserve">п. 55 Инструкции № 191н. Указанный счет, а также корреспондирующий с ним счет 050700000 «Утвержденный объем финансового обеспечения» Думой не велись в нарушение </w:t>
      </w:r>
      <w:proofErr w:type="gramStart"/>
      <w:r w:rsidRPr="00C0231F">
        <w:rPr>
          <w:rFonts w:eastAsiaTheme="minorHAnsi"/>
          <w:iCs/>
          <w:lang w:eastAsia="en-US"/>
        </w:rPr>
        <w:t>ч</w:t>
      </w:r>
      <w:proofErr w:type="gramEnd"/>
      <w:r w:rsidRPr="00C0231F">
        <w:rPr>
          <w:rFonts w:eastAsiaTheme="minorHAnsi"/>
          <w:iCs/>
          <w:lang w:eastAsia="en-US"/>
        </w:rPr>
        <w:t>. 1 ст. 30</w:t>
      </w:r>
      <w:r w:rsidR="00BA17CD" w:rsidRPr="00C0231F">
        <w:rPr>
          <w:rFonts w:eastAsiaTheme="minorHAnsi"/>
          <w:iCs/>
          <w:lang w:eastAsia="en-US"/>
        </w:rPr>
        <w:t xml:space="preserve"> </w:t>
      </w:r>
      <w:r w:rsidRPr="00C0231F">
        <w:rPr>
          <w:rFonts w:eastAsiaTheme="minorHAnsi"/>
          <w:iCs/>
          <w:lang w:eastAsia="en-US"/>
        </w:rPr>
        <w:t xml:space="preserve">Закона о бухгалтерском учете, </w:t>
      </w:r>
      <w:r w:rsidRPr="00C0231F">
        <w:t>п. 150 Инструкции № 162н</w:t>
      </w:r>
      <w:r w:rsidR="00F43A3E" w:rsidRPr="00C0231F">
        <w:t xml:space="preserve"> и</w:t>
      </w:r>
      <w:r w:rsidRPr="00C0231F">
        <w:t xml:space="preserve"> п. 324</w:t>
      </w:r>
      <w:r w:rsidRPr="00C0231F">
        <w:rPr>
          <w:i/>
        </w:rPr>
        <w:t xml:space="preserve"> </w:t>
      </w:r>
      <w:r w:rsidRPr="00C0231F">
        <w:t>Инструкции № 157н.</w:t>
      </w:r>
      <w:r w:rsidR="00BA17CD" w:rsidRPr="00C0231F">
        <w:t xml:space="preserve"> </w:t>
      </w:r>
    </w:p>
    <w:p w:rsidR="00C0231F" w:rsidRPr="00C0231F" w:rsidRDefault="00C0231F" w:rsidP="00C0231F">
      <w:pPr>
        <w:pStyle w:val="afb"/>
        <w:autoSpaceDE w:val="0"/>
        <w:autoSpaceDN w:val="0"/>
        <w:adjustRightInd w:val="0"/>
        <w:ind w:left="680"/>
        <w:jc w:val="both"/>
        <w:rPr>
          <w:b/>
        </w:rPr>
      </w:pPr>
    </w:p>
    <w:p w:rsidR="00AE0E4F" w:rsidRPr="00C0231F" w:rsidRDefault="00AE0E4F" w:rsidP="00AE0E4F">
      <w:pPr>
        <w:autoSpaceDE w:val="0"/>
        <w:autoSpaceDN w:val="0"/>
        <w:adjustRightInd w:val="0"/>
        <w:ind w:firstLine="680"/>
        <w:jc w:val="center"/>
        <w:rPr>
          <w:bCs/>
        </w:rPr>
      </w:pPr>
      <w:r w:rsidRPr="00C0231F">
        <w:rPr>
          <w:b/>
        </w:rPr>
        <w:t>Исполнение плановых назначений по закрепленным доходам</w:t>
      </w:r>
    </w:p>
    <w:p w:rsidR="00C205A4" w:rsidRDefault="00814137" w:rsidP="00C205A4">
      <w:pPr>
        <w:pStyle w:val="1"/>
        <w:spacing w:before="0" w:after="0"/>
        <w:ind w:firstLine="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Фактические поступления </w:t>
      </w:r>
      <w:r w:rsidR="00846367" w:rsidRPr="00C0231F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по трем видам доходов (прочие</w:t>
      </w:r>
      <w:r w:rsidR="00846367" w:rsidRPr="00C0231F">
        <w:t xml:space="preserve"> </w:t>
      </w:r>
      <w:r w:rsidR="00846367" w:rsidRPr="00C0231F">
        <w:rPr>
          <w:rFonts w:ascii="Times New Roman" w:hAnsi="Times New Roman"/>
          <w:b w:val="0"/>
          <w:color w:val="auto"/>
          <w:sz w:val="24"/>
          <w:szCs w:val="24"/>
        </w:rPr>
        <w:t>доходы от компенсации затрат бюджетов субъектов РФ</w:t>
      </w:r>
      <w:r w:rsidR="00411E16" w:rsidRPr="00C0231F">
        <w:rPr>
          <w:rFonts w:ascii="Times New Roman" w:hAnsi="Times New Roman"/>
          <w:b w:val="0"/>
          <w:color w:val="auto"/>
          <w:sz w:val="24"/>
          <w:szCs w:val="24"/>
        </w:rPr>
        <w:t>;</w:t>
      </w:r>
      <w:r w:rsidR="00846367" w:rsidRPr="00C0231F">
        <w:rPr>
          <w:rFonts w:ascii="Times New Roman" w:hAnsi="Times New Roman"/>
          <w:b w:val="0"/>
          <w:color w:val="auto"/>
          <w:sz w:val="24"/>
          <w:szCs w:val="24"/>
        </w:rPr>
        <w:t xml:space="preserve"> прочие поступления от денежных взысканий (штрафов) и иных сумм в возмещение ущерба, зачисляемые в бюджеты субъектов РФ</w:t>
      </w:r>
      <w:r w:rsidR="00411E16" w:rsidRPr="00C0231F">
        <w:rPr>
          <w:rFonts w:ascii="Times New Roman" w:hAnsi="Times New Roman"/>
          <w:b w:val="0"/>
          <w:color w:val="auto"/>
          <w:sz w:val="24"/>
          <w:szCs w:val="24"/>
        </w:rPr>
        <w:t>;</w:t>
      </w:r>
      <w:r w:rsidR="00917626" w:rsidRPr="00C0231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="00917626" w:rsidRPr="00C0231F">
        <w:rPr>
          <w:rFonts w:ascii="Times New Roman" w:hAnsi="Times New Roman"/>
          <w:b w:val="0"/>
          <w:color w:val="auto"/>
          <w:sz w:val="24"/>
          <w:szCs w:val="24"/>
        </w:rPr>
        <w:t xml:space="preserve">доходы бюджетов субъектов РФ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от возврата остатков субсидий, </w:t>
      </w:r>
      <w:r w:rsidR="00917626" w:rsidRPr="00C0231F">
        <w:rPr>
          <w:rFonts w:ascii="Times New Roman" w:hAnsi="Times New Roman"/>
          <w:b w:val="0"/>
          <w:color w:val="auto"/>
          <w:sz w:val="24"/>
          <w:szCs w:val="24"/>
        </w:rPr>
        <w:t xml:space="preserve">имеющих целевое назначение, прошлых лет из бюджетов муниципальных районов) </w:t>
      </w:r>
      <w:r>
        <w:rPr>
          <w:rFonts w:ascii="Times New Roman" w:hAnsi="Times New Roman"/>
          <w:b w:val="0"/>
          <w:color w:val="auto"/>
          <w:sz w:val="24"/>
          <w:szCs w:val="24"/>
        </w:rPr>
        <w:t>составили</w:t>
      </w:r>
      <w:r w:rsidR="00917626" w:rsidRPr="00C0231F">
        <w:rPr>
          <w:rFonts w:ascii="Times New Roman" w:hAnsi="Times New Roman"/>
          <w:b w:val="0"/>
          <w:color w:val="auto"/>
          <w:sz w:val="24"/>
          <w:szCs w:val="24"/>
        </w:rPr>
        <w:t xml:space="preserve"> 266,4 тыс. руб., или 180% от утвержденных назначений (147,9</w:t>
      </w:r>
      <w:r w:rsidR="00411E16" w:rsidRPr="00C0231F">
        <w:rPr>
          <w:rFonts w:ascii="Times New Roman" w:hAnsi="Times New Roman"/>
          <w:b w:val="0"/>
          <w:color w:val="auto"/>
          <w:sz w:val="24"/>
          <w:szCs w:val="24"/>
        </w:rPr>
        <w:t xml:space="preserve"> тыс. руб.), что связ</w:t>
      </w:r>
      <w:r w:rsidR="00411E16" w:rsidRPr="00411E16">
        <w:rPr>
          <w:rFonts w:ascii="Times New Roman" w:hAnsi="Times New Roman"/>
          <w:b w:val="0"/>
          <w:color w:val="auto"/>
          <w:sz w:val="24"/>
          <w:szCs w:val="24"/>
        </w:rPr>
        <w:t>ано с превышением плановых назначений по доходам от компенсации затрат бюджета (возврата средств за услуги связи) и поступлениям от денежных взысканий (штрафов) и иных сумм в возмещение ущерба (пени за</w:t>
      </w:r>
      <w:proofErr w:type="gramEnd"/>
      <w:r w:rsidR="00411E16" w:rsidRPr="00411E16">
        <w:rPr>
          <w:rFonts w:ascii="Times New Roman" w:hAnsi="Times New Roman"/>
          <w:b w:val="0"/>
          <w:color w:val="auto"/>
          <w:sz w:val="24"/>
          <w:szCs w:val="24"/>
        </w:rPr>
        <w:t xml:space="preserve"> просрочку исполнения государственных контрактов, сумм</w:t>
      </w:r>
      <w:r>
        <w:rPr>
          <w:rFonts w:ascii="Times New Roman" w:hAnsi="Times New Roman"/>
          <w:b w:val="0"/>
          <w:color w:val="auto"/>
          <w:sz w:val="24"/>
          <w:szCs w:val="24"/>
        </w:rPr>
        <w:t>ы</w:t>
      </w:r>
      <w:r w:rsidR="00411E16" w:rsidRPr="00411E16">
        <w:rPr>
          <w:rFonts w:ascii="Times New Roman" w:hAnsi="Times New Roman"/>
          <w:b w:val="0"/>
          <w:color w:val="auto"/>
          <w:sz w:val="24"/>
          <w:szCs w:val="24"/>
        </w:rPr>
        <w:t xml:space="preserve"> обеспечения </w:t>
      </w:r>
      <w:proofErr w:type="gramStart"/>
      <w:r w:rsidR="00C06C26">
        <w:rPr>
          <w:rFonts w:ascii="Times New Roman" w:hAnsi="Times New Roman"/>
          <w:b w:val="0"/>
          <w:color w:val="auto"/>
          <w:sz w:val="24"/>
          <w:szCs w:val="24"/>
        </w:rPr>
        <w:t>заявки</w:t>
      </w:r>
      <w:proofErr w:type="gramEnd"/>
      <w:r w:rsidR="00C06C26">
        <w:rPr>
          <w:rFonts w:ascii="Times New Roman" w:hAnsi="Times New Roman"/>
          <w:b w:val="0"/>
          <w:color w:val="auto"/>
          <w:sz w:val="24"/>
          <w:szCs w:val="24"/>
        </w:rPr>
        <w:t xml:space="preserve"> при проведении конкурса </w:t>
      </w:r>
      <w:r w:rsidR="00411E16" w:rsidRPr="00411E16">
        <w:rPr>
          <w:rFonts w:ascii="Times New Roman" w:hAnsi="Times New Roman"/>
          <w:b w:val="0"/>
          <w:color w:val="auto"/>
          <w:sz w:val="24"/>
          <w:szCs w:val="24"/>
        </w:rPr>
        <w:t xml:space="preserve">уклонившегося </w:t>
      </w:r>
      <w:r w:rsidR="00C06C26">
        <w:rPr>
          <w:rFonts w:ascii="Times New Roman" w:hAnsi="Times New Roman"/>
          <w:b w:val="0"/>
          <w:color w:val="auto"/>
          <w:sz w:val="24"/>
          <w:szCs w:val="24"/>
        </w:rPr>
        <w:t xml:space="preserve">от заключения контракта </w:t>
      </w:r>
      <w:r w:rsidR="00411E16" w:rsidRPr="00411E16">
        <w:rPr>
          <w:rFonts w:ascii="Times New Roman" w:hAnsi="Times New Roman"/>
          <w:b w:val="0"/>
          <w:color w:val="auto"/>
          <w:sz w:val="24"/>
          <w:szCs w:val="24"/>
        </w:rPr>
        <w:t>участника).</w:t>
      </w:r>
    </w:p>
    <w:p w:rsidR="00411E16" w:rsidRPr="00195069" w:rsidRDefault="00411E16" w:rsidP="00C205A4">
      <w:pPr>
        <w:pStyle w:val="1"/>
        <w:spacing w:before="0" w:after="0"/>
        <w:ind w:firstLine="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95069">
        <w:rPr>
          <w:rFonts w:ascii="Times New Roman" w:hAnsi="Times New Roman"/>
          <w:b w:val="0"/>
          <w:color w:val="auto"/>
          <w:sz w:val="24"/>
          <w:szCs w:val="24"/>
        </w:rPr>
        <w:t xml:space="preserve">По доходам от возврата остатков </w:t>
      </w:r>
      <w:proofErr w:type="gramStart"/>
      <w:r w:rsidRPr="00195069">
        <w:rPr>
          <w:rFonts w:ascii="Times New Roman" w:hAnsi="Times New Roman"/>
          <w:b w:val="0"/>
          <w:color w:val="auto"/>
          <w:sz w:val="24"/>
          <w:szCs w:val="24"/>
        </w:rPr>
        <w:t>субсидии</w:t>
      </w:r>
      <w:proofErr w:type="gramEnd"/>
      <w:r w:rsidRPr="00195069">
        <w:rPr>
          <w:rFonts w:ascii="Times New Roman" w:hAnsi="Times New Roman"/>
          <w:b w:val="0"/>
          <w:color w:val="auto"/>
          <w:sz w:val="24"/>
          <w:szCs w:val="24"/>
        </w:rPr>
        <w:t xml:space="preserve"> утвержденные бюджетные назначения в графе 4 Отчета об исполнении бюджета (ф.0503127) не указаны, так как прогнозные показатели по этому виду доходов </w:t>
      </w:r>
      <w:proofErr w:type="spellStart"/>
      <w:r w:rsidRPr="00195069">
        <w:rPr>
          <w:rFonts w:ascii="Times New Roman" w:hAnsi="Times New Roman"/>
          <w:b w:val="0"/>
          <w:color w:val="auto"/>
          <w:sz w:val="24"/>
          <w:szCs w:val="24"/>
        </w:rPr>
        <w:t>Облфином</w:t>
      </w:r>
      <w:proofErr w:type="spellEnd"/>
      <w:r w:rsidRPr="00195069">
        <w:rPr>
          <w:rFonts w:ascii="Times New Roman" w:hAnsi="Times New Roman"/>
          <w:b w:val="0"/>
          <w:color w:val="auto"/>
          <w:sz w:val="24"/>
          <w:szCs w:val="24"/>
        </w:rPr>
        <w:t xml:space="preserve"> не доводились (письмо от 18.10.2016 № 06-10-02-18/1/9851) и</w:t>
      </w:r>
      <w:r w:rsidR="0077301C" w:rsidRPr="0019506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195069">
        <w:rPr>
          <w:rFonts w:ascii="Times New Roman" w:hAnsi="Times New Roman"/>
          <w:b w:val="0"/>
          <w:color w:val="auto"/>
          <w:sz w:val="24"/>
          <w:szCs w:val="24"/>
        </w:rPr>
        <w:t xml:space="preserve">Думой не велся счет 050400000 «Сметные (плановые, прогнозные) назначения». Фактически был произведен возврат неиспользованной субсидии </w:t>
      </w:r>
      <w:proofErr w:type="spellStart"/>
      <w:r w:rsidRPr="00195069">
        <w:rPr>
          <w:rFonts w:ascii="Times New Roman" w:hAnsi="Times New Roman"/>
          <w:b w:val="0"/>
          <w:color w:val="auto"/>
          <w:sz w:val="24"/>
          <w:szCs w:val="24"/>
        </w:rPr>
        <w:t>Камышинским</w:t>
      </w:r>
      <w:proofErr w:type="spellEnd"/>
      <w:r w:rsidRPr="00195069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муниципальным районом за 2015 год в размере 0,3 тыс. рублей. </w:t>
      </w:r>
    </w:p>
    <w:p w:rsidR="00B02E5C" w:rsidRDefault="00B02E5C" w:rsidP="001C6FE2">
      <w:pPr>
        <w:ind w:firstLine="720"/>
        <w:jc w:val="center"/>
        <w:rPr>
          <w:b/>
          <w:i/>
        </w:rPr>
      </w:pPr>
    </w:p>
    <w:p w:rsidR="000A7096" w:rsidRDefault="000A7096" w:rsidP="001C6FE2">
      <w:pPr>
        <w:ind w:firstLine="720"/>
        <w:jc w:val="center"/>
        <w:rPr>
          <w:b/>
          <w:i/>
        </w:rPr>
      </w:pPr>
    </w:p>
    <w:p w:rsidR="001C6FE2" w:rsidRPr="00074C1D" w:rsidRDefault="001C6FE2" w:rsidP="001C6FE2">
      <w:pPr>
        <w:ind w:firstLine="720"/>
        <w:jc w:val="center"/>
        <w:rPr>
          <w:b/>
          <w:i/>
        </w:rPr>
      </w:pPr>
      <w:r w:rsidRPr="00074C1D">
        <w:rPr>
          <w:b/>
          <w:i/>
        </w:rPr>
        <w:lastRenderedPageBreak/>
        <w:t>Исполнение расходов</w:t>
      </w:r>
    </w:p>
    <w:p w:rsidR="001C6FE2" w:rsidRDefault="001C6FE2" w:rsidP="001C6FE2">
      <w:pPr>
        <w:ind w:firstLine="680"/>
        <w:jc w:val="both"/>
        <w:rPr>
          <w:bCs/>
        </w:rPr>
      </w:pPr>
      <w:r w:rsidRPr="00601D93">
        <w:rPr>
          <w:bCs/>
        </w:rPr>
        <w:t xml:space="preserve">Законом об областном бюджете </w:t>
      </w:r>
      <w:r>
        <w:rPr>
          <w:bCs/>
        </w:rPr>
        <w:t>Думе</w:t>
      </w:r>
      <w:r w:rsidRPr="00601D93">
        <w:rPr>
          <w:bCs/>
        </w:rPr>
        <w:t xml:space="preserve"> предусмотрены бюджетные ассигнования в размере </w:t>
      </w:r>
      <w:r>
        <w:rPr>
          <w:bCs/>
        </w:rPr>
        <w:t xml:space="preserve">264 957,0 </w:t>
      </w:r>
      <w:r w:rsidRPr="00601D93">
        <w:rPr>
          <w:bCs/>
        </w:rPr>
        <w:t xml:space="preserve">тыс. рублей. </w:t>
      </w:r>
      <w:r>
        <w:rPr>
          <w:bCs/>
        </w:rPr>
        <w:t xml:space="preserve"> </w:t>
      </w:r>
    </w:p>
    <w:p w:rsidR="001C6FE2" w:rsidRDefault="001C6FE2" w:rsidP="00484A51">
      <w:pPr>
        <w:ind w:firstLine="680"/>
        <w:jc w:val="both"/>
      </w:pPr>
      <w:r>
        <w:rPr>
          <w:bCs/>
        </w:rPr>
        <w:t xml:space="preserve">Согласно Отчету об исполнении бюджета </w:t>
      </w:r>
      <w:r w:rsidRPr="00601D93">
        <w:rPr>
          <w:bCs/>
        </w:rPr>
        <w:t xml:space="preserve">(ф. 0503127) </w:t>
      </w:r>
      <w:r>
        <w:rPr>
          <w:bCs/>
        </w:rPr>
        <w:t>у</w:t>
      </w:r>
      <w:r w:rsidRPr="00601D93">
        <w:rPr>
          <w:bCs/>
        </w:rPr>
        <w:t>твержденны</w:t>
      </w:r>
      <w:r>
        <w:rPr>
          <w:bCs/>
        </w:rPr>
        <w:t>е</w:t>
      </w:r>
      <w:r w:rsidRPr="00601D93">
        <w:rPr>
          <w:bCs/>
        </w:rPr>
        <w:t xml:space="preserve"> бюджетны</w:t>
      </w:r>
      <w:r>
        <w:rPr>
          <w:bCs/>
        </w:rPr>
        <w:t>е назначения по расходам составляют 255 021,5 тыс. руб., или меньше бюджетных ассигнований, предусмотренных Законом об областном бюджете, на 9 935,5</w:t>
      </w:r>
      <w:r w:rsidRPr="00601D93">
        <w:rPr>
          <w:bCs/>
        </w:rPr>
        <w:t xml:space="preserve"> тыс. рублей. </w:t>
      </w:r>
      <w:r>
        <w:rPr>
          <w:bCs/>
        </w:rPr>
        <w:t xml:space="preserve">Сокращение бюджетных назначений произведено на основании уведомлений </w:t>
      </w:r>
      <w:proofErr w:type="spellStart"/>
      <w:r>
        <w:rPr>
          <w:bCs/>
        </w:rPr>
        <w:t>Облфина</w:t>
      </w:r>
      <w:proofErr w:type="spellEnd"/>
      <w:r>
        <w:rPr>
          <w:bCs/>
        </w:rPr>
        <w:t xml:space="preserve"> от 13.</w:t>
      </w:r>
      <w:r w:rsidR="00195069">
        <w:rPr>
          <w:bCs/>
        </w:rPr>
        <w:t>1</w:t>
      </w:r>
      <w:r>
        <w:rPr>
          <w:bCs/>
        </w:rPr>
        <w:t>2.2016 и 16.12.2016</w:t>
      </w:r>
      <w:r w:rsidR="00B02E5C">
        <w:rPr>
          <w:bCs/>
        </w:rPr>
        <w:t>.</w:t>
      </w:r>
    </w:p>
    <w:p w:rsidR="00484A51" w:rsidRPr="00484A51" w:rsidRDefault="00484A51" w:rsidP="00484A51">
      <w:pPr>
        <w:pStyle w:val="af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84A51">
        <w:rPr>
          <w:rFonts w:ascii="Times New Roman" w:hAnsi="Times New Roman" w:cs="Times New Roman"/>
          <w:sz w:val="24"/>
          <w:szCs w:val="24"/>
        </w:rPr>
        <w:t xml:space="preserve">Кассовые расходы составили 245 698,5 тыс. руб., или 96,3% от утвержденных бюджетных назначений и 96,8% от лимитов бюджетных обязательств. Информация об исполнении расходов представлена в таблице.                          </w:t>
      </w:r>
    </w:p>
    <w:p w:rsidR="001C6FE2" w:rsidRPr="008B777B" w:rsidRDefault="001C6FE2" w:rsidP="001C6FE2">
      <w:pPr>
        <w:ind w:firstLine="720"/>
        <w:jc w:val="right"/>
        <w:rPr>
          <w:i/>
          <w:sz w:val="22"/>
          <w:szCs w:val="22"/>
        </w:rPr>
      </w:pPr>
      <w:r w:rsidRPr="008B777B">
        <w:rPr>
          <w:i/>
          <w:sz w:val="22"/>
          <w:szCs w:val="22"/>
        </w:rPr>
        <w:t>тыс. руб.</w:t>
      </w:r>
    </w:p>
    <w:tbl>
      <w:tblPr>
        <w:tblW w:w="10915" w:type="dxa"/>
        <w:tblInd w:w="-601" w:type="dxa"/>
        <w:tblLayout w:type="fixed"/>
        <w:tblLook w:val="04A0"/>
      </w:tblPr>
      <w:tblGrid>
        <w:gridCol w:w="1121"/>
        <w:gridCol w:w="2707"/>
        <w:gridCol w:w="1134"/>
        <w:gridCol w:w="1134"/>
        <w:gridCol w:w="1134"/>
        <w:gridCol w:w="992"/>
        <w:gridCol w:w="992"/>
        <w:gridCol w:w="993"/>
        <w:gridCol w:w="708"/>
      </w:tblGrid>
      <w:tr w:rsidR="001C6FE2" w:rsidRPr="00725B29" w:rsidTr="007A6E79">
        <w:trPr>
          <w:trHeight w:val="1005"/>
        </w:trPr>
        <w:tc>
          <w:tcPr>
            <w:tcW w:w="11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27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Утверждено Законом об областном бюджете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Утвержден</w:t>
            </w:r>
            <w:proofErr w:type="gramStart"/>
            <w:r w:rsidRPr="00725B2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725B2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5B29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25B29">
              <w:rPr>
                <w:color w:val="000000"/>
                <w:sz w:val="16"/>
                <w:szCs w:val="16"/>
              </w:rPr>
              <w:t>юджетные назначения (роспись расходов)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725B29">
              <w:rPr>
                <w:color w:val="000000"/>
                <w:sz w:val="16"/>
                <w:szCs w:val="16"/>
              </w:rPr>
              <w:t>зница между утвер</w:t>
            </w:r>
            <w:r>
              <w:rPr>
                <w:color w:val="000000"/>
                <w:sz w:val="16"/>
                <w:szCs w:val="16"/>
              </w:rPr>
              <w:t>ж</w:t>
            </w:r>
            <w:r w:rsidRPr="00725B29">
              <w:rPr>
                <w:color w:val="000000"/>
                <w:sz w:val="16"/>
                <w:szCs w:val="16"/>
              </w:rPr>
              <w:t>ден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725B2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25B29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>.</w:t>
            </w:r>
            <w:r w:rsidRPr="00725B2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5B29">
              <w:rPr>
                <w:color w:val="000000"/>
                <w:sz w:val="16"/>
                <w:szCs w:val="16"/>
              </w:rPr>
              <w:t>назнач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25B29">
              <w:rPr>
                <w:color w:val="000000"/>
                <w:sz w:val="16"/>
                <w:szCs w:val="16"/>
              </w:rPr>
              <w:t>ми</w:t>
            </w:r>
            <w:proofErr w:type="spellEnd"/>
            <w:r w:rsidRPr="00725B29">
              <w:rPr>
                <w:color w:val="000000"/>
                <w:sz w:val="16"/>
                <w:szCs w:val="16"/>
              </w:rPr>
              <w:t xml:space="preserve"> (гр. 4- гр.3)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Лимиты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бюджет-ных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обяз-ст</w:t>
            </w:r>
            <w:r w:rsidRPr="00725B29">
              <w:rPr>
                <w:color w:val="000000"/>
                <w:sz w:val="16"/>
                <w:szCs w:val="16"/>
              </w:rPr>
              <w:t>в</w:t>
            </w:r>
            <w:proofErr w:type="spellEnd"/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исполнено бюджет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н</w:t>
            </w:r>
            <w:proofErr w:type="gramEnd"/>
            <w:r>
              <w:rPr>
                <w:color w:val="000000"/>
                <w:sz w:val="16"/>
                <w:szCs w:val="16"/>
              </w:rPr>
              <w:t>азнач-</w:t>
            </w:r>
            <w:r w:rsidRPr="00725B29">
              <w:rPr>
                <w:color w:val="000000"/>
                <w:sz w:val="16"/>
                <w:szCs w:val="16"/>
              </w:rPr>
              <w:t>й</w:t>
            </w:r>
            <w:proofErr w:type="spellEnd"/>
            <w:r w:rsidRPr="00725B29">
              <w:rPr>
                <w:color w:val="000000"/>
                <w:sz w:val="16"/>
                <w:szCs w:val="16"/>
              </w:rPr>
              <w:t xml:space="preserve"> (гр. 7- гр. 4)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F1DD"/>
            <w:vAlign w:val="center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725B29">
              <w:rPr>
                <w:color w:val="000000"/>
                <w:sz w:val="16"/>
                <w:szCs w:val="16"/>
              </w:rPr>
              <w:t>испол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25B29">
              <w:rPr>
                <w:color w:val="000000"/>
                <w:sz w:val="16"/>
                <w:szCs w:val="16"/>
              </w:rPr>
              <w:t>нения</w:t>
            </w:r>
            <w:proofErr w:type="spellEnd"/>
            <w:proofErr w:type="gramEnd"/>
          </w:p>
        </w:tc>
      </w:tr>
      <w:tr w:rsidR="001C6FE2" w:rsidRPr="00725B29" w:rsidTr="007A6E79">
        <w:trPr>
          <w:trHeight w:val="142"/>
        </w:trPr>
        <w:tc>
          <w:tcPr>
            <w:tcW w:w="112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F1DD"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</w:t>
            </w:r>
          </w:p>
        </w:tc>
      </w:tr>
      <w:tr w:rsidR="001C6FE2" w:rsidRPr="00725B29" w:rsidTr="007A6E79">
        <w:trPr>
          <w:trHeight w:val="270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FE2" w:rsidRPr="00725B29" w:rsidRDefault="001C6FE2" w:rsidP="007A6E7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5B29">
              <w:rPr>
                <w:b/>
                <w:bCs/>
                <w:color w:val="000000"/>
                <w:sz w:val="16"/>
                <w:szCs w:val="16"/>
              </w:rPr>
              <w:t>Расходы бюджета –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color w:val="000000"/>
                <w:sz w:val="18"/>
                <w:szCs w:val="18"/>
              </w:rPr>
              <w:t>264957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sz w:val="18"/>
                <w:szCs w:val="18"/>
              </w:rPr>
            </w:pPr>
            <w:r w:rsidRPr="00725B29">
              <w:rPr>
                <w:b/>
                <w:bCs/>
                <w:sz w:val="18"/>
                <w:szCs w:val="18"/>
              </w:rPr>
              <w:t>255021,5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sz w:val="18"/>
                <w:szCs w:val="18"/>
              </w:rPr>
            </w:pPr>
            <w:r w:rsidRPr="00725B29">
              <w:rPr>
                <w:b/>
                <w:bCs/>
                <w:sz w:val="18"/>
                <w:szCs w:val="18"/>
              </w:rPr>
              <w:t>-9935,5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sz w:val="18"/>
                <w:szCs w:val="18"/>
              </w:rPr>
            </w:pPr>
            <w:r w:rsidRPr="00725B29">
              <w:rPr>
                <w:b/>
                <w:bCs/>
                <w:sz w:val="18"/>
                <w:szCs w:val="18"/>
              </w:rPr>
              <w:t>254163,0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sz w:val="18"/>
                <w:szCs w:val="18"/>
              </w:rPr>
            </w:pPr>
            <w:r w:rsidRPr="00725B29">
              <w:rPr>
                <w:b/>
                <w:bCs/>
                <w:sz w:val="18"/>
                <w:szCs w:val="18"/>
              </w:rPr>
              <w:t>245698,5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color w:val="000000"/>
                <w:sz w:val="18"/>
                <w:szCs w:val="18"/>
              </w:rPr>
              <w:t>-9323,0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color w:val="000000"/>
                <w:sz w:val="18"/>
                <w:szCs w:val="18"/>
              </w:rPr>
              <w:t>96,3</w:t>
            </w:r>
          </w:p>
        </w:tc>
      </w:tr>
      <w:tr w:rsidR="001C6FE2" w:rsidRPr="00725B29" w:rsidTr="007A6E79">
        <w:trPr>
          <w:trHeight w:val="690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2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2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sz w:val="18"/>
                <w:szCs w:val="18"/>
              </w:rPr>
              <w:t>202037,0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sz w:val="18"/>
                <w:szCs w:val="18"/>
              </w:rPr>
              <w:t>192564,1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sz w:val="18"/>
                <w:szCs w:val="18"/>
              </w:rPr>
              <w:t>-9472,9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sz w:val="18"/>
                <w:szCs w:val="18"/>
              </w:rPr>
              <w:t>192339,6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sz w:val="18"/>
                <w:szCs w:val="18"/>
              </w:rPr>
              <w:t>185841,0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-6723,1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96,5</w:t>
            </w:r>
          </w:p>
        </w:tc>
      </w:tr>
      <w:tr w:rsidR="001C6FE2" w:rsidRPr="00725B29" w:rsidTr="00076765">
        <w:trPr>
          <w:trHeight w:val="481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9000000010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Обеспечение деятельности государственных органов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152422,4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144949,3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-7473,1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144774,8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140308,9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-4640,4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96,8</w:t>
            </w:r>
          </w:p>
        </w:tc>
      </w:tr>
      <w:tr w:rsidR="001C6FE2" w:rsidRPr="00725B29" w:rsidTr="00076765">
        <w:trPr>
          <w:trHeight w:val="753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 xml:space="preserve">900000001L 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Обеспечение деятельности государственных органов Волгоградской области (исполнение судебных актов в части уплаты основного долга)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C6FE2" w:rsidRPr="00725B29" w:rsidTr="00076765">
        <w:trPr>
          <w:trHeight w:val="652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900000001К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Обеспечение деятельности государственных органов Волгоградской области (расходы по обязательствам прошлых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1206,4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1206,4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C6FE2" w:rsidRPr="00725B29" w:rsidTr="007A6E79">
        <w:trPr>
          <w:trHeight w:val="488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900000001П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Премиальные выплаты государственных органов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5800,0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5800,0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5800,0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5785,5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-14,5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1C6FE2" w:rsidRPr="00725B29" w:rsidTr="007A6E79">
        <w:trPr>
          <w:trHeight w:val="354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9000000050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Председатель Волгоградской областной Думы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3215,0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3215,0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3215,0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2964,0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-251,0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92,2</w:t>
            </w:r>
          </w:p>
        </w:tc>
      </w:tr>
      <w:tr w:rsidR="001C6FE2" w:rsidRPr="00725B29" w:rsidTr="007A6E79">
        <w:trPr>
          <w:trHeight w:val="259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9000000060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Депутаты Волгоградской областной Думы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39008,1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37008,1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-2000,0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37008,1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35277,8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-1730,3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95,3</w:t>
            </w:r>
          </w:p>
        </w:tc>
      </w:tr>
      <w:tr w:rsidR="001C6FE2" w:rsidRPr="00725B29" w:rsidTr="007A6E79">
        <w:trPr>
          <w:trHeight w:val="449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900000006К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Депутаты Волгоградской областной Думы (расходы по обязательствам прошлых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C6FE2" w:rsidRPr="00725B29" w:rsidTr="007A6E79">
        <w:trPr>
          <w:trHeight w:val="457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9900080140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-86,9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56,6</w:t>
            </w:r>
          </w:p>
        </w:tc>
      </w:tr>
      <w:tr w:rsidR="001C6FE2" w:rsidRPr="00725B29" w:rsidTr="007A6E79">
        <w:trPr>
          <w:trHeight w:val="749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 xml:space="preserve"> 990008014К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Уплата налогов и сборов органами государственной власти и казенными учреждениями (расходы по обязательствам прошлых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C6FE2" w:rsidRPr="00725B29" w:rsidTr="007A6E79">
        <w:trPr>
          <w:trHeight w:val="255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9900080870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C6FE2" w:rsidRPr="00725B29" w:rsidTr="00C205A4">
        <w:trPr>
          <w:trHeight w:val="240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2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29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sz w:val="18"/>
                <w:szCs w:val="18"/>
              </w:rPr>
              <w:t>62600,0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sz w:val="18"/>
                <w:szCs w:val="18"/>
              </w:rPr>
              <w:t>62152,3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sz w:val="18"/>
                <w:szCs w:val="18"/>
              </w:rPr>
              <w:t>-447,7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sz w:val="18"/>
                <w:szCs w:val="18"/>
              </w:rPr>
              <w:t>61518,3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sz w:val="18"/>
                <w:szCs w:val="18"/>
              </w:rPr>
              <w:t>59552,4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-2599,9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95,8</w:t>
            </w:r>
          </w:p>
        </w:tc>
      </w:tr>
      <w:tr w:rsidR="001C6FE2" w:rsidRPr="00725B29" w:rsidTr="00C205A4">
        <w:trPr>
          <w:trHeight w:val="1038"/>
        </w:trPr>
        <w:tc>
          <w:tcPr>
            <w:tcW w:w="11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 xml:space="preserve"> 9900011120 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Обеспечение деятельности депутатов Волгоградской областной Думы, для которых депутатская деятельность не является основной, а также помощнико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725B29">
              <w:rPr>
                <w:color w:val="000000"/>
                <w:sz w:val="16"/>
                <w:szCs w:val="16"/>
              </w:rPr>
              <w:t xml:space="preserve"> депутатов Волгоградской областной Думы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36386,1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36386,1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36386,1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34643,7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-1742,4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95,2</w:t>
            </w:r>
          </w:p>
        </w:tc>
      </w:tr>
      <w:tr w:rsidR="001C6FE2" w:rsidRPr="00725B29" w:rsidTr="007A6E79">
        <w:trPr>
          <w:trHeight w:val="141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 xml:space="preserve"> 990001112К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Обеспечение деятельности депутатов Волгоградской областной Думы, для которых депутатская деятельность не является основной, а также помощнико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725B29">
              <w:rPr>
                <w:color w:val="000000"/>
                <w:sz w:val="16"/>
                <w:szCs w:val="16"/>
              </w:rPr>
              <w:t xml:space="preserve"> депутатов </w:t>
            </w:r>
            <w:r w:rsidRPr="00725B29">
              <w:rPr>
                <w:color w:val="000000"/>
                <w:sz w:val="16"/>
                <w:szCs w:val="16"/>
              </w:rPr>
              <w:lastRenderedPageBreak/>
              <w:t>Волгоградской областной Думы  (расходы по обязательствам прошлых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lastRenderedPageBreak/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-0,8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94,2</w:t>
            </w:r>
          </w:p>
        </w:tc>
      </w:tr>
      <w:tr w:rsidR="001C6FE2" w:rsidRPr="00725B29" w:rsidTr="007A6E79">
        <w:trPr>
          <w:trHeight w:val="1125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lastRenderedPageBreak/>
              <w:t>9900021040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Информирование населения о законотворческой деятельности по реализации приоритетных направлений социально-экономического развития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19633,5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19619,2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-14,3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19619,2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19619,0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-0,2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C6FE2" w:rsidRPr="00725B29" w:rsidTr="007A6E79">
        <w:trPr>
          <w:trHeight w:val="141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990002104К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Информирование населения о законотворческой деятельности по реализации приоритетных направлений социально-экономического развития Волгоградской области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25B29">
              <w:rPr>
                <w:color w:val="000000"/>
                <w:sz w:val="16"/>
                <w:szCs w:val="16"/>
              </w:rPr>
              <w:t>(расходы по обязательствам прошлых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Default="001C6FE2" w:rsidP="007A6E79">
            <w:pPr>
              <w:jc w:val="right"/>
              <w:rPr>
                <w:sz w:val="18"/>
                <w:szCs w:val="18"/>
              </w:rPr>
            </w:pPr>
          </w:p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366,5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366,5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C6FE2" w:rsidRPr="00725B29" w:rsidTr="007A6E79">
        <w:trPr>
          <w:trHeight w:val="684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9900070070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Субсидии на поощрение победителей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2968,0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-32,0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2609,0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2609,0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-359,0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1C6FE2" w:rsidRPr="00725B29" w:rsidTr="007A6E79">
        <w:trPr>
          <w:trHeight w:val="370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9900080010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Поощрения за особые заслуги перед Волгоградской областью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2595,2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2193,8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-401,4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1696,3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-497,5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77,3</w:t>
            </w:r>
          </w:p>
        </w:tc>
      </w:tr>
      <w:tr w:rsidR="001C6FE2" w:rsidRPr="00725B29" w:rsidTr="007A6E79">
        <w:trPr>
          <w:trHeight w:val="573"/>
        </w:trPr>
        <w:tc>
          <w:tcPr>
            <w:tcW w:w="11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 xml:space="preserve"> 990008001К 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E2" w:rsidRPr="00725B29" w:rsidRDefault="001C6FE2" w:rsidP="007A6E79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Поощрения за особые заслуги перед Волгоградской областью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25B29">
              <w:rPr>
                <w:color w:val="000000"/>
                <w:sz w:val="16"/>
                <w:szCs w:val="16"/>
              </w:rPr>
              <w:t>(расходы по обязательствам прошлых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604,8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604,8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604,8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604,8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color w:val="000000"/>
                <w:sz w:val="18"/>
                <w:szCs w:val="18"/>
              </w:rPr>
            </w:pPr>
            <w:r w:rsidRPr="00725B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C6FE2" w:rsidRPr="00725B29" w:rsidTr="007A6E79">
        <w:trPr>
          <w:trHeight w:val="375"/>
        </w:trPr>
        <w:tc>
          <w:tcPr>
            <w:tcW w:w="112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29">
              <w:rPr>
                <w:b/>
                <w:bCs/>
                <w:i/>
                <w:iCs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29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305,1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sz w:val="18"/>
                <w:szCs w:val="18"/>
              </w:rPr>
              <w:t>-14,9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305,1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305,1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1C6FE2" w:rsidRPr="00725B29" w:rsidTr="007A6E79">
        <w:trPr>
          <w:trHeight w:val="25"/>
        </w:trPr>
        <w:tc>
          <w:tcPr>
            <w:tcW w:w="112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9900020060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C6FE2" w:rsidRPr="00725B29" w:rsidRDefault="001C6FE2" w:rsidP="007A6E7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C6FE2" w:rsidRPr="00725B29" w:rsidRDefault="001C6FE2" w:rsidP="007A6E7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C6FE2" w:rsidRPr="00725B29" w:rsidRDefault="001C6FE2" w:rsidP="007A6E7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C6FE2" w:rsidRPr="00725B29" w:rsidRDefault="001C6FE2" w:rsidP="007A6E7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C6FE2" w:rsidRPr="00725B29" w:rsidRDefault="001C6FE2" w:rsidP="007A6E7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6FE2" w:rsidRPr="00725B29" w:rsidRDefault="001C6FE2" w:rsidP="007A6E7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:rsidR="00484A51" w:rsidRPr="007A6E79" w:rsidRDefault="00484A51" w:rsidP="00484A51">
      <w:pPr>
        <w:autoSpaceDE w:val="0"/>
        <w:autoSpaceDN w:val="0"/>
        <w:adjustRightInd w:val="0"/>
        <w:ind w:firstLine="567"/>
        <w:jc w:val="both"/>
      </w:pPr>
    </w:p>
    <w:p w:rsidR="00484A51" w:rsidRDefault="00484A51" w:rsidP="007A6E79">
      <w:pPr>
        <w:autoSpaceDE w:val="0"/>
        <w:autoSpaceDN w:val="0"/>
        <w:adjustRightInd w:val="0"/>
        <w:ind w:firstLine="680"/>
        <w:jc w:val="both"/>
      </w:pPr>
      <w:r w:rsidRPr="007A6E79">
        <w:t>Неисполнение бюджетных назначений на 9 323,0 тыс. руб.</w:t>
      </w:r>
      <w:r w:rsidR="007A6E79" w:rsidRPr="007A6E79">
        <w:t xml:space="preserve"> (3,7% от утвержденного объема бюджетных назначений)</w:t>
      </w:r>
      <w:r w:rsidRPr="007A6E79">
        <w:t xml:space="preserve"> согласно Сведениям об исполнении бюджета (ф. 0503164) и Пояснительной записке (ф. 0503160) обусловлено следующим:</w:t>
      </w:r>
    </w:p>
    <w:p w:rsidR="005E69B0" w:rsidRPr="005E69B0" w:rsidRDefault="005E69B0" w:rsidP="005E69B0">
      <w:pPr>
        <w:ind w:firstLine="680"/>
        <w:jc w:val="both"/>
      </w:pPr>
      <w:proofErr w:type="gramStart"/>
      <w:r w:rsidRPr="005E69B0">
        <w:t xml:space="preserve">- доведением лимитов бюджетных обязательств в меньших размерах по отношению к бюджетным </w:t>
      </w:r>
      <w:r w:rsidR="001F1E09">
        <w:t xml:space="preserve">назначениям </w:t>
      </w:r>
      <w:r w:rsidRPr="005E69B0">
        <w:t xml:space="preserve">на 858,5 тыс. руб., из которых субсидия на поощрение победителей конкурса </w:t>
      </w:r>
      <w:r w:rsidRPr="005E69B0">
        <w:rPr>
          <w:color w:val="000000"/>
        </w:rPr>
        <w:t>на лучшую организацию работы в представительных органах местного самоуправления</w:t>
      </w:r>
      <w:r w:rsidRPr="005E69B0">
        <w:t xml:space="preserve"> доведена </w:t>
      </w:r>
      <w:r w:rsidR="000A7096">
        <w:t>на 359,0 тыс. руб. меньше (</w:t>
      </w:r>
      <w:r w:rsidRPr="005E69B0">
        <w:t xml:space="preserve">постановлением Думы от 03.03.2016 № 28/1702 </w:t>
      </w:r>
      <w:r w:rsidR="000A7096">
        <w:t xml:space="preserve">утверждена </w:t>
      </w:r>
      <w:r w:rsidRPr="005E69B0">
        <w:t>в размере 2 609,0 тыс. руб.</w:t>
      </w:r>
      <w:r w:rsidR="001F1E09">
        <w:t>)</w:t>
      </w:r>
      <w:r w:rsidRPr="005E69B0">
        <w:t>;</w:t>
      </w:r>
      <w:proofErr w:type="gramEnd"/>
    </w:p>
    <w:p w:rsidR="001C6FE2" w:rsidRPr="007A6E79" w:rsidRDefault="001C6FE2" w:rsidP="007A6E79">
      <w:pPr>
        <w:autoSpaceDE w:val="0"/>
        <w:autoSpaceDN w:val="0"/>
        <w:adjustRightInd w:val="0"/>
        <w:ind w:firstLine="680"/>
        <w:jc w:val="both"/>
      </w:pPr>
      <w:r w:rsidRPr="005C7DE8">
        <w:t xml:space="preserve">- экономией по расходам на общую сумму 7 178,5 тыс. руб., из которых </w:t>
      </w:r>
      <w:r w:rsidR="005C7DE8" w:rsidRPr="005C7DE8">
        <w:t xml:space="preserve">2 476,3 тыс. руб. - по страховым взносам из фонда оплаты труда аппарата Думы и депутатов Думы (регресс); </w:t>
      </w:r>
      <w:r w:rsidRPr="005C7DE8">
        <w:t xml:space="preserve">1 742,4 тыс. руб. - по оплате труда помощников депутатов и выплате компенсационных выплат депутатам, исполняющим свои полномочия на непостоянной основе; </w:t>
      </w:r>
      <w:r w:rsidR="00597E5B" w:rsidRPr="005C7DE8">
        <w:t>1</w:t>
      </w:r>
      <w:r w:rsidR="005C7DE8" w:rsidRPr="005C7DE8">
        <w:t> </w:t>
      </w:r>
      <w:r w:rsidR="00597E5B" w:rsidRPr="005C7DE8">
        <w:t>28</w:t>
      </w:r>
      <w:r w:rsidR="005C7DE8" w:rsidRPr="005C7DE8">
        <w:t>2,4</w:t>
      </w:r>
      <w:r w:rsidR="00597E5B" w:rsidRPr="005C7DE8">
        <w:t xml:space="preserve"> </w:t>
      </w:r>
      <w:r w:rsidR="005E69B0" w:rsidRPr="005C7DE8">
        <w:t xml:space="preserve">тыс. руб. </w:t>
      </w:r>
      <w:r w:rsidRPr="005C7DE8">
        <w:t>- по оплате труда депутатов Думы</w:t>
      </w:r>
      <w:r w:rsidR="005E69B0" w:rsidRPr="005C7DE8">
        <w:t xml:space="preserve"> и</w:t>
      </w:r>
      <w:r w:rsidRPr="005C7DE8">
        <w:t xml:space="preserve"> аппарата Думы;</w:t>
      </w:r>
      <w:r w:rsidR="005C7DE8" w:rsidRPr="005C7DE8">
        <w:t xml:space="preserve"> 987,3 тыс. руб. - по оплате проезда в командировки (приобретались билеты эконом класса);</w:t>
      </w:r>
    </w:p>
    <w:p w:rsidR="001C6FE2" w:rsidRPr="005E69B0" w:rsidRDefault="001C6FE2" w:rsidP="007A6E79">
      <w:pPr>
        <w:autoSpaceDE w:val="0"/>
        <w:autoSpaceDN w:val="0"/>
        <w:adjustRightInd w:val="0"/>
        <w:ind w:firstLine="680"/>
        <w:jc w:val="both"/>
      </w:pPr>
      <w:proofErr w:type="gramStart"/>
      <w:r w:rsidRPr="005E69B0">
        <w:t xml:space="preserve">- </w:t>
      </w:r>
      <w:r w:rsidRPr="0074600D">
        <w:t>не исполнением принятых бюджетных обязательств в сумме 1 286,0 тыс. руб., из которых неисполненные принятые бюджетные обязательства, не отнесенные на кредиторскую задолженность</w:t>
      </w:r>
      <w:r w:rsidR="00195069">
        <w:t>,</w:t>
      </w:r>
      <w:r w:rsidRPr="0074600D">
        <w:t xml:space="preserve"> составили 1 048,0 тыс. руб. и сложились в основном по услугам связи в размере 941,1 тыс. руб.</w:t>
      </w:r>
      <w:r w:rsidR="004438A1">
        <w:t xml:space="preserve"> (исходя из фактически оказанных услуг)</w:t>
      </w:r>
      <w:r w:rsidRPr="0074600D">
        <w:t>, расходам на приобретение сувениров - 53,7 тыс. руб., расходам на приобретение материальных запасов - 36,3 тыс. рублей.</w:t>
      </w:r>
      <w:proofErr w:type="gramEnd"/>
    </w:p>
    <w:p w:rsidR="0074600D" w:rsidRDefault="001945E5" w:rsidP="001C6FE2">
      <w:pPr>
        <w:ind w:firstLine="680"/>
        <w:jc w:val="both"/>
      </w:pPr>
      <w:r w:rsidRPr="001945E5">
        <w:t>Согласно представленной Думой информации ф</w:t>
      </w:r>
      <w:r w:rsidR="001C6FE2" w:rsidRPr="001945E5">
        <w:t xml:space="preserve">онд оплаты труда </w:t>
      </w:r>
      <w:r w:rsidRPr="001945E5">
        <w:t xml:space="preserve">по аппарату и депутатам Думы сформирован </w:t>
      </w:r>
      <w:r w:rsidR="001C6FE2" w:rsidRPr="001945E5">
        <w:t xml:space="preserve">на 2016 год в размере </w:t>
      </w:r>
      <w:r>
        <w:t xml:space="preserve">133 990,8 тыс. рублей. </w:t>
      </w:r>
    </w:p>
    <w:p w:rsidR="001C6FE2" w:rsidRPr="009D11AE" w:rsidRDefault="001945E5" w:rsidP="00937135">
      <w:pPr>
        <w:ind w:firstLine="680"/>
        <w:jc w:val="both"/>
      </w:pPr>
      <w:proofErr w:type="gramStart"/>
      <w:r w:rsidRPr="001945E5">
        <w:t>Ф</w:t>
      </w:r>
      <w:r w:rsidR="001C6FE2" w:rsidRPr="001945E5">
        <w:t xml:space="preserve">актические расходы на оплату труда составили </w:t>
      </w:r>
      <w:r w:rsidRPr="001945E5">
        <w:t>129 783,0 тыс. руб.</w:t>
      </w:r>
      <w:r w:rsidR="0058695F">
        <w:t xml:space="preserve"> (</w:t>
      </w:r>
      <w:r w:rsidRPr="001945E5">
        <w:t>99,0% от утвержденных бюджетных назначений</w:t>
      </w:r>
      <w:r w:rsidR="0058695F">
        <w:t xml:space="preserve">), из которых произведены премиальные выплаты аппарату Думы в </w:t>
      </w:r>
      <w:r w:rsidR="0074600D">
        <w:t>размере</w:t>
      </w:r>
      <w:r w:rsidR="0058695F" w:rsidRPr="0058695F">
        <w:t xml:space="preserve"> </w:t>
      </w:r>
      <w:r w:rsidR="0058695F">
        <w:t>4 498,5 тыс. руб.</w:t>
      </w:r>
      <w:r w:rsidR="001C6FE2" w:rsidRPr="0058695F">
        <w:t>: премия по итогам года на основании Закона Волгоградской области от 10.11.2005 № 1114-ОД «О денежном содержании государственных гражданских служащих Волгоградской области»</w:t>
      </w:r>
      <w:r w:rsidR="00167913">
        <w:t xml:space="preserve"> </w:t>
      </w:r>
      <w:r w:rsidR="00276AF4">
        <w:t>-</w:t>
      </w:r>
      <w:r w:rsidR="001C6FE2" w:rsidRPr="0058695F">
        <w:t xml:space="preserve"> 3 794,4 тыс. руб.; единовременная выплата </w:t>
      </w:r>
      <w:r w:rsidR="00C67C0B">
        <w:t xml:space="preserve">к юбилейным датам </w:t>
      </w:r>
      <w:r w:rsidR="00276AF4">
        <w:t>-</w:t>
      </w:r>
      <w:r w:rsidR="001C6FE2" w:rsidRPr="0058695F">
        <w:t xml:space="preserve"> 89,3 тыс. руб</w:t>
      </w:r>
      <w:proofErr w:type="gramEnd"/>
      <w:r w:rsidR="001C6FE2" w:rsidRPr="0058695F">
        <w:t xml:space="preserve">.; материальная </w:t>
      </w:r>
      <w:r w:rsidR="001C6FE2" w:rsidRPr="00A80465">
        <w:t xml:space="preserve">помощь </w:t>
      </w:r>
      <w:r w:rsidR="00C67C0B">
        <w:t xml:space="preserve">- </w:t>
      </w:r>
      <w:r w:rsidR="00C67C0B" w:rsidRPr="0058695F">
        <w:t>614,8 тыс. рублей.</w:t>
      </w:r>
      <w:r w:rsidR="00937135">
        <w:t xml:space="preserve"> Выплат на премирование </w:t>
      </w:r>
      <w:r w:rsidR="001C6FE2" w:rsidRPr="00A80465">
        <w:t xml:space="preserve">за выполнение </w:t>
      </w:r>
      <w:r w:rsidR="00937135">
        <w:t>особо важных и сложных заданий не производилось.</w:t>
      </w:r>
    </w:p>
    <w:p w:rsidR="00937135" w:rsidRDefault="00937135" w:rsidP="004A5D8A">
      <w:pPr>
        <w:ind w:firstLine="709"/>
        <w:jc w:val="both"/>
      </w:pPr>
    </w:p>
    <w:p w:rsidR="004A5D8A" w:rsidRDefault="004A5D8A" w:rsidP="004A5D8A">
      <w:pPr>
        <w:ind w:firstLine="709"/>
        <w:jc w:val="both"/>
      </w:pPr>
      <w:r w:rsidRPr="006C3806">
        <w:lastRenderedPageBreak/>
        <w:t>Сравнительный анализ показателей исполнения расходов областного бюджета за 201</w:t>
      </w:r>
      <w:r>
        <w:t>5 и 2016</w:t>
      </w:r>
      <w:r w:rsidRPr="006C3806">
        <w:t xml:space="preserve"> год</w:t>
      </w:r>
      <w:r>
        <w:t>ы</w:t>
      </w:r>
      <w:r w:rsidRPr="006C3806">
        <w:t xml:space="preserve"> представлен в таблице.</w:t>
      </w:r>
    </w:p>
    <w:p w:rsidR="004A5D8A" w:rsidRPr="007602E3" w:rsidRDefault="004A5D8A" w:rsidP="004A5D8A">
      <w:pPr>
        <w:ind w:firstLine="709"/>
        <w:jc w:val="right"/>
        <w:rPr>
          <w:i/>
          <w:sz w:val="22"/>
          <w:szCs w:val="22"/>
        </w:rPr>
      </w:pPr>
      <w:r w:rsidRPr="007602E3">
        <w:rPr>
          <w:i/>
          <w:sz w:val="22"/>
          <w:szCs w:val="22"/>
        </w:rPr>
        <w:t>тыс. руб.</w:t>
      </w:r>
    </w:p>
    <w:tbl>
      <w:tblPr>
        <w:tblW w:w="9662" w:type="dxa"/>
        <w:tblInd w:w="85" w:type="dxa"/>
        <w:tblLayout w:type="fixed"/>
        <w:tblLook w:val="04A0"/>
      </w:tblPr>
      <w:tblGrid>
        <w:gridCol w:w="1060"/>
        <w:gridCol w:w="4917"/>
        <w:gridCol w:w="992"/>
        <w:gridCol w:w="992"/>
        <w:gridCol w:w="993"/>
        <w:gridCol w:w="708"/>
      </w:tblGrid>
      <w:tr w:rsidR="004A5D8A" w:rsidRPr="000E4406" w:rsidTr="007A6E79">
        <w:trPr>
          <w:trHeight w:val="270"/>
        </w:trPr>
        <w:tc>
          <w:tcPr>
            <w:tcW w:w="10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491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EAF1DD"/>
            <w:vAlign w:val="center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отклонение</w:t>
            </w:r>
          </w:p>
        </w:tc>
      </w:tr>
      <w:tr w:rsidR="004A5D8A" w:rsidRPr="000E4406" w:rsidTr="007A6E79">
        <w:trPr>
          <w:trHeight w:val="138"/>
        </w:trPr>
        <w:tc>
          <w:tcPr>
            <w:tcW w:w="10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D8A" w:rsidRPr="000E4406" w:rsidRDefault="004A5D8A" w:rsidP="007A6E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1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D8A" w:rsidRPr="000E4406" w:rsidRDefault="004A5D8A" w:rsidP="007A6E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D8A" w:rsidRPr="000E4406" w:rsidRDefault="004A5D8A" w:rsidP="007A6E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D8A" w:rsidRPr="000E4406" w:rsidRDefault="004A5D8A" w:rsidP="007A6E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4406">
              <w:rPr>
                <w:color w:val="000000"/>
                <w:sz w:val="18"/>
                <w:szCs w:val="18"/>
              </w:rPr>
              <w:t>абсолютн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F1DD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%</w:t>
            </w:r>
          </w:p>
        </w:tc>
      </w:tr>
      <w:tr w:rsidR="004A5D8A" w:rsidRPr="000E4406" w:rsidTr="007A6E79">
        <w:trPr>
          <w:trHeight w:val="270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8A" w:rsidRPr="000E4406" w:rsidRDefault="004A5D8A" w:rsidP="007A6E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44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8A" w:rsidRPr="000E4406" w:rsidRDefault="004A5D8A" w:rsidP="007A6E7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4406">
              <w:rPr>
                <w:b/>
                <w:bCs/>
                <w:color w:val="000000"/>
                <w:sz w:val="18"/>
                <w:szCs w:val="18"/>
              </w:rPr>
              <w:t>Расходы бюджета – всего: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b/>
                <w:bCs/>
                <w:sz w:val="20"/>
                <w:szCs w:val="20"/>
              </w:rPr>
            </w:pPr>
            <w:r w:rsidRPr="000E4406">
              <w:rPr>
                <w:b/>
                <w:bCs/>
                <w:sz w:val="20"/>
                <w:szCs w:val="20"/>
              </w:rPr>
              <w:t>259439,0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b/>
                <w:bCs/>
                <w:sz w:val="20"/>
                <w:szCs w:val="20"/>
              </w:rPr>
            </w:pPr>
            <w:r w:rsidRPr="000E4406">
              <w:rPr>
                <w:b/>
                <w:bCs/>
                <w:sz w:val="20"/>
                <w:szCs w:val="20"/>
              </w:rPr>
              <w:t>245698,5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color w:val="000000"/>
                <w:sz w:val="20"/>
                <w:szCs w:val="20"/>
              </w:rPr>
              <w:t>-13740,5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color w:val="000000"/>
                <w:sz w:val="20"/>
                <w:szCs w:val="20"/>
              </w:rPr>
              <w:t>-5,3</w:t>
            </w:r>
          </w:p>
        </w:tc>
      </w:tr>
      <w:tr w:rsidR="004A5D8A" w:rsidRPr="000E4406" w:rsidTr="007A6E79">
        <w:trPr>
          <w:trHeight w:val="282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E4406">
              <w:rPr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4406">
              <w:rPr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color w:val="000000"/>
                <w:sz w:val="20"/>
                <w:szCs w:val="20"/>
              </w:rPr>
              <w:t>234844,6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sz w:val="20"/>
                <w:szCs w:val="20"/>
              </w:rPr>
              <w:t>185841,0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color w:val="000000"/>
                <w:sz w:val="20"/>
                <w:szCs w:val="20"/>
              </w:rPr>
              <w:t>-49003,6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color w:val="000000"/>
                <w:sz w:val="20"/>
                <w:szCs w:val="20"/>
              </w:rPr>
              <w:t>-20,9</w:t>
            </w:r>
          </w:p>
        </w:tc>
      </w:tr>
      <w:tr w:rsidR="004A5D8A" w:rsidRPr="000E4406" w:rsidTr="007A6E79">
        <w:trPr>
          <w:trHeight w:val="760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>9000000010    900000001L    900000001К    900000001П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Обеспечение деятельности государственных органов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194835,7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147304,8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-47530,9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-24,4</w:t>
            </w:r>
          </w:p>
        </w:tc>
      </w:tr>
      <w:tr w:rsidR="004A5D8A" w:rsidRPr="000E4406" w:rsidTr="007A6E79">
        <w:trPr>
          <w:trHeight w:val="282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>9000000050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Председатель Волгоградской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3017,6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2964,0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-53,6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-1,8</w:t>
            </w:r>
          </w:p>
        </w:tc>
      </w:tr>
      <w:tr w:rsidR="004A5D8A" w:rsidRPr="000E4406" w:rsidTr="007A6E79">
        <w:trPr>
          <w:trHeight w:val="300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>9000000060   900000006К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Депутаты Волгоградской областной Думы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36844,8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35424,7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-1420,1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-3,9</w:t>
            </w:r>
          </w:p>
        </w:tc>
      </w:tr>
      <w:tr w:rsidR="004A5D8A" w:rsidRPr="000E4406" w:rsidTr="007A6E79">
        <w:trPr>
          <w:trHeight w:val="347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>9900080140   990008014К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146,5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147,0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4A5D8A" w:rsidRPr="000E4406" w:rsidTr="007A6E79">
        <w:trPr>
          <w:trHeight w:val="255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>9900080870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5D8A" w:rsidRPr="000E4406" w:rsidTr="007A6E79">
        <w:trPr>
          <w:trHeight w:val="215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E4406">
              <w:rPr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4406">
              <w:rPr>
                <w:b/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color w:val="000000"/>
                <w:sz w:val="20"/>
                <w:szCs w:val="20"/>
              </w:rPr>
              <w:t>24376,0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sz w:val="20"/>
                <w:szCs w:val="20"/>
              </w:rPr>
              <w:t>59552,4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color w:val="000000"/>
                <w:sz w:val="20"/>
                <w:szCs w:val="20"/>
              </w:rPr>
              <w:t>35176,4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color w:val="000000"/>
                <w:sz w:val="20"/>
                <w:szCs w:val="20"/>
              </w:rPr>
              <w:t>144,3</w:t>
            </w:r>
          </w:p>
        </w:tc>
      </w:tr>
      <w:tr w:rsidR="004A5D8A" w:rsidRPr="000E4406" w:rsidTr="007A6E79">
        <w:trPr>
          <w:trHeight w:val="815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 xml:space="preserve"> 9900011120    990001112К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 xml:space="preserve">Обеспечение деятельности депутатов Волгоградской областной Думы, для которых депутатская деятельность не является основной, а также </w:t>
            </w:r>
            <w:proofErr w:type="spellStart"/>
            <w:r w:rsidRPr="000E4406">
              <w:rPr>
                <w:color w:val="000000"/>
                <w:sz w:val="18"/>
                <w:szCs w:val="18"/>
              </w:rPr>
              <w:t>помощникоа</w:t>
            </w:r>
            <w:proofErr w:type="spellEnd"/>
            <w:r w:rsidRPr="000E4406">
              <w:rPr>
                <w:color w:val="000000"/>
                <w:sz w:val="18"/>
                <w:szCs w:val="18"/>
              </w:rPr>
              <w:t xml:space="preserve"> депутатов Волгоградской областной Думы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34656,8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34656,8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A5D8A" w:rsidRPr="000E4406" w:rsidTr="007A6E79">
        <w:trPr>
          <w:trHeight w:val="684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>9900021040  990002104К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Информирование населения о законотворческой деятельности по реализации приоритетных направлений социально-экономического развития Волгоградской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19364,5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19985,5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621,0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4A5D8A" w:rsidRPr="000E4406" w:rsidTr="007A6E79">
        <w:trPr>
          <w:trHeight w:val="566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>9900070070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Субсидии на поощрение победителей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2690,0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2609,0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-81,0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-3,0</w:t>
            </w:r>
          </w:p>
        </w:tc>
      </w:tr>
      <w:tr w:rsidR="004A5D8A" w:rsidRPr="000E4406" w:rsidTr="007A6E79">
        <w:trPr>
          <w:trHeight w:val="362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 xml:space="preserve">9900080010   990008001К 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Поощрения за особые заслуги перед Волгоградской областью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2321,5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2301,1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-20,4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color w:val="000000"/>
                <w:sz w:val="20"/>
                <w:szCs w:val="20"/>
              </w:rPr>
            </w:pPr>
            <w:r w:rsidRPr="000E4406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4A5D8A" w:rsidRPr="000E4406" w:rsidTr="007A6E79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D8A" w:rsidRPr="000E4406" w:rsidRDefault="004A5D8A" w:rsidP="007A6E7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E4406">
              <w:rPr>
                <w:b/>
                <w:bCs/>
                <w:i/>
                <w:iCs/>
                <w:color w:val="000000"/>
                <w:sz w:val="16"/>
                <w:szCs w:val="16"/>
              </w:rPr>
              <w:t>0705</w:t>
            </w:r>
          </w:p>
          <w:p w:rsidR="004A5D8A" w:rsidRPr="000E4406" w:rsidRDefault="004A5D8A" w:rsidP="007A6E7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>9900020060</w:t>
            </w:r>
          </w:p>
        </w:tc>
        <w:tc>
          <w:tcPr>
            <w:tcW w:w="491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4A5D8A" w:rsidRPr="000E4406" w:rsidRDefault="004A5D8A" w:rsidP="007A6E7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440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5D8A" w:rsidRPr="000E4406" w:rsidRDefault="004A5D8A" w:rsidP="007A6E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color w:val="000000"/>
                <w:sz w:val="20"/>
                <w:szCs w:val="20"/>
              </w:rPr>
              <w:t>218,4</w:t>
            </w:r>
          </w:p>
          <w:p w:rsidR="004A5D8A" w:rsidRPr="000E4406" w:rsidRDefault="004A5D8A" w:rsidP="007A6E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5D8A" w:rsidRPr="000E4406" w:rsidRDefault="004A5D8A" w:rsidP="007A6E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color w:val="000000"/>
                <w:sz w:val="20"/>
                <w:szCs w:val="20"/>
              </w:rPr>
              <w:t>305,1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5D8A" w:rsidRPr="000E4406" w:rsidRDefault="004A5D8A" w:rsidP="007A6E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4A5D8A" w:rsidRPr="000E4406" w:rsidRDefault="004A5D8A" w:rsidP="007A6E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color w:val="000000"/>
                <w:sz w:val="20"/>
                <w:szCs w:val="20"/>
              </w:rPr>
              <w:t>39,7</w:t>
            </w:r>
          </w:p>
        </w:tc>
      </w:tr>
      <w:tr w:rsidR="004A5D8A" w:rsidRPr="000E4406" w:rsidTr="007A6E79">
        <w:trPr>
          <w:trHeight w:val="25"/>
        </w:trPr>
        <w:tc>
          <w:tcPr>
            <w:tcW w:w="1060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D8A" w:rsidRPr="000E4406" w:rsidRDefault="004A5D8A" w:rsidP="007A6E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D8A" w:rsidRPr="000E4406" w:rsidRDefault="004A5D8A" w:rsidP="007A6E7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D8A" w:rsidRPr="000E4406" w:rsidRDefault="004A5D8A" w:rsidP="007A6E7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D8A" w:rsidRPr="000E4406" w:rsidRDefault="004A5D8A" w:rsidP="007A6E7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5D8A" w:rsidRPr="000E4406" w:rsidRDefault="004A5D8A" w:rsidP="007A6E7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74600D" w:rsidRDefault="0074600D" w:rsidP="004A5D8A">
      <w:pPr>
        <w:pStyle w:val="afd"/>
        <w:ind w:firstLine="540"/>
        <w:jc w:val="both"/>
        <w:rPr>
          <w:sz w:val="24"/>
          <w:szCs w:val="24"/>
        </w:rPr>
      </w:pPr>
    </w:p>
    <w:p w:rsidR="004A5D8A" w:rsidRPr="001B1F70" w:rsidRDefault="004A5D8A" w:rsidP="0074600D">
      <w:pPr>
        <w:pStyle w:val="afd"/>
        <w:ind w:firstLine="680"/>
        <w:jc w:val="both"/>
        <w:rPr>
          <w:sz w:val="24"/>
          <w:szCs w:val="24"/>
        </w:rPr>
      </w:pPr>
      <w:r w:rsidRPr="001B1F70">
        <w:rPr>
          <w:sz w:val="24"/>
          <w:szCs w:val="24"/>
        </w:rPr>
        <w:t>В целом расходы Думы в 2016 году по сравнению с 2015 годом уменьшились на 13 740,5 тыс. руб.</w:t>
      </w:r>
      <w:r>
        <w:rPr>
          <w:sz w:val="24"/>
          <w:szCs w:val="24"/>
        </w:rPr>
        <w:t xml:space="preserve"> (-</w:t>
      </w:r>
      <w:r w:rsidRPr="001B1F70">
        <w:rPr>
          <w:sz w:val="24"/>
          <w:szCs w:val="24"/>
        </w:rPr>
        <w:t>5,3</w:t>
      </w:r>
      <w:r>
        <w:rPr>
          <w:sz w:val="24"/>
          <w:szCs w:val="24"/>
        </w:rPr>
        <w:t>%).</w:t>
      </w:r>
      <w:r w:rsidRPr="001B1F70">
        <w:rPr>
          <w:sz w:val="24"/>
          <w:szCs w:val="24"/>
        </w:rPr>
        <w:t xml:space="preserve"> Наибольшее сокращение расходов произошло на обеспечение деятельности государственного органа</w:t>
      </w:r>
      <w:r w:rsidR="002F3F01">
        <w:rPr>
          <w:sz w:val="24"/>
          <w:szCs w:val="24"/>
        </w:rPr>
        <w:t xml:space="preserve"> -</w:t>
      </w:r>
      <w:r w:rsidRPr="001B1F70">
        <w:rPr>
          <w:sz w:val="24"/>
          <w:szCs w:val="24"/>
        </w:rPr>
        <w:t xml:space="preserve"> с учетом расходов на обеспечение деятельности депутатов Думы, </w:t>
      </w:r>
      <w:r w:rsidR="00B02E5C">
        <w:rPr>
          <w:sz w:val="24"/>
          <w:szCs w:val="24"/>
        </w:rPr>
        <w:t xml:space="preserve">для которых депутатская деятельность не является основной, </w:t>
      </w:r>
      <w:r w:rsidRPr="001B1F70">
        <w:rPr>
          <w:sz w:val="24"/>
          <w:szCs w:val="24"/>
        </w:rPr>
        <w:t>а также  помощников</w:t>
      </w:r>
      <w:r w:rsidR="00B02E5C">
        <w:rPr>
          <w:sz w:val="24"/>
          <w:szCs w:val="24"/>
        </w:rPr>
        <w:t xml:space="preserve"> депутатов</w:t>
      </w:r>
      <w:r w:rsidRPr="001B1F70">
        <w:rPr>
          <w:sz w:val="24"/>
          <w:szCs w:val="24"/>
        </w:rPr>
        <w:t xml:space="preserve"> оно сост</w:t>
      </w:r>
      <w:r>
        <w:rPr>
          <w:sz w:val="24"/>
          <w:szCs w:val="24"/>
        </w:rPr>
        <w:t>авило 12 874,1 тыс. руб. (-6,6%).</w:t>
      </w:r>
    </w:p>
    <w:p w:rsidR="004A5D8A" w:rsidRDefault="004A5D8A" w:rsidP="0074600D">
      <w:pPr>
        <w:pStyle w:val="afd"/>
        <w:ind w:firstLine="680"/>
        <w:jc w:val="both"/>
        <w:rPr>
          <w:sz w:val="24"/>
          <w:szCs w:val="24"/>
        </w:rPr>
      </w:pPr>
      <w:proofErr w:type="gramStart"/>
      <w:r w:rsidRPr="001B1F70">
        <w:rPr>
          <w:sz w:val="24"/>
          <w:szCs w:val="24"/>
        </w:rPr>
        <w:t>Рост расходов отмечается по статье «Информирование населения о законотворческой деятельности по реализации приоритетных направлений социально-экономического развития Волгоградской области»</w:t>
      </w:r>
      <w:r>
        <w:rPr>
          <w:sz w:val="24"/>
          <w:szCs w:val="24"/>
        </w:rPr>
        <w:t xml:space="preserve"> на 621,0 тыс. руб. (+3,2%), что связано с исполнением в полном объеме утвержденных бюджетных назначений на 2016 год (19 985,5 тыс. руб. с учетом обязательств прошлых лет в размере 366,5 тыс. руб.), в 2015 году неисполнение бюджетных назначений составило 635,5 тыс. рублей.</w:t>
      </w:r>
      <w:proofErr w:type="gramEnd"/>
    </w:p>
    <w:p w:rsidR="004A5D8A" w:rsidRDefault="004A5D8A" w:rsidP="004A5D8A">
      <w:pPr>
        <w:pStyle w:val="afd"/>
        <w:ind w:firstLine="540"/>
        <w:jc w:val="both"/>
        <w:rPr>
          <w:sz w:val="24"/>
          <w:szCs w:val="24"/>
        </w:rPr>
      </w:pPr>
    </w:p>
    <w:p w:rsidR="00714F3D" w:rsidRPr="00BB04F7" w:rsidRDefault="00714F3D" w:rsidP="00714F3D">
      <w:pPr>
        <w:jc w:val="center"/>
        <w:rPr>
          <w:b/>
        </w:rPr>
      </w:pPr>
      <w:r w:rsidRPr="00BB04F7">
        <w:rPr>
          <w:b/>
        </w:rPr>
        <w:t>Динамика изменения дебиторской и кредиторской задолженностей</w:t>
      </w:r>
    </w:p>
    <w:p w:rsidR="00714F3D" w:rsidRPr="00BB04F7" w:rsidRDefault="00714F3D" w:rsidP="00714F3D">
      <w:pPr>
        <w:ind w:firstLine="720"/>
        <w:jc w:val="both"/>
        <w:rPr>
          <w:i/>
          <w:u w:val="single"/>
        </w:rPr>
      </w:pPr>
      <w:r w:rsidRPr="00BB04F7">
        <w:rPr>
          <w:i/>
          <w:u w:val="single"/>
        </w:rPr>
        <w:t>Состояние дебиторской задолженности</w:t>
      </w:r>
    </w:p>
    <w:p w:rsidR="00BB04F7" w:rsidRDefault="00BB04F7" w:rsidP="00BB04F7">
      <w:pPr>
        <w:ind w:firstLine="680"/>
        <w:jc w:val="both"/>
        <w:rPr>
          <w:rFonts w:eastAsia="Calibri"/>
        </w:rPr>
      </w:pPr>
      <w:r w:rsidRPr="00BB04F7">
        <w:rPr>
          <w:rFonts w:eastAsia="Calibri"/>
        </w:rPr>
        <w:t>Дебиторская задолженность Думы на 31.12</w:t>
      </w:r>
      <w:r>
        <w:rPr>
          <w:rFonts w:eastAsia="Calibri"/>
        </w:rPr>
        <w:t xml:space="preserve">.2016 составила 519,5 тыс. руб. и увеличилась в течение года </w:t>
      </w:r>
      <w:r w:rsidRPr="00034831">
        <w:rPr>
          <w:rFonts w:eastAsia="Calibri"/>
        </w:rPr>
        <w:t>на 43,7 тыс. руб.</w:t>
      </w:r>
      <w:r>
        <w:rPr>
          <w:rFonts w:eastAsia="Calibri"/>
        </w:rPr>
        <w:t xml:space="preserve"> (+ 9,2%). </w:t>
      </w:r>
    </w:p>
    <w:p w:rsidR="00BB04F7" w:rsidRDefault="00BB04F7" w:rsidP="00BB04F7">
      <w:pPr>
        <w:ind w:firstLine="680"/>
        <w:jc w:val="both"/>
        <w:rPr>
          <w:rFonts w:eastAsia="Calibri"/>
        </w:rPr>
      </w:pPr>
      <w:r>
        <w:rPr>
          <w:rFonts w:eastAsia="Calibri"/>
        </w:rPr>
        <w:t xml:space="preserve">Основная сумма задолженности приходится на расчеты по выданным авансам - 262,9 тыс. руб. (за услуги связи, </w:t>
      </w:r>
      <w:r w:rsidRPr="00194E63">
        <w:rPr>
          <w:rFonts w:eastAsia="Calibri"/>
        </w:rPr>
        <w:t xml:space="preserve">на </w:t>
      </w:r>
      <w:proofErr w:type="spellStart"/>
      <w:r w:rsidRPr="00194E63">
        <w:rPr>
          <w:rFonts w:eastAsia="Calibri"/>
        </w:rPr>
        <w:t>франкирование</w:t>
      </w:r>
      <w:proofErr w:type="spellEnd"/>
      <w:r>
        <w:rPr>
          <w:rFonts w:eastAsia="Calibri"/>
        </w:rPr>
        <w:t xml:space="preserve"> почты и отправку телеграмм, по переподготовке сотрудников </w:t>
      </w:r>
      <w:r w:rsidR="002F3F01">
        <w:rPr>
          <w:rFonts w:eastAsia="Calibri"/>
        </w:rPr>
        <w:t>а</w:t>
      </w:r>
      <w:r>
        <w:rPr>
          <w:rFonts w:eastAsia="Calibri"/>
        </w:rPr>
        <w:t>ппарата</w:t>
      </w:r>
      <w:r w:rsidR="002F3F01">
        <w:rPr>
          <w:rFonts w:eastAsia="Calibri"/>
        </w:rPr>
        <w:t xml:space="preserve"> Думы</w:t>
      </w:r>
      <w:r>
        <w:rPr>
          <w:rFonts w:eastAsia="Calibri"/>
        </w:rPr>
        <w:t xml:space="preserve">) и расчеты по платежам в бюджеты - 253,4 тыс. руб. (задолженность </w:t>
      </w:r>
      <w:r w:rsidRPr="00F9194C">
        <w:t>фонда социального страхования</w:t>
      </w:r>
      <w:r w:rsidRPr="00F9194C">
        <w:rPr>
          <w:rFonts w:eastAsia="Calibri"/>
        </w:rPr>
        <w:t>)</w:t>
      </w:r>
      <w:r>
        <w:rPr>
          <w:rFonts w:eastAsia="Calibri"/>
        </w:rPr>
        <w:t>.</w:t>
      </w:r>
    </w:p>
    <w:p w:rsidR="0010130C" w:rsidRDefault="0010130C" w:rsidP="00714F3D">
      <w:pPr>
        <w:ind w:firstLine="720"/>
        <w:jc w:val="both"/>
        <w:rPr>
          <w:i/>
          <w:u w:val="single"/>
        </w:rPr>
      </w:pPr>
    </w:p>
    <w:p w:rsidR="00714F3D" w:rsidRPr="00FB12C1" w:rsidRDefault="00714F3D" w:rsidP="00714F3D">
      <w:pPr>
        <w:ind w:firstLine="720"/>
        <w:jc w:val="both"/>
        <w:rPr>
          <w:i/>
          <w:u w:val="single"/>
        </w:rPr>
      </w:pPr>
      <w:r w:rsidRPr="00FB12C1">
        <w:rPr>
          <w:i/>
          <w:u w:val="single"/>
        </w:rPr>
        <w:lastRenderedPageBreak/>
        <w:t>Состояние кредиторской задолженности</w:t>
      </w:r>
    </w:p>
    <w:p w:rsidR="00FB12C1" w:rsidRPr="00FB12C1" w:rsidRDefault="00FB12C1" w:rsidP="00FB12C1">
      <w:pPr>
        <w:ind w:firstLine="680"/>
        <w:jc w:val="both"/>
        <w:rPr>
          <w:rFonts w:eastAsia="Calibri"/>
        </w:rPr>
      </w:pPr>
      <w:r w:rsidRPr="00FB12C1">
        <w:rPr>
          <w:rFonts w:eastAsia="Calibri"/>
        </w:rPr>
        <w:t>Кредиторская задолженность Думы на 31.12.2016 составила 248,1 тыс. руб. и снизилась за год на 2 124,1 тыс. руб. (-89,5%).</w:t>
      </w:r>
    </w:p>
    <w:p w:rsidR="00004767" w:rsidRPr="00530751" w:rsidRDefault="00D54499" w:rsidP="00004767">
      <w:pPr>
        <w:ind w:firstLine="680"/>
        <w:jc w:val="both"/>
      </w:pPr>
      <w:r w:rsidRPr="00FB12C1">
        <w:rPr>
          <w:rFonts w:eastAsia="Calibri"/>
        </w:rPr>
        <w:t>Наибольшую долю в общей сумме задолженности занима</w:t>
      </w:r>
      <w:r w:rsidR="005A66F1" w:rsidRPr="00FB12C1">
        <w:rPr>
          <w:rFonts w:eastAsia="Calibri"/>
        </w:rPr>
        <w:t>е</w:t>
      </w:r>
      <w:r w:rsidRPr="00FB12C1">
        <w:rPr>
          <w:rFonts w:eastAsia="Calibri"/>
        </w:rPr>
        <w:t xml:space="preserve">т </w:t>
      </w:r>
      <w:r w:rsidR="005A66F1" w:rsidRPr="00FB12C1">
        <w:rPr>
          <w:rFonts w:eastAsia="Calibri"/>
        </w:rPr>
        <w:t xml:space="preserve">задолженность </w:t>
      </w:r>
      <w:r w:rsidRPr="00FB12C1">
        <w:rPr>
          <w:rFonts w:eastAsia="Calibri"/>
        </w:rPr>
        <w:t xml:space="preserve">по принятым обязательствам </w:t>
      </w:r>
      <w:r w:rsidR="00004767">
        <w:rPr>
          <w:rFonts w:eastAsia="Calibri"/>
        </w:rPr>
        <w:t xml:space="preserve">- </w:t>
      </w:r>
      <w:r w:rsidR="00FB12C1" w:rsidRPr="00FB12C1">
        <w:rPr>
          <w:rFonts w:eastAsia="Calibri"/>
        </w:rPr>
        <w:t>205,0</w:t>
      </w:r>
      <w:r w:rsidRPr="00FB12C1">
        <w:rPr>
          <w:rFonts w:eastAsia="Calibri"/>
        </w:rPr>
        <w:t xml:space="preserve"> тыс. руб.</w:t>
      </w:r>
      <w:r w:rsidR="00004767">
        <w:rPr>
          <w:rFonts w:eastAsia="Calibri"/>
        </w:rPr>
        <w:t xml:space="preserve">, из которой </w:t>
      </w:r>
      <w:r w:rsidR="00004767">
        <w:t xml:space="preserve">167,2 </w:t>
      </w:r>
      <w:r w:rsidR="00004767" w:rsidRPr="00530751">
        <w:t xml:space="preserve">тыс. руб. - за услуги связи, 21,0 тыс. руб. </w:t>
      </w:r>
      <w:r w:rsidR="00004767">
        <w:t>-</w:t>
      </w:r>
      <w:r w:rsidR="00004767" w:rsidRPr="00530751">
        <w:t xml:space="preserve"> за услуги по приему и обслуживанию делегаций</w:t>
      </w:r>
      <w:r w:rsidR="00004767">
        <w:t>. Указанная задолженность образовалась по причине того, что платежные документы по оплате бюджетных обязательств поступили после 26 декабря 2016 года.</w:t>
      </w:r>
    </w:p>
    <w:p w:rsidR="00BB04F7" w:rsidRPr="00194E63" w:rsidRDefault="00BB04F7" w:rsidP="00BB04F7">
      <w:pPr>
        <w:ind w:firstLine="680"/>
        <w:jc w:val="both"/>
      </w:pPr>
      <w:r w:rsidRPr="00194E63">
        <w:t>Согласно «Сведениям по дебиторской и кредиторской задолженности» (ф.0503169) просроченная и долгосрочная задолженности</w:t>
      </w:r>
      <w:r w:rsidR="00B74D97">
        <w:t xml:space="preserve"> на конец года</w:t>
      </w:r>
      <w:r w:rsidRPr="00194E63">
        <w:t xml:space="preserve"> отсутствовали.</w:t>
      </w:r>
    </w:p>
    <w:p w:rsidR="00BB04F7" w:rsidRDefault="00BB04F7" w:rsidP="005A66F1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color w:val="76923C" w:themeColor="accent3" w:themeShade="BF"/>
          <w:highlight w:val="yellow"/>
          <w:lang w:eastAsia="en-US"/>
        </w:rPr>
      </w:pPr>
    </w:p>
    <w:p w:rsidR="004B505E" w:rsidRPr="002455F9" w:rsidRDefault="004B505E" w:rsidP="00FE3CA9">
      <w:pPr>
        <w:ind w:firstLine="709"/>
        <w:jc w:val="both"/>
        <w:rPr>
          <w:b/>
          <w:i/>
        </w:rPr>
      </w:pPr>
      <w:r w:rsidRPr="002455F9">
        <w:rPr>
          <w:b/>
          <w:i/>
        </w:rPr>
        <w:t>Выводы:</w:t>
      </w:r>
    </w:p>
    <w:p w:rsidR="00B42F92" w:rsidRPr="00B42F92" w:rsidRDefault="00C10D97" w:rsidP="009A1194">
      <w:pPr>
        <w:pStyle w:val="afb"/>
        <w:numPr>
          <w:ilvl w:val="0"/>
          <w:numId w:val="2"/>
        </w:numPr>
        <w:ind w:left="0" w:firstLine="680"/>
        <w:jc w:val="both"/>
        <w:rPr>
          <w:i/>
        </w:rPr>
      </w:pPr>
      <w:r w:rsidRPr="00B42F92">
        <w:t>П</w:t>
      </w:r>
      <w:r w:rsidR="00D21D4D" w:rsidRPr="00B42F92">
        <w:t xml:space="preserve">роверкой бюджетной отчетности установлены </w:t>
      </w:r>
      <w:r w:rsidR="002F3F01">
        <w:t>факты</w:t>
      </w:r>
      <w:r w:rsidR="003046BA" w:rsidRPr="00B42F92">
        <w:t xml:space="preserve"> неправильного заполнения </w:t>
      </w:r>
      <w:r w:rsidR="00B42F92" w:rsidRPr="00B42F92">
        <w:t xml:space="preserve">Отчета о бюджетных </w:t>
      </w:r>
      <w:r w:rsidR="003046BA" w:rsidRPr="00B42F92">
        <w:t xml:space="preserve">обязательствах (ф.0503128) и </w:t>
      </w:r>
      <w:r w:rsidRPr="00B42F92">
        <w:rPr>
          <w:rFonts w:eastAsiaTheme="minorHAnsi"/>
          <w:lang w:eastAsia="en-US"/>
        </w:rPr>
        <w:t>Сведений по дебиторской и кредиторской задолженности (ф. 0503169)</w:t>
      </w:r>
      <w:r w:rsidR="00B42F92" w:rsidRPr="00B42F92">
        <w:rPr>
          <w:rFonts w:eastAsiaTheme="minorHAnsi"/>
          <w:lang w:eastAsia="en-US"/>
        </w:rPr>
        <w:t>. В ходе проверки внесены исправления в указанные формы отчетности.</w:t>
      </w:r>
    </w:p>
    <w:p w:rsidR="008D575E" w:rsidRDefault="008B7F10" w:rsidP="009A1194">
      <w:pPr>
        <w:pStyle w:val="afb"/>
        <w:numPr>
          <w:ilvl w:val="0"/>
          <w:numId w:val="2"/>
        </w:numPr>
        <w:ind w:left="0" w:firstLine="680"/>
        <w:jc w:val="both"/>
      </w:pPr>
      <w:r w:rsidRPr="003A7431">
        <w:t>Проверкой установлен</w:t>
      </w:r>
      <w:r w:rsidR="008D575E" w:rsidRPr="003A7431">
        <w:t xml:space="preserve">ы случаи неведения </w:t>
      </w:r>
      <w:r w:rsidR="00823C72">
        <w:t xml:space="preserve">Думой </w:t>
      </w:r>
      <w:r w:rsidR="008D575E" w:rsidRPr="003A7431">
        <w:t xml:space="preserve">аналитического учета по отдельным счетам, </w:t>
      </w:r>
      <w:r w:rsidR="00B42F92">
        <w:t>что</w:t>
      </w:r>
      <w:r w:rsidR="00195069">
        <w:t>,</w:t>
      </w:r>
      <w:r w:rsidR="00B42F92">
        <w:t xml:space="preserve"> в том числе привело к неправильному составлению бюджетной отчетности, а </w:t>
      </w:r>
      <w:r w:rsidR="008D575E" w:rsidRPr="003A7431">
        <w:t>именно:</w:t>
      </w:r>
    </w:p>
    <w:p w:rsidR="00047BC3" w:rsidRDefault="00823C72" w:rsidP="00823C72">
      <w:pPr>
        <w:ind w:firstLine="680"/>
        <w:jc w:val="both"/>
      </w:pPr>
      <w:r>
        <w:t xml:space="preserve">- не велся </w:t>
      </w:r>
      <w:r w:rsidRPr="00823C72">
        <w:rPr>
          <w:rFonts w:eastAsiaTheme="minorHAnsi"/>
        </w:rPr>
        <w:t xml:space="preserve">аналитический учет на </w:t>
      </w:r>
      <w:proofErr w:type="spellStart"/>
      <w:r w:rsidRPr="00823C72">
        <w:rPr>
          <w:rFonts w:eastAsiaTheme="minorHAnsi"/>
        </w:rPr>
        <w:t>забалансовых</w:t>
      </w:r>
      <w:proofErr w:type="spellEnd"/>
      <w:r w:rsidRPr="00823C72">
        <w:rPr>
          <w:rFonts w:eastAsiaTheme="minorHAnsi"/>
        </w:rPr>
        <w:t xml:space="preserve"> счетах 17 «Поступления денежных средств» и 18 «Выбытия денежных средств», чем не соблюдены </w:t>
      </w:r>
      <w:proofErr w:type="gramStart"/>
      <w:r w:rsidRPr="00823C72">
        <w:rPr>
          <w:rFonts w:eastAsiaTheme="minorHAnsi"/>
        </w:rPr>
        <w:t>ч</w:t>
      </w:r>
      <w:proofErr w:type="gramEnd"/>
      <w:r w:rsidRPr="00823C72">
        <w:rPr>
          <w:rFonts w:eastAsiaTheme="minorHAnsi"/>
        </w:rPr>
        <w:t xml:space="preserve">.1 ст. 30 </w:t>
      </w:r>
      <w:r w:rsidRPr="000224A8">
        <w:t>Закон</w:t>
      </w:r>
      <w:r>
        <w:t>а о бухгалтерском учете</w:t>
      </w:r>
      <w:r w:rsidRPr="000224A8">
        <w:t xml:space="preserve">, </w:t>
      </w:r>
      <w:r w:rsidRPr="00823C72">
        <w:rPr>
          <w:rFonts w:eastAsiaTheme="minorHAnsi"/>
          <w:lang w:eastAsia="en-US"/>
        </w:rPr>
        <w:t>п.п. 365</w:t>
      </w:r>
      <w:r w:rsidR="00047BC3">
        <w:rPr>
          <w:rFonts w:eastAsiaTheme="minorHAnsi"/>
          <w:lang w:eastAsia="en-US"/>
        </w:rPr>
        <w:t xml:space="preserve"> и</w:t>
      </w:r>
      <w:r w:rsidRPr="00823C72">
        <w:rPr>
          <w:rFonts w:eastAsiaTheme="minorHAnsi"/>
          <w:lang w:eastAsia="en-US"/>
        </w:rPr>
        <w:t xml:space="preserve"> 367 </w:t>
      </w:r>
      <w:r w:rsidRPr="000224A8">
        <w:t>Инструкции № 157н</w:t>
      </w:r>
      <w:r w:rsidRPr="00823C72">
        <w:rPr>
          <w:rFonts w:eastAsiaTheme="minorHAnsi"/>
        </w:rPr>
        <w:t>, п.п. 2</w:t>
      </w:r>
      <w:r w:rsidR="00047BC3">
        <w:rPr>
          <w:rFonts w:eastAsiaTheme="minorHAnsi"/>
        </w:rPr>
        <w:t xml:space="preserve"> и</w:t>
      </w:r>
      <w:r w:rsidRPr="00823C72">
        <w:rPr>
          <w:rFonts w:eastAsiaTheme="minorHAnsi"/>
        </w:rPr>
        <w:t xml:space="preserve"> 152</w:t>
      </w:r>
      <w:r w:rsidRPr="00823C72">
        <w:rPr>
          <w:rFonts w:eastAsiaTheme="minorHAnsi"/>
          <w:lang w:eastAsia="en-US"/>
        </w:rPr>
        <w:t xml:space="preserve"> </w:t>
      </w:r>
      <w:r w:rsidRPr="00595EFC">
        <w:t>Инструкции №162н</w:t>
      </w:r>
      <w:r>
        <w:t>.</w:t>
      </w:r>
      <w:r w:rsidRPr="00823C72">
        <w:rPr>
          <w:rFonts w:eastAsiaTheme="minorHAnsi"/>
          <w:lang w:eastAsia="en-US"/>
        </w:rPr>
        <w:t xml:space="preserve"> </w:t>
      </w:r>
      <w:r w:rsidRPr="00823C72">
        <w:rPr>
          <w:rFonts w:eastAsiaTheme="minorHAnsi"/>
        </w:rPr>
        <w:t xml:space="preserve">Соответственно в нарушение п. 20 Инструкции № 191н в Справке о наличии имущества и обязательств на </w:t>
      </w:r>
      <w:proofErr w:type="spellStart"/>
      <w:r w:rsidRPr="00823C72">
        <w:rPr>
          <w:rFonts w:eastAsiaTheme="minorHAnsi"/>
        </w:rPr>
        <w:t>забалансовых</w:t>
      </w:r>
      <w:proofErr w:type="spellEnd"/>
      <w:r w:rsidRPr="00823C72">
        <w:rPr>
          <w:rFonts w:eastAsiaTheme="minorHAnsi"/>
        </w:rPr>
        <w:t xml:space="preserve"> счетах в составе Баланса (ф. 0503130) не отражены данные по указанным счетам. </w:t>
      </w:r>
      <w:r>
        <w:t xml:space="preserve">В ходе проверки Думой открыты </w:t>
      </w:r>
      <w:proofErr w:type="spellStart"/>
      <w:r>
        <w:t>забалансовые</w:t>
      </w:r>
      <w:proofErr w:type="spellEnd"/>
      <w:r>
        <w:t xml:space="preserve"> счета и внесены исправления в названную форму отчетности</w:t>
      </w:r>
      <w:r w:rsidR="00047BC3">
        <w:t>;</w:t>
      </w:r>
    </w:p>
    <w:p w:rsidR="003A7431" w:rsidRDefault="008D575E" w:rsidP="003A7431">
      <w:pPr>
        <w:ind w:firstLine="680"/>
        <w:jc w:val="both"/>
        <w:rPr>
          <w:rFonts w:eastAsiaTheme="minorHAnsi"/>
          <w:iCs/>
          <w:lang w:eastAsia="en-US"/>
        </w:rPr>
      </w:pPr>
      <w:r w:rsidRPr="003A7431">
        <w:t xml:space="preserve">- </w:t>
      </w:r>
      <w:r w:rsidR="003A7431" w:rsidRPr="003A7431">
        <w:t xml:space="preserve">в нарушение </w:t>
      </w:r>
      <w:r w:rsidR="00DE02A3" w:rsidRPr="003A7431">
        <w:t xml:space="preserve">п. </w:t>
      </w:r>
      <w:r w:rsidR="000B740A" w:rsidRPr="003A7431">
        <w:t xml:space="preserve">150 Инструкции </w:t>
      </w:r>
      <w:r w:rsidR="00DE02A3" w:rsidRPr="003A7431">
        <w:t>№ 162н</w:t>
      </w:r>
      <w:r w:rsidR="003A7431" w:rsidRPr="003A7431">
        <w:t xml:space="preserve"> </w:t>
      </w:r>
      <w:r w:rsidR="003A7431">
        <w:t>и</w:t>
      </w:r>
      <w:r w:rsidR="003A7431" w:rsidRPr="00EE23F1">
        <w:t xml:space="preserve"> п. 324</w:t>
      </w:r>
      <w:r w:rsidR="003A7431" w:rsidRPr="00BA17CD">
        <w:rPr>
          <w:i/>
        </w:rPr>
        <w:t xml:space="preserve"> </w:t>
      </w:r>
      <w:r w:rsidR="003A7431" w:rsidRPr="00EE23F1">
        <w:t>Инструкции № 157н</w:t>
      </w:r>
      <w:r w:rsidR="00DE02A3" w:rsidRPr="003A7431">
        <w:t xml:space="preserve"> </w:t>
      </w:r>
      <w:r w:rsidRPr="003A7431">
        <w:t>не использовал</w:t>
      </w:r>
      <w:r w:rsidR="003A7431">
        <w:t>ись счета</w:t>
      </w:r>
      <w:r w:rsidR="00B11051">
        <w:t xml:space="preserve"> 050400</w:t>
      </w:r>
      <w:r w:rsidR="00DE02A3" w:rsidRPr="003A7431">
        <w:t>000 «Сметные (плановые, прогнозные) назначения»</w:t>
      </w:r>
      <w:r w:rsidR="003A7431">
        <w:t xml:space="preserve"> и</w:t>
      </w:r>
      <w:r w:rsidR="00DE02A3" w:rsidRPr="003A7431">
        <w:t xml:space="preserve"> </w:t>
      </w:r>
      <w:r w:rsidR="003A7431" w:rsidRPr="00BA17CD">
        <w:rPr>
          <w:rFonts w:eastAsiaTheme="minorHAnsi"/>
          <w:iCs/>
          <w:lang w:eastAsia="en-US"/>
        </w:rPr>
        <w:t>050700000 «Утвержденный объем финансового обеспечения»</w:t>
      </w:r>
      <w:r w:rsidR="00A72A1E" w:rsidRPr="00A72A1E">
        <w:t xml:space="preserve"> </w:t>
      </w:r>
      <w:r w:rsidR="00A72A1E">
        <w:t xml:space="preserve">для обобщения информации о </w:t>
      </w:r>
      <w:r w:rsidR="00A72A1E" w:rsidRPr="00656617">
        <w:t>прогнозных (плановых) показател</w:t>
      </w:r>
      <w:r w:rsidR="00A72A1E">
        <w:t>ях</w:t>
      </w:r>
      <w:r w:rsidR="00A72A1E" w:rsidRPr="00656617">
        <w:t xml:space="preserve"> доходов (поступлений) бюджета</w:t>
      </w:r>
      <w:r w:rsidR="00A72A1E">
        <w:rPr>
          <w:rFonts w:eastAsiaTheme="minorHAnsi"/>
          <w:iCs/>
          <w:lang w:eastAsia="en-US"/>
        </w:rPr>
        <w:t xml:space="preserve"> и </w:t>
      </w:r>
      <w:r w:rsidR="00A72A1E" w:rsidRPr="00656617">
        <w:t>сумме денежных средств, предусмотренных</w:t>
      </w:r>
      <w:r w:rsidR="00A72A1E">
        <w:t xml:space="preserve"> в пределах прогнозируемых показателей. П</w:t>
      </w:r>
      <w:r w:rsidR="00C30120">
        <w:t xml:space="preserve">ри этом </w:t>
      </w:r>
      <w:r w:rsidR="003A7431">
        <w:t>г</w:t>
      </w:r>
      <w:r w:rsidR="003A7431" w:rsidRPr="00DE65E4">
        <w:t>рафа 4 «Утвержденные бюджетные назначения» раздел</w:t>
      </w:r>
      <w:r w:rsidR="003A7431">
        <w:t>а</w:t>
      </w:r>
      <w:r w:rsidR="003A7431" w:rsidRPr="00DE65E4">
        <w:t xml:space="preserve"> «Доходы бюджета» Отчета об исполнении бюджета (ф.0503127) заполнена в отсутствие данных на </w:t>
      </w:r>
      <w:r w:rsidR="00B11051">
        <w:t>счете 0504</w:t>
      </w:r>
      <w:r w:rsidR="00B11051" w:rsidRPr="003A7431">
        <w:t>00</w:t>
      </w:r>
      <w:r w:rsidR="007D34C8">
        <w:t>000</w:t>
      </w:r>
      <w:r w:rsidR="005C67C5">
        <w:t xml:space="preserve">, чем не </w:t>
      </w:r>
      <w:proofErr w:type="gramStart"/>
      <w:r w:rsidR="005C67C5">
        <w:t>соблюден</w:t>
      </w:r>
      <w:proofErr w:type="gramEnd"/>
      <w:r w:rsidR="005C67C5">
        <w:t xml:space="preserve"> п.</w:t>
      </w:r>
      <w:r w:rsidR="003A7431" w:rsidRPr="00BA17CD">
        <w:rPr>
          <w:rFonts w:eastAsiaTheme="minorHAnsi"/>
          <w:iCs/>
          <w:lang w:eastAsia="en-US"/>
        </w:rPr>
        <w:t>55 Инструкции № 191н</w:t>
      </w:r>
      <w:r w:rsidR="007D34C8">
        <w:rPr>
          <w:rFonts w:eastAsiaTheme="minorHAnsi"/>
          <w:iCs/>
          <w:lang w:eastAsia="en-US"/>
        </w:rPr>
        <w:t>.</w:t>
      </w:r>
    </w:p>
    <w:p w:rsidR="002455F9" w:rsidRPr="00411E16" w:rsidRDefault="002455F9" w:rsidP="009A1194">
      <w:pPr>
        <w:pStyle w:val="1"/>
        <w:numPr>
          <w:ilvl w:val="0"/>
          <w:numId w:val="2"/>
        </w:numPr>
        <w:spacing w:before="0" w:after="0"/>
        <w:ind w:left="0" w:firstLine="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917626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Бюджетные назначения по доход</w:t>
      </w:r>
      <w:r w:rsidR="005871A1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ам</w:t>
      </w:r>
      <w:r w:rsidRPr="00917626">
        <w:rPr>
          <w:rFonts w:ascii="Times New Roman" w:hAnsi="Times New Roman"/>
          <w:b w:val="0"/>
          <w:color w:val="auto"/>
          <w:sz w:val="24"/>
          <w:szCs w:val="24"/>
        </w:rPr>
        <w:t xml:space="preserve"> выполнены в сумме 266,4 тыс. руб., или на 180% от утвержденных назначений (147,9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тыс. руб</w:t>
      </w:r>
      <w:r w:rsidRPr="00411E16">
        <w:rPr>
          <w:rFonts w:ascii="Times New Roman" w:hAnsi="Times New Roman"/>
          <w:b w:val="0"/>
          <w:color w:val="auto"/>
          <w:sz w:val="24"/>
          <w:szCs w:val="24"/>
        </w:rPr>
        <w:t xml:space="preserve">.), что связано с превышением плановых назначений по доходам от компенсации затрат бюджета (возврата средств за услуги связи) и </w:t>
      </w:r>
      <w:r w:rsidR="009341E1">
        <w:rPr>
          <w:rFonts w:ascii="Times New Roman" w:hAnsi="Times New Roman"/>
          <w:b w:val="0"/>
          <w:color w:val="auto"/>
          <w:sz w:val="24"/>
          <w:szCs w:val="24"/>
        </w:rPr>
        <w:t xml:space="preserve">по </w:t>
      </w:r>
      <w:r w:rsidRPr="00411E16">
        <w:rPr>
          <w:rFonts w:ascii="Times New Roman" w:hAnsi="Times New Roman"/>
          <w:b w:val="0"/>
          <w:color w:val="auto"/>
          <w:sz w:val="24"/>
          <w:szCs w:val="24"/>
        </w:rPr>
        <w:t>поступлениям от денежных взысканий и иных сумм в возмещение ущерба (пени за просрочку исполнения государственных контрактов, сумма обеспечения уклонившегося участника).</w:t>
      </w:r>
      <w:proofErr w:type="gramEnd"/>
    </w:p>
    <w:p w:rsidR="005871A1" w:rsidRPr="005871A1" w:rsidRDefault="006C4CCC" w:rsidP="009A1194">
      <w:pPr>
        <w:pStyle w:val="afb"/>
        <w:numPr>
          <w:ilvl w:val="0"/>
          <w:numId w:val="2"/>
        </w:numPr>
        <w:ind w:left="0" w:firstLine="680"/>
        <w:jc w:val="both"/>
      </w:pPr>
      <w:r w:rsidRPr="005871A1">
        <w:t xml:space="preserve">Утвержденные бюджетные назначения по расходам исполнены в сумме </w:t>
      </w:r>
      <w:r w:rsidR="005871A1" w:rsidRPr="005871A1">
        <w:t>245 698,5 тыс. руб., или 96,3% от утвержденных бюджетных назначений, что в основном обусловлено сложившейся экономией по расходам на общую сумму 7 178,5 тыс. руб. и не исполнением принятых бюджетных обязательств на 1 286,0 тыс. руб</w:t>
      </w:r>
      <w:r w:rsidR="005871A1">
        <w:t>лей.</w:t>
      </w:r>
      <w:r w:rsidR="005871A1" w:rsidRPr="005871A1">
        <w:t xml:space="preserve"> </w:t>
      </w:r>
    </w:p>
    <w:p w:rsidR="00DD689B" w:rsidRDefault="00DD689B" w:rsidP="00913D82">
      <w:pPr>
        <w:ind w:firstLine="709"/>
        <w:rPr>
          <w:b/>
          <w:i/>
          <w:highlight w:val="yellow"/>
        </w:rPr>
      </w:pPr>
    </w:p>
    <w:p w:rsidR="0010130C" w:rsidRDefault="0010130C" w:rsidP="00913D82">
      <w:pPr>
        <w:ind w:firstLine="709"/>
        <w:rPr>
          <w:b/>
          <w:i/>
          <w:highlight w:val="yellow"/>
        </w:rPr>
      </w:pPr>
    </w:p>
    <w:p w:rsidR="0010130C" w:rsidRDefault="0010130C" w:rsidP="00913D82">
      <w:pPr>
        <w:ind w:firstLine="709"/>
        <w:rPr>
          <w:b/>
          <w:i/>
          <w:highlight w:val="yellow"/>
        </w:rPr>
      </w:pPr>
    </w:p>
    <w:p w:rsidR="00913D82" w:rsidRPr="006903C5" w:rsidRDefault="00913D82" w:rsidP="00913D82">
      <w:pPr>
        <w:ind w:firstLine="709"/>
        <w:rPr>
          <w:b/>
          <w:i/>
        </w:rPr>
      </w:pPr>
      <w:r w:rsidRPr="006903C5">
        <w:rPr>
          <w:b/>
          <w:i/>
        </w:rPr>
        <w:t>Предложени</w:t>
      </w:r>
      <w:r w:rsidR="00116B4C">
        <w:rPr>
          <w:b/>
          <w:i/>
        </w:rPr>
        <w:t>е</w:t>
      </w:r>
    </w:p>
    <w:p w:rsidR="00913D82" w:rsidRPr="006903C5" w:rsidRDefault="006903C5" w:rsidP="00913D82">
      <w:pPr>
        <w:ind w:firstLine="709"/>
        <w:jc w:val="both"/>
        <w:rPr>
          <w:i/>
          <w:u w:val="single"/>
        </w:rPr>
      </w:pPr>
      <w:r w:rsidRPr="006903C5">
        <w:rPr>
          <w:i/>
          <w:u w:val="single"/>
        </w:rPr>
        <w:t>Волгоградской областной Думе</w:t>
      </w:r>
      <w:r w:rsidR="00913D82" w:rsidRPr="006903C5">
        <w:rPr>
          <w:i/>
          <w:u w:val="single"/>
        </w:rPr>
        <w:t>:</w:t>
      </w:r>
    </w:p>
    <w:p w:rsidR="00597C5B" w:rsidRPr="00597C5B" w:rsidRDefault="00691F04" w:rsidP="00FD5D19">
      <w:pPr>
        <w:widowControl w:val="0"/>
        <w:autoSpaceDE w:val="0"/>
        <w:autoSpaceDN w:val="0"/>
        <w:adjustRightInd w:val="0"/>
        <w:ind w:firstLine="709"/>
        <w:jc w:val="both"/>
      </w:pPr>
      <w:r w:rsidRPr="00656617">
        <w:t>В целях заполнения бюджетной отчетности в соответствии с требованиями Инструкции 19</w:t>
      </w:r>
      <w:r w:rsidR="00D63823" w:rsidRPr="00656617">
        <w:t>1н</w:t>
      </w:r>
      <w:r w:rsidR="004015F5" w:rsidRPr="00656617">
        <w:t xml:space="preserve"> </w:t>
      </w:r>
      <w:r w:rsidRPr="00656617">
        <w:t xml:space="preserve">обеспечить формирование </w:t>
      </w:r>
      <w:r w:rsidR="00D63823" w:rsidRPr="00656617">
        <w:t xml:space="preserve">прогнозных </w:t>
      </w:r>
      <w:r w:rsidRPr="00656617">
        <w:t>(п</w:t>
      </w:r>
      <w:r w:rsidR="00D63823" w:rsidRPr="00656617">
        <w:t>лановых</w:t>
      </w:r>
      <w:r w:rsidRPr="00656617">
        <w:t xml:space="preserve">) </w:t>
      </w:r>
      <w:r w:rsidR="00D63823" w:rsidRPr="00656617">
        <w:t xml:space="preserve">показателей доходов </w:t>
      </w:r>
      <w:r w:rsidR="00D63823" w:rsidRPr="00656617">
        <w:lastRenderedPageBreak/>
        <w:t>(поступлений) бюджета на счете 050400</w:t>
      </w:r>
      <w:r w:rsidRPr="00656617">
        <w:t>000 «Сметные (плановые, прогнозные) назначения</w:t>
      </w:r>
      <w:r w:rsidR="00D63823" w:rsidRPr="00656617">
        <w:t>», а также обобщение информации о сумме денежных средств, предусмотренных</w:t>
      </w:r>
      <w:r w:rsidR="00D63823">
        <w:t xml:space="preserve"> в пределах прогнозируемых показателей по доходам (поступлениям) бюджета</w:t>
      </w:r>
      <w:r w:rsidR="0056213B">
        <w:t>,</w:t>
      </w:r>
      <w:r w:rsidR="00D63823">
        <w:t xml:space="preserve"> </w:t>
      </w:r>
      <w:r w:rsidR="00656617">
        <w:t xml:space="preserve">на счете </w:t>
      </w:r>
      <w:r w:rsidR="00D63823" w:rsidRPr="00FD5D19">
        <w:rPr>
          <w:rFonts w:eastAsiaTheme="minorHAnsi"/>
          <w:iCs/>
          <w:lang w:eastAsia="en-US"/>
        </w:rPr>
        <w:t>050700000 «Утвержденный объем финансового обеспечения»</w:t>
      </w:r>
      <w:r w:rsidR="00656617" w:rsidRPr="00FD5D19">
        <w:rPr>
          <w:rFonts w:eastAsiaTheme="minorHAnsi"/>
          <w:iCs/>
          <w:lang w:eastAsia="en-US"/>
        </w:rPr>
        <w:t>.</w:t>
      </w:r>
    </w:p>
    <w:p w:rsidR="00D63823" w:rsidRDefault="00D63823" w:rsidP="00D63823">
      <w:pPr>
        <w:widowControl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C30120" w:rsidRDefault="00C30120" w:rsidP="00D63823">
      <w:pPr>
        <w:widowControl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63823" w:rsidRPr="00D63823" w:rsidRDefault="00D63823" w:rsidP="00D63823">
      <w:pPr>
        <w:widowControl w:val="0"/>
        <w:autoSpaceDN w:val="0"/>
        <w:adjustRightInd w:val="0"/>
        <w:jc w:val="both"/>
        <w:rPr>
          <w:highlight w:val="yellow"/>
        </w:rPr>
      </w:pPr>
    </w:p>
    <w:p w:rsidR="0019638E" w:rsidRDefault="00D21D4D" w:rsidP="002F2691">
      <w:pPr>
        <w:tabs>
          <w:tab w:val="left" w:pos="2985"/>
        </w:tabs>
        <w:jc w:val="both"/>
        <w:rPr>
          <w:b/>
          <w:i/>
        </w:rPr>
      </w:pPr>
      <w:r w:rsidRPr="006729DF">
        <w:rPr>
          <w:b/>
          <w:i/>
        </w:rPr>
        <w:t>Аудитор</w:t>
      </w:r>
      <w:r>
        <w:rPr>
          <w:b/>
          <w:i/>
        </w:rPr>
        <w:t xml:space="preserve">    </w:t>
      </w:r>
      <w:r w:rsidRPr="006729DF">
        <w:rPr>
          <w:b/>
          <w:i/>
        </w:rPr>
        <w:tab/>
      </w:r>
      <w:r w:rsidRPr="006729DF">
        <w:rPr>
          <w:b/>
          <w:i/>
        </w:rPr>
        <w:tab/>
      </w:r>
      <w:r w:rsidRPr="006729DF">
        <w:rPr>
          <w:b/>
          <w:i/>
        </w:rPr>
        <w:tab/>
      </w:r>
      <w:r w:rsidRPr="006729DF">
        <w:rPr>
          <w:b/>
          <w:i/>
        </w:rPr>
        <w:tab/>
      </w:r>
      <w:r w:rsidRPr="006729DF">
        <w:rPr>
          <w:b/>
          <w:i/>
        </w:rPr>
        <w:tab/>
      </w:r>
      <w:r w:rsidRPr="006729DF">
        <w:rPr>
          <w:b/>
          <w:i/>
        </w:rPr>
        <w:tab/>
      </w:r>
      <w:r w:rsidRPr="006729DF">
        <w:rPr>
          <w:b/>
          <w:i/>
        </w:rPr>
        <w:tab/>
      </w:r>
      <w:r>
        <w:rPr>
          <w:b/>
          <w:i/>
        </w:rPr>
        <w:t xml:space="preserve">           </w:t>
      </w:r>
      <w:r w:rsidRPr="006729DF">
        <w:rPr>
          <w:b/>
          <w:i/>
        </w:rPr>
        <w:t>Н.Л.</w:t>
      </w:r>
      <w:r>
        <w:rPr>
          <w:b/>
          <w:i/>
        </w:rPr>
        <w:t xml:space="preserve"> </w:t>
      </w:r>
      <w:proofErr w:type="spellStart"/>
      <w:r w:rsidRPr="006729DF">
        <w:rPr>
          <w:b/>
          <w:i/>
        </w:rPr>
        <w:t>Ноздрюхина</w:t>
      </w:r>
      <w:proofErr w:type="spellEnd"/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sectPr w:rsidR="00047BC3" w:rsidSect="000A7096">
      <w:headerReference w:type="even" r:id="rId8"/>
      <w:headerReference w:type="default" r:id="rId9"/>
      <w:footerReference w:type="default" r:id="rId10"/>
      <w:pgSz w:w="11906" w:h="16838"/>
      <w:pgMar w:top="510" w:right="851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5D" w:rsidRDefault="002E415D">
      <w:r>
        <w:separator/>
      </w:r>
    </w:p>
  </w:endnote>
  <w:endnote w:type="continuationSeparator" w:id="0">
    <w:p w:rsidR="002E415D" w:rsidRDefault="002E4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0D" w:rsidRDefault="0074600D">
    <w:pPr>
      <w:pStyle w:val="af4"/>
      <w:jc w:val="center"/>
    </w:pPr>
  </w:p>
  <w:p w:rsidR="0074600D" w:rsidRDefault="0074600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5D" w:rsidRDefault="002E415D">
      <w:r>
        <w:separator/>
      </w:r>
    </w:p>
  </w:footnote>
  <w:footnote w:type="continuationSeparator" w:id="0">
    <w:p w:rsidR="002E415D" w:rsidRDefault="002E4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0D" w:rsidRDefault="00A36FA3" w:rsidP="003C4B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60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600D" w:rsidRDefault="007460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2552"/>
      <w:docPartObj>
        <w:docPartGallery w:val="Page Numbers (Top of Page)"/>
        <w:docPartUnique/>
      </w:docPartObj>
    </w:sdtPr>
    <w:sdtContent>
      <w:p w:rsidR="0074600D" w:rsidRDefault="00A36FA3">
        <w:pPr>
          <w:pStyle w:val="a5"/>
          <w:jc w:val="center"/>
        </w:pPr>
        <w:fldSimple w:instr=" PAGE   \* MERGEFORMAT ">
          <w:r w:rsidR="0010130C">
            <w:rPr>
              <w:noProof/>
            </w:rPr>
            <w:t>3</w:t>
          </w:r>
        </w:fldSimple>
      </w:p>
    </w:sdtContent>
  </w:sdt>
  <w:p w:rsidR="0074600D" w:rsidRDefault="007460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BAD"/>
    <w:multiLevelType w:val="hybridMultilevel"/>
    <w:tmpl w:val="DD5CB2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83753E"/>
    <w:multiLevelType w:val="hybridMultilevel"/>
    <w:tmpl w:val="B39CFCB2"/>
    <w:lvl w:ilvl="0" w:tplc="F6DE37D8">
      <w:start w:val="1"/>
      <w:numFmt w:val="decimal"/>
      <w:lvlText w:val="%1."/>
      <w:lvlJc w:val="left"/>
      <w:pPr>
        <w:ind w:left="2013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B7E7C"/>
    <w:multiLevelType w:val="hybridMultilevel"/>
    <w:tmpl w:val="7C0658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51120E"/>
    <w:multiLevelType w:val="hybridMultilevel"/>
    <w:tmpl w:val="8E980700"/>
    <w:lvl w:ilvl="0" w:tplc="CA5A722A">
      <w:start w:val="1"/>
      <w:numFmt w:val="decimal"/>
      <w:lvlText w:val="%1."/>
      <w:lvlJc w:val="left"/>
      <w:pPr>
        <w:ind w:left="176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3C4B45"/>
    <w:rsid w:val="00000715"/>
    <w:rsid w:val="00002C95"/>
    <w:rsid w:val="00002CA9"/>
    <w:rsid w:val="0000338C"/>
    <w:rsid w:val="00003CF4"/>
    <w:rsid w:val="00004303"/>
    <w:rsid w:val="00004767"/>
    <w:rsid w:val="00005287"/>
    <w:rsid w:val="0000551C"/>
    <w:rsid w:val="00005CF2"/>
    <w:rsid w:val="00005E77"/>
    <w:rsid w:val="00005FFE"/>
    <w:rsid w:val="000104EF"/>
    <w:rsid w:val="00010858"/>
    <w:rsid w:val="00011781"/>
    <w:rsid w:val="00012B9B"/>
    <w:rsid w:val="00014121"/>
    <w:rsid w:val="000150EA"/>
    <w:rsid w:val="000158A8"/>
    <w:rsid w:val="0002163A"/>
    <w:rsid w:val="00023E49"/>
    <w:rsid w:val="00024B68"/>
    <w:rsid w:val="0002547D"/>
    <w:rsid w:val="00025730"/>
    <w:rsid w:val="0002642F"/>
    <w:rsid w:val="0002698A"/>
    <w:rsid w:val="0003276F"/>
    <w:rsid w:val="000332F7"/>
    <w:rsid w:val="00034044"/>
    <w:rsid w:val="00034762"/>
    <w:rsid w:val="000350D6"/>
    <w:rsid w:val="00041754"/>
    <w:rsid w:val="00041C6D"/>
    <w:rsid w:val="0004487A"/>
    <w:rsid w:val="0004530F"/>
    <w:rsid w:val="0004783E"/>
    <w:rsid w:val="00047BC3"/>
    <w:rsid w:val="000518EC"/>
    <w:rsid w:val="000519C0"/>
    <w:rsid w:val="00052F0A"/>
    <w:rsid w:val="00052F9F"/>
    <w:rsid w:val="000535BC"/>
    <w:rsid w:val="00054AC7"/>
    <w:rsid w:val="00055997"/>
    <w:rsid w:val="00055B0D"/>
    <w:rsid w:val="00056616"/>
    <w:rsid w:val="00056AE1"/>
    <w:rsid w:val="000571DB"/>
    <w:rsid w:val="00060B86"/>
    <w:rsid w:val="00061746"/>
    <w:rsid w:val="000617D5"/>
    <w:rsid w:val="00061BC7"/>
    <w:rsid w:val="00061EFE"/>
    <w:rsid w:val="00061F5E"/>
    <w:rsid w:val="00063068"/>
    <w:rsid w:val="00064856"/>
    <w:rsid w:val="000660BD"/>
    <w:rsid w:val="00070063"/>
    <w:rsid w:val="00070829"/>
    <w:rsid w:val="00070E1A"/>
    <w:rsid w:val="000711B4"/>
    <w:rsid w:val="00074212"/>
    <w:rsid w:val="00075594"/>
    <w:rsid w:val="00076765"/>
    <w:rsid w:val="00076D2D"/>
    <w:rsid w:val="00076DBB"/>
    <w:rsid w:val="0007714E"/>
    <w:rsid w:val="000810EE"/>
    <w:rsid w:val="0008471E"/>
    <w:rsid w:val="00084758"/>
    <w:rsid w:val="000852C7"/>
    <w:rsid w:val="0008552A"/>
    <w:rsid w:val="000855DD"/>
    <w:rsid w:val="0008695B"/>
    <w:rsid w:val="00091D55"/>
    <w:rsid w:val="00092A50"/>
    <w:rsid w:val="00093352"/>
    <w:rsid w:val="00094846"/>
    <w:rsid w:val="00094F57"/>
    <w:rsid w:val="000954E2"/>
    <w:rsid w:val="00095DC2"/>
    <w:rsid w:val="000961B4"/>
    <w:rsid w:val="00096297"/>
    <w:rsid w:val="000966C2"/>
    <w:rsid w:val="000969D1"/>
    <w:rsid w:val="00097687"/>
    <w:rsid w:val="000A056E"/>
    <w:rsid w:val="000A064E"/>
    <w:rsid w:val="000A2B7B"/>
    <w:rsid w:val="000A40E4"/>
    <w:rsid w:val="000A5D70"/>
    <w:rsid w:val="000A7096"/>
    <w:rsid w:val="000A79E2"/>
    <w:rsid w:val="000B0ABA"/>
    <w:rsid w:val="000B150F"/>
    <w:rsid w:val="000B2D27"/>
    <w:rsid w:val="000B3985"/>
    <w:rsid w:val="000B3E6C"/>
    <w:rsid w:val="000B49FE"/>
    <w:rsid w:val="000B5587"/>
    <w:rsid w:val="000B740A"/>
    <w:rsid w:val="000C038C"/>
    <w:rsid w:val="000C0E1F"/>
    <w:rsid w:val="000C0ED8"/>
    <w:rsid w:val="000C280B"/>
    <w:rsid w:val="000C3899"/>
    <w:rsid w:val="000C42E5"/>
    <w:rsid w:val="000C4419"/>
    <w:rsid w:val="000C4953"/>
    <w:rsid w:val="000C5051"/>
    <w:rsid w:val="000D0CE4"/>
    <w:rsid w:val="000D18A1"/>
    <w:rsid w:val="000D3579"/>
    <w:rsid w:val="000D3B56"/>
    <w:rsid w:val="000D4903"/>
    <w:rsid w:val="000D5EB4"/>
    <w:rsid w:val="000D6F73"/>
    <w:rsid w:val="000D7C54"/>
    <w:rsid w:val="000D7F8B"/>
    <w:rsid w:val="000E031F"/>
    <w:rsid w:val="000E1BFB"/>
    <w:rsid w:val="000E245F"/>
    <w:rsid w:val="000E4A23"/>
    <w:rsid w:val="000E4BF5"/>
    <w:rsid w:val="000E5A77"/>
    <w:rsid w:val="000E5FA5"/>
    <w:rsid w:val="000E7D8A"/>
    <w:rsid w:val="000E7E71"/>
    <w:rsid w:val="000E7EC1"/>
    <w:rsid w:val="000F373D"/>
    <w:rsid w:val="000F56E5"/>
    <w:rsid w:val="000F7EC2"/>
    <w:rsid w:val="0010089B"/>
    <w:rsid w:val="0010130C"/>
    <w:rsid w:val="00101AB1"/>
    <w:rsid w:val="00101F87"/>
    <w:rsid w:val="00102728"/>
    <w:rsid w:val="00103A8B"/>
    <w:rsid w:val="00103BFA"/>
    <w:rsid w:val="00103C92"/>
    <w:rsid w:val="00103E6F"/>
    <w:rsid w:val="00104B91"/>
    <w:rsid w:val="001054B8"/>
    <w:rsid w:val="00110521"/>
    <w:rsid w:val="00110740"/>
    <w:rsid w:val="001109BF"/>
    <w:rsid w:val="0011194E"/>
    <w:rsid w:val="0011229D"/>
    <w:rsid w:val="00112C8F"/>
    <w:rsid w:val="0011629B"/>
    <w:rsid w:val="00116AB1"/>
    <w:rsid w:val="00116B4C"/>
    <w:rsid w:val="00117D0B"/>
    <w:rsid w:val="00121BCD"/>
    <w:rsid w:val="0012228A"/>
    <w:rsid w:val="00122640"/>
    <w:rsid w:val="001242CF"/>
    <w:rsid w:val="001249F2"/>
    <w:rsid w:val="001251C6"/>
    <w:rsid w:val="00130740"/>
    <w:rsid w:val="001309F1"/>
    <w:rsid w:val="00130ABD"/>
    <w:rsid w:val="00130DFB"/>
    <w:rsid w:val="00132A27"/>
    <w:rsid w:val="00133AC6"/>
    <w:rsid w:val="00137629"/>
    <w:rsid w:val="00137BA3"/>
    <w:rsid w:val="00140373"/>
    <w:rsid w:val="00140E80"/>
    <w:rsid w:val="00141E7F"/>
    <w:rsid w:val="00146678"/>
    <w:rsid w:val="001469F0"/>
    <w:rsid w:val="001473C7"/>
    <w:rsid w:val="0014764C"/>
    <w:rsid w:val="00147FAD"/>
    <w:rsid w:val="00150701"/>
    <w:rsid w:val="00150943"/>
    <w:rsid w:val="00150C95"/>
    <w:rsid w:val="00152548"/>
    <w:rsid w:val="00153C15"/>
    <w:rsid w:val="00157BE7"/>
    <w:rsid w:val="0016119F"/>
    <w:rsid w:val="001625C6"/>
    <w:rsid w:val="00162E6D"/>
    <w:rsid w:val="00163299"/>
    <w:rsid w:val="00163AD7"/>
    <w:rsid w:val="00163EFF"/>
    <w:rsid w:val="00164CB4"/>
    <w:rsid w:val="00165103"/>
    <w:rsid w:val="00166169"/>
    <w:rsid w:val="00167913"/>
    <w:rsid w:val="001700C0"/>
    <w:rsid w:val="00170F10"/>
    <w:rsid w:val="00170F7D"/>
    <w:rsid w:val="00171099"/>
    <w:rsid w:val="00171256"/>
    <w:rsid w:val="001712BA"/>
    <w:rsid w:val="00171674"/>
    <w:rsid w:val="00171908"/>
    <w:rsid w:val="00171EE3"/>
    <w:rsid w:val="0017228E"/>
    <w:rsid w:val="00172462"/>
    <w:rsid w:val="001737FC"/>
    <w:rsid w:val="00176CA0"/>
    <w:rsid w:val="0017703B"/>
    <w:rsid w:val="00181DFF"/>
    <w:rsid w:val="001829E6"/>
    <w:rsid w:val="00185E25"/>
    <w:rsid w:val="00187C96"/>
    <w:rsid w:val="001901EB"/>
    <w:rsid w:val="00193462"/>
    <w:rsid w:val="001945E5"/>
    <w:rsid w:val="001948C3"/>
    <w:rsid w:val="00194DFF"/>
    <w:rsid w:val="00195069"/>
    <w:rsid w:val="0019638E"/>
    <w:rsid w:val="00196F86"/>
    <w:rsid w:val="001976BC"/>
    <w:rsid w:val="00197DB1"/>
    <w:rsid w:val="001A0C85"/>
    <w:rsid w:val="001A312D"/>
    <w:rsid w:val="001A3D3B"/>
    <w:rsid w:val="001A42A4"/>
    <w:rsid w:val="001A443E"/>
    <w:rsid w:val="001A57CB"/>
    <w:rsid w:val="001A6CA5"/>
    <w:rsid w:val="001B07F2"/>
    <w:rsid w:val="001B0F76"/>
    <w:rsid w:val="001B1636"/>
    <w:rsid w:val="001B1DF8"/>
    <w:rsid w:val="001B24E7"/>
    <w:rsid w:val="001B26C3"/>
    <w:rsid w:val="001B298E"/>
    <w:rsid w:val="001B5641"/>
    <w:rsid w:val="001B6922"/>
    <w:rsid w:val="001B6BD2"/>
    <w:rsid w:val="001B6D24"/>
    <w:rsid w:val="001B70F1"/>
    <w:rsid w:val="001B74F2"/>
    <w:rsid w:val="001C0FC3"/>
    <w:rsid w:val="001C138C"/>
    <w:rsid w:val="001C35AE"/>
    <w:rsid w:val="001C42B1"/>
    <w:rsid w:val="001C50B8"/>
    <w:rsid w:val="001C5DED"/>
    <w:rsid w:val="001C623B"/>
    <w:rsid w:val="001C6FD7"/>
    <w:rsid w:val="001C6FE2"/>
    <w:rsid w:val="001D15D2"/>
    <w:rsid w:val="001D2628"/>
    <w:rsid w:val="001D305A"/>
    <w:rsid w:val="001D30F7"/>
    <w:rsid w:val="001D3F26"/>
    <w:rsid w:val="001D4395"/>
    <w:rsid w:val="001D4500"/>
    <w:rsid w:val="001D4610"/>
    <w:rsid w:val="001D603D"/>
    <w:rsid w:val="001D6211"/>
    <w:rsid w:val="001E06DD"/>
    <w:rsid w:val="001E1794"/>
    <w:rsid w:val="001E1EF8"/>
    <w:rsid w:val="001E4866"/>
    <w:rsid w:val="001E51EA"/>
    <w:rsid w:val="001E6892"/>
    <w:rsid w:val="001E6E49"/>
    <w:rsid w:val="001F0A36"/>
    <w:rsid w:val="001F1B6A"/>
    <w:rsid w:val="001F1E09"/>
    <w:rsid w:val="001F222D"/>
    <w:rsid w:val="001F3BD4"/>
    <w:rsid w:val="001F3E88"/>
    <w:rsid w:val="001F41B6"/>
    <w:rsid w:val="001F45A2"/>
    <w:rsid w:val="001F461E"/>
    <w:rsid w:val="001F5088"/>
    <w:rsid w:val="001F73ED"/>
    <w:rsid w:val="002014BE"/>
    <w:rsid w:val="00201DC9"/>
    <w:rsid w:val="00202023"/>
    <w:rsid w:val="00202BA5"/>
    <w:rsid w:val="00203F7C"/>
    <w:rsid w:val="00205155"/>
    <w:rsid w:val="00205302"/>
    <w:rsid w:val="00206490"/>
    <w:rsid w:val="0020757E"/>
    <w:rsid w:val="00210A83"/>
    <w:rsid w:val="00212DAD"/>
    <w:rsid w:val="00213C9D"/>
    <w:rsid w:val="00214103"/>
    <w:rsid w:val="002160E5"/>
    <w:rsid w:val="00216A6E"/>
    <w:rsid w:val="002172E3"/>
    <w:rsid w:val="0021753D"/>
    <w:rsid w:val="00217D9F"/>
    <w:rsid w:val="00222214"/>
    <w:rsid w:val="00222DFA"/>
    <w:rsid w:val="00222E49"/>
    <w:rsid w:val="00223BD5"/>
    <w:rsid w:val="00224338"/>
    <w:rsid w:val="00225468"/>
    <w:rsid w:val="002269E2"/>
    <w:rsid w:val="00227BFC"/>
    <w:rsid w:val="00230396"/>
    <w:rsid w:val="00230A4E"/>
    <w:rsid w:val="00232E4C"/>
    <w:rsid w:val="00232F95"/>
    <w:rsid w:val="002364D4"/>
    <w:rsid w:val="00236B00"/>
    <w:rsid w:val="00237C5C"/>
    <w:rsid w:val="00237F66"/>
    <w:rsid w:val="00241C69"/>
    <w:rsid w:val="0024391E"/>
    <w:rsid w:val="002455F9"/>
    <w:rsid w:val="002517C3"/>
    <w:rsid w:val="00253B2C"/>
    <w:rsid w:val="00253F60"/>
    <w:rsid w:val="00254959"/>
    <w:rsid w:val="00256655"/>
    <w:rsid w:val="002579AB"/>
    <w:rsid w:val="002579F8"/>
    <w:rsid w:val="00257AA7"/>
    <w:rsid w:val="00260419"/>
    <w:rsid w:val="0026151E"/>
    <w:rsid w:val="002645BB"/>
    <w:rsid w:val="00264AAE"/>
    <w:rsid w:val="00264BD7"/>
    <w:rsid w:val="00264EF6"/>
    <w:rsid w:val="0026544E"/>
    <w:rsid w:val="00265FA3"/>
    <w:rsid w:val="00266681"/>
    <w:rsid w:val="002672F0"/>
    <w:rsid w:val="00267C68"/>
    <w:rsid w:val="0027344B"/>
    <w:rsid w:val="0027463B"/>
    <w:rsid w:val="00276AF4"/>
    <w:rsid w:val="00280425"/>
    <w:rsid w:val="00282995"/>
    <w:rsid w:val="002829B6"/>
    <w:rsid w:val="002830F4"/>
    <w:rsid w:val="00284195"/>
    <w:rsid w:val="00284C34"/>
    <w:rsid w:val="00284DAC"/>
    <w:rsid w:val="002864D7"/>
    <w:rsid w:val="00291500"/>
    <w:rsid w:val="0029185B"/>
    <w:rsid w:val="00291E59"/>
    <w:rsid w:val="00292ACC"/>
    <w:rsid w:val="00294262"/>
    <w:rsid w:val="00295825"/>
    <w:rsid w:val="00296A8C"/>
    <w:rsid w:val="00296C54"/>
    <w:rsid w:val="002A0838"/>
    <w:rsid w:val="002A0D7E"/>
    <w:rsid w:val="002A1482"/>
    <w:rsid w:val="002A1A63"/>
    <w:rsid w:val="002A2343"/>
    <w:rsid w:val="002A4288"/>
    <w:rsid w:val="002A5392"/>
    <w:rsid w:val="002A6C7D"/>
    <w:rsid w:val="002A76D3"/>
    <w:rsid w:val="002B0DA5"/>
    <w:rsid w:val="002B1D2A"/>
    <w:rsid w:val="002B20A2"/>
    <w:rsid w:val="002B2ABC"/>
    <w:rsid w:val="002B6155"/>
    <w:rsid w:val="002B6294"/>
    <w:rsid w:val="002B7BA1"/>
    <w:rsid w:val="002B7CCA"/>
    <w:rsid w:val="002C0D69"/>
    <w:rsid w:val="002C115C"/>
    <w:rsid w:val="002C1DD1"/>
    <w:rsid w:val="002C28E2"/>
    <w:rsid w:val="002C37B3"/>
    <w:rsid w:val="002C4EFA"/>
    <w:rsid w:val="002C521F"/>
    <w:rsid w:val="002C5A81"/>
    <w:rsid w:val="002C66D2"/>
    <w:rsid w:val="002D00E7"/>
    <w:rsid w:val="002D0BB8"/>
    <w:rsid w:val="002D12BC"/>
    <w:rsid w:val="002D14F5"/>
    <w:rsid w:val="002D1DB9"/>
    <w:rsid w:val="002D364F"/>
    <w:rsid w:val="002D3F5A"/>
    <w:rsid w:val="002D41D7"/>
    <w:rsid w:val="002D4BA8"/>
    <w:rsid w:val="002D4FBC"/>
    <w:rsid w:val="002D5566"/>
    <w:rsid w:val="002D5CEE"/>
    <w:rsid w:val="002E2507"/>
    <w:rsid w:val="002E34C1"/>
    <w:rsid w:val="002E415D"/>
    <w:rsid w:val="002E426E"/>
    <w:rsid w:val="002E6D89"/>
    <w:rsid w:val="002E7655"/>
    <w:rsid w:val="002F1479"/>
    <w:rsid w:val="002F2691"/>
    <w:rsid w:val="002F3F01"/>
    <w:rsid w:val="002F7307"/>
    <w:rsid w:val="002F777E"/>
    <w:rsid w:val="002F7E2B"/>
    <w:rsid w:val="00300C19"/>
    <w:rsid w:val="00302CB8"/>
    <w:rsid w:val="00302F8A"/>
    <w:rsid w:val="0030393E"/>
    <w:rsid w:val="003046BA"/>
    <w:rsid w:val="003064D4"/>
    <w:rsid w:val="00307EB6"/>
    <w:rsid w:val="003115FA"/>
    <w:rsid w:val="00312E8E"/>
    <w:rsid w:val="00313504"/>
    <w:rsid w:val="00314C29"/>
    <w:rsid w:val="00320EEA"/>
    <w:rsid w:val="00321F55"/>
    <w:rsid w:val="003226E3"/>
    <w:rsid w:val="003228D6"/>
    <w:rsid w:val="003233B9"/>
    <w:rsid w:val="003239C0"/>
    <w:rsid w:val="00323E96"/>
    <w:rsid w:val="0032477F"/>
    <w:rsid w:val="0032514F"/>
    <w:rsid w:val="0033139D"/>
    <w:rsid w:val="00331652"/>
    <w:rsid w:val="0033243C"/>
    <w:rsid w:val="00332BD1"/>
    <w:rsid w:val="003330A3"/>
    <w:rsid w:val="003335F5"/>
    <w:rsid w:val="003340C2"/>
    <w:rsid w:val="003342BA"/>
    <w:rsid w:val="0033701D"/>
    <w:rsid w:val="00340500"/>
    <w:rsid w:val="00341640"/>
    <w:rsid w:val="0034216B"/>
    <w:rsid w:val="003429ED"/>
    <w:rsid w:val="003430F2"/>
    <w:rsid w:val="00343123"/>
    <w:rsid w:val="00343729"/>
    <w:rsid w:val="00343D1C"/>
    <w:rsid w:val="00347592"/>
    <w:rsid w:val="00350A37"/>
    <w:rsid w:val="00351D95"/>
    <w:rsid w:val="00352682"/>
    <w:rsid w:val="00354551"/>
    <w:rsid w:val="00354E77"/>
    <w:rsid w:val="00355721"/>
    <w:rsid w:val="0035617D"/>
    <w:rsid w:val="00356F2A"/>
    <w:rsid w:val="0035760A"/>
    <w:rsid w:val="003611DF"/>
    <w:rsid w:val="0036138F"/>
    <w:rsid w:val="003616F6"/>
    <w:rsid w:val="00362BF3"/>
    <w:rsid w:val="00363BDA"/>
    <w:rsid w:val="003662E4"/>
    <w:rsid w:val="00367022"/>
    <w:rsid w:val="00370D26"/>
    <w:rsid w:val="00371965"/>
    <w:rsid w:val="003734E6"/>
    <w:rsid w:val="00373C3A"/>
    <w:rsid w:val="00374AFA"/>
    <w:rsid w:val="00374E37"/>
    <w:rsid w:val="0037545F"/>
    <w:rsid w:val="003763FE"/>
    <w:rsid w:val="00376979"/>
    <w:rsid w:val="00377182"/>
    <w:rsid w:val="003801B3"/>
    <w:rsid w:val="0038693A"/>
    <w:rsid w:val="00386B29"/>
    <w:rsid w:val="00386CC9"/>
    <w:rsid w:val="00386EF8"/>
    <w:rsid w:val="00391A3B"/>
    <w:rsid w:val="00391EB0"/>
    <w:rsid w:val="003946EF"/>
    <w:rsid w:val="003964F6"/>
    <w:rsid w:val="00396931"/>
    <w:rsid w:val="00397201"/>
    <w:rsid w:val="00397550"/>
    <w:rsid w:val="003A02D3"/>
    <w:rsid w:val="003A170B"/>
    <w:rsid w:val="003A2BA4"/>
    <w:rsid w:val="003A31F8"/>
    <w:rsid w:val="003A394A"/>
    <w:rsid w:val="003A40A2"/>
    <w:rsid w:val="003A4966"/>
    <w:rsid w:val="003A6BB9"/>
    <w:rsid w:val="003A70F1"/>
    <w:rsid w:val="003A7147"/>
    <w:rsid w:val="003A7431"/>
    <w:rsid w:val="003B0980"/>
    <w:rsid w:val="003B1B8F"/>
    <w:rsid w:val="003B24EC"/>
    <w:rsid w:val="003B5037"/>
    <w:rsid w:val="003B5C38"/>
    <w:rsid w:val="003B6383"/>
    <w:rsid w:val="003B65AD"/>
    <w:rsid w:val="003B6A77"/>
    <w:rsid w:val="003B6C51"/>
    <w:rsid w:val="003B6EB8"/>
    <w:rsid w:val="003B6FF3"/>
    <w:rsid w:val="003B75BC"/>
    <w:rsid w:val="003B7D35"/>
    <w:rsid w:val="003C0A71"/>
    <w:rsid w:val="003C0BD5"/>
    <w:rsid w:val="003C1485"/>
    <w:rsid w:val="003C3C1B"/>
    <w:rsid w:val="003C4B3C"/>
    <w:rsid w:val="003C4B45"/>
    <w:rsid w:val="003C4D67"/>
    <w:rsid w:val="003C6753"/>
    <w:rsid w:val="003C78B4"/>
    <w:rsid w:val="003D02FB"/>
    <w:rsid w:val="003D04ED"/>
    <w:rsid w:val="003D0CB2"/>
    <w:rsid w:val="003D2C3A"/>
    <w:rsid w:val="003D372A"/>
    <w:rsid w:val="003D4B3A"/>
    <w:rsid w:val="003D4EBB"/>
    <w:rsid w:val="003D5AFD"/>
    <w:rsid w:val="003D7B58"/>
    <w:rsid w:val="003D7EDA"/>
    <w:rsid w:val="003E01B3"/>
    <w:rsid w:val="003E0603"/>
    <w:rsid w:val="003E1718"/>
    <w:rsid w:val="003E1BFD"/>
    <w:rsid w:val="003E3929"/>
    <w:rsid w:val="003E4569"/>
    <w:rsid w:val="003E4652"/>
    <w:rsid w:val="003E4935"/>
    <w:rsid w:val="003E4955"/>
    <w:rsid w:val="003E5028"/>
    <w:rsid w:val="003E52C1"/>
    <w:rsid w:val="003E6487"/>
    <w:rsid w:val="003E6E98"/>
    <w:rsid w:val="003F369E"/>
    <w:rsid w:val="003F3F4E"/>
    <w:rsid w:val="003F43CF"/>
    <w:rsid w:val="003F4C63"/>
    <w:rsid w:val="003F6650"/>
    <w:rsid w:val="003F6760"/>
    <w:rsid w:val="003F7CB6"/>
    <w:rsid w:val="004015F5"/>
    <w:rsid w:val="00402DC1"/>
    <w:rsid w:val="0040484C"/>
    <w:rsid w:val="00406237"/>
    <w:rsid w:val="00406346"/>
    <w:rsid w:val="004065A3"/>
    <w:rsid w:val="00406A84"/>
    <w:rsid w:val="00407D48"/>
    <w:rsid w:val="00407D69"/>
    <w:rsid w:val="00407FC1"/>
    <w:rsid w:val="00411E16"/>
    <w:rsid w:val="00413048"/>
    <w:rsid w:val="0041433A"/>
    <w:rsid w:val="004150B3"/>
    <w:rsid w:val="004170DE"/>
    <w:rsid w:val="00417AA8"/>
    <w:rsid w:val="00421CB6"/>
    <w:rsid w:val="0042280D"/>
    <w:rsid w:val="004228B8"/>
    <w:rsid w:val="0042304D"/>
    <w:rsid w:val="00423311"/>
    <w:rsid w:val="00423EE8"/>
    <w:rsid w:val="004246B6"/>
    <w:rsid w:val="00425465"/>
    <w:rsid w:val="0042653E"/>
    <w:rsid w:val="004302E5"/>
    <w:rsid w:val="00430867"/>
    <w:rsid w:val="00431E63"/>
    <w:rsid w:val="004325EC"/>
    <w:rsid w:val="00434024"/>
    <w:rsid w:val="00434263"/>
    <w:rsid w:val="00434289"/>
    <w:rsid w:val="004357C6"/>
    <w:rsid w:val="0043669C"/>
    <w:rsid w:val="00436FE1"/>
    <w:rsid w:val="00437A61"/>
    <w:rsid w:val="00440CAD"/>
    <w:rsid w:val="004410A2"/>
    <w:rsid w:val="00442D61"/>
    <w:rsid w:val="004438A1"/>
    <w:rsid w:val="00443C09"/>
    <w:rsid w:val="00444018"/>
    <w:rsid w:val="00446A8C"/>
    <w:rsid w:val="00452212"/>
    <w:rsid w:val="00452316"/>
    <w:rsid w:val="00454083"/>
    <w:rsid w:val="00454890"/>
    <w:rsid w:val="00455263"/>
    <w:rsid w:val="004558CF"/>
    <w:rsid w:val="004570EC"/>
    <w:rsid w:val="00457406"/>
    <w:rsid w:val="0045760B"/>
    <w:rsid w:val="00460104"/>
    <w:rsid w:val="004605A5"/>
    <w:rsid w:val="00460F54"/>
    <w:rsid w:val="0046103C"/>
    <w:rsid w:val="0046394A"/>
    <w:rsid w:val="00463D85"/>
    <w:rsid w:val="004648C4"/>
    <w:rsid w:val="00464986"/>
    <w:rsid w:val="00464AD4"/>
    <w:rsid w:val="004659BC"/>
    <w:rsid w:val="00465FE6"/>
    <w:rsid w:val="004661C5"/>
    <w:rsid w:val="00466505"/>
    <w:rsid w:val="00466CE1"/>
    <w:rsid w:val="00466F91"/>
    <w:rsid w:val="00467096"/>
    <w:rsid w:val="00467689"/>
    <w:rsid w:val="004677E4"/>
    <w:rsid w:val="00470E9F"/>
    <w:rsid w:val="00472265"/>
    <w:rsid w:val="004722FD"/>
    <w:rsid w:val="00473173"/>
    <w:rsid w:val="00475DE6"/>
    <w:rsid w:val="00477F29"/>
    <w:rsid w:val="00480338"/>
    <w:rsid w:val="00482271"/>
    <w:rsid w:val="0048274C"/>
    <w:rsid w:val="004841E9"/>
    <w:rsid w:val="00484A51"/>
    <w:rsid w:val="00484B75"/>
    <w:rsid w:val="004869FC"/>
    <w:rsid w:val="00487505"/>
    <w:rsid w:val="00493DC6"/>
    <w:rsid w:val="00495C9A"/>
    <w:rsid w:val="004965B0"/>
    <w:rsid w:val="004978E8"/>
    <w:rsid w:val="004A0557"/>
    <w:rsid w:val="004A1087"/>
    <w:rsid w:val="004A1465"/>
    <w:rsid w:val="004A22FD"/>
    <w:rsid w:val="004A3107"/>
    <w:rsid w:val="004A3481"/>
    <w:rsid w:val="004A5235"/>
    <w:rsid w:val="004A5434"/>
    <w:rsid w:val="004A5707"/>
    <w:rsid w:val="004A5766"/>
    <w:rsid w:val="004A5D8A"/>
    <w:rsid w:val="004A670F"/>
    <w:rsid w:val="004A6BEC"/>
    <w:rsid w:val="004B03DB"/>
    <w:rsid w:val="004B13A8"/>
    <w:rsid w:val="004B1E99"/>
    <w:rsid w:val="004B2FDE"/>
    <w:rsid w:val="004B3B6C"/>
    <w:rsid w:val="004B4766"/>
    <w:rsid w:val="004B47C9"/>
    <w:rsid w:val="004B505E"/>
    <w:rsid w:val="004B53DC"/>
    <w:rsid w:val="004B6D5C"/>
    <w:rsid w:val="004B6F03"/>
    <w:rsid w:val="004C2418"/>
    <w:rsid w:val="004C2A9B"/>
    <w:rsid w:val="004C4C84"/>
    <w:rsid w:val="004C5297"/>
    <w:rsid w:val="004C6A2C"/>
    <w:rsid w:val="004C7213"/>
    <w:rsid w:val="004D1639"/>
    <w:rsid w:val="004D2115"/>
    <w:rsid w:val="004D3704"/>
    <w:rsid w:val="004D4BEE"/>
    <w:rsid w:val="004D5B37"/>
    <w:rsid w:val="004D5B94"/>
    <w:rsid w:val="004D5D5B"/>
    <w:rsid w:val="004D6715"/>
    <w:rsid w:val="004E32B2"/>
    <w:rsid w:val="004E4508"/>
    <w:rsid w:val="004E4874"/>
    <w:rsid w:val="004E4C54"/>
    <w:rsid w:val="004E4F11"/>
    <w:rsid w:val="004E5096"/>
    <w:rsid w:val="004E50CB"/>
    <w:rsid w:val="004E554D"/>
    <w:rsid w:val="004E72B8"/>
    <w:rsid w:val="004E7D4E"/>
    <w:rsid w:val="004F01F8"/>
    <w:rsid w:val="004F0E63"/>
    <w:rsid w:val="004F11D0"/>
    <w:rsid w:val="004F2427"/>
    <w:rsid w:val="004F2891"/>
    <w:rsid w:val="004F3FD4"/>
    <w:rsid w:val="004F4267"/>
    <w:rsid w:val="004F5674"/>
    <w:rsid w:val="004F6744"/>
    <w:rsid w:val="004F6B94"/>
    <w:rsid w:val="004F6C89"/>
    <w:rsid w:val="004F76E2"/>
    <w:rsid w:val="004F7C42"/>
    <w:rsid w:val="00501C98"/>
    <w:rsid w:val="00502699"/>
    <w:rsid w:val="00502FDD"/>
    <w:rsid w:val="005036AC"/>
    <w:rsid w:val="00503745"/>
    <w:rsid w:val="00505544"/>
    <w:rsid w:val="005064D0"/>
    <w:rsid w:val="0050736E"/>
    <w:rsid w:val="00507DF6"/>
    <w:rsid w:val="00510B56"/>
    <w:rsid w:val="00512F3B"/>
    <w:rsid w:val="0051437D"/>
    <w:rsid w:val="00514663"/>
    <w:rsid w:val="005157EB"/>
    <w:rsid w:val="00515F78"/>
    <w:rsid w:val="00516A28"/>
    <w:rsid w:val="00517534"/>
    <w:rsid w:val="00517B5C"/>
    <w:rsid w:val="005202FA"/>
    <w:rsid w:val="00521058"/>
    <w:rsid w:val="0052264A"/>
    <w:rsid w:val="005227DB"/>
    <w:rsid w:val="005228E4"/>
    <w:rsid w:val="00524F49"/>
    <w:rsid w:val="00526376"/>
    <w:rsid w:val="0052692A"/>
    <w:rsid w:val="00526E22"/>
    <w:rsid w:val="0052758B"/>
    <w:rsid w:val="0053099C"/>
    <w:rsid w:val="00531872"/>
    <w:rsid w:val="00532EF4"/>
    <w:rsid w:val="005346F5"/>
    <w:rsid w:val="00534C0C"/>
    <w:rsid w:val="00535B56"/>
    <w:rsid w:val="0053778C"/>
    <w:rsid w:val="00537EA0"/>
    <w:rsid w:val="00537EFE"/>
    <w:rsid w:val="00541497"/>
    <w:rsid w:val="0054240B"/>
    <w:rsid w:val="00542F09"/>
    <w:rsid w:val="00543084"/>
    <w:rsid w:val="0054399A"/>
    <w:rsid w:val="0054406B"/>
    <w:rsid w:val="00544831"/>
    <w:rsid w:val="005450F1"/>
    <w:rsid w:val="005451FC"/>
    <w:rsid w:val="00545205"/>
    <w:rsid w:val="00545DCA"/>
    <w:rsid w:val="00545EBE"/>
    <w:rsid w:val="005464AD"/>
    <w:rsid w:val="005475D3"/>
    <w:rsid w:val="00547E18"/>
    <w:rsid w:val="0055081B"/>
    <w:rsid w:val="00552E66"/>
    <w:rsid w:val="00553111"/>
    <w:rsid w:val="005534C1"/>
    <w:rsid w:val="0055351E"/>
    <w:rsid w:val="0056008A"/>
    <w:rsid w:val="0056213B"/>
    <w:rsid w:val="00562187"/>
    <w:rsid w:val="0056427B"/>
    <w:rsid w:val="0056474C"/>
    <w:rsid w:val="00565290"/>
    <w:rsid w:val="005660C3"/>
    <w:rsid w:val="00566BE2"/>
    <w:rsid w:val="005707BE"/>
    <w:rsid w:val="005725BE"/>
    <w:rsid w:val="00575252"/>
    <w:rsid w:val="0057744C"/>
    <w:rsid w:val="0058267E"/>
    <w:rsid w:val="00582690"/>
    <w:rsid w:val="00584349"/>
    <w:rsid w:val="00584545"/>
    <w:rsid w:val="0058465B"/>
    <w:rsid w:val="005848FC"/>
    <w:rsid w:val="00584CBC"/>
    <w:rsid w:val="00584CFF"/>
    <w:rsid w:val="00585464"/>
    <w:rsid w:val="0058639B"/>
    <w:rsid w:val="0058695F"/>
    <w:rsid w:val="00586CE2"/>
    <w:rsid w:val="005871A1"/>
    <w:rsid w:val="0059097D"/>
    <w:rsid w:val="00592C1C"/>
    <w:rsid w:val="00593C2B"/>
    <w:rsid w:val="0059422A"/>
    <w:rsid w:val="00594587"/>
    <w:rsid w:val="005954CF"/>
    <w:rsid w:val="00595618"/>
    <w:rsid w:val="005957D5"/>
    <w:rsid w:val="00595FC7"/>
    <w:rsid w:val="005960B4"/>
    <w:rsid w:val="005975EF"/>
    <w:rsid w:val="005979C0"/>
    <w:rsid w:val="00597C5B"/>
    <w:rsid w:val="00597E5B"/>
    <w:rsid w:val="005A0593"/>
    <w:rsid w:val="005A1112"/>
    <w:rsid w:val="005A1BF9"/>
    <w:rsid w:val="005A3DFC"/>
    <w:rsid w:val="005A4675"/>
    <w:rsid w:val="005A61DA"/>
    <w:rsid w:val="005A66F1"/>
    <w:rsid w:val="005B136B"/>
    <w:rsid w:val="005B17E4"/>
    <w:rsid w:val="005B2704"/>
    <w:rsid w:val="005B3454"/>
    <w:rsid w:val="005B42CF"/>
    <w:rsid w:val="005B5476"/>
    <w:rsid w:val="005B54AF"/>
    <w:rsid w:val="005B5CD5"/>
    <w:rsid w:val="005B6DE9"/>
    <w:rsid w:val="005C059E"/>
    <w:rsid w:val="005C103F"/>
    <w:rsid w:val="005C19A9"/>
    <w:rsid w:val="005C5456"/>
    <w:rsid w:val="005C67C5"/>
    <w:rsid w:val="005C7204"/>
    <w:rsid w:val="005C7624"/>
    <w:rsid w:val="005C7DE8"/>
    <w:rsid w:val="005D295B"/>
    <w:rsid w:val="005D5422"/>
    <w:rsid w:val="005D5682"/>
    <w:rsid w:val="005D6F0A"/>
    <w:rsid w:val="005E06F1"/>
    <w:rsid w:val="005E1774"/>
    <w:rsid w:val="005E3A2D"/>
    <w:rsid w:val="005E3F8C"/>
    <w:rsid w:val="005E4AC6"/>
    <w:rsid w:val="005E69B0"/>
    <w:rsid w:val="005E7580"/>
    <w:rsid w:val="005F0224"/>
    <w:rsid w:val="005F15A4"/>
    <w:rsid w:val="005F16AC"/>
    <w:rsid w:val="005F2019"/>
    <w:rsid w:val="005F44D0"/>
    <w:rsid w:val="005F58C6"/>
    <w:rsid w:val="005F68E3"/>
    <w:rsid w:val="00601BEB"/>
    <w:rsid w:val="00601FDE"/>
    <w:rsid w:val="0060259C"/>
    <w:rsid w:val="00602A46"/>
    <w:rsid w:val="00602DE6"/>
    <w:rsid w:val="006037CE"/>
    <w:rsid w:val="00603C06"/>
    <w:rsid w:val="006050F4"/>
    <w:rsid w:val="00607F40"/>
    <w:rsid w:val="006100EC"/>
    <w:rsid w:val="00610BF4"/>
    <w:rsid w:val="00615194"/>
    <w:rsid w:val="00616137"/>
    <w:rsid w:val="00617429"/>
    <w:rsid w:val="00617CCB"/>
    <w:rsid w:val="00621241"/>
    <w:rsid w:val="00621A17"/>
    <w:rsid w:val="006223C8"/>
    <w:rsid w:val="00622EC7"/>
    <w:rsid w:val="006238E5"/>
    <w:rsid w:val="006243EC"/>
    <w:rsid w:val="00625B37"/>
    <w:rsid w:val="00625DEC"/>
    <w:rsid w:val="00627B03"/>
    <w:rsid w:val="00627F1D"/>
    <w:rsid w:val="00630082"/>
    <w:rsid w:val="006308E6"/>
    <w:rsid w:val="00630B53"/>
    <w:rsid w:val="00631B7C"/>
    <w:rsid w:val="00633A34"/>
    <w:rsid w:val="00633B11"/>
    <w:rsid w:val="0063414E"/>
    <w:rsid w:val="00634F37"/>
    <w:rsid w:val="0063602D"/>
    <w:rsid w:val="00637DEC"/>
    <w:rsid w:val="006403DA"/>
    <w:rsid w:val="00640990"/>
    <w:rsid w:val="00640CA9"/>
    <w:rsid w:val="00640D66"/>
    <w:rsid w:val="006412A3"/>
    <w:rsid w:val="00641A72"/>
    <w:rsid w:val="0064267F"/>
    <w:rsid w:val="00642DA1"/>
    <w:rsid w:val="00644AC6"/>
    <w:rsid w:val="006452D9"/>
    <w:rsid w:val="006504FC"/>
    <w:rsid w:val="00653421"/>
    <w:rsid w:val="00656617"/>
    <w:rsid w:val="0065777A"/>
    <w:rsid w:val="00657A0A"/>
    <w:rsid w:val="006608BE"/>
    <w:rsid w:val="006611FD"/>
    <w:rsid w:val="006622DE"/>
    <w:rsid w:val="00662BF8"/>
    <w:rsid w:val="006634F6"/>
    <w:rsid w:val="00664D1A"/>
    <w:rsid w:val="006659EC"/>
    <w:rsid w:val="00666492"/>
    <w:rsid w:val="006667BD"/>
    <w:rsid w:val="00667C45"/>
    <w:rsid w:val="00672771"/>
    <w:rsid w:val="006736DF"/>
    <w:rsid w:val="00673F29"/>
    <w:rsid w:val="00674978"/>
    <w:rsid w:val="00675C8E"/>
    <w:rsid w:val="00676720"/>
    <w:rsid w:val="006820ED"/>
    <w:rsid w:val="00683BF9"/>
    <w:rsid w:val="00683D1A"/>
    <w:rsid w:val="00685A39"/>
    <w:rsid w:val="00685B95"/>
    <w:rsid w:val="00687339"/>
    <w:rsid w:val="006874EB"/>
    <w:rsid w:val="006903C5"/>
    <w:rsid w:val="006908C6"/>
    <w:rsid w:val="00691613"/>
    <w:rsid w:val="00691F04"/>
    <w:rsid w:val="006947AD"/>
    <w:rsid w:val="00694AD9"/>
    <w:rsid w:val="00694EE8"/>
    <w:rsid w:val="00696B5A"/>
    <w:rsid w:val="006A0BC2"/>
    <w:rsid w:val="006A255F"/>
    <w:rsid w:val="006A3B06"/>
    <w:rsid w:val="006A3F94"/>
    <w:rsid w:val="006A4699"/>
    <w:rsid w:val="006A46B8"/>
    <w:rsid w:val="006A54D6"/>
    <w:rsid w:val="006A573C"/>
    <w:rsid w:val="006A5ED9"/>
    <w:rsid w:val="006A6354"/>
    <w:rsid w:val="006A6FE2"/>
    <w:rsid w:val="006A7940"/>
    <w:rsid w:val="006B0D05"/>
    <w:rsid w:val="006B0D98"/>
    <w:rsid w:val="006B22EA"/>
    <w:rsid w:val="006B32C6"/>
    <w:rsid w:val="006B3661"/>
    <w:rsid w:val="006B3A58"/>
    <w:rsid w:val="006B4642"/>
    <w:rsid w:val="006B48F0"/>
    <w:rsid w:val="006B4A2C"/>
    <w:rsid w:val="006B6EA7"/>
    <w:rsid w:val="006B76F0"/>
    <w:rsid w:val="006B7A0A"/>
    <w:rsid w:val="006B7B54"/>
    <w:rsid w:val="006B7B5F"/>
    <w:rsid w:val="006C086B"/>
    <w:rsid w:val="006C21AB"/>
    <w:rsid w:val="006C28CA"/>
    <w:rsid w:val="006C2AFA"/>
    <w:rsid w:val="006C3D67"/>
    <w:rsid w:val="006C40C4"/>
    <w:rsid w:val="006C4CCC"/>
    <w:rsid w:val="006C7BA7"/>
    <w:rsid w:val="006D0559"/>
    <w:rsid w:val="006D1D0F"/>
    <w:rsid w:val="006D26DC"/>
    <w:rsid w:val="006D3318"/>
    <w:rsid w:val="006D341F"/>
    <w:rsid w:val="006D3430"/>
    <w:rsid w:val="006D6047"/>
    <w:rsid w:val="006E0ABB"/>
    <w:rsid w:val="006E0D61"/>
    <w:rsid w:val="006E1B63"/>
    <w:rsid w:val="006E1D98"/>
    <w:rsid w:val="006E1DEE"/>
    <w:rsid w:val="006E1EB4"/>
    <w:rsid w:val="006E1EF9"/>
    <w:rsid w:val="006E2C12"/>
    <w:rsid w:val="006E42B3"/>
    <w:rsid w:val="006E547D"/>
    <w:rsid w:val="006E6F59"/>
    <w:rsid w:val="006E7282"/>
    <w:rsid w:val="006E7F3F"/>
    <w:rsid w:val="006F0133"/>
    <w:rsid w:val="006F051F"/>
    <w:rsid w:val="006F244F"/>
    <w:rsid w:val="006F2C67"/>
    <w:rsid w:val="006F3C0F"/>
    <w:rsid w:val="006F5321"/>
    <w:rsid w:val="006F5C52"/>
    <w:rsid w:val="00702114"/>
    <w:rsid w:val="0070374A"/>
    <w:rsid w:val="00704CE1"/>
    <w:rsid w:val="007066DE"/>
    <w:rsid w:val="00706A16"/>
    <w:rsid w:val="00706E80"/>
    <w:rsid w:val="0070798F"/>
    <w:rsid w:val="00707BCC"/>
    <w:rsid w:val="007133B0"/>
    <w:rsid w:val="00714D0C"/>
    <w:rsid w:val="00714F3D"/>
    <w:rsid w:val="00716376"/>
    <w:rsid w:val="0071656D"/>
    <w:rsid w:val="00716EBA"/>
    <w:rsid w:val="00717B91"/>
    <w:rsid w:val="00717F4A"/>
    <w:rsid w:val="0072148A"/>
    <w:rsid w:val="007216C3"/>
    <w:rsid w:val="00722BF4"/>
    <w:rsid w:val="007240A9"/>
    <w:rsid w:val="0072640A"/>
    <w:rsid w:val="00726D0B"/>
    <w:rsid w:val="007306B9"/>
    <w:rsid w:val="00730BA7"/>
    <w:rsid w:val="00730F7C"/>
    <w:rsid w:val="00731F6E"/>
    <w:rsid w:val="00732287"/>
    <w:rsid w:val="007337D4"/>
    <w:rsid w:val="0073381D"/>
    <w:rsid w:val="00733FC1"/>
    <w:rsid w:val="007376D2"/>
    <w:rsid w:val="0074039D"/>
    <w:rsid w:val="00740F29"/>
    <w:rsid w:val="00740F4A"/>
    <w:rsid w:val="00741AD1"/>
    <w:rsid w:val="007426B5"/>
    <w:rsid w:val="007430E7"/>
    <w:rsid w:val="0074327F"/>
    <w:rsid w:val="00743575"/>
    <w:rsid w:val="00744D74"/>
    <w:rsid w:val="00745793"/>
    <w:rsid w:val="007457FB"/>
    <w:rsid w:val="00745925"/>
    <w:rsid w:val="00745E8C"/>
    <w:rsid w:val="0074600D"/>
    <w:rsid w:val="007464FB"/>
    <w:rsid w:val="00746C8D"/>
    <w:rsid w:val="00747EA3"/>
    <w:rsid w:val="0075109B"/>
    <w:rsid w:val="00753379"/>
    <w:rsid w:val="00754A77"/>
    <w:rsid w:val="0075748B"/>
    <w:rsid w:val="007609A4"/>
    <w:rsid w:val="00761AA6"/>
    <w:rsid w:val="00762830"/>
    <w:rsid w:val="00762CE0"/>
    <w:rsid w:val="00765E78"/>
    <w:rsid w:val="007667B7"/>
    <w:rsid w:val="0076691D"/>
    <w:rsid w:val="00766FD9"/>
    <w:rsid w:val="007702FA"/>
    <w:rsid w:val="007713AE"/>
    <w:rsid w:val="00771DD2"/>
    <w:rsid w:val="00771F3C"/>
    <w:rsid w:val="00772A09"/>
    <w:rsid w:val="0077301C"/>
    <w:rsid w:val="007737FE"/>
    <w:rsid w:val="0077412E"/>
    <w:rsid w:val="00776162"/>
    <w:rsid w:val="00776533"/>
    <w:rsid w:val="00776881"/>
    <w:rsid w:val="00776C61"/>
    <w:rsid w:val="0078140B"/>
    <w:rsid w:val="00782AD3"/>
    <w:rsid w:val="007837DC"/>
    <w:rsid w:val="00783A96"/>
    <w:rsid w:val="0078443F"/>
    <w:rsid w:val="00784797"/>
    <w:rsid w:val="00784D9E"/>
    <w:rsid w:val="00787037"/>
    <w:rsid w:val="00790863"/>
    <w:rsid w:val="00791507"/>
    <w:rsid w:val="00791E9E"/>
    <w:rsid w:val="00792649"/>
    <w:rsid w:val="00793517"/>
    <w:rsid w:val="00794F56"/>
    <w:rsid w:val="007979A0"/>
    <w:rsid w:val="007A1790"/>
    <w:rsid w:val="007A2534"/>
    <w:rsid w:val="007A2544"/>
    <w:rsid w:val="007A2BFC"/>
    <w:rsid w:val="007A4452"/>
    <w:rsid w:val="007A4703"/>
    <w:rsid w:val="007A4756"/>
    <w:rsid w:val="007A5613"/>
    <w:rsid w:val="007A657F"/>
    <w:rsid w:val="007A6E79"/>
    <w:rsid w:val="007B0284"/>
    <w:rsid w:val="007B0FDA"/>
    <w:rsid w:val="007B1531"/>
    <w:rsid w:val="007B50A3"/>
    <w:rsid w:val="007B6571"/>
    <w:rsid w:val="007B66B2"/>
    <w:rsid w:val="007B6A97"/>
    <w:rsid w:val="007C031E"/>
    <w:rsid w:val="007C16B9"/>
    <w:rsid w:val="007C1B10"/>
    <w:rsid w:val="007C213E"/>
    <w:rsid w:val="007C3091"/>
    <w:rsid w:val="007C5D85"/>
    <w:rsid w:val="007C77C9"/>
    <w:rsid w:val="007D2287"/>
    <w:rsid w:val="007D34C8"/>
    <w:rsid w:val="007D4153"/>
    <w:rsid w:val="007D50C1"/>
    <w:rsid w:val="007D644E"/>
    <w:rsid w:val="007E0AB4"/>
    <w:rsid w:val="007E2EE7"/>
    <w:rsid w:val="007E470E"/>
    <w:rsid w:val="007E5C16"/>
    <w:rsid w:val="007E62BC"/>
    <w:rsid w:val="007E6DF9"/>
    <w:rsid w:val="007F218C"/>
    <w:rsid w:val="007F51FC"/>
    <w:rsid w:val="007F5775"/>
    <w:rsid w:val="007F6FC5"/>
    <w:rsid w:val="0080008E"/>
    <w:rsid w:val="00802CA7"/>
    <w:rsid w:val="00806EBD"/>
    <w:rsid w:val="008132D2"/>
    <w:rsid w:val="00813385"/>
    <w:rsid w:val="008133CB"/>
    <w:rsid w:val="00813C65"/>
    <w:rsid w:val="00814137"/>
    <w:rsid w:val="00816A18"/>
    <w:rsid w:val="00820600"/>
    <w:rsid w:val="00820909"/>
    <w:rsid w:val="0082092A"/>
    <w:rsid w:val="00821EFC"/>
    <w:rsid w:val="00822457"/>
    <w:rsid w:val="00823625"/>
    <w:rsid w:val="00823951"/>
    <w:rsid w:val="008239C8"/>
    <w:rsid w:val="00823C72"/>
    <w:rsid w:val="00825005"/>
    <w:rsid w:val="008259C4"/>
    <w:rsid w:val="00825BE8"/>
    <w:rsid w:val="008263AB"/>
    <w:rsid w:val="008269DA"/>
    <w:rsid w:val="00831451"/>
    <w:rsid w:val="00832B30"/>
    <w:rsid w:val="00832CE2"/>
    <w:rsid w:val="008337F9"/>
    <w:rsid w:val="00835F93"/>
    <w:rsid w:val="008365AE"/>
    <w:rsid w:val="00836BEB"/>
    <w:rsid w:val="00840EF9"/>
    <w:rsid w:val="008424DF"/>
    <w:rsid w:val="0084409A"/>
    <w:rsid w:val="008446E3"/>
    <w:rsid w:val="008458F8"/>
    <w:rsid w:val="00846367"/>
    <w:rsid w:val="00846C6D"/>
    <w:rsid w:val="008526AA"/>
    <w:rsid w:val="008529ED"/>
    <w:rsid w:val="008550BF"/>
    <w:rsid w:val="00856446"/>
    <w:rsid w:val="00861243"/>
    <w:rsid w:val="00861355"/>
    <w:rsid w:val="00862943"/>
    <w:rsid w:val="008629BB"/>
    <w:rsid w:val="00866640"/>
    <w:rsid w:val="00866B59"/>
    <w:rsid w:val="00867583"/>
    <w:rsid w:val="00873A36"/>
    <w:rsid w:val="00874552"/>
    <w:rsid w:val="0087526A"/>
    <w:rsid w:val="00875A80"/>
    <w:rsid w:val="008774D5"/>
    <w:rsid w:val="00877860"/>
    <w:rsid w:val="00877DAD"/>
    <w:rsid w:val="00880D86"/>
    <w:rsid w:val="008834E5"/>
    <w:rsid w:val="00883B79"/>
    <w:rsid w:val="008847EE"/>
    <w:rsid w:val="00884EDD"/>
    <w:rsid w:val="00884FC6"/>
    <w:rsid w:val="00887B9F"/>
    <w:rsid w:val="00891868"/>
    <w:rsid w:val="00892184"/>
    <w:rsid w:val="00894E11"/>
    <w:rsid w:val="00895B6E"/>
    <w:rsid w:val="00896CD2"/>
    <w:rsid w:val="00896F4E"/>
    <w:rsid w:val="0089775B"/>
    <w:rsid w:val="008A0CD0"/>
    <w:rsid w:val="008A1E5D"/>
    <w:rsid w:val="008A51EA"/>
    <w:rsid w:val="008A57A4"/>
    <w:rsid w:val="008A5CD6"/>
    <w:rsid w:val="008A5D48"/>
    <w:rsid w:val="008A63B7"/>
    <w:rsid w:val="008A64DB"/>
    <w:rsid w:val="008A757D"/>
    <w:rsid w:val="008A75A9"/>
    <w:rsid w:val="008A79EC"/>
    <w:rsid w:val="008B0163"/>
    <w:rsid w:val="008B1E18"/>
    <w:rsid w:val="008B2B26"/>
    <w:rsid w:val="008B3AF0"/>
    <w:rsid w:val="008B5326"/>
    <w:rsid w:val="008B56AB"/>
    <w:rsid w:val="008B5BD2"/>
    <w:rsid w:val="008B620E"/>
    <w:rsid w:val="008B6ED5"/>
    <w:rsid w:val="008B7099"/>
    <w:rsid w:val="008B7494"/>
    <w:rsid w:val="008B7F10"/>
    <w:rsid w:val="008C07B0"/>
    <w:rsid w:val="008C0E90"/>
    <w:rsid w:val="008C17F9"/>
    <w:rsid w:val="008C19E8"/>
    <w:rsid w:val="008C66EE"/>
    <w:rsid w:val="008C720E"/>
    <w:rsid w:val="008C7E63"/>
    <w:rsid w:val="008D017D"/>
    <w:rsid w:val="008D2304"/>
    <w:rsid w:val="008D46F2"/>
    <w:rsid w:val="008D519F"/>
    <w:rsid w:val="008D575E"/>
    <w:rsid w:val="008D5D99"/>
    <w:rsid w:val="008D70D5"/>
    <w:rsid w:val="008D7958"/>
    <w:rsid w:val="008E303A"/>
    <w:rsid w:val="008E3306"/>
    <w:rsid w:val="008E5CF4"/>
    <w:rsid w:val="008E696F"/>
    <w:rsid w:val="008E6D56"/>
    <w:rsid w:val="008E7001"/>
    <w:rsid w:val="008E72D4"/>
    <w:rsid w:val="008F147C"/>
    <w:rsid w:val="008F268F"/>
    <w:rsid w:val="008F2BEA"/>
    <w:rsid w:val="008F6CCE"/>
    <w:rsid w:val="00900FCF"/>
    <w:rsid w:val="00904F2D"/>
    <w:rsid w:val="00905980"/>
    <w:rsid w:val="00905C8A"/>
    <w:rsid w:val="009064C3"/>
    <w:rsid w:val="00906B53"/>
    <w:rsid w:val="00906C7E"/>
    <w:rsid w:val="00906FFE"/>
    <w:rsid w:val="00907D73"/>
    <w:rsid w:val="00911932"/>
    <w:rsid w:val="00912426"/>
    <w:rsid w:val="00913865"/>
    <w:rsid w:val="00913D82"/>
    <w:rsid w:val="00914097"/>
    <w:rsid w:val="00917626"/>
    <w:rsid w:val="00917B59"/>
    <w:rsid w:val="00921299"/>
    <w:rsid w:val="0092170E"/>
    <w:rsid w:val="00921826"/>
    <w:rsid w:val="00921AD8"/>
    <w:rsid w:val="0093014E"/>
    <w:rsid w:val="00931557"/>
    <w:rsid w:val="009323C4"/>
    <w:rsid w:val="009327EE"/>
    <w:rsid w:val="00932B9B"/>
    <w:rsid w:val="009336E9"/>
    <w:rsid w:val="009341E1"/>
    <w:rsid w:val="00934C7D"/>
    <w:rsid w:val="00937032"/>
    <w:rsid w:val="00937135"/>
    <w:rsid w:val="00937BDD"/>
    <w:rsid w:val="009410E7"/>
    <w:rsid w:val="00942600"/>
    <w:rsid w:val="0094349A"/>
    <w:rsid w:val="009449CC"/>
    <w:rsid w:val="0094607C"/>
    <w:rsid w:val="009478A7"/>
    <w:rsid w:val="00950359"/>
    <w:rsid w:val="00951011"/>
    <w:rsid w:val="00951561"/>
    <w:rsid w:val="00952278"/>
    <w:rsid w:val="0095354D"/>
    <w:rsid w:val="00953722"/>
    <w:rsid w:val="00954203"/>
    <w:rsid w:val="00956290"/>
    <w:rsid w:val="00956FB2"/>
    <w:rsid w:val="00960AF6"/>
    <w:rsid w:val="00963BF7"/>
    <w:rsid w:val="00963F43"/>
    <w:rsid w:val="00965B85"/>
    <w:rsid w:val="00965FA9"/>
    <w:rsid w:val="00966B0B"/>
    <w:rsid w:val="00966C6E"/>
    <w:rsid w:val="00967091"/>
    <w:rsid w:val="00967C5A"/>
    <w:rsid w:val="00967D6C"/>
    <w:rsid w:val="00972283"/>
    <w:rsid w:val="00972356"/>
    <w:rsid w:val="0097316B"/>
    <w:rsid w:val="009735BE"/>
    <w:rsid w:val="009741EF"/>
    <w:rsid w:val="0097434C"/>
    <w:rsid w:val="0097645A"/>
    <w:rsid w:val="00976769"/>
    <w:rsid w:val="00977DB0"/>
    <w:rsid w:val="00977EA4"/>
    <w:rsid w:val="00980248"/>
    <w:rsid w:val="0098195B"/>
    <w:rsid w:val="00982D31"/>
    <w:rsid w:val="00987CA3"/>
    <w:rsid w:val="00991022"/>
    <w:rsid w:val="0099141E"/>
    <w:rsid w:val="00992B0B"/>
    <w:rsid w:val="00992F1B"/>
    <w:rsid w:val="009940AD"/>
    <w:rsid w:val="00994905"/>
    <w:rsid w:val="009978E5"/>
    <w:rsid w:val="009A1194"/>
    <w:rsid w:val="009A15A2"/>
    <w:rsid w:val="009A1673"/>
    <w:rsid w:val="009A1CD6"/>
    <w:rsid w:val="009A208B"/>
    <w:rsid w:val="009A25DB"/>
    <w:rsid w:val="009A2DDE"/>
    <w:rsid w:val="009A3CCD"/>
    <w:rsid w:val="009A4C42"/>
    <w:rsid w:val="009A4F3F"/>
    <w:rsid w:val="009A57C4"/>
    <w:rsid w:val="009A6DE3"/>
    <w:rsid w:val="009A6E0C"/>
    <w:rsid w:val="009A767B"/>
    <w:rsid w:val="009B1D7A"/>
    <w:rsid w:val="009B36E9"/>
    <w:rsid w:val="009B5D5A"/>
    <w:rsid w:val="009B727D"/>
    <w:rsid w:val="009B7FAC"/>
    <w:rsid w:val="009C0167"/>
    <w:rsid w:val="009C0559"/>
    <w:rsid w:val="009C0738"/>
    <w:rsid w:val="009C0CAD"/>
    <w:rsid w:val="009C1E35"/>
    <w:rsid w:val="009C250B"/>
    <w:rsid w:val="009C25BB"/>
    <w:rsid w:val="009C2E0F"/>
    <w:rsid w:val="009C5223"/>
    <w:rsid w:val="009C52C5"/>
    <w:rsid w:val="009C56A7"/>
    <w:rsid w:val="009C6D52"/>
    <w:rsid w:val="009D05DD"/>
    <w:rsid w:val="009D0FF3"/>
    <w:rsid w:val="009D1921"/>
    <w:rsid w:val="009D2A6A"/>
    <w:rsid w:val="009D2C6E"/>
    <w:rsid w:val="009E1A6A"/>
    <w:rsid w:val="009E263F"/>
    <w:rsid w:val="009E3C90"/>
    <w:rsid w:val="009E4A0C"/>
    <w:rsid w:val="009E4F5C"/>
    <w:rsid w:val="009E5EE9"/>
    <w:rsid w:val="009E747B"/>
    <w:rsid w:val="009F1201"/>
    <w:rsid w:val="009F23B3"/>
    <w:rsid w:val="009F2925"/>
    <w:rsid w:val="009F308D"/>
    <w:rsid w:val="009F65EF"/>
    <w:rsid w:val="00A00342"/>
    <w:rsid w:val="00A0358E"/>
    <w:rsid w:val="00A03766"/>
    <w:rsid w:val="00A03935"/>
    <w:rsid w:val="00A040BF"/>
    <w:rsid w:val="00A06F7A"/>
    <w:rsid w:val="00A0743C"/>
    <w:rsid w:val="00A109EC"/>
    <w:rsid w:val="00A10BA7"/>
    <w:rsid w:val="00A117B9"/>
    <w:rsid w:val="00A11B14"/>
    <w:rsid w:val="00A1297B"/>
    <w:rsid w:val="00A1407C"/>
    <w:rsid w:val="00A153D4"/>
    <w:rsid w:val="00A15BD1"/>
    <w:rsid w:val="00A16AFE"/>
    <w:rsid w:val="00A179A9"/>
    <w:rsid w:val="00A17BE6"/>
    <w:rsid w:val="00A20360"/>
    <w:rsid w:val="00A2046B"/>
    <w:rsid w:val="00A20F56"/>
    <w:rsid w:val="00A21ECD"/>
    <w:rsid w:val="00A21F2A"/>
    <w:rsid w:val="00A22231"/>
    <w:rsid w:val="00A223EA"/>
    <w:rsid w:val="00A230BA"/>
    <w:rsid w:val="00A236E6"/>
    <w:rsid w:val="00A25162"/>
    <w:rsid w:val="00A256C6"/>
    <w:rsid w:val="00A25E31"/>
    <w:rsid w:val="00A2633D"/>
    <w:rsid w:val="00A3098B"/>
    <w:rsid w:val="00A319CD"/>
    <w:rsid w:val="00A327DD"/>
    <w:rsid w:val="00A33DF7"/>
    <w:rsid w:val="00A33F32"/>
    <w:rsid w:val="00A363ED"/>
    <w:rsid w:val="00A36FA3"/>
    <w:rsid w:val="00A37D15"/>
    <w:rsid w:val="00A43D77"/>
    <w:rsid w:val="00A4483F"/>
    <w:rsid w:val="00A44841"/>
    <w:rsid w:val="00A449C2"/>
    <w:rsid w:val="00A44B4B"/>
    <w:rsid w:val="00A44D77"/>
    <w:rsid w:val="00A462C3"/>
    <w:rsid w:val="00A469A0"/>
    <w:rsid w:val="00A475B8"/>
    <w:rsid w:val="00A47B0F"/>
    <w:rsid w:val="00A504DC"/>
    <w:rsid w:val="00A504DD"/>
    <w:rsid w:val="00A50F93"/>
    <w:rsid w:val="00A51845"/>
    <w:rsid w:val="00A52080"/>
    <w:rsid w:val="00A56397"/>
    <w:rsid w:val="00A602C2"/>
    <w:rsid w:val="00A608CB"/>
    <w:rsid w:val="00A60989"/>
    <w:rsid w:val="00A6190A"/>
    <w:rsid w:val="00A62A94"/>
    <w:rsid w:val="00A636EF"/>
    <w:rsid w:val="00A63907"/>
    <w:rsid w:val="00A63A25"/>
    <w:rsid w:val="00A64981"/>
    <w:rsid w:val="00A65AA0"/>
    <w:rsid w:val="00A65CBF"/>
    <w:rsid w:val="00A65E7F"/>
    <w:rsid w:val="00A71391"/>
    <w:rsid w:val="00A71FAC"/>
    <w:rsid w:val="00A72A1E"/>
    <w:rsid w:val="00A74327"/>
    <w:rsid w:val="00A76051"/>
    <w:rsid w:val="00A7675D"/>
    <w:rsid w:val="00A80465"/>
    <w:rsid w:val="00A81448"/>
    <w:rsid w:val="00A82A3B"/>
    <w:rsid w:val="00A83A07"/>
    <w:rsid w:val="00A83A24"/>
    <w:rsid w:val="00A8622E"/>
    <w:rsid w:val="00A866C0"/>
    <w:rsid w:val="00A86EE7"/>
    <w:rsid w:val="00A90919"/>
    <w:rsid w:val="00A90B4C"/>
    <w:rsid w:val="00A90C37"/>
    <w:rsid w:val="00A90DDF"/>
    <w:rsid w:val="00A91BD9"/>
    <w:rsid w:val="00A92DC0"/>
    <w:rsid w:val="00A93D4F"/>
    <w:rsid w:val="00A93DE2"/>
    <w:rsid w:val="00A97531"/>
    <w:rsid w:val="00AA235C"/>
    <w:rsid w:val="00AA680D"/>
    <w:rsid w:val="00AA6AAB"/>
    <w:rsid w:val="00AB015F"/>
    <w:rsid w:val="00AB05D8"/>
    <w:rsid w:val="00AB1571"/>
    <w:rsid w:val="00AB24CF"/>
    <w:rsid w:val="00AB269D"/>
    <w:rsid w:val="00AB2873"/>
    <w:rsid w:val="00AB3150"/>
    <w:rsid w:val="00AB36E3"/>
    <w:rsid w:val="00AB5D4C"/>
    <w:rsid w:val="00AB601E"/>
    <w:rsid w:val="00AB7202"/>
    <w:rsid w:val="00AB7E99"/>
    <w:rsid w:val="00AC00A0"/>
    <w:rsid w:val="00AC014D"/>
    <w:rsid w:val="00AC1BD9"/>
    <w:rsid w:val="00AC4196"/>
    <w:rsid w:val="00AC4278"/>
    <w:rsid w:val="00AC5C02"/>
    <w:rsid w:val="00AC66F9"/>
    <w:rsid w:val="00AC73A1"/>
    <w:rsid w:val="00AC7A1D"/>
    <w:rsid w:val="00AD17B0"/>
    <w:rsid w:val="00AD2306"/>
    <w:rsid w:val="00AD2543"/>
    <w:rsid w:val="00AD2927"/>
    <w:rsid w:val="00AD29CC"/>
    <w:rsid w:val="00AD340A"/>
    <w:rsid w:val="00AD50F8"/>
    <w:rsid w:val="00AD6701"/>
    <w:rsid w:val="00AD6BE1"/>
    <w:rsid w:val="00AD7B41"/>
    <w:rsid w:val="00AD7FED"/>
    <w:rsid w:val="00AE064F"/>
    <w:rsid w:val="00AE0E4F"/>
    <w:rsid w:val="00AE18B1"/>
    <w:rsid w:val="00AE2617"/>
    <w:rsid w:val="00AE27F5"/>
    <w:rsid w:val="00AE3F73"/>
    <w:rsid w:val="00AE41A1"/>
    <w:rsid w:val="00AE562C"/>
    <w:rsid w:val="00AE5781"/>
    <w:rsid w:val="00AE58DC"/>
    <w:rsid w:val="00AE5DD6"/>
    <w:rsid w:val="00AE5F2F"/>
    <w:rsid w:val="00AE6829"/>
    <w:rsid w:val="00AF084C"/>
    <w:rsid w:val="00AF2425"/>
    <w:rsid w:val="00AF26E9"/>
    <w:rsid w:val="00AF32C3"/>
    <w:rsid w:val="00AF5D09"/>
    <w:rsid w:val="00AF64D6"/>
    <w:rsid w:val="00AF73AA"/>
    <w:rsid w:val="00AF7E90"/>
    <w:rsid w:val="00B006D9"/>
    <w:rsid w:val="00B02237"/>
    <w:rsid w:val="00B02412"/>
    <w:rsid w:val="00B02E5C"/>
    <w:rsid w:val="00B03640"/>
    <w:rsid w:val="00B044C4"/>
    <w:rsid w:val="00B0475C"/>
    <w:rsid w:val="00B07253"/>
    <w:rsid w:val="00B07A7F"/>
    <w:rsid w:val="00B07F3E"/>
    <w:rsid w:val="00B11051"/>
    <w:rsid w:val="00B11116"/>
    <w:rsid w:val="00B12441"/>
    <w:rsid w:val="00B12A81"/>
    <w:rsid w:val="00B12E1C"/>
    <w:rsid w:val="00B13A30"/>
    <w:rsid w:val="00B14C86"/>
    <w:rsid w:val="00B17012"/>
    <w:rsid w:val="00B206E6"/>
    <w:rsid w:val="00B21058"/>
    <w:rsid w:val="00B21616"/>
    <w:rsid w:val="00B21664"/>
    <w:rsid w:val="00B21B35"/>
    <w:rsid w:val="00B22188"/>
    <w:rsid w:val="00B223DE"/>
    <w:rsid w:val="00B254A5"/>
    <w:rsid w:val="00B2623D"/>
    <w:rsid w:val="00B264C5"/>
    <w:rsid w:val="00B304B9"/>
    <w:rsid w:val="00B30D96"/>
    <w:rsid w:val="00B31918"/>
    <w:rsid w:val="00B3362C"/>
    <w:rsid w:val="00B35174"/>
    <w:rsid w:val="00B36021"/>
    <w:rsid w:val="00B410C0"/>
    <w:rsid w:val="00B41E21"/>
    <w:rsid w:val="00B41FC2"/>
    <w:rsid w:val="00B42F92"/>
    <w:rsid w:val="00B43375"/>
    <w:rsid w:val="00B43486"/>
    <w:rsid w:val="00B448DB"/>
    <w:rsid w:val="00B45385"/>
    <w:rsid w:val="00B45425"/>
    <w:rsid w:val="00B454D4"/>
    <w:rsid w:val="00B45673"/>
    <w:rsid w:val="00B46AB8"/>
    <w:rsid w:val="00B46D27"/>
    <w:rsid w:val="00B50A0F"/>
    <w:rsid w:val="00B50EFD"/>
    <w:rsid w:val="00B517F4"/>
    <w:rsid w:val="00B52DB4"/>
    <w:rsid w:val="00B53C82"/>
    <w:rsid w:val="00B54595"/>
    <w:rsid w:val="00B547F7"/>
    <w:rsid w:val="00B566BE"/>
    <w:rsid w:val="00B575C3"/>
    <w:rsid w:val="00B57EE5"/>
    <w:rsid w:val="00B613A3"/>
    <w:rsid w:val="00B61D63"/>
    <w:rsid w:val="00B62421"/>
    <w:rsid w:val="00B67A84"/>
    <w:rsid w:val="00B67B84"/>
    <w:rsid w:val="00B70552"/>
    <w:rsid w:val="00B70999"/>
    <w:rsid w:val="00B72B0F"/>
    <w:rsid w:val="00B74D97"/>
    <w:rsid w:val="00B758F9"/>
    <w:rsid w:val="00B75A50"/>
    <w:rsid w:val="00B76833"/>
    <w:rsid w:val="00B774AF"/>
    <w:rsid w:val="00B801D7"/>
    <w:rsid w:val="00B80539"/>
    <w:rsid w:val="00B8231A"/>
    <w:rsid w:val="00B82CAA"/>
    <w:rsid w:val="00B85A86"/>
    <w:rsid w:val="00B87B1B"/>
    <w:rsid w:val="00B9039D"/>
    <w:rsid w:val="00B93760"/>
    <w:rsid w:val="00B946AF"/>
    <w:rsid w:val="00B9687F"/>
    <w:rsid w:val="00B9729D"/>
    <w:rsid w:val="00BA00CF"/>
    <w:rsid w:val="00BA0393"/>
    <w:rsid w:val="00BA1048"/>
    <w:rsid w:val="00BA17CD"/>
    <w:rsid w:val="00BA26A0"/>
    <w:rsid w:val="00BA3091"/>
    <w:rsid w:val="00BA3A11"/>
    <w:rsid w:val="00BB04F7"/>
    <w:rsid w:val="00BB1BC7"/>
    <w:rsid w:val="00BB1FC5"/>
    <w:rsid w:val="00BB2589"/>
    <w:rsid w:val="00BB273E"/>
    <w:rsid w:val="00BB3EFE"/>
    <w:rsid w:val="00BB4D69"/>
    <w:rsid w:val="00BC0199"/>
    <w:rsid w:val="00BC10F7"/>
    <w:rsid w:val="00BC31DB"/>
    <w:rsid w:val="00BC3804"/>
    <w:rsid w:val="00BC5117"/>
    <w:rsid w:val="00BC799E"/>
    <w:rsid w:val="00BC7A99"/>
    <w:rsid w:val="00BD0356"/>
    <w:rsid w:val="00BD276E"/>
    <w:rsid w:val="00BD2B0E"/>
    <w:rsid w:val="00BD3C4E"/>
    <w:rsid w:val="00BD411D"/>
    <w:rsid w:val="00BD4BB1"/>
    <w:rsid w:val="00BD5FAA"/>
    <w:rsid w:val="00BD6BB4"/>
    <w:rsid w:val="00BE1677"/>
    <w:rsid w:val="00BE16CE"/>
    <w:rsid w:val="00BE3D0A"/>
    <w:rsid w:val="00BE4561"/>
    <w:rsid w:val="00BE4A13"/>
    <w:rsid w:val="00BF0797"/>
    <w:rsid w:val="00BF08DC"/>
    <w:rsid w:val="00BF14A5"/>
    <w:rsid w:val="00BF2109"/>
    <w:rsid w:val="00BF2F78"/>
    <w:rsid w:val="00BF3827"/>
    <w:rsid w:val="00BF41C1"/>
    <w:rsid w:val="00BF4FFB"/>
    <w:rsid w:val="00BF5411"/>
    <w:rsid w:val="00BF5478"/>
    <w:rsid w:val="00BF558F"/>
    <w:rsid w:val="00BF6834"/>
    <w:rsid w:val="00BF6854"/>
    <w:rsid w:val="00C01CCE"/>
    <w:rsid w:val="00C0231F"/>
    <w:rsid w:val="00C04660"/>
    <w:rsid w:val="00C059F5"/>
    <w:rsid w:val="00C05B47"/>
    <w:rsid w:val="00C05C42"/>
    <w:rsid w:val="00C06197"/>
    <w:rsid w:val="00C06C26"/>
    <w:rsid w:val="00C079AA"/>
    <w:rsid w:val="00C07CE6"/>
    <w:rsid w:val="00C07EAF"/>
    <w:rsid w:val="00C10D97"/>
    <w:rsid w:val="00C10DAC"/>
    <w:rsid w:val="00C11009"/>
    <w:rsid w:val="00C11307"/>
    <w:rsid w:val="00C114D6"/>
    <w:rsid w:val="00C11DC9"/>
    <w:rsid w:val="00C12141"/>
    <w:rsid w:val="00C173CF"/>
    <w:rsid w:val="00C17A2A"/>
    <w:rsid w:val="00C205A4"/>
    <w:rsid w:val="00C20C3B"/>
    <w:rsid w:val="00C238BE"/>
    <w:rsid w:val="00C245F8"/>
    <w:rsid w:val="00C2467B"/>
    <w:rsid w:val="00C25BBF"/>
    <w:rsid w:val="00C279EB"/>
    <w:rsid w:val="00C27DAE"/>
    <w:rsid w:val="00C30120"/>
    <w:rsid w:val="00C301D8"/>
    <w:rsid w:val="00C30210"/>
    <w:rsid w:val="00C32BA8"/>
    <w:rsid w:val="00C3694A"/>
    <w:rsid w:val="00C40155"/>
    <w:rsid w:val="00C43947"/>
    <w:rsid w:val="00C4479A"/>
    <w:rsid w:val="00C44B8F"/>
    <w:rsid w:val="00C45849"/>
    <w:rsid w:val="00C45A5B"/>
    <w:rsid w:val="00C4638E"/>
    <w:rsid w:val="00C46A15"/>
    <w:rsid w:val="00C46A35"/>
    <w:rsid w:val="00C47CEA"/>
    <w:rsid w:val="00C50ED9"/>
    <w:rsid w:val="00C51EB6"/>
    <w:rsid w:val="00C53D50"/>
    <w:rsid w:val="00C556F1"/>
    <w:rsid w:val="00C55CA2"/>
    <w:rsid w:val="00C5679B"/>
    <w:rsid w:val="00C57A2F"/>
    <w:rsid w:val="00C57A91"/>
    <w:rsid w:val="00C60EBF"/>
    <w:rsid w:val="00C61A1C"/>
    <w:rsid w:val="00C622B1"/>
    <w:rsid w:val="00C64CA4"/>
    <w:rsid w:val="00C65BBA"/>
    <w:rsid w:val="00C66806"/>
    <w:rsid w:val="00C67531"/>
    <w:rsid w:val="00C67C0B"/>
    <w:rsid w:val="00C67EEF"/>
    <w:rsid w:val="00C7225F"/>
    <w:rsid w:val="00C74616"/>
    <w:rsid w:val="00C76CFA"/>
    <w:rsid w:val="00C77E8E"/>
    <w:rsid w:val="00C80E8B"/>
    <w:rsid w:val="00C81FAF"/>
    <w:rsid w:val="00C8289D"/>
    <w:rsid w:val="00C8351F"/>
    <w:rsid w:val="00C83A85"/>
    <w:rsid w:val="00C83B62"/>
    <w:rsid w:val="00C83D94"/>
    <w:rsid w:val="00C85461"/>
    <w:rsid w:val="00C8656E"/>
    <w:rsid w:val="00C87273"/>
    <w:rsid w:val="00C8789F"/>
    <w:rsid w:val="00C90376"/>
    <w:rsid w:val="00C90995"/>
    <w:rsid w:val="00C91F4E"/>
    <w:rsid w:val="00C942F9"/>
    <w:rsid w:val="00CA05A8"/>
    <w:rsid w:val="00CA14EE"/>
    <w:rsid w:val="00CA1E27"/>
    <w:rsid w:val="00CA3501"/>
    <w:rsid w:val="00CA3626"/>
    <w:rsid w:val="00CA4FBA"/>
    <w:rsid w:val="00CA5918"/>
    <w:rsid w:val="00CA6D63"/>
    <w:rsid w:val="00CB1692"/>
    <w:rsid w:val="00CB179D"/>
    <w:rsid w:val="00CB2D43"/>
    <w:rsid w:val="00CB2D66"/>
    <w:rsid w:val="00CB35FA"/>
    <w:rsid w:val="00CB433C"/>
    <w:rsid w:val="00CB4BFA"/>
    <w:rsid w:val="00CB6C80"/>
    <w:rsid w:val="00CB7535"/>
    <w:rsid w:val="00CB7641"/>
    <w:rsid w:val="00CB7D94"/>
    <w:rsid w:val="00CC073C"/>
    <w:rsid w:val="00CC2DD8"/>
    <w:rsid w:val="00CC3092"/>
    <w:rsid w:val="00CC30AF"/>
    <w:rsid w:val="00CC314F"/>
    <w:rsid w:val="00CC5CE5"/>
    <w:rsid w:val="00CC604C"/>
    <w:rsid w:val="00CC7CB0"/>
    <w:rsid w:val="00CD116C"/>
    <w:rsid w:val="00CD1276"/>
    <w:rsid w:val="00CD133A"/>
    <w:rsid w:val="00CD1713"/>
    <w:rsid w:val="00CD18AA"/>
    <w:rsid w:val="00CD1C2A"/>
    <w:rsid w:val="00CD210D"/>
    <w:rsid w:val="00CD28ED"/>
    <w:rsid w:val="00CD36B6"/>
    <w:rsid w:val="00CD3B2E"/>
    <w:rsid w:val="00CD4F5E"/>
    <w:rsid w:val="00CD6B11"/>
    <w:rsid w:val="00CE04D1"/>
    <w:rsid w:val="00CE0FE2"/>
    <w:rsid w:val="00CE1135"/>
    <w:rsid w:val="00CE1FC2"/>
    <w:rsid w:val="00CE3C11"/>
    <w:rsid w:val="00CE3E2D"/>
    <w:rsid w:val="00CE522C"/>
    <w:rsid w:val="00CE5A0C"/>
    <w:rsid w:val="00CE61FD"/>
    <w:rsid w:val="00CE6908"/>
    <w:rsid w:val="00CE6C89"/>
    <w:rsid w:val="00CE71FB"/>
    <w:rsid w:val="00CE7A07"/>
    <w:rsid w:val="00CF00EC"/>
    <w:rsid w:val="00CF0946"/>
    <w:rsid w:val="00CF0D48"/>
    <w:rsid w:val="00CF2956"/>
    <w:rsid w:val="00CF325D"/>
    <w:rsid w:val="00CF3B7D"/>
    <w:rsid w:val="00CF407D"/>
    <w:rsid w:val="00CF41B0"/>
    <w:rsid w:val="00CF54AB"/>
    <w:rsid w:val="00CF6634"/>
    <w:rsid w:val="00CF750D"/>
    <w:rsid w:val="00CF7C3C"/>
    <w:rsid w:val="00D05CF8"/>
    <w:rsid w:val="00D074F0"/>
    <w:rsid w:val="00D11761"/>
    <w:rsid w:val="00D1208A"/>
    <w:rsid w:val="00D12471"/>
    <w:rsid w:val="00D13D78"/>
    <w:rsid w:val="00D14BD1"/>
    <w:rsid w:val="00D1500E"/>
    <w:rsid w:val="00D16696"/>
    <w:rsid w:val="00D16C1F"/>
    <w:rsid w:val="00D17432"/>
    <w:rsid w:val="00D17D6F"/>
    <w:rsid w:val="00D17ED6"/>
    <w:rsid w:val="00D17F93"/>
    <w:rsid w:val="00D2009C"/>
    <w:rsid w:val="00D205A5"/>
    <w:rsid w:val="00D205B6"/>
    <w:rsid w:val="00D208D7"/>
    <w:rsid w:val="00D2178E"/>
    <w:rsid w:val="00D21D4D"/>
    <w:rsid w:val="00D220B5"/>
    <w:rsid w:val="00D2438E"/>
    <w:rsid w:val="00D24C80"/>
    <w:rsid w:val="00D24E22"/>
    <w:rsid w:val="00D278EE"/>
    <w:rsid w:val="00D27AD1"/>
    <w:rsid w:val="00D322C7"/>
    <w:rsid w:val="00D3278F"/>
    <w:rsid w:val="00D3426E"/>
    <w:rsid w:val="00D3631D"/>
    <w:rsid w:val="00D37403"/>
    <w:rsid w:val="00D3797E"/>
    <w:rsid w:val="00D40926"/>
    <w:rsid w:val="00D4281D"/>
    <w:rsid w:val="00D43506"/>
    <w:rsid w:val="00D446EE"/>
    <w:rsid w:val="00D456FF"/>
    <w:rsid w:val="00D45B52"/>
    <w:rsid w:val="00D45B8E"/>
    <w:rsid w:val="00D4625B"/>
    <w:rsid w:val="00D46A80"/>
    <w:rsid w:val="00D474AF"/>
    <w:rsid w:val="00D47566"/>
    <w:rsid w:val="00D477B3"/>
    <w:rsid w:val="00D50BB4"/>
    <w:rsid w:val="00D51550"/>
    <w:rsid w:val="00D5273B"/>
    <w:rsid w:val="00D52B18"/>
    <w:rsid w:val="00D54499"/>
    <w:rsid w:val="00D611B1"/>
    <w:rsid w:val="00D63823"/>
    <w:rsid w:val="00D649D7"/>
    <w:rsid w:val="00D65719"/>
    <w:rsid w:val="00D660D4"/>
    <w:rsid w:val="00D6614B"/>
    <w:rsid w:val="00D662BF"/>
    <w:rsid w:val="00D719B3"/>
    <w:rsid w:val="00D71D3D"/>
    <w:rsid w:val="00D72873"/>
    <w:rsid w:val="00D75E80"/>
    <w:rsid w:val="00D769DD"/>
    <w:rsid w:val="00D76F26"/>
    <w:rsid w:val="00D778B0"/>
    <w:rsid w:val="00D86C4B"/>
    <w:rsid w:val="00D87683"/>
    <w:rsid w:val="00D9050D"/>
    <w:rsid w:val="00D9185E"/>
    <w:rsid w:val="00D924C9"/>
    <w:rsid w:val="00D93EB7"/>
    <w:rsid w:val="00D952C6"/>
    <w:rsid w:val="00D95CE1"/>
    <w:rsid w:val="00D96913"/>
    <w:rsid w:val="00D96F48"/>
    <w:rsid w:val="00D9719D"/>
    <w:rsid w:val="00D97654"/>
    <w:rsid w:val="00DA044C"/>
    <w:rsid w:val="00DA2CAB"/>
    <w:rsid w:val="00DA478B"/>
    <w:rsid w:val="00DA4E3F"/>
    <w:rsid w:val="00DA703D"/>
    <w:rsid w:val="00DA7946"/>
    <w:rsid w:val="00DA7F27"/>
    <w:rsid w:val="00DB0469"/>
    <w:rsid w:val="00DB0879"/>
    <w:rsid w:val="00DB2198"/>
    <w:rsid w:val="00DB22F2"/>
    <w:rsid w:val="00DB3B91"/>
    <w:rsid w:val="00DB3C7A"/>
    <w:rsid w:val="00DB45E4"/>
    <w:rsid w:val="00DB57CB"/>
    <w:rsid w:val="00DB7FA9"/>
    <w:rsid w:val="00DC0759"/>
    <w:rsid w:val="00DC0EC4"/>
    <w:rsid w:val="00DC11BC"/>
    <w:rsid w:val="00DC376B"/>
    <w:rsid w:val="00DC4C5A"/>
    <w:rsid w:val="00DC4E27"/>
    <w:rsid w:val="00DC59C7"/>
    <w:rsid w:val="00DD2291"/>
    <w:rsid w:val="00DD538B"/>
    <w:rsid w:val="00DD6091"/>
    <w:rsid w:val="00DD689B"/>
    <w:rsid w:val="00DD6AC9"/>
    <w:rsid w:val="00DD6AF0"/>
    <w:rsid w:val="00DD72F3"/>
    <w:rsid w:val="00DD75EC"/>
    <w:rsid w:val="00DE02A3"/>
    <w:rsid w:val="00DE0CF3"/>
    <w:rsid w:val="00DE1E0A"/>
    <w:rsid w:val="00DE1FD8"/>
    <w:rsid w:val="00DE2834"/>
    <w:rsid w:val="00DE2E27"/>
    <w:rsid w:val="00DE5651"/>
    <w:rsid w:val="00DE7BA7"/>
    <w:rsid w:val="00DF2876"/>
    <w:rsid w:val="00DF2F16"/>
    <w:rsid w:val="00DF410D"/>
    <w:rsid w:val="00DF54E7"/>
    <w:rsid w:val="00DF7914"/>
    <w:rsid w:val="00E00F88"/>
    <w:rsid w:val="00E013D3"/>
    <w:rsid w:val="00E025BA"/>
    <w:rsid w:val="00E05274"/>
    <w:rsid w:val="00E06057"/>
    <w:rsid w:val="00E1075B"/>
    <w:rsid w:val="00E11348"/>
    <w:rsid w:val="00E113F6"/>
    <w:rsid w:val="00E121ED"/>
    <w:rsid w:val="00E1268B"/>
    <w:rsid w:val="00E13772"/>
    <w:rsid w:val="00E14E84"/>
    <w:rsid w:val="00E16537"/>
    <w:rsid w:val="00E166E3"/>
    <w:rsid w:val="00E17C0A"/>
    <w:rsid w:val="00E20DC9"/>
    <w:rsid w:val="00E221DF"/>
    <w:rsid w:val="00E242C4"/>
    <w:rsid w:val="00E24E73"/>
    <w:rsid w:val="00E24F09"/>
    <w:rsid w:val="00E308A1"/>
    <w:rsid w:val="00E33C44"/>
    <w:rsid w:val="00E33F4B"/>
    <w:rsid w:val="00E345AB"/>
    <w:rsid w:val="00E365E9"/>
    <w:rsid w:val="00E37F14"/>
    <w:rsid w:val="00E4232C"/>
    <w:rsid w:val="00E42752"/>
    <w:rsid w:val="00E431B6"/>
    <w:rsid w:val="00E43B3D"/>
    <w:rsid w:val="00E4520E"/>
    <w:rsid w:val="00E46F2B"/>
    <w:rsid w:val="00E4732E"/>
    <w:rsid w:val="00E508AD"/>
    <w:rsid w:val="00E51870"/>
    <w:rsid w:val="00E5418B"/>
    <w:rsid w:val="00E544E6"/>
    <w:rsid w:val="00E5489C"/>
    <w:rsid w:val="00E60813"/>
    <w:rsid w:val="00E614ED"/>
    <w:rsid w:val="00E6354A"/>
    <w:rsid w:val="00E63E42"/>
    <w:rsid w:val="00E64750"/>
    <w:rsid w:val="00E659EA"/>
    <w:rsid w:val="00E6723F"/>
    <w:rsid w:val="00E701A1"/>
    <w:rsid w:val="00E72D92"/>
    <w:rsid w:val="00E736A4"/>
    <w:rsid w:val="00E73BD0"/>
    <w:rsid w:val="00E7433C"/>
    <w:rsid w:val="00E74801"/>
    <w:rsid w:val="00E74F8B"/>
    <w:rsid w:val="00E750DE"/>
    <w:rsid w:val="00E75401"/>
    <w:rsid w:val="00E769AE"/>
    <w:rsid w:val="00E779AD"/>
    <w:rsid w:val="00E804BE"/>
    <w:rsid w:val="00E81241"/>
    <w:rsid w:val="00E82501"/>
    <w:rsid w:val="00E83BE3"/>
    <w:rsid w:val="00E847DE"/>
    <w:rsid w:val="00E84D37"/>
    <w:rsid w:val="00E86C4C"/>
    <w:rsid w:val="00E87394"/>
    <w:rsid w:val="00E90388"/>
    <w:rsid w:val="00E90AD6"/>
    <w:rsid w:val="00E91625"/>
    <w:rsid w:val="00E93DB7"/>
    <w:rsid w:val="00E94D59"/>
    <w:rsid w:val="00E9573B"/>
    <w:rsid w:val="00E95E51"/>
    <w:rsid w:val="00E960DA"/>
    <w:rsid w:val="00E9640B"/>
    <w:rsid w:val="00E9692F"/>
    <w:rsid w:val="00EA0263"/>
    <w:rsid w:val="00EA0B1D"/>
    <w:rsid w:val="00EA12FC"/>
    <w:rsid w:val="00EA1458"/>
    <w:rsid w:val="00EA172B"/>
    <w:rsid w:val="00EA369E"/>
    <w:rsid w:val="00EA4EEF"/>
    <w:rsid w:val="00EA5D33"/>
    <w:rsid w:val="00EA6240"/>
    <w:rsid w:val="00EA7B1A"/>
    <w:rsid w:val="00EA7B7C"/>
    <w:rsid w:val="00EB01A5"/>
    <w:rsid w:val="00EB02AF"/>
    <w:rsid w:val="00EB1F41"/>
    <w:rsid w:val="00EB3695"/>
    <w:rsid w:val="00EB36D4"/>
    <w:rsid w:val="00EB3D03"/>
    <w:rsid w:val="00EB4B32"/>
    <w:rsid w:val="00EB6B13"/>
    <w:rsid w:val="00EB79CE"/>
    <w:rsid w:val="00EB7C0D"/>
    <w:rsid w:val="00EC149F"/>
    <w:rsid w:val="00EC26F4"/>
    <w:rsid w:val="00EC3408"/>
    <w:rsid w:val="00EC6FB9"/>
    <w:rsid w:val="00EC755F"/>
    <w:rsid w:val="00ED11DF"/>
    <w:rsid w:val="00ED2B0F"/>
    <w:rsid w:val="00ED4588"/>
    <w:rsid w:val="00ED4A20"/>
    <w:rsid w:val="00ED54DE"/>
    <w:rsid w:val="00ED5571"/>
    <w:rsid w:val="00ED710D"/>
    <w:rsid w:val="00ED7F2C"/>
    <w:rsid w:val="00EE0F3B"/>
    <w:rsid w:val="00EE23F1"/>
    <w:rsid w:val="00EE2C89"/>
    <w:rsid w:val="00EE2D93"/>
    <w:rsid w:val="00EE381B"/>
    <w:rsid w:val="00EE3AEE"/>
    <w:rsid w:val="00EE4A12"/>
    <w:rsid w:val="00EE5BD6"/>
    <w:rsid w:val="00EE6154"/>
    <w:rsid w:val="00EE64E0"/>
    <w:rsid w:val="00EE6BFE"/>
    <w:rsid w:val="00EE79EE"/>
    <w:rsid w:val="00EF0238"/>
    <w:rsid w:val="00EF0B6D"/>
    <w:rsid w:val="00EF1597"/>
    <w:rsid w:val="00EF4ED9"/>
    <w:rsid w:val="00EF5033"/>
    <w:rsid w:val="00EF5440"/>
    <w:rsid w:val="00EF5F16"/>
    <w:rsid w:val="00EF6CEE"/>
    <w:rsid w:val="00EF7ABB"/>
    <w:rsid w:val="00F00350"/>
    <w:rsid w:val="00F02055"/>
    <w:rsid w:val="00F0262F"/>
    <w:rsid w:val="00F043E5"/>
    <w:rsid w:val="00F0576A"/>
    <w:rsid w:val="00F0616A"/>
    <w:rsid w:val="00F062F8"/>
    <w:rsid w:val="00F06A30"/>
    <w:rsid w:val="00F07E5F"/>
    <w:rsid w:val="00F1101F"/>
    <w:rsid w:val="00F11D25"/>
    <w:rsid w:val="00F14067"/>
    <w:rsid w:val="00F14882"/>
    <w:rsid w:val="00F14A0C"/>
    <w:rsid w:val="00F16E12"/>
    <w:rsid w:val="00F179C0"/>
    <w:rsid w:val="00F20CED"/>
    <w:rsid w:val="00F22308"/>
    <w:rsid w:val="00F22910"/>
    <w:rsid w:val="00F30940"/>
    <w:rsid w:val="00F30FB0"/>
    <w:rsid w:val="00F31C5E"/>
    <w:rsid w:val="00F3283F"/>
    <w:rsid w:val="00F337A7"/>
    <w:rsid w:val="00F341C9"/>
    <w:rsid w:val="00F34359"/>
    <w:rsid w:val="00F3521B"/>
    <w:rsid w:val="00F3562B"/>
    <w:rsid w:val="00F35B01"/>
    <w:rsid w:val="00F363BD"/>
    <w:rsid w:val="00F368B1"/>
    <w:rsid w:val="00F407DA"/>
    <w:rsid w:val="00F42644"/>
    <w:rsid w:val="00F4326A"/>
    <w:rsid w:val="00F4382A"/>
    <w:rsid w:val="00F43A3E"/>
    <w:rsid w:val="00F4416C"/>
    <w:rsid w:val="00F44E61"/>
    <w:rsid w:val="00F472C6"/>
    <w:rsid w:val="00F47B9E"/>
    <w:rsid w:val="00F47E4F"/>
    <w:rsid w:val="00F50EC2"/>
    <w:rsid w:val="00F511FD"/>
    <w:rsid w:val="00F51583"/>
    <w:rsid w:val="00F5188F"/>
    <w:rsid w:val="00F51E72"/>
    <w:rsid w:val="00F526FC"/>
    <w:rsid w:val="00F52C1D"/>
    <w:rsid w:val="00F52C28"/>
    <w:rsid w:val="00F55C89"/>
    <w:rsid w:val="00F56B0F"/>
    <w:rsid w:val="00F56EA1"/>
    <w:rsid w:val="00F614B0"/>
    <w:rsid w:val="00F62D11"/>
    <w:rsid w:val="00F639D0"/>
    <w:rsid w:val="00F668AA"/>
    <w:rsid w:val="00F7028E"/>
    <w:rsid w:val="00F744A2"/>
    <w:rsid w:val="00F74945"/>
    <w:rsid w:val="00F75DDC"/>
    <w:rsid w:val="00F75EA4"/>
    <w:rsid w:val="00F77332"/>
    <w:rsid w:val="00F81005"/>
    <w:rsid w:val="00F81ADF"/>
    <w:rsid w:val="00F82113"/>
    <w:rsid w:val="00F823D4"/>
    <w:rsid w:val="00F83280"/>
    <w:rsid w:val="00F851EB"/>
    <w:rsid w:val="00F86097"/>
    <w:rsid w:val="00F86961"/>
    <w:rsid w:val="00F86AB1"/>
    <w:rsid w:val="00F86EFA"/>
    <w:rsid w:val="00F8727C"/>
    <w:rsid w:val="00F8788A"/>
    <w:rsid w:val="00F87FA0"/>
    <w:rsid w:val="00F90F23"/>
    <w:rsid w:val="00F92A1F"/>
    <w:rsid w:val="00F94C6A"/>
    <w:rsid w:val="00F954DF"/>
    <w:rsid w:val="00F9767B"/>
    <w:rsid w:val="00FA1A5C"/>
    <w:rsid w:val="00FA1E92"/>
    <w:rsid w:val="00FA24AE"/>
    <w:rsid w:val="00FA257C"/>
    <w:rsid w:val="00FA2B67"/>
    <w:rsid w:val="00FA2FDA"/>
    <w:rsid w:val="00FA6303"/>
    <w:rsid w:val="00FA7BDE"/>
    <w:rsid w:val="00FA7E2E"/>
    <w:rsid w:val="00FB12C1"/>
    <w:rsid w:val="00FB219D"/>
    <w:rsid w:val="00FB4A70"/>
    <w:rsid w:val="00FB56E6"/>
    <w:rsid w:val="00FB5B69"/>
    <w:rsid w:val="00FB5EA2"/>
    <w:rsid w:val="00FB6666"/>
    <w:rsid w:val="00FB6861"/>
    <w:rsid w:val="00FB6BB0"/>
    <w:rsid w:val="00FB7517"/>
    <w:rsid w:val="00FB78EE"/>
    <w:rsid w:val="00FB7B98"/>
    <w:rsid w:val="00FC0548"/>
    <w:rsid w:val="00FC0F96"/>
    <w:rsid w:val="00FC14C0"/>
    <w:rsid w:val="00FC2F6A"/>
    <w:rsid w:val="00FC3161"/>
    <w:rsid w:val="00FC4570"/>
    <w:rsid w:val="00FC54FD"/>
    <w:rsid w:val="00FC5675"/>
    <w:rsid w:val="00FC56C4"/>
    <w:rsid w:val="00FC6ED8"/>
    <w:rsid w:val="00FD09FE"/>
    <w:rsid w:val="00FD1386"/>
    <w:rsid w:val="00FD1B9B"/>
    <w:rsid w:val="00FD4C9D"/>
    <w:rsid w:val="00FD5AB8"/>
    <w:rsid w:val="00FD5D19"/>
    <w:rsid w:val="00FD7243"/>
    <w:rsid w:val="00FD7947"/>
    <w:rsid w:val="00FE1929"/>
    <w:rsid w:val="00FE330E"/>
    <w:rsid w:val="00FE33CE"/>
    <w:rsid w:val="00FE3B00"/>
    <w:rsid w:val="00FE3CA9"/>
    <w:rsid w:val="00FE49BB"/>
    <w:rsid w:val="00FE63FD"/>
    <w:rsid w:val="00FE7953"/>
    <w:rsid w:val="00FF4E6D"/>
    <w:rsid w:val="00FF6282"/>
    <w:rsid w:val="00FF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List 3" w:uiPriority="99"/>
    <w:lsdException w:name="Title" w:qFormat="1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B4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4B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F65EF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65EF"/>
    <w:pPr>
      <w:keepNext/>
      <w:spacing w:before="240" w:after="60"/>
      <w:ind w:firstLine="709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F65EF"/>
    <w:pPr>
      <w:keepNext/>
      <w:spacing w:before="240" w:after="60"/>
      <w:ind w:firstLine="709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F65EF"/>
    <w:pPr>
      <w:spacing w:before="240" w:after="60"/>
      <w:ind w:firstLine="709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C4B4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Заголовок статьи"/>
    <w:basedOn w:val="a"/>
    <w:next w:val="a"/>
    <w:uiPriority w:val="99"/>
    <w:rsid w:val="003C4B4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5">
    <w:name w:val="header"/>
    <w:basedOn w:val="a"/>
    <w:link w:val="a6"/>
    <w:uiPriority w:val="99"/>
    <w:rsid w:val="003C4B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4B45"/>
  </w:style>
  <w:style w:type="paragraph" w:styleId="a8">
    <w:name w:val="Body Text"/>
    <w:aliases w:val="Основной текст Знак,Òàáë òåêñò"/>
    <w:basedOn w:val="a"/>
    <w:link w:val="11"/>
    <w:rsid w:val="003C4B45"/>
    <w:pPr>
      <w:spacing w:after="120"/>
    </w:pPr>
  </w:style>
  <w:style w:type="paragraph" w:styleId="a9">
    <w:name w:val="Title"/>
    <w:basedOn w:val="a"/>
    <w:link w:val="aa"/>
    <w:qFormat/>
    <w:rsid w:val="003C4B45"/>
    <w:pPr>
      <w:jc w:val="center"/>
    </w:pPr>
    <w:rPr>
      <w:b/>
      <w:szCs w:val="20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"/>
    <w:basedOn w:val="a"/>
    <w:link w:val="ac"/>
    <w:uiPriority w:val="99"/>
    <w:rsid w:val="003C4B45"/>
    <w:pPr>
      <w:spacing w:after="120"/>
      <w:ind w:left="283"/>
    </w:pPr>
  </w:style>
  <w:style w:type="character" w:styleId="ad">
    <w:name w:val="Hyperlink"/>
    <w:basedOn w:val="a0"/>
    <w:rsid w:val="003C4B45"/>
    <w:rPr>
      <w:color w:val="1A6375"/>
      <w:u w:val="single"/>
    </w:rPr>
  </w:style>
  <w:style w:type="paragraph" w:styleId="ae">
    <w:name w:val="Normal (Web)"/>
    <w:basedOn w:val="a"/>
    <w:uiPriority w:val="99"/>
    <w:rsid w:val="003C4B45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B6A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6A77"/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A7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азвание Знак"/>
    <w:basedOn w:val="a0"/>
    <w:link w:val="a9"/>
    <w:rsid w:val="003335F5"/>
    <w:rPr>
      <w:b/>
      <w:sz w:val="24"/>
      <w:lang w:eastAsia="ru-RU"/>
    </w:r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b"/>
    <w:uiPriority w:val="99"/>
    <w:rsid w:val="003335F5"/>
    <w:rPr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335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F65E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F65E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F65EF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F65EF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F65EF"/>
    <w:rPr>
      <w:rFonts w:ascii="Arial" w:hAnsi="Arial"/>
      <w:b/>
      <w:bCs/>
      <w:color w:val="000080"/>
    </w:rPr>
  </w:style>
  <w:style w:type="paragraph" w:customStyle="1" w:styleId="af0">
    <w:name w:val="Комментарий"/>
    <w:basedOn w:val="a"/>
    <w:next w:val="a"/>
    <w:uiPriority w:val="99"/>
    <w:rsid w:val="009F65EF"/>
    <w:pPr>
      <w:autoSpaceDE w:val="0"/>
      <w:autoSpaceDN w:val="0"/>
      <w:adjustRightInd w:val="0"/>
      <w:ind w:left="170" w:firstLine="709"/>
      <w:jc w:val="both"/>
    </w:pPr>
    <w:rPr>
      <w:rFonts w:ascii="Arial" w:eastAsia="Calibri" w:hAnsi="Arial" w:cs="Arial"/>
      <w:i/>
      <w:iCs/>
      <w:color w:val="800080"/>
    </w:rPr>
  </w:style>
  <w:style w:type="paragraph" w:styleId="af1">
    <w:name w:val="List"/>
    <w:basedOn w:val="a"/>
    <w:uiPriority w:val="99"/>
    <w:unhideWhenUsed/>
    <w:rsid w:val="009F65EF"/>
    <w:pPr>
      <w:ind w:left="283" w:hanging="283"/>
      <w:contextualSpacing/>
      <w:jc w:val="both"/>
    </w:pPr>
  </w:style>
  <w:style w:type="paragraph" w:styleId="23">
    <w:name w:val="List 2"/>
    <w:basedOn w:val="a"/>
    <w:uiPriority w:val="99"/>
    <w:unhideWhenUsed/>
    <w:rsid w:val="009F65EF"/>
    <w:pPr>
      <w:ind w:left="566" w:hanging="283"/>
      <w:contextualSpacing/>
      <w:jc w:val="both"/>
    </w:pPr>
  </w:style>
  <w:style w:type="paragraph" w:styleId="31">
    <w:name w:val="List 3"/>
    <w:basedOn w:val="a"/>
    <w:uiPriority w:val="99"/>
    <w:unhideWhenUsed/>
    <w:rsid w:val="009F65EF"/>
    <w:pPr>
      <w:ind w:left="849" w:hanging="283"/>
      <w:contextualSpacing/>
      <w:jc w:val="both"/>
    </w:pPr>
  </w:style>
  <w:style w:type="paragraph" w:styleId="af2">
    <w:name w:val="Body Text First Indent"/>
    <w:basedOn w:val="a8"/>
    <w:link w:val="af3"/>
    <w:uiPriority w:val="99"/>
    <w:unhideWhenUsed/>
    <w:rsid w:val="009F65EF"/>
    <w:pPr>
      <w:ind w:firstLine="210"/>
      <w:jc w:val="both"/>
    </w:pPr>
  </w:style>
  <w:style w:type="character" w:customStyle="1" w:styleId="11">
    <w:name w:val="Основной текст Знак1"/>
    <w:aliases w:val="Основной текст Знак Знак,Òàáë òåêñò Знак"/>
    <w:basedOn w:val="a0"/>
    <w:link w:val="a8"/>
    <w:rsid w:val="009F65EF"/>
    <w:rPr>
      <w:sz w:val="24"/>
      <w:szCs w:val="24"/>
    </w:rPr>
  </w:style>
  <w:style w:type="character" w:customStyle="1" w:styleId="af3">
    <w:name w:val="Красная строка Знак"/>
    <w:basedOn w:val="11"/>
    <w:link w:val="af2"/>
    <w:uiPriority w:val="99"/>
    <w:rsid w:val="009F65EF"/>
  </w:style>
  <w:style w:type="paragraph" w:styleId="24">
    <w:name w:val="Body Text First Indent 2"/>
    <w:basedOn w:val="ab"/>
    <w:link w:val="25"/>
    <w:uiPriority w:val="99"/>
    <w:unhideWhenUsed/>
    <w:rsid w:val="009F65EF"/>
    <w:pPr>
      <w:ind w:firstLine="210"/>
      <w:jc w:val="both"/>
    </w:pPr>
  </w:style>
  <w:style w:type="character" w:customStyle="1" w:styleId="25">
    <w:name w:val="Красная строка 2 Знак"/>
    <w:basedOn w:val="ac"/>
    <w:link w:val="24"/>
    <w:uiPriority w:val="99"/>
    <w:rsid w:val="009F65EF"/>
  </w:style>
  <w:style w:type="character" w:customStyle="1" w:styleId="a6">
    <w:name w:val="Верхний колонтитул Знак"/>
    <w:basedOn w:val="a0"/>
    <w:link w:val="a5"/>
    <w:uiPriority w:val="99"/>
    <w:rsid w:val="009F65EF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9F65EF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5">
    <w:name w:val="Нижний колонтитул Знак"/>
    <w:basedOn w:val="a0"/>
    <w:link w:val="af4"/>
    <w:uiPriority w:val="99"/>
    <w:rsid w:val="009F65EF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E166E3"/>
    <w:rPr>
      <w:rFonts w:cs="Times New Roman"/>
      <w:color w:val="008000"/>
    </w:rPr>
  </w:style>
  <w:style w:type="table" w:styleId="af7">
    <w:name w:val="Table Grid"/>
    <w:basedOn w:val="a1"/>
    <w:uiPriority w:val="59"/>
    <w:rsid w:val="0095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Нормальный (таблица)"/>
    <w:basedOn w:val="a"/>
    <w:next w:val="a"/>
    <w:uiPriority w:val="99"/>
    <w:rsid w:val="00BA00C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9">
    <w:name w:val="Balloon Text"/>
    <w:basedOn w:val="a"/>
    <w:semiHidden/>
    <w:rsid w:val="002672F0"/>
    <w:rPr>
      <w:rFonts w:ascii="Tahoma" w:hAnsi="Tahoma" w:cs="Tahoma"/>
      <w:sz w:val="16"/>
      <w:szCs w:val="16"/>
    </w:rPr>
  </w:style>
  <w:style w:type="character" w:customStyle="1" w:styleId="afa">
    <w:name w:val="Цветовое выделение"/>
    <w:rsid w:val="006A6FE2"/>
    <w:rPr>
      <w:b/>
      <w:bCs/>
      <w:color w:val="000080"/>
    </w:rPr>
  </w:style>
  <w:style w:type="paragraph" w:styleId="afb">
    <w:name w:val="List Paragraph"/>
    <w:basedOn w:val="a"/>
    <w:qFormat/>
    <w:rsid w:val="006A6FE2"/>
    <w:pPr>
      <w:ind w:left="720"/>
      <w:contextualSpacing/>
    </w:pPr>
    <w:rPr>
      <w:rFonts w:eastAsia="Calibri"/>
    </w:rPr>
  </w:style>
  <w:style w:type="paragraph" w:customStyle="1" w:styleId="ConsPlusCell">
    <w:name w:val="ConsPlusCell"/>
    <w:uiPriority w:val="99"/>
    <w:rsid w:val="0041433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c">
    <w:name w:val="Сравнение редакций. Добавленный фрагмент"/>
    <w:uiPriority w:val="99"/>
    <w:rsid w:val="00F77332"/>
    <w:rPr>
      <w:color w:val="000000"/>
      <w:shd w:val="clear" w:color="auto" w:fill="C1D7FF"/>
    </w:rPr>
  </w:style>
  <w:style w:type="paragraph" w:customStyle="1" w:styleId="ConsPlusNormal">
    <w:name w:val="ConsPlusNormal"/>
    <w:uiPriority w:val="99"/>
    <w:rsid w:val="00D475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endnote text"/>
    <w:basedOn w:val="a"/>
    <w:link w:val="afe"/>
    <w:rsid w:val="004A5D8A"/>
    <w:rPr>
      <w:rFonts w:eastAsia="Calibri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4A5D8A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0378D-1AE7-46DE-B296-E8C87C56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7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20438</CharactersWithSpaces>
  <SharedDoc>false</SharedDoc>
  <HLinks>
    <vt:vector size="30" baseType="variant">
      <vt:variant>
        <vt:i4>7733305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garantf1://12012604.160215/</vt:lpwstr>
      </vt:variant>
      <vt:variant>
        <vt:lpwstr/>
      </vt:variant>
      <vt:variant>
        <vt:i4>2818069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sub_3776</vt:lpwstr>
      </vt:variant>
      <vt:variant>
        <vt:i4>3080213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sub_3772</vt:lpwstr>
      </vt:variant>
      <vt:variant>
        <vt:i4>2883605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sub_3771</vt:lpwstr>
      </vt:variant>
      <vt:variant>
        <vt:i4>8126560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consultantplus://offline/ref=EF2B6400CB76C14F7761B4C2AE83EC9363E09908845EED09CF187A30978636CEA0C395061CFB95BA5537K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Заброда</cp:lastModifiedBy>
  <cp:revision>261</cp:revision>
  <cp:lastPrinted>2017-03-16T11:36:00Z</cp:lastPrinted>
  <dcterms:created xsi:type="dcterms:W3CDTF">2016-04-08T10:25:00Z</dcterms:created>
  <dcterms:modified xsi:type="dcterms:W3CDTF">2017-03-28T14:07:00Z</dcterms:modified>
</cp:coreProperties>
</file>