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BC348" w14:textId="00ED19B5" w:rsidR="00D64DAB" w:rsidRDefault="00D64DAB" w:rsidP="00D64DAB">
      <w:pPr>
        <w:ind w:left="12420"/>
        <w:rPr>
          <w:sz w:val="22"/>
        </w:rPr>
      </w:pPr>
      <w:permStart w:id="1064180999" w:edGrp="everyone"/>
      <w:permEnd w:id="1064180999"/>
      <w:r>
        <w:rPr>
          <w:sz w:val="22"/>
        </w:rPr>
        <w:t xml:space="preserve">Приложение </w:t>
      </w:r>
      <w:r w:rsidRPr="00A15B96">
        <w:rPr>
          <w:sz w:val="22"/>
        </w:rPr>
        <w:t>№</w:t>
      </w:r>
      <w:r w:rsidR="001F0388" w:rsidRPr="00A15B96">
        <w:rPr>
          <w:sz w:val="22"/>
        </w:rPr>
        <w:t xml:space="preserve"> </w:t>
      </w:r>
      <w:r w:rsidR="009B3BA9">
        <w:rPr>
          <w:sz w:val="22"/>
        </w:rPr>
        <w:t>7</w:t>
      </w:r>
    </w:p>
    <w:p w14:paraId="198F8723" w14:textId="77777777" w:rsidR="00D64DAB" w:rsidRDefault="00D64DAB" w:rsidP="00D64DAB">
      <w:pPr>
        <w:ind w:left="12420"/>
        <w:rPr>
          <w:sz w:val="22"/>
        </w:rPr>
      </w:pPr>
      <w:r>
        <w:rPr>
          <w:sz w:val="22"/>
        </w:rPr>
        <w:t xml:space="preserve">к отчету о </w:t>
      </w:r>
      <w:r w:rsidR="00F651AD">
        <w:rPr>
          <w:sz w:val="22"/>
        </w:rPr>
        <w:t>деятельности</w:t>
      </w:r>
    </w:p>
    <w:p w14:paraId="3240056F" w14:textId="77777777" w:rsidR="00D64DAB" w:rsidRDefault="00D64DAB" w:rsidP="00D64DAB">
      <w:pPr>
        <w:ind w:left="12420"/>
        <w:rPr>
          <w:sz w:val="22"/>
        </w:rPr>
      </w:pPr>
      <w:r>
        <w:rPr>
          <w:sz w:val="22"/>
        </w:rPr>
        <w:t>контрольно-счетной</w:t>
      </w:r>
    </w:p>
    <w:p w14:paraId="5D1D443F" w14:textId="40F47AE3" w:rsidR="00D64DAB" w:rsidRDefault="00C35457" w:rsidP="00D64DAB">
      <w:pPr>
        <w:ind w:left="12420"/>
        <w:rPr>
          <w:sz w:val="22"/>
        </w:rPr>
      </w:pPr>
      <w:r>
        <w:rPr>
          <w:sz w:val="22"/>
        </w:rPr>
        <w:t>палаты за 20</w:t>
      </w:r>
      <w:r w:rsidR="008510F7" w:rsidRPr="00395ACE">
        <w:rPr>
          <w:sz w:val="22"/>
        </w:rPr>
        <w:t>20</w:t>
      </w:r>
      <w:r w:rsidR="00D64DAB">
        <w:rPr>
          <w:sz w:val="22"/>
        </w:rPr>
        <w:t xml:space="preserve"> год </w:t>
      </w:r>
    </w:p>
    <w:p w14:paraId="46D00552" w14:textId="77777777" w:rsidR="00D64DAB" w:rsidRDefault="00D64DAB" w:rsidP="00D64DAB">
      <w:pPr>
        <w:jc w:val="center"/>
        <w:rPr>
          <w:sz w:val="22"/>
        </w:rPr>
      </w:pPr>
    </w:p>
    <w:p w14:paraId="3568EBDD" w14:textId="77777777" w:rsidR="00D64DAB" w:rsidRDefault="00D64DAB" w:rsidP="00D64DAB">
      <w:pPr>
        <w:jc w:val="center"/>
        <w:rPr>
          <w:b/>
          <w:i/>
          <w:sz w:val="22"/>
        </w:rPr>
      </w:pPr>
      <w:r>
        <w:rPr>
          <w:b/>
          <w:i/>
          <w:sz w:val="22"/>
        </w:rPr>
        <w:t>ИНФОРМАЦИЯ</w:t>
      </w:r>
    </w:p>
    <w:p w14:paraId="152D454B" w14:textId="77777777" w:rsidR="00B428D6" w:rsidRDefault="00D64DAB" w:rsidP="00B428D6">
      <w:pPr>
        <w:jc w:val="center"/>
        <w:rPr>
          <w:b/>
          <w:i/>
          <w:sz w:val="22"/>
        </w:rPr>
      </w:pPr>
      <w:r>
        <w:rPr>
          <w:b/>
          <w:i/>
          <w:sz w:val="22"/>
        </w:rPr>
        <w:t xml:space="preserve">о реализации предложений контрольно-счетной палаты по результатам </w:t>
      </w:r>
      <w:r w:rsidR="00B428D6">
        <w:rPr>
          <w:b/>
          <w:i/>
          <w:sz w:val="22"/>
        </w:rPr>
        <w:t xml:space="preserve">экспертизы проекта закона Волгоградской области </w:t>
      </w:r>
    </w:p>
    <w:p w14:paraId="04C81715" w14:textId="3BDBB59F" w:rsidR="00D64DAB" w:rsidRDefault="00B428D6" w:rsidP="00D64DAB">
      <w:pPr>
        <w:jc w:val="center"/>
        <w:rPr>
          <w:b/>
          <w:i/>
          <w:sz w:val="22"/>
        </w:rPr>
      </w:pPr>
      <w:r w:rsidRPr="005E74E9">
        <w:rPr>
          <w:b/>
          <w:i/>
          <w:sz w:val="22"/>
        </w:rPr>
        <w:t xml:space="preserve">«Об областном бюджете </w:t>
      </w:r>
      <w:r w:rsidR="001245DB" w:rsidRPr="005E74E9">
        <w:rPr>
          <w:b/>
          <w:i/>
          <w:sz w:val="22"/>
        </w:rPr>
        <w:t>н</w:t>
      </w:r>
      <w:r w:rsidR="00C27F12">
        <w:rPr>
          <w:b/>
          <w:i/>
          <w:sz w:val="22"/>
        </w:rPr>
        <w:t>а 202</w:t>
      </w:r>
      <w:r w:rsidR="008510F7" w:rsidRPr="008510F7">
        <w:rPr>
          <w:b/>
          <w:i/>
          <w:sz w:val="22"/>
        </w:rPr>
        <w:t>1</w:t>
      </w:r>
      <w:r w:rsidR="00D64DAB" w:rsidRPr="005E74E9">
        <w:rPr>
          <w:b/>
          <w:i/>
          <w:sz w:val="22"/>
        </w:rPr>
        <w:t xml:space="preserve"> год</w:t>
      </w:r>
      <w:r w:rsidR="005E74E9">
        <w:rPr>
          <w:b/>
          <w:i/>
          <w:sz w:val="22"/>
        </w:rPr>
        <w:t xml:space="preserve"> и на </w:t>
      </w:r>
      <w:r w:rsidR="009F3042">
        <w:rPr>
          <w:b/>
          <w:i/>
          <w:sz w:val="22"/>
        </w:rPr>
        <w:t xml:space="preserve">плановый </w:t>
      </w:r>
      <w:r w:rsidR="00FF125A">
        <w:rPr>
          <w:b/>
          <w:i/>
          <w:sz w:val="22"/>
        </w:rPr>
        <w:t>период до 202</w:t>
      </w:r>
      <w:r w:rsidR="008510F7" w:rsidRPr="008510F7">
        <w:rPr>
          <w:b/>
          <w:i/>
          <w:sz w:val="22"/>
        </w:rPr>
        <w:t>3</w:t>
      </w:r>
      <w:r w:rsidR="005E74E9">
        <w:rPr>
          <w:b/>
          <w:i/>
          <w:sz w:val="22"/>
        </w:rPr>
        <w:t xml:space="preserve"> года»</w:t>
      </w:r>
    </w:p>
    <w:p w14:paraId="0B2A2306" w14:textId="77777777" w:rsidR="00D64DAB" w:rsidRDefault="00D64DAB" w:rsidP="00D64DAB">
      <w:pPr>
        <w:jc w:val="center"/>
        <w:rPr>
          <w:sz w:val="22"/>
        </w:rPr>
      </w:pPr>
    </w:p>
    <w:tbl>
      <w:tblPr>
        <w:tblW w:w="15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360"/>
        <w:gridCol w:w="2111"/>
        <w:gridCol w:w="3274"/>
      </w:tblGrid>
      <w:tr w:rsidR="00D64DAB" w:rsidRPr="00C709A3" w14:paraId="7BF86F54" w14:textId="77777777" w:rsidTr="002E6DB8">
        <w:tc>
          <w:tcPr>
            <w:tcW w:w="828" w:type="dxa"/>
          </w:tcPr>
          <w:p w14:paraId="6A8E5EF7" w14:textId="77777777" w:rsidR="00D64DAB" w:rsidRPr="006206F6" w:rsidRDefault="00D64DAB" w:rsidP="00D64DAB">
            <w:pPr>
              <w:jc w:val="center"/>
              <w:rPr>
                <w:b/>
                <w:sz w:val="22"/>
                <w:szCs w:val="22"/>
              </w:rPr>
            </w:pPr>
            <w:r w:rsidRPr="006206F6">
              <w:rPr>
                <w:b/>
                <w:sz w:val="22"/>
                <w:szCs w:val="22"/>
              </w:rPr>
              <w:t>№ п/п</w:t>
            </w:r>
          </w:p>
        </w:tc>
        <w:tc>
          <w:tcPr>
            <w:tcW w:w="9360" w:type="dxa"/>
          </w:tcPr>
          <w:p w14:paraId="72DE1600" w14:textId="77777777" w:rsidR="00D64DAB" w:rsidRPr="006206F6" w:rsidRDefault="00D64DAB" w:rsidP="00D64DAB">
            <w:pPr>
              <w:jc w:val="center"/>
              <w:rPr>
                <w:b/>
                <w:sz w:val="22"/>
                <w:szCs w:val="22"/>
              </w:rPr>
            </w:pPr>
            <w:r w:rsidRPr="006206F6">
              <w:rPr>
                <w:b/>
                <w:sz w:val="22"/>
                <w:szCs w:val="22"/>
              </w:rPr>
              <w:t xml:space="preserve">Содержание предложений, внесенных КСП </w:t>
            </w:r>
          </w:p>
        </w:tc>
        <w:tc>
          <w:tcPr>
            <w:tcW w:w="2111" w:type="dxa"/>
          </w:tcPr>
          <w:p w14:paraId="4CFEE9E5" w14:textId="77777777" w:rsidR="00332D05" w:rsidRPr="006206F6" w:rsidRDefault="00D64DAB" w:rsidP="006206F6">
            <w:pPr>
              <w:jc w:val="center"/>
              <w:rPr>
                <w:b/>
                <w:sz w:val="22"/>
                <w:szCs w:val="22"/>
              </w:rPr>
            </w:pPr>
            <w:r w:rsidRPr="006206F6">
              <w:rPr>
                <w:b/>
                <w:sz w:val="22"/>
                <w:szCs w:val="22"/>
              </w:rPr>
              <w:t>Реализация предложений КСП</w:t>
            </w:r>
          </w:p>
        </w:tc>
        <w:tc>
          <w:tcPr>
            <w:tcW w:w="3274" w:type="dxa"/>
          </w:tcPr>
          <w:p w14:paraId="6A5FE59C" w14:textId="77777777" w:rsidR="00D64DAB" w:rsidRPr="006206F6" w:rsidRDefault="00D64DAB" w:rsidP="00D64DAB">
            <w:pPr>
              <w:jc w:val="center"/>
              <w:rPr>
                <w:b/>
                <w:sz w:val="22"/>
                <w:szCs w:val="22"/>
              </w:rPr>
            </w:pPr>
            <w:r w:rsidRPr="006206F6">
              <w:rPr>
                <w:b/>
                <w:sz w:val="22"/>
                <w:szCs w:val="22"/>
              </w:rPr>
              <w:t>Примечание</w:t>
            </w:r>
          </w:p>
        </w:tc>
      </w:tr>
      <w:tr w:rsidR="00576A47" w:rsidRPr="00D47E7F" w14:paraId="5104C63A" w14:textId="77777777" w:rsidTr="002E6DB8">
        <w:tc>
          <w:tcPr>
            <w:tcW w:w="15573" w:type="dxa"/>
            <w:gridSpan w:val="4"/>
          </w:tcPr>
          <w:p w14:paraId="04D3EBAC" w14:textId="243DEFDD" w:rsidR="00917922" w:rsidRPr="006206F6" w:rsidRDefault="005A2BB1" w:rsidP="0000355B">
            <w:pPr>
              <w:jc w:val="both"/>
              <w:rPr>
                <w:b/>
                <w:i/>
                <w:caps/>
                <w:sz w:val="22"/>
                <w:szCs w:val="22"/>
              </w:rPr>
            </w:pPr>
            <w:r w:rsidRPr="006206F6">
              <w:rPr>
                <w:i/>
                <w:sz w:val="22"/>
                <w:szCs w:val="22"/>
              </w:rPr>
              <w:t xml:space="preserve">Экспертное заключение </w:t>
            </w:r>
            <w:bookmarkStart w:id="0" w:name="OLE_LINK2"/>
            <w:r w:rsidR="00917922" w:rsidRPr="006206F6">
              <w:rPr>
                <w:i/>
                <w:sz w:val="22"/>
                <w:szCs w:val="22"/>
              </w:rPr>
              <w:t>к проекту закона Волгоградской области «Об областном бюджете на 202</w:t>
            </w:r>
            <w:r w:rsidR="008510F7" w:rsidRPr="008510F7">
              <w:rPr>
                <w:i/>
                <w:sz w:val="22"/>
                <w:szCs w:val="22"/>
              </w:rPr>
              <w:t>1</w:t>
            </w:r>
            <w:r w:rsidR="00917922" w:rsidRPr="006206F6">
              <w:rPr>
                <w:i/>
                <w:sz w:val="22"/>
                <w:szCs w:val="22"/>
              </w:rPr>
              <w:t xml:space="preserve"> год и на плановый период 202</w:t>
            </w:r>
            <w:r w:rsidR="008510F7" w:rsidRPr="008510F7">
              <w:rPr>
                <w:i/>
                <w:sz w:val="22"/>
                <w:szCs w:val="22"/>
              </w:rPr>
              <w:t>2</w:t>
            </w:r>
            <w:r w:rsidR="00917922" w:rsidRPr="006206F6">
              <w:rPr>
                <w:i/>
                <w:sz w:val="22"/>
                <w:szCs w:val="22"/>
              </w:rPr>
              <w:t xml:space="preserve"> и 202</w:t>
            </w:r>
            <w:r w:rsidR="008510F7" w:rsidRPr="008510F7">
              <w:rPr>
                <w:i/>
                <w:sz w:val="22"/>
                <w:szCs w:val="22"/>
              </w:rPr>
              <w:t>3</w:t>
            </w:r>
            <w:r w:rsidR="00917922" w:rsidRPr="006206F6">
              <w:rPr>
                <w:i/>
                <w:sz w:val="22"/>
                <w:szCs w:val="22"/>
              </w:rPr>
              <w:t xml:space="preserve"> годов», представленному в Волгоградскую областную Думу</w:t>
            </w:r>
            <w:r w:rsidR="00917922" w:rsidRPr="006206F6">
              <w:rPr>
                <w:b/>
                <w:i/>
                <w:sz w:val="22"/>
                <w:szCs w:val="22"/>
              </w:rPr>
              <w:t xml:space="preserve"> на первое чтение</w:t>
            </w:r>
            <w:bookmarkEnd w:id="0"/>
          </w:p>
        </w:tc>
      </w:tr>
      <w:tr w:rsidR="005A2BB1" w:rsidRPr="00D47E7F" w14:paraId="69421748" w14:textId="77777777" w:rsidTr="002E6DB8">
        <w:tc>
          <w:tcPr>
            <w:tcW w:w="10188" w:type="dxa"/>
            <w:gridSpan w:val="2"/>
          </w:tcPr>
          <w:p w14:paraId="3F35875F" w14:textId="77777777" w:rsidR="005A2BB1" w:rsidRPr="006206F6" w:rsidRDefault="005A2BB1" w:rsidP="00B56658">
            <w:pPr>
              <w:ind w:firstLine="720"/>
              <w:jc w:val="both"/>
              <w:rPr>
                <w:sz w:val="22"/>
                <w:szCs w:val="22"/>
              </w:rPr>
            </w:pPr>
            <w:r w:rsidRPr="006206F6">
              <w:rPr>
                <w:b/>
                <w:i/>
                <w:sz w:val="22"/>
                <w:szCs w:val="22"/>
              </w:rPr>
              <w:t>Рекомендовать Администрации Волгоградской области</w:t>
            </w:r>
            <w:r w:rsidR="00FF125A" w:rsidRPr="006206F6">
              <w:rPr>
                <w:sz w:val="22"/>
                <w:szCs w:val="22"/>
              </w:rPr>
              <w:t>:</w:t>
            </w:r>
          </w:p>
        </w:tc>
        <w:tc>
          <w:tcPr>
            <w:tcW w:w="2111" w:type="dxa"/>
          </w:tcPr>
          <w:p w14:paraId="03971B5C" w14:textId="77777777" w:rsidR="005A2BB1" w:rsidRPr="006206F6" w:rsidRDefault="005A2BB1" w:rsidP="00030673">
            <w:pPr>
              <w:jc w:val="center"/>
              <w:rPr>
                <w:i/>
                <w:sz w:val="22"/>
                <w:szCs w:val="22"/>
              </w:rPr>
            </w:pPr>
          </w:p>
        </w:tc>
        <w:tc>
          <w:tcPr>
            <w:tcW w:w="3274" w:type="dxa"/>
          </w:tcPr>
          <w:p w14:paraId="570155B6" w14:textId="77777777" w:rsidR="005A2BB1" w:rsidRPr="006206F6" w:rsidRDefault="005A2BB1" w:rsidP="00BD7844">
            <w:pPr>
              <w:jc w:val="both"/>
              <w:rPr>
                <w:i/>
                <w:sz w:val="22"/>
                <w:szCs w:val="22"/>
                <w:highlight w:val="yellow"/>
              </w:rPr>
            </w:pPr>
          </w:p>
        </w:tc>
      </w:tr>
      <w:tr w:rsidR="003F528C" w:rsidRPr="00D47E7F" w14:paraId="4C936832" w14:textId="77777777" w:rsidTr="00DA22B1">
        <w:tc>
          <w:tcPr>
            <w:tcW w:w="828" w:type="dxa"/>
          </w:tcPr>
          <w:p w14:paraId="157CDE34" w14:textId="452AD0BB" w:rsidR="003F528C" w:rsidRPr="006206F6" w:rsidRDefault="003F528C" w:rsidP="003F528C">
            <w:pPr>
              <w:rPr>
                <w:color w:val="FF0000"/>
                <w:spacing w:val="7"/>
                <w:sz w:val="22"/>
                <w:szCs w:val="22"/>
              </w:rPr>
            </w:pPr>
            <w:r w:rsidRPr="006206F6">
              <w:rPr>
                <w:spacing w:val="7"/>
                <w:sz w:val="22"/>
                <w:szCs w:val="22"/>
              </w:rPr>
              <w:t>1.</w:t>
            </w:r>
          </w:p>
        </w:tc>
        <w:tc>
          <w:tcPr>
            <w:tcW w:w="9360" w:type="dxa"/>
          </w:tcPr>
          <w:p w14:paraId="72652796" w14:textId="2FE6057C" w:rsidR="003F528C" w:rsidRPr="006206F6" w:rsidRDefault="003F528C" w:rsidP="003F528C">
            <w:pPr>
              <w:pStyle w:val="ad"/>
              <w:numPr>
                <w:ilvl w:val="0"/>
                <w:numId w:val="11"/>
              </w:numPr>
              <w:spacing w:line="240" w:lineRule="auto"/>
              <w:ind w:left="0" w:firstLine="448"/>
              <w:jc w:val="both"/>
              <w:rPr>
                <w:sz w:val="22"/>
                <w:szCs w:val="22"/>
              </w:rPr>
            </w:pPr>
            <w:r w:rsidRPr="008510F7">
              <w:rPr>
                <w:sz w:val="22"/>
                <w:szCs w:val="22"/>
              </w:rPr>
              <w:t>до рассмотрения проекта областного бюджета на 2021-2023 годы во втором чтении внести поправки в закон о бюджете текущего года, которыми объем доходов бюджета, в том числе безвозмездных поступлений привести в соответствие с законом о федеральном бюджете и иными документами о распределении межбюджетных трансфертов Волгоградской области из федерального бюджета, расходы – в соответствие со сводной бюджетной росписью, в которую в процессе исполнения бюджета комитетом финансов Волгоградской области в рамках предоставленных ему законодательством полномочий вносились изменения без внесения соответствующих изменений в закон о бюджете;</w:t>
            </w:r>
          </w:p>
        </w:tc>
        <w:tc>
          <w:tcPr>
            <w:tcW w:w="2111" w:type="dxa"/>
            <w:shd w:val="clear" w:color="auto" w:fill="auto"/>
          </w:tcPr>
          <w:p w14:paraId="510D4A0D" w14:textId="54CB362B" w:rsidR="003F528C" w:rsidRPr="00DA22B1" w:rsidRDefault="003F528C" w:rsidP="003F528C">
            <w:pPr>
              <w:jc w:val="center"/>
              <w:rPr>
                <w:sz w:val="22"/>
                <w:szCs w:val="22"/>
              </w:rPr>
            </w:pPr>
            <w:r w:rsidRPr="00DA22B1">
              <w:rPr>
                <w:sz w:val="22"/>
                <w:szCs w:val="22"/>
              </w:rPr>
              <w:t>Учтено частично</w:t>
            </w:r>
          </w:p>
        </w:tc>
        <w:tc>
          <w:tcPr>
            <w:tcW w:w="3274" w:type="dxa"/>
          </w:tcPr>
          <w:p w14:paraId="05DEBA08" w14:textId="7727BD56" w:rsidR="003F528C" w:rsidRPr="006206F6" w:rsidRDefault="003F528C" w:rsidP="003F528C">
            <w:pPr>
              <w:jc w:val="both"/>
              <w:rPr>
                <w:sz w:val="22"/>
                <w:szCs w:val="22"/>
                <w:highlight w:val="yellow"/>
              </w:rPr>
            </w:pPr>
          </w:p>
        </w:tc>
      </w:tr>
      <w:tr w:rsidR="003F528C" w:rsidRPr="00D47E7F" w14:paraId="2C9DEBF1" w14:textId="77777777" w:rsidTr="002E6DB8">
        <w:tc>
          <w:tcPr>
            <w:tcW w:w="828" w:type="dxa"/>
          </w:tcPr>
          <w:p w14:paraId="4E113535" w14:textId="79FEF0CD" w:rsidR="003F528C" w:rsidRPr="008510F7" w:rsidRDefault="003F528C" w:rsidP="003F528C">
            <w:pPr>
              <w:pStyle w:val="ad"/>
              <w:spacing w:line="240" w:lineRule="auto"/>
              <w:ind w:left="0" w:firstLine="0"/>
              <w:rPr>
                <w:spacing w:val="7"/>
                <w:sz w:val="22"/>
                <w:szCs w:val="22"/>
                <w:lang w:val="en-US"/>
              </w:rPr>
            </w:pPr>
            <w:r w:rsidRPr="006206F6">
              <w:rPr>
                <w:spacing w:val="7"/>
                <w:sz w:val="22"/>
                <w:szCs w:val="22"/>
              </w:rPr>
              <w:t>2</w:t>
            </w:r>
            <w:r>
              <w:rPr>
                <w:spacing w:val="7"/>
                <w:sz w:val="22"/>
                <w:szCs w:val="22"/>
                <w:lang w:val="en-US"/>
              </w:rPr>
              <w:t>.</w:t>
            </w:r>
          </w:p>
        </w:tc>
        <w:tc>
          <w:tcPr>
            <w:tcW w:w="9360" w:type="dxa"/>
          </w:tcPr>
          <w:p w14:paraId="05331371" w14:textId="037F4AC7" w:rsidR="003F528C" w:rsidRPr="008510F7" w:rsidRDefault="003F528C" w:rsidP="003F528C">
            <w:pPr>
              <w:pStyle w:val="ad"/>
              <w:numPr>
                <w:ilvl w:val="0"/>
                <w:numId w:val="11"/>
              </w:numPr>
              <w:spacing w:line="240" w:lineRule="auto"/>
              <w:ind w:left="0" w:firstLine="448"/>
              <w:jc w:val="both"/>
              <w:rPr>
                <w:sz w:val="22"/>
                <w:szCs w:val="22"/>
              </w:rPr>
            </w:pPr>
            <w:r w:rsidRPr="008510F7">
              <w:rPr>
                <w:sz w:val="22"/>
                <w:szCs w:val="22"/>
              </w:rPr>
              <w:t>в статье 43 законопроекта бюджетные ассигнования дорожного фонда на 2021 год предусмотреть в сумме, эквивалентной прогнозируемым доходам дорожного фонда, а также с учетом требований пункта 4 статьи 179.4 БК РФ об увеличении бюджетных ассигнований текущего и (или) планового года на положительную разницу между фактически поступившим в текущем году и прогнозировавшимся объемом доходов дорожного фонда и направлении неиспользованных в текущем финансовом году бюджетных ассигнований дорожного фонда на увеличение ассигнований дорожного фонда в очередном году;</w:t>
            </w:r>
          </w:p>
        </w:tc>
        <w:tc>
          <w:tcPr>
            <w:tcW w:w="2111" w:type="dxa"/>
          </w:tcPr>
          <w:p w14:paraId="137D79B8" w14:textId="153BF88A" w:rsidR="003F528C" w:rsidRPr="00DA22B1" w:rsidRDefault="003F528C" w:rsidP="003F528C">
            <w:pPr>
              <w:jc w:val="center"/>
              <w:rPr>
                <w:sz w:val="22"/>
                <w:szCs w:val="22"/>
              </w:rPr>
            </w:pPr>
            <w:r w:rsidRPr="00DA22B1">
              <w:rPr>
                <w:sz w:val="22"/>
                <w:szCs w:val="22"/>
              </w:rPr>
              <w:t>Учтено частично</w:t>
            </w:r>
          </w:p>
        </w:tc>
        <w:tc>
          <w:tcPr>
            <w:tcW w:w="3274" w:type="dxa"/>
          </w:tcPr>
          <w:p w14:paraId="4FB34D00" w14:textId="100832E6" w:rsidR="003F528C" w:rsidRPr="006206F6" w:rsidRDefault="003F528C" w:rsidP="003F528C">
            <w:pPr>
              <w:jc w:val="both"/>
              <w:rPr>
                <w:color w:val="FF0000"/>
                <w:sz w:val="22"/>
                <w:szCs w:val="22"/>
                <w:highlight w:val="yellow"/>
              </w:rPr>
            </w:pPr>
          </w:p>
        </w:tc>
      </w:tr>
      <w:tr w:rsidR="003F528C" w:rsidRPr="00D47E7F" w14:paraId="354197B5" w14:textId="77777777" w:rsidTr="002E6DB8">
        <w:tc>
          <w:tcPr>
            <w:tcW w:w="828" w:type="dxa"/>
          </w:tcPr>
          <w:p w14:paraId="41714874" w14:textId="17A4D6F4" w:rsidR="003F528C" w:rsidRPr="008510F7" w:rsidRDefault="003F528C" w:rsidP="003F528C">
            <w:pPr>
              <w:pStyle w:val="ad"/>
              <w:spacing w:line="240" w:lineRule="auto"/>
              <w:ind w:left="0" w:firstLine="0"/>
              <w:rPr>
                <w:spacing w:val="7"/>
                <w:sz w:val="22"/>
                <w:szCs w:val="22"/>
                <w:lang w:val="en-US"/>
              </w:rPr>
            </w:pPr>
            <w:r w:rsidRPr="006206F6">
              <w:rPr>
                <w:spacing w:val="7"/>
                <w:sz w:val="22"/>
                <w:szCs w:val="22"/>
              </w:rPr>
              <w:t>3</w:t>
            </w:r>
            <w:r>
              <w:rPr>
                <w:spacing w:val="7"/>
                <w:sz w:val="22"/>
                <w:szCs w:val="22"/>
                <w:lang w:val="en-US"/>
              </w:rPr>
              <w:t>.</w:t>
            </w:r>
          </w:p>
        </w:tc>
        <w:tc>
          <w:tcPr>
            <w:tcW w:w="9360" w:type="dxa"/>
          </w:tcPr>
          <w:p w14:paraId="31F5640E" w14:textId="0D9A4AE1" w:rsidR="003F528C" w:rsidRPr="008510F7" w:rsidRDefault="003F528C" w:rsidP="003F528C">
            <w:pPr>
              <w:pStyle w:val="ad"/>
              <w:numPr>
                <w:ilvl w:val="0"/>
                <w:numId w:val="11"/>
              </w:numPr>
              <w:spacing w:line="240" w:lineRule="auto"/>
              <w:ind w:left="0" w:firstLine="448"/>
              <w:jc w:val="both"/>
              <w:rPr>
                <w:sz w:val="22"/>
                <w:szCs w:val="22"/>
              </w:rPr>
            </w:pPr>
            <w:r w:rsidRPr="008510F7">
              <w:rPr>
                <w:sz w:val="22"/>
                <w:szCs w:val="22"/>
              </w:rPr>
              <w:t>в целях обеспечения прозрачности и обоснованности внесенного проекта областного бюджета на 2021 год к рассмотрению законопроекта во втором чтении указать в статьях, касающихся расходов бюджета, запланированные к утверждению суммы бюджетных ассигнований;</w:t>
            </w:r>
          </w:p>
        </w:tc>
        <w:tc>
          <w:tcPr>
            <w:tcW w:w="2111" w:type="dxa"/>
          </w:tcPr>
          <w:p w14:paraId="2E0C45BA" w14:textId="00A459E4" w:rsidR="003F528C" w:rsidRPr="00C64F36" w:rsidRDefault="003F528C" w:rsidP="003F528C">
            <w:pPr>
              <w:jc w:val="center"/>
              <w:rPr>
                <w:sz w:val="22"/>
                <w:szCs w:val="22"/>
              </w:rPr>
            </w:pPr>
            <w:r w:rsidRPr="00C64F36">
              <w:rPr>
                <w:sz w:val="22"/>
                <w:szCs w:val="22"/>
              </w:rPr>
              <w:t>Не учтено</w:t>
            </w:r>
          </w:p>
        </w:tc>
        <w:tc>
          <w:tcPr>
            <w:tcW w:w="3274" w:type="dxa"/>
          </w:tcPr>
          <w:p w14:paraId="27DBC5D7" w14:textId="77777777" w:rsidR="003F528C" w:rsidRPr="006206F6" w:rsidRDefault="003F528C" w:rsidP="003F528C">
            <w:pPr>
              <w:jc w:val="both"/>
              <w:rPr>
                <w:color w:val="FF0000"/>
                <w:sz w:val="22"/>
                <w:szCs w:val="22"/>
                <w:highlight w:val="yellow"/>
              </w:rPr>
            </w:pPr>
          </w:p>
        </w:tc>
      </w:tr>
      <w:tr w:rsidR="003F528C" w:rsidRPr="00D47E7F" w14:paraId="255A5314" w14:textId="77777777" w:rsidTr="002E6DB8">
        <w:tc>
          <w:tcPr>
            <w:tcW w:w="828" w:type="dxa"/>
          </w:tcPr>
          <w:p w14:paraId="3065C2FC" w14:textId="14CB5C01" w:rsidR="003F528C" w:rsidRPr="008510F7" w:rsidRDefault="003F528C" w:rsidP="003F528C">
            <w:pPr>
              <w:pStyle w:val="ad"/>
              <w:spacing w:line="240" w:lineRule="auto"/>
              <w:ind w:left="0" w:firstLine="0"/>
              <w:rPr>
                <w:spacing w:val="7"/>
                <w:sz w:val="22"/>
                <w:szCs w:val="22"/>
                <w:lang w:val="en-US"/>
              </w:rPr>
            </w:pPr>
            <w:r w:rsidRPr="006206F6">
              <w:rPr>
                <w:spacing w:val="7"/>
                <w:sz w:val="22"/>
                <w:szCs w:val="22"/>
              </w:rPr>
              <w:t>4</w:t>
            </w:r>
            <w:r>
              <w:rPr>
                <w:spacing w:val="7"/>
                <w:sz w:val="22"/>
                <w:szCs w:val="22"/>
                <w:lang w:val="en-US"/>
              </w:rPr>
              <w:t>.</w:t>
            </w:r>
          </w:p>
        </w:tc>
        <w:tc>
          <w:tcPr>
            <w:tcW w:w="9360" w:type="dxa"/>
          </w:tcPr>
          <w:p w14:paraId="4AF61B48" w14:textId="11BFE039" w:rsidR="003F528C" w:rsidRPr="008510F7" w:rsidRDefault="003F528C" w:rsidP="003F528C">
            <w:pPr>
              <w:pStyle w:val="ad"/>
              <w:numPr>
                <w:ilvl w:val="0"/>
                <w:numId w:val="11"/>
              </w:numPr>
              <w:spacing w:line="240" w:lineRule="auto"/>
              <w:ind w:left="0" w:firstLine="448"/>
              <w:jc w:val="both"/>
              <w:rPr>
                <w:sz w:val="22"/>
                <w:szCs w:val="22"/>
              </w:rPr>
            </w:pPr>
            <w:r w:rsidRPr="008510F7">
              <w:rPr>
                <w:sz w:val="22"/>
                <w:szCs w:val="22"/>
              </w:rPr>
              <w:t xml:space="preserve">утвердить порядок привлечения остатков средств государственных автономных и бюджетных учреждений Волгоградской области на единый счет областного бюджета и порядок их возврата, как того требуют пункт 8 статьи 236.1 БК РФ и постановление Правительства РФ </w:t>
            </w:r>
            <w:r w:rsidRPr="008510F7">
              <w:rPr>
                <w:sz w:val="22"/>
                <w:szCs w:val="22"/>
              </w:rPr>
              <w:lastRenderedPageBreak/>
              <w:t>от 30.03.2020 №368.</w:t>
            </w:r>
          </w:p>
        </w:tc>
        <w:tc>
          <w:tcPr>
            <w:tcW w:w="2111" w:type="dxa"/>
          </w:tcPr>
          <w:p w14:paraId="5E817BE9" w14:textId="3E2606FA" w:rsidR="003F528C" w:rsidRPr="00C64F36" w:rsidRDefault="003F528C" w:rsidP="003F528C">
            <w:pPr>
              <w:jc w:val="center"/>
              <w:rPr>
                <w:sz w:val="22"/>
                <w:szCs w:val="22"/>
              </w:rPr>
            </w:pPr>
            <w:r>
              <w:rPr>
                <w:sz w:val="22"/>
                <w:szCs w:val="22"/>
              </w:rPr>
              <w:lastRenderedPageBreak/>
              <w:t>Учтено</w:t>
            </w:r>
          </w:p>
        </w:tc>
        <w:tc>
          <w:tcPr>
            <w:tcW w:w="3274" w:type="dxa"/>
          </w:tcPr>
          <w:p w14:paraId="287B82EC" w14:textId="0B2B75BD" w:rsidR="003F528C" w:rsidRPr="009C2B2D" w:rsidRDefault="003F528C" w:rsidP="003F528C">
            <w:pPr>
              <w:jc w:val="both"/>
              <w:rPr>
                <w:sz w:val="22"/>
                <w:szCs w:val="22"/>
                <w:highlight w:val="yellow"/>
              </w:rPr>
            </w:pPr>
            <w:r w:rsidRPr="009C2B2D">
              <w:rPr>
                <w:sz w:val="22"/>
                <w:szCs w:val="22"/>
              </w:rPr>
              <w:t>Постановление</w:t>
            </w:r>
            <w:r>
              <w:rPr>
                <w:sz w:val="22"/>
                <w:szCs w:val="22"/>
              </w:rPr>
              <w:t xml:space="preserve"> Администрации Волгоградской области о</w:t>
            </w:r>
            <w:r w:rsidRPr="009C2B2D">
              <w:rPr>
                <w:sz w:val="22"/>
                <w:szCs w:val="22"/>
              </w:rPr>
              <w:t xml:space="preserve">т 15 января 2021 г. </w:t>
            </w:r>
            <w:r>
              <w:rPr>
                <w:sz w:val="22"/>
                <w:szCs w:val="22"/>
              </w:rPr>
              <w:t>№</w:t>
            </w:r>
            <w:r w:rsidRPr="009C2B2D">
              <w:rPr>
                <w:sz w:val="22"/>
                <w:szCs w:val="22"/>
              </w:rPr>
              <w:t xml:space="preserve"> 4-п</w:t>
            </w:r>
            <w:r>
              <w:rPr>
                <w:sz w:val="22"/>
                <w:szCs w:val="22"/>
              </w:rPr>
              <w:t xml:space="preserve"> «</w:t>
            </w:r>
            <w:r w:rsidRPr="009C2B2D">
              <w:rPr>
                <w:sz w:val="22"/>
                <w:szCs w:val="22"/>
              </w:rPr>
              <w:t xml:space="preserve">Об утверждении порядка </w:t>
            </w:r>
            <w:r w:rsidRPr="009C2B2D">
              <w:rPr>
                <w:sz w:val="22"/>
                <w:szCs w:val="22"/>
              </w:rPr>
              <w:lastRenderedPageBreak/>
              <w:t>привлечения остатков средств</w:t>
            </w:r>
            <w:r>
              <w:rPr>
                <w:sz w:val="22"/>
                <w:szCs w:val="22"/>
              </w:rPr>
              <w:t xml:space="preserve"> н</w:t>
            </w:r>
            <w:r w:rsidRPr="009C2B2D">
              <w:rPr>
                <w:sz w:val="22"/>
                <w:szCs w:val="22"/>
              </w:rPr>
              <w:t>а единый счет областного бюджета и возврата</w:t>
            </w:r>
            <w:r>
              <w:rPr>
                <w:sz w:val="22"/>
                <w:szCs w:val="22"/>
              </w:rPr>
              <w:t xml:space="preserve"> п</w:t>
            </w:r>
            <w:r w:rsidRPr="009C2B2D">
              <w:rPr>
                <w:sz w:val="22"/>
                <w:szCs w:val="22"/>
              </w:rPr>
              <w:t>ривлеченных средств</w:t>
            </w:r>
            <w:r>
              <w:rPr>
                <w:sz w:val="22"/>
                <w:szCs w:val="22"/>
              </w:rPr>
              <w:t>»</w:t>
            </w:r>
          </w:p>
        </w:tc>
      </w:tr>
      <w:tr w:rsidR="003F528C" w:rsidRPr="00D47E7F" w14:paraId="396BE6CB" w14:textId="77777777" w:rsidTr="002E6DB8">
        <w:tc>
          <w:tcPr>
            <w:tcW w:w="15573" w:type="dxa"/>
            <w:gridSpan w:val="4"/>
          </w:tcPr>
          <w:p w14:paraId="1531FAB6" w14:textId="206EF731" w:rsidR="003F528C" w:rsidRPr="006206F6" w:rsidRDefault="003F528C" w:rsidP="003F528C">
            <w:pPr>
              <w:jc w:val="both"/>
              <w:rPr>
                <w:sz w:val="22"/>
                <w:szCs w:val="22"/>
              </w:rPr>
            </w:pPr>
            <w:r w:rsidRPr="006206F6">
              <w:rPr>
                <w:i/>
                <w:sz w:val="22"/>
                <w:szCs w:val="22"/>
              </w:rPr>
              <w:lastRenderedPageBreak/>
              <w:t>Экспертное заключение к проекту закона Волгоградской области «Об областном бюджете на 202</w:t>
            </w:r>
            <w:r w:rsidRPr="008510F7">
              <w:rPr>
                <w:i/>
                <w:sz w:val="22"/>
                <w:szCs w:val="22"/>
              </w:rPr>
              <w:t>1</w:t>
            </w:r>
            <w:r w:rsidRPr="006206F6">
              <w:rPr>
                <w:i/>
                <w:sz w:val="22"/>
                <w:szCs w:val="22"/>
              </w:rPr>
              <w:t xml:space="preserve"> год и на плановый период 202</w:t>
            </w:r>
            <w:r w:rsidRPr="008510F7">
              <w:rPr>
                <w:i/>
                <w:sz w:val="22"/>
                <w:szCs w:val="22"/>
              </w:rPr>
              <w:t>2</w:t>
            </w:r>
            <w:r w:rsidRPr="006206F6">
              <w:rPr>
                <w:i/>
                <w:sz w:val="22"/>
                <w:szCs w:val="22"/>
              </w:rPr>
              <w:t xml:space="preserve"> и 202</w:t>
            </w:r>
            <w:r w:rsidRPr="008510F7">
              <w:rPr>
                <w:i/>
                <w:sz w:val="22"/>
                <w:szCs w:val="22"/>
              </w:rPr>
              <w:t>3</w:t>
            </w:r>
            <w:r w:rsidRPr="006206F6">
              <w:rPr>
                <w:i/>
                <w:sz w:val="22"/>
                <w:szCs w:val="22"/>
              </w:rPr>
              <w:t xml:space="preserve"> годов», представленному в Волгоградскую областную Думу</w:t>
            </w:r>
            <w:r w:rsidRPr="006206F6">
              <w:rPr>
                <w:b/>
                <w:i/>
                <w:sz w:val="22"/>
                <w:szCs w:val="22"/>
              </w:rPr>
              <w:t xml:space="preserve"> на второе чтение</w:t>
            </w:r>
          </w:p>
        </w:tc>
      </w:tr>
      <w:tr w:rsidR="003F528C" w:rsidRPr="00D47E7F" w14:paraId="51FBEFC3" w14:textId="77777777" w:rsidTr="002E6DB8">
        <w:tc>
          <w:tcPr>
            <w:tcW w:w="828" w:type="dxa"/>
          </w:tcPr>
          <w:p w14:paraId="7B81C8F1" w14:textId="77777777" w:rsidR="003F528C" w:rsidRPr="006206F6" w:rsidRDefault="003F528C" w:rsidP="003F528C">
            <w:pPr>
              <w:jc w:val="center"/>
              <w:rPr>
                <w:color w:val="FF0000"/>
                <w:spacing w:val="7"/>
                <w:sz w:val="22"/>
                <w:szCs w:val="22"/>
                <w:highlight w:val="cyan"/>
              </w:rPr>
            </w:pPr>
          </w:p>
        </w:tc>
        <w:tc>
          <w:tcPr>
            <w:tcW w:w="9360" w:type="dxa"/>
          </w:tcPr>
          <w:p w14:paraId="3D06C587" w14:textId="490F25D8" w:rsidR="003F528C" w:rsidRPr="008510F7" w:rsidRDefault="003F528C" w:rsidP="003F528C">
            <w:pPr>
              <w:pStyle w:val="ConsPlusNormal"/>
              <w:tabs>
                <w:tab w:val="left" w:pos="993"/>
              </w:tabs>
              <w:ind w:firstLine="448"/>
              <w:jc w:val="both"/>
              <w:rPr>
                <w:rFonts w:ascii="Times New Roman" w:hAnsi="Times New Roman" w:cs="Times New Roman"/>
                <w:sz w:val="22"/>
                <w:szCs w:val="22"/>
                <w:highlight w:val="yellow"/>
              </w:rPr>
            </w:pPr>
            <w:r w:rsidRPr="00395ACE">
              <w:rPr>
                <w:rFonts w:ascii="Times New Roman" w:hAnsi="Times New Roman" w:cs="Times New Roman"/>
                <w:b/>
                <w:i/>
                <w:sz w:val="22"/>
                <w:szCs w:val="22"/>
                <w:u w:val="single"/>
              </w:rPr>
              <w:t>Волгоградской областной Думе</w:t>
            </w:r>
            <w:r w:rsidRPr="00395ACE">
              <w:rPr>
                <w:rFonts w:ascii="Times New Roman" w:hAnsi="Times New Roman" w:cs="Times New Roman"/>
                <w:b/>
                <w:i/>
                <w:sz w:val="22"/>
                <w:szCs w:val="22"/>
              </w:rPr>
              <w:t xml:space="preserve"> </w:t>
            </w:r>
            <w:r w:rsidRPr="00395ACE">
              <w:rPr>
                <w:rFonts w:ascii="Times New Roman" w:hAnsi="Times New Roman" w:cs="Times New Roman"/>
                <w:sz w:val="22"/>
                <w:szCs w:val="22"/>
              </w:rPr>
              <w:t>предусмотреть в постановлении «О принятии во втором чтении проекта закона «Об областном бюджете на 2021 год и на плановый период 2022 и 2023 годов» следующие рекомендации Администрации Волгоградской области:</w:t>
            </w:r>
          </w:p>
        </w:tc>
        <w:tc>
          <w:tcPr>
            <w:tcW w:w="2111" w:type="dxa"/>
          </w:tcPr>
          <w:p w14:paraId="47D4AF2C" w14:textId="77777777" w:rsidR="003F528C" w:rsidRPr="008510F7" w:rsidRDefault="003F528C" w:rsidP="003F528C">
            <w:pPr>
              <w:jc w:val="center"/>
              <w:rPr>
                <w:color w:val="FF0000"/>
                <w:sz w:val="22"/>
                <w:szCs w:val="22"/>
                <w:highlight w:val="yellow"/>
              </w:rPr>
            </w:pPr>
          </w:p>
        </w:tc>
        <w:tc>
          <w:tcPr>
            <w:tcW w:w="3274" w:type="dxa"/>
          </w:tcPr>
          <w:p w14:paraId="455110BD" w14:textId="77777777" w:rsidR="003F528C" w:rsidRPr="006206F6" w:rsidRDefault="003F528C" w:rsidP="003F528C">
            <w:pPr>
              <w:jc w:val="both"/>
              <w:rPr>
                <w:color w:val="FF0000"/>
                <w:sz w:val="22"/>
                <w:szCs w:val="22"/>
                <w:highlight w:val="yellow"/>
              </w:rPr>
            </w:pPr>
          </w:p>
        </w:tc>
      </w:tr>
      <w:tr w:rsidR="003F528C" w:rsidRPr="00D47E7F" w14:paraId="5C2A4969" w14:textId="77777777" w:rsidTr="002E6DB8">
        <w:tc>
          <w:tcPr>
            <w:tcW w:w="828" w:type="dxa"/>
          </w:tcPr>
          <w:p w14:paraId="4929E228"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66D5FBF6" w14:textId="6DF39265"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В целях выполнения требований пункта 2 статьи 20 БК РФ, а также во избежание нарушений при составлении главным администратором средств областного бюджета бюджетной отчетности за истекший финансовый год откорректировать приложения 1 и 5, закрепив 2 вида незакрепленных законопроектом безвозмездных поступлений за комитетом строительства Волгоградской области.</w:t>
            </w:r>
          </w:p>
        </w:tc>
        <w:tc>
          <w:tcPr>
            <w:tcW w:w="2111" w:type="dxa"/>
          </w:tcPr>
          <w:p w14:paraId="3A2FE7A1" w14:textId="6A5311AF" w:rsidR="003F528C" w:rsidRPr="00DA22B1" w:rsidRDefault="003F528C" w:rsidP="003F528C">
            <w:pPr>
              <w:jc w:val="center"/>
              <w:rPr>
                <w:sz w:val="22"/>
                <w:szCs w:val="22"/>
              </w:rPr>
            </w:pPr>
            <w:r w:rsidRPr="00DA22B1">
              <w:rPr>
                <w:sz w:val="22"/>
                <w:szCs w:val="22"/>
              </w:rPr>
              <w:t>Учтено</w:t>
            </w:r>
          </w:p>
        </w:tc>
        <w:tc>
          <w:tcPr>
            <w:tcW w:w="3274" w:type="dxa"/>
          </w:tcPr>
          <w:p w14:paraId="5AD5EE78" w14:textId="19CA062A" w:rsidR="003F528C" w:rsidRPr="006206F6" w:rsidRDefault="003F528C" w:rsidP="003F528C">
            <w:pPr>
              <w:jc w:val="both"/>
              <w:rPr>
                <w:bCs/>
                <w:sz w:val="22"/>
                <w:szCs w:val="22"/>
              </w:rPr>
            </w:pPr>
            <w:r>
              <w:rPr>
                <w:bCs/>
                <w:sz w:val="22"/>
                <w:szCs w:val="22"/>
              </w:rPr>
              <w:t>Постановление ВОД от 26.11.2020 № 16/929</w:t>
            </w:r>
          </w:p>
        </w:tc>
      </w:tr>
      <w:tr w:rsidR="003F528C" w:rsidRPr="00D47E7F" w14:paraId="32B951EB" w14:textId="77777777" w:rsidTr="002E6DB8">
        <w:tc>
          <w:tcPr>
            <w:tcW w:w="828" w:type="dxa"/>
          </w:tcPr>
          <w:p w14:paraId="5D4F167D"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355FF74B" w14:textId="5415E461"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Предусмотреть расходы на создание ситуационного центра по мониторингу и управлению транспортно-дорожным комплексом Волгоградской области в рамках соответствующей госпрограммы «Развитие транспортной системы» по соответствующему подразделу бюджетной классификации 0409 «Дорожное хозяйство (дорожные фонды)».</w:t>
            </w:r>
          </w:p>
        </w:tc>
        <w:tc>
          <w:tcPr>
            <w:tcW w:w="2111" w:type="dxa"/>
          </w:tcPr>
          <w:p w14:paraId="3D9ED65B" w14:textId="3D38A6B2" w:rsidR="003F528C" w:rsidRPr="00DA22B1" w:rsidRDefault="003F528C" w:rsidP="003F528C">
            <w:pPr>
              <w:jc w:val="center"/>
              <w:rPr>
                <w:sz w:val="22"/>
                <w:szCs w:val="22"/>
              </w:rPr>
            </w:pPr>
            <w:r w:rsidRPr="00DA22B1">
              <w:rPr>
                <w:sz w:val="22"/>
                <w:szCs w:val="22"/>
              </w:rPr>
              <w:t>Учтено</w:t>
            </w:r>
          </w:p>
        </w:tc>
        <w:tc>
          <w:tcPr>
            <w:tcW w:w="3274" w:type="dxa"/>
          </w:tcPr>
          <w:p w14:paraId="1192404C" w14:textId="20B06CB8" w:rsidR="003F528C" w:rsidRPr="00DA22B1" w:rsidRDefault="003F528C" w:rsidP="003F528C">
            <w:pPr>
              <w:jc w:val="both"/>
              <w:rPr>
                <w:sz w:val="22"/>
                <w:szCs w:val="22"/>
              </w:rPr>
            </w:pPr>
            <w:r w:rsidRPr="00DA22B1">
              <w:rPr>
                <w:sz w:val="22"/>
                <w:szCs w:val="22"/>
              </w:rPr>
              <w:t>Поправки ко 2 чтению</w:t>
            </w:r>
          </w:p>
        </w:tc>
      </w:tr>
      <w:tr w:rsidR="003F528C" w:rsidRPr="00D47E7F" w14:paraId="3249B3D4" w14:textId="77777777" w:rsidTr="002E6DB8">
        <w:tc>
          <w:tcPr>
            <w:tcW w:w="828" w:type="dxa"/>
          </w:tcPr>
          <w:p w14:paraId="0A886197"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2D14A0B1" w14:textId="5CC5B90D"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Осуществлять расходы по предоставлению субсидии бюджету г. Волгограда на реализацию концессионного соглашения по организации транспортного обслуживания населения после закрепления соответствующих параметров госпрограммы «Развитие транспортной системы», определяющих влияние этих расходов на социально-экономическое развитие Волгоградской области.</w:t>
            </w:r>
          </w:p>
        </w:tc>
        <w:tc>
          <w:tcPr>
            <w:tcW w:w="2111" w:type="dxa"/>
          </w:tcPr>
          <w:p w14:paraId="0B65810B" w14:textId="386DDCFC" w:rsidR="003F528C" w:rsidRPr="00DA22B1" w:rsidRDefault="003F528C" w:rsidP="003F528C">
            <w:pPr>
              <w:jc w:val="center"/>
              <w:rPr>
                <w:sz w:val="22"/>
                <w:szCs w:val="22"/>
              </w:rPr>
            </w:pPr>
            <w:r w:rsidRPr="00DA22B1">
              <w:rPr>
                <w:sz w:val="22"/>
                <w:szCs w:val="22"/>
              </w:rPr>
              <w:t>Учтено</w:t>
            </w:r>
          </w:p>
        </w:tc>
        <w:tc>
          <w:tcPr>
            <w:tcW w:w="3274" w:type="dxa"/>
          </w:tcPr>
          <w:p w14:paraId="50143533" w14:textId="0A3D02CB"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D47E7F" w14:paraId="49DD80A3" w14:textId="77777777" w:rsidTr="002E6DB8">
        <w:tc>
          <w:tcPr>
            <w:tcW w:w="828" w:type="dxa"/>
          </w:tcPr>
          <w:p w14:paraId="50849EBC"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15B12937" w14:textId="4FA5F704"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Принять меры к увеличению объема бюджетных ассигнований дорожного фонда Волгоградской области на 2021 год до объема, формируемого в соответствии с бюджетным законодательством.</w:t>
            </w:r>
          </w:p>
        </w:tc>
        <w:tc>
          <w:tcPr>
            <w:tcW w:w="2111" w:type="dxa"/>
          </w:tcPr>
          <w:p w14:paraId="4886CD9D" w14:textId="3CC3FADD" w:rsidR="003F528C" w:rsidRPr="00DA22B1" w:rsidRDefault="003F528C" w:rsidP="003F528C">
            <w:pPr>
              <w:jc w:val="center"/>
              <w:rPr>
                <w:sz w:val="22"/>
                <w:szCs w:val="22"/>
              </w:rPr>
            </w:pPr>
            <w:r w:rsidRPr="00DA22B1">
              <w:rPr>
                <w:sz w:val="22"/>
                <w:szCs w:val="22"/>
              </w:rPr>
              <w:t>Учтено</w:t>
            </w:r>
          </w:p>
        </w:tc>
        <w:tc>
          <w:tcPr>
            <w:tcW w:w="3274" w:type="dxa"/>
          </w:tcPr>
          <w:p w14:paraId="768AE76F" w14:textId="2B342F00"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D47E7F" w14:paraId="170BB2C6" w14:textId="77777777" w:rsidTr="002E6DB8">
        <w:tc>
          <w:tcPr>
            <w:tcW w:w="828" w:type="dxa"/>
          </w:tcPr>
          <w:p w14:paraId="519CDC08"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0F57FE41" w14:textId="54203E54"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Обеспечить формирование перечня объектов строительства и реконструкции автомобильных дорог общего пользования для областных государственных нужд на 2021 год, обеспечивающего наиболее эффективное достижение целей и решение задач социально-экономического развития Волгоградской области.</w:t>
            </w:r>
          </w:p>
        </w:tc>
        <w:tc>
          <w:tcPr>
            <w:tcW w:w="2111" w:type="dxa"/>
          </w:tcPr>
          <w:p w14:paraId="3DC1C7A6" w14:textId="557EF44E" w:rsidR="003F528C" w:rsidRPr="00DA22B1" w:rsidRDefault="003F528C" w:rsidP="003F528C">
            <w:pPr>
              <w:jc w:val="center"/>
              <w:rPr>
                <w:sz w:val="22"/>
                <w:szCs w:val="22"/>
              </w:rPr>
            </w:pPr>
            <w:r w:rsidRPr="00DA22B1">
              <w:rPr>
                <w:sz w:val="22"/>
                <w:szCs w:val="22"/>
              </w:rPr>
              <w:t>Учтено</w:t>
            </w:r>
          </w:p>
        </w:tc>
        <w:tc>
          <w:tcPr>
            <w:tcW w:w="3274" w:type="dxa"/>
          </w:tcPr>
          <w:p w14:paraId="4E150272" w14:textId="666FC737"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D47E7F" w14:paraId="395C934D" w14:textId="77777777" w:rsidTr="002E6DB8">
        <w:tc>
          <w:tcPr>
            <w:tcW w:w="828" w:type="dxa"/>
          </w:tcPr>
          <w:p w14:paraId="36D603DD" w14:textId="77777777" w:rsidR="003F528C" w:rsidRPr="006206F6" w:rsidRDefault="003F528C" w:rsidP="003F528C">
            <w:pPr>
              <w:pStyle w:val="ad"/>
              <w:numPr>
                <w:ilvl w:val="0"/>
                <w:numId w:val="7"/>
              </w:numPr>
              <w:spacing w:line="240" w:lineRule="auto"/>
              <w:jc w:val="center"/>
              <w:rPr>
                <w:color w:val="FF0000"/>
                <w:spacing w:val="7"/>
                <w:sz w:val="22"/>
                <w:szCs w:val="22"/>
              </w:rPr>
            </w:pPr>
          </w:p>
        </w:tc>
        <w:tc>
          <w:tcPr>
            <w:tcW w:w="9360" w:type="dxa"/>
          </w:tcPr>
          <w:p w14:paraId="4B5EF606" w14:textId="6C8A080F"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Произвести закрепление механизма реализации мероприятия по внедрению интеллектуальных транспортных систем в госпрограмме «Развитие транспортной системы» с учетом закрепленного законодательством распределения полномочий органов управления различными уровнями публично-правовых образований в сфере транспорта, дорожной деятельности и безопасности дорожного движения.</w:t>
            </w:r>
          </w:p>
        </w:tc>
        <w:tc>
          <w:tcPr>
            <w:tcW w:w="2111" w:type="dxa"/>
          </w:tcPr>
          <w:p w14:paraId="15111BA0" w14:textId="4592E9B8" w:rsidR="003F528C" w:rsidRPr="00DA22B1" w:rsidRDefault="003F528C" w:rsidP="003F528C">
            <w:pPr>
              <w:jc w:val="center"/>
              <w:rPr>
                <w:sz w:val="22"/>
                <w:szCs w:val="22"/>
              </w:rPr>
            </w:pPr>
            <w:r w:rsidRPr="00DA22B1">
              <w:rPr>
                <w:sz w:val="22"/>
                <w:szCs w:val="22"/>
              </w:rPr>
              <w:t>Учтено</w:t>
            </w:r>
          </w:p>
        </w:tc>
        <w:tc>
          <w:tcPr>
            <w:tcW w:w="3274" w:type="dxa"/>
          </w:tcPr>
          <w:p w14:paraId="4C5D7BA0" w14:textId="1C146865"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D47E7F" w14:paraId="57755C17" w14:textId="77777777" w:rsidTr="002E6DB8">
        <w:tc>
          <w:tcPr>
            <w:tcW w:w="828" w:type="dxa"/>
          </w:tcPr>
          <w:p w14:paraId="62CAA9D1" w14:textId="5CC8640D" w:rsidR="003F528C" w:rsidRPr="00395ACE" w:rsidRDefault="003F528C" w:rsidP="003F528C">
            <w:pPr>
              <w:pStyle w:val="ad"/>
              <w:numPr>
                <w:ilvl w:val="0"/>
                <w:numId w:val="7"/>
              </w:numPr>
              <w:spacing w:line="240" w:lineRule="auto"/>
              <w:jc w:val="center"/>
              <w:rPr>
                <w:color w:val="FF0000"/>
                <w:spacing w:val="7"/>
                <w:sz w:val="22"/>
                <w:szCs w:val="22"/>
              </w:rPr>
            </w:pPr>
          </w:p>
        </w:tc>
        <w:tc>
          <w:tcPr>
            <w:tcW w:w="9360" w:type="dxa"/>
          </w:tcPr>
          <w:p w14:paraId="13E1B303" w14:textId="1D9813D0" w:rsidR="003F528C" w:rsidRPr="00395ACE" w:rsidRDefault="003F528C" w:rsidP="003F528C">
            <w:pPr>
              <w:pStyle w:val="Default"/>
              <w:ind w:firstLine="709"/>
              <w:jc w:val="both"/>
              <w:rPr>
                <w:rFonts w:eastAsia="Times New Roman"/>
                <w:color w:val="auto"/>
                <w:sz w:val="22"/>
                <w:szCs w:val="22"/>
              </w:rPr>
            </w:pPr>
            <w:r w:rsidRPr="00395ACE">
              <w:rPr>
                <w:rFonts w:eastAsia="Times New Roman"/>
                <w:color w:val="auto"/>
                <w:sz w:val="22"/>
                <w:szCs w:val="22"/>
              </w:rPr>
              <w:t xml:space="preserve">Рассмотреть вопрос о закреплении расходов дорожного фонда Волгоградской области, предусмотренных законопроектом в рамках непрограммных мероприятий и  госпрограммы </w:t>
            </w:r>
            <w:r w:rsidRPr="00395ACE">
              <w:rPr>
                <w:rFonts w:eastAsia="Times New Roman"/>
                <w:color w:val="auto"/>
                <w:sz w:val="22"/>
                <w:szCs w:val="22"/>
              </w:rPr>
              <w:lastRenderedPageBreak/>
              <w:t>«Энергосбережение и повышение энергетической эффективности в Волгоградской области», за комитетом транспорта и дорожного хозяйства Волгоградской области, а в дальнейшем о целесообразности продолжения практики расходования средств дорожного фонда в рамках непрограммных мероприятий и госпрограмм, не корреспондирующих с национальными целями развития Российской Федерации в сфере дорожного хозяйства.</w:t>
            </w:r>
          </w:p>
        </w:tc>
        <w:tc>
          <w:tcPr>
            <w:tcW w:w="2111" w:type="dxa"/>
          </w:tcPr>
          <w:p w14:paraId="549D25C6" w14:textId="6250881B" w:rsidR="003F528C" w:rsidRPr="00DA22B1" w:rsidRDefault="003F528C" w:rsidP="003F528C">
            <w:pPr>
              <w:jc w:val="center"/>
              <w:rPr>
                <w:sz w:val="22"/>
                <w:szCs w:val="22"/>
              </w:rPr>
            </w:pPr>
            <w:r w:rsidRPr="00DA22B1">
              <w:rPr>
                <w:sz w:val="22"/>
                <w:szCs w:val="22"/>
              </w:rPr>
              <w:lastRenderedPageBreak/>
              <w:t>Учтено</w:t>
            </w:r>
          </w:p>
        </w:tc>
        <w:tc>
          <w:tcPr>
            <w:tcW w:w="3274" w:type="dxa"/>
          </w:tcPr>
          <w:p w14:paraId="2BBEF2CD" w14:textId="7B56B75A" w:rsidR="003F528C" w:rsidRPr="006206F6" w:rsidRDefault="003F528C" w:rsidP="003F528C">
            <w:pPr>
              <w:jc w:val="both"/>
              <w:rPr>
                <w:color w:val="FF0000"/>
                <w:sz w:val="22"/>
                <w:szCs w:val="22"/>
                <w:highlight w:val="yellow"/>
              </w:rPr>
            </w:pPr>
            <w:r>
              <w:rPr>
                <w:bCs/>
                <w:sz w:val="22"/>
                <w:szCs w:val="22"/>
              </w:rPr>
              <w:t>Постановление ВОД от 26.11.2020 № 16/929</w:t>
            </w:r>
          </w:p>
        </w:tc>
      </w:tr>
      <w:tr w:rsidR="003F528C" w:rsidRPr="00D47E7F" w14:paraId="4A259147" w14:textId="77777777" w:rsidTr="002E6DB8">
        <w:tc>
          <w:tcPr>
            <w:tcW w:w="828" w:type="dxa"/>
          </w:tcPr>
          <w:p w14:paraId="2F8BB336" w14:textId="77777777" w:rsidR="003F528C" w:rsidRPr="006206F6" w:rsidRDefault="003F528C" w:rsidP="003F528C">
            <w:pPr>
              <w:jc w:val="center"/>
              <w:rPr>
                <w:spacing w:val="7"/>
                <w:sz w:val="22"/>
                <w:szCs w:val="22"/>
              </w:rPr>
            </w:pPr>
            <w:r w:rsidRPr="006206F6">
              <w:rPr>
                <w:spacing w:val="7"/>
                <w:sz w:val="22"/>
                <w:szCs w:val="22"/>
              </w:rPr>
              <w:t>8.</w:t>
            </w:r>
          </w:p>
        </w:tc>
        <w:tc>
          <w:tcPr>
            <w:tcW w:w="9360" w:type="dxa"/>
          </w:tcPr>
          <w:p w14:paraId="1D66E7F9" w14:textId="5E3791D1" w:rsidR="003F528C" w:rsidRPr="00FB249B" w:rsidRDefault="003F528C" w:rsidP="003F528C">
            <w:pPr>
              <w:pStyle w:val="Default"/>
              <w:ind w:firstLine="709"/>
              <w:jc w:val="both"/>
              <w:rPr>
                <w:rFonts w:eastAsia="Times New Roman"/>
                <w:color w:val="auto"/>
                <w:sz w:val="22"/>
                <w:szCs w:val="22"/>
              </w:rPr>
            </w:pPr>
            <w:r w:rsidRPr="00FB249B">
              <w:rPr>
                <w:rFonts w:eastAsia="Times New Roman"/>
                <w:color w:val="auto"/>
                <w:sz w:val="22"/>
                <w:szCs w:val="22"/>
              </w:rPr>
              <w:t>В программе приватизации государственного имущества Волгоградской области на 2021-2023 годы балансовую стоимость государственного унитарного предприятия «Волгоградское областное сельскохозяйственное предприятие Заря», преобразуемого в хозяйственное общество, привести в соответствие с отчетными данными организации.</w:t>
            </w:r>
          </w:p>
        </w:tc>
        <w:tc>
          <w:tcPr>
            <w:tcW w:w="2111" w:type="dxa"/>
          </w:tcPr>
          <w:p w14:paraId="0FDE0EA1" w14:textId="45D15B8E" w:rsidR="003F528C" w:rsidRPr="00DA22B1" w:rsidRDefault="003F528C" w:rsidP="003F528C">
            <w:pPr>
              <w:jc w:val="center"/>
              <w:rPr>
                <w:sz w:val="22"/>
                <w:szCs w:val="22"/>
              </w:rPr>
            </w:pPr>
            <w:r w:rsidRPr="00DA22B1">
              <w:rPr>
                <w:sz w:val="22"/>
                <w:szCs w:val="22"/>
              </w:rPr>
              <w:t>Учтено</w:t>
            </w:r>
          </w:p>
        </w:tc>
        <w:tc>
          <w:tcPr>
            <w:tcW w:w="3274" w:type="dxa"/>
          </w:tcPr>
          <w:p w14:paraId="54E401CA" w14:textId="09C229BA" w:rsidR="003F528C" w:rsidRPr="00DA22B1" w:rsidRDefault="003F528C" w:rsidP="003F528C">
            <w:pPr>
              <w:jc w:val="both"/>
              <w:rPr>
                <w:sz w:val="22"/>
                <w:szCs w:val="22"/>
              </w:rPr>
            </w:pPr>
            <w:r w:rsidRPr="00DA22B1">
              <w:rPr>
                <w:sz w:val="22"/>
                <w:szCs w:val="22"/>
              </w:rPr>
              <w:t>Поправки ко 2 чтению</w:t>
            </w:r>
          </w:p>
        </w:tc>
      </w:tr>
      <w:tr w:rsidR="003F528C" w:rsidRPr="00D47E7F" w14:paraId="495FDB3D" w14:textId="77777777" w:rsidTr="002E6DB8">
        <w:tc>
          <w:tcPr>
            <w:tcW w:w="828" w:type="dxa"/>
          </w:tcPr>
          <w:p w14:paraId="380DE9B0" w14:textId="77777777" w:rsidR="003F528C" w:rsidRPr="006206F6" w:rsidRDefault="003F528C" w:rsidP="003F528C">
            <w:pPr>
              <w:ind w:left="360" w:hanging="218"/>
              <w:rPr>
                <w:spacing w:val="7"/>
                <w:sz w:val="22"/>
                <w:szCs w:val="22"/>
              </w:rPr>
            </w:pPr>
            <w:r w:rsidRPr="006206F6">
              <w:rPr>
                <w:spacing w:val="7"/>
                <w:sz w:val="22"/>
                <w:szCs w:val="22"/>
              </w:rPr>
              <w:t>9.</w:t>
            </w:r>
          </w:p>
        </w:tc>
        <w:tc>
          <w:tcPr>
            <w:tcW w:w="9360" w:type="dxa"/>
          </w:tcPr>
          <w:p w14:paraId="08CAD809" w14:textId="7A7A5C63" w:rsidR="003F528C" w:rsidRPr="00FB249B" w:rsidRDefault="003F528C" w:rsidP="003F528C">
            <w:pPr>
              <w:pStyle w:val="Default"/>
              <w:ind w:firstLine="709"/>
              <w:jc w:val="both"/>
              <w:rPr>
                <w:rFonts w:eastAsia="Times New Roman"/>
                <w:color w:val="auto"/>
                <w:sz w:val="22"/>
                <w:szCs w:val="22"/>
              </w:rPr>
            </w:pPr>
            <w:r w:rsidRPr="00FB249B">
              <w:rPr>
                <w:rFonts w:eastAsia="Times New Roman"/>
                <w:color w:val="auto"/>
                <w:sz w:val="22"/>
                <w:szCs w:val="22"/>
              </w:rPr>
              <w:t xml:space="preserve">После принятия законопроекта в окончательном чтении в кратчайшие сроки разработать и утвердить нормативные правовые акты Волгоградской области, устанавливающие расходные обязательства и порядки расходования средств на новые виды расходов, предусмотренные проектом бюджета на 2021 год, перечисленные в пунктах 3 и 9 выводов к настоящему экспертному заключению. </w:t>
            </w:r>
          </w:p>
        </w:tc>
        <w:tc>
          <w:tcPr>
            <w:tcW w:w="2111" w:type="dxa"/>
          </w:tcPr>
          <w:p w14:paraId="68CE959A" w14:textId="68F63377" w:rsidR="003F528C" w:rsidRPr="00DA22B1" w:rsidRDefault="003F528C" w:rsidP="003F528C">
            <w:pPr>
              <w:jc w:val="center"/>
              <w:rPr>
                <w:sz w:val="22"/>
                <w:szCs w:val="22"/>
              </w:rPr>
            </w:pPr>
            <w:r w:rsidRPr="00DA22B1">
              <w:rPr>
                <w:sz w:val="22"/>
                <w:szCs w:val="22"/>
              </w:rPr>
              <w:t>Учтено</w:t>
            </w:r>
          </w:p>
        </w:tc>
        <w:tc>
          <w:tcPr>
            <w:tcW w:w="3274" w:type="dxa"/>
          </w:tcPr>
          <w:p w14:paraId="584E27F6" w14:textId="4C589ACD"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D47E7F" w14:paraId="1D21DDA5" w14:textId="77777777" w:rsidTr="002E6DB8">
        <w:tc>
          <w:tcPr>
            <w:tcW w:w="828" w:type="dxa"/>
          </w:tcPr>
          <w:p w14:paraId="7D6A88F3" w14:textId="77777777" w:rsidR="003F528C" w:rsidRPr="006206F6" w:rsidRDefault="003F528C" w:rsidP="003F528C">
            <w:pPr>
              <w:jc w:val="center"/>
              <w:rPr>
                <w:spacing w:val="7"/>
                <w:sz w:val="22"/>
                <w:szCs w:val="22"/>
              </w:rPr>
            </w:pPr>
            <w:r w:rsidRPr="006206F6">
              <w:rPr>
                <w:spacing w:val="7"/>
                <w:sz w:val="22"/>
                <w:szCs w:val="22"/>
              </w:rPr>
              <w:t>10.</w:t>
            </w:r>
          </w:p>
        </w:tc>
        <w:tc>
          <w:tcPr>
            <w:tcW w:w="9360" w:type="dxa"/>
          </w:tcPr>
          <w:p w14:paraId="7B14D1A7" w14:textId="1C78B4E7" w:rsidR="003F528C" w:rsidRPr="00FB249B" w:rsidRDefault="003F528C" w:rsidP="003F528C">
            <w:pPr>
              <w:pStyle w:val="Default"/>
              <w:ind w:firstLine="709"/>
              <w:jc w:val="both"/>
              <w:rPr>
                <w:rFonts w:eastAsia="Times New Roman"/>
                <w:color w:val="auto"/>
                <w:sz w:val="22"/>
                <w:szCs w:val="22"/>
              </w:rPr>
            </w:pPr>
            <w:r w:rsidRPr="00FB249B">
              <w:rPr>
                <w:rFonts w:eastAsia="Times New Roman"/>
                <w:color w:val="auto"/>
                <w:sz w:val="22"/>
                <w:szCs w:val="22"/>
              </w:rPr>
              <w:t>При получении дополнительных доходов в областной бюджет в 2021 году предусмотреть в приоритетном порядке дополнительные ассигнования на социально значимые расходы, перечисленные в пункте 10 выводов к настоящему экспертному заключению, с целью доведения их объемов до расчетной потребности.</w:t>
            </w:r>
          </w:p>
        </w:tc>
        <w:tc>
          <w:tcPr>
            <w:tcW w:w="2111" w:type="dxa"/>
          </w:tcPr>
          <w:p w14:paraId="68BBEBC7" w14:textId="3A2F8FD3" w:rsidR="003F528C" w:rsidRPr="00DA22B1" w:rsidRDefault="003F528C" w:rsidP="003F528C">
            <w:pPr>
              <w:jc w:val="center"/>
              <w:rPr>
                <w:sz w:val="22"/>
                <w:szCs w:val="22"/>
              </w:rPr>
            </w:pPr>
            <w:r w:rsidRPr="00DA22B1">
              <w:rPr>
                <w:sz w:val="22"/>
                <w:szCs w:val="22"/>
              </w:rPr>
              <w:t>Учтено</w:t>
            </w:r>
          </w:p>
        </w:tc>
        <w:tc>
          <w:tcPr>
            <w:tcW w:w="3274" w:type="dxa"/>
          </w:tcPr>
          <w:p w14:paraId="0C5111BB" w14:textId="513C1B06" w:rsidR="003F528C" w:rsidRPr="006206F6" w:rsidRDefault="003F528C" w:rsidP="003F528C">
            <w:pPr>
              <w:jc w:val="both"/>
              <w:rPr>
                <w:sz w:val="22"/>
                <w:szCs w:val="22"/>
                <w:highlight w:val="yellow"/>
              </w:rPr>
            </w:pPr>
            <w:r>
              <w:rPr>
                <w:bCs/>
                <w:sz w:val="22"/>
                <w:szCs w:val="22"/>
              </w:rPr>
              <w:t>Постановление ВОД от 26.11.2020 № 16/929</w:t>
            </w:r>
          </w:p>
        </w:tc>
      </w:tr>
      <w:tr w:rsidR="003F528C" w:rsidRPr="00502ECC" w14:paraId="6894CC28" w14:textId="77777777" w:rsidTr="002E6DB8">
        <w:tc>
          <w:tcPr>
            <w:tcW w:w="828" w:type="dxa"/>
          </w:tcPr>
          <w:p w14:paraId="3740CAF3" w14:textId="77777777" w:rsidR="003F528C" w:rsidRPr="00502ECC" w:rsidRDefault="003F528C" w:rsidP="003F528C">
            <w:pPr>
              <w:jc w:val="center"/>
              <w:rPr>
                <w:i/>
                <w:sz w:val="22"/>
                <w:szCs w:val="22"/>
              </w:rPr>
            </w:pPr>
          </w:p>
        </w:tc>
        <w:tc>
          <w:tcPr>
            <w:tcW w:w="9360" w:type="dxa"/>
          </w:tcPr>
          <w:p w14:paraId="4BB6951B" w14:textId="77777777" w:rsidR="003F528C" w:rsidRPr="00FB249B" w:rsidRDefault="003F528C" w:rsidP="003F528C">
            <w:pPr>
              <w:ind w:firstLine="45"/>
              <w:jc w:val="both"/>
              <w:rPr>
                <w:b/>
                <w:i/>
                <w:sz w:val="22"/>
                <w:szCs w:val="22"/>
              </w:rPr>
            </w:pPr>
            <w:r w:rsidRPr="00FB249B">
              <w:rPr>
                <w:b/>
                <w:i/>
                <w:sz w:val="22"/>
                <w:szCs w:val="22"/>
              </w:rPr>
              <w:t>ИТОГО:</w:t>
            </w:r>
          </w:p>
        </w:tc>
        <w:tc>
          <w:tcPr>
            <w:tcW w:w="2111" w:type="dxa"/>
          </w:tcPr>
          <w:p w14:paraId="36831BEE" w14:textId="2B012F7E" w:rsidR="003F528C" w:rsidRPr="00FB249B" w:rsidRDefault="003F528C" w:rsidP="003F528C">
            <w:pPr>
              <w:jc w:val="center"/>
              <w:rPr>
                <w:b/>
                <w:i/>
                <w:sz w:val="22"/>
                <w:szCs w:val="22"/>
                <w:lang w:val="en-US"/>
              </w:rPr>
            </w:pPr>
            <w:r w:rsidRPr="00FB249B">
              <w:rPr>
                <w:b/>
                <w:i/>
                <w:sz w:val="22"/>
                <w:szCs w:val="22"/>
              </w:rPr>
              <w:t>1</w:t>
            </w:r>
            <w:r w:rsidRPr="00FB249B">
              <w:rPr>
                <w:b/>
                <w:i/>
                <w:sz w:val="22"/>
                <w:szCs w:val="22"/>
                <w:lang w:val="en-US"/>
              </w:rPr>
              <w:t>4</w:t>
            </w:r>
          </w:p>
        </w:tc>
        <w:tc>
          <w:tcPr>
            <w:tcW w:w="3274" w:type="dxa"/>
          </w:tcPr>
          <w:p w14:paraId="5ED33B3F" w14:textId="77777777" w:rsidR="003F528C" w:rsidRPr="006B21C9" w:rsidRDefault="003F528C" w:rsidP="003F528C">
            <w:pPr>
              <w:jc w:val="both"/>
              <w:rPr>
                <w:i/>
                <w:color w:val="FF0000"/>
                <w:sz w:val="22"/>
                <w:szCs w:val="22"/>
              </w:rPr>
            </w:pPr>
          </w:p>
        </w:tc>
      </w:tr>
      <w:tr w:rsidR="003F528C" w:rsidRPr="00DA22B1" w14:paraId="4F2C5E26" w14:textId="77777777" w:rsidTr="002E6DB8">
        <w:tc>
          <w:tcPr>
            <w:tcW w:w="828" w:type="dxa"/>
          </w:tcPr>
          <w:p w14:paraId="115FC531" w14:textId="77777777" w:rsidR="003F528C" w:rsidRPr="00C709A3" w:rsidRDefault="003F528C" w:rsidP="003F528C">
            <w:pPr>
              <w:jc w:val="center"/>
              <w:rPr>
                <w:sz w:val="22"/>
                <w:szCs w:val="22"/>
              </w:rPr>
            </w:pPr>
          </w:p>
        </w:tc>
        <w:tc>
          <w:tcPr>
            <w:tcW w:w="9360" w:type="dxa"/>
          </w:tcPr>
          <w:p w14:paraId="221C9B3B" w14:textId="77777777" w:rsidR="003F528C" w:rsidRPr="00DA22B1" w:rsidRDefault="003F528C" w:rsidP="003F528C">
            <w:pPr>
              <w:autoSpaceDE w:val="0"/>
              <w:autoSpaceDN w:val="0"/>
              <w:adjustRightInd w:val="0"/>
              <w:ind w:firstLine="45"/>
              <w:jc w:val="both"/>
              <w:rPr>
                <w:b/>
                <w:sz w:val="22"/>
                <w:szCs w:val="22"/>
              </w:rPr>
            </w:pPr>
            <w:r w:rsidRPr="00DA22B1">
              <w:rPr>
                <w:b/>
                <w:sz w:val="22"/>
                <w:szCs w:val="22"/>
              </w:rPr>
              <w:t>учтено</w:t>
            </w:r>
          </w:p>
        </w:tc>
        <w:tc>
          <w:tcPr>
            <w:tcW w:w="2111" w:type="dxa"/>
          </w:tcPr>
          <w:p w14:paraId="3E7BE347" w14:textId="16F01930" w:rsidR="003F528C" w:rsidRPr="00DA22B1" w:rsidRDefault="00DA22B1" w:rsidP="003F528C">
            <w:pPr>
              <w:jc w:val="center"/>
              <w:rPr>
                <w:b/>
                <w:i/>
                <w:sz w:val="22"/>
                <w:szCs w:val="22"/>
              </w:rPr>
            </w:pPr>
            <w:r w:rsidRPr="00DA22B1">
              <w:rPr>
                <w:b/>
                <w:i/>
                <w:sz w:val="22"/>
                <w:szCs w:val="22"/>
                <w:lang w:val="en-US"/>
              </w:rPr>
              <w:t>11</w:t>
            </w:r>
            <w:r w:rsidR="003F528C" w:rsidRPr="00DA22B1">
              <w:rPr>
                <w:b/>
                <w:i/>
                <w:sz w:val="22"/>
                <w:szCs w:val="22"/>
              </w:rPr>
              <w:t xml:space="preserve"> (</w:t>
            </w:r>
            <w:r w:rsidRPr="00DA22B1">
              <w:rPr>
                <w:b/>
                <w:i/>
                <w:sz w:val="22"/>
                <w:szCs w:val="22"/>
                <w:lang w:val="en-US"/>
              </w:rPr>
              <w:t>78.6</w:t>
            </w:r>
            <w:r w:rsidR="003F528C" w:rsidRPr="00DA22B1">
              <w:rPr>
                <w:b/>
                <w:i/>
                <w:sz w:val="22"/>
                <w:szCs w:val="22"/>
              </w:rPr>
              <w:t>%)</w:t>
            </w:r>
          </w:p>
        </w:tc>
        <w:tc>
          <w:tcPr>
            <w:tcW w:w="3274" w:type="dxa"/>
          </w:tcPr>
          <w:p w14:paraId="31CAE127" w14:textId="59470D63" w:rsidR="003F528C" w:rsidRPr="00DA22B1" w:rsidRDefault="003F528C" w:rsidP="003F528C">
            <w:pPr>
              <w:jc w:val="both"/>
              <w:rPr>
                <w:sz w:val="22"/>
                <w:szCs w:val="22"/>
              </w:rPr>
            </w:pPr>
          </w:p>
        </w:tc>
      </w:tr>
      <w:tr w:rsidR="003F528C" w:rsidRPr="00DA22B1" w14:paraId="1E7F63E9" w14:textId="77777777" w:rsidTr="002E6DB8">
        <w:tc>
          <w:tcPr>
            <w:tcW w:w="828" w:type="dxa"/>
          </w:tcPr>
          <w:p w14:paraId="7424AE7E" w14:textId="77777777" w:rsidR="003F528C" w:rsidRPr="00DA22B1" w:rsidRDefault="003F528C" w:rsidP="003F528C">
            <w:pPr>
              <w:jc w:val="center"/>
              <w:rPr>
                <w:sz w:val="22"/>
                <w:szCs w:val="22"/>
              </w:rPr>
            </w:pPr>
          </w:p>
        </w:tc>
        <w:tc>
          <w:tcPr>
            <w:tcW w:w="9360" w:type="dxa"/>
          </w:tcPr>
          <w:p w14:paraId="3E471E0C" w14:textId="77777777" w:rsidR="003F528C" w:rsidRPr="00DA22B1" w:rsidRDefault="003F528C" w:rsidP="003F528C">
            <w:pPr>
              <w:autoSpaceDE w:val="0"/>
              <w:autoSpaceDN w:val="0"/>
              <w:adjustRightInd w:val="0"/>
              <w:ind w:firstLine="45"/>
              <w:jc w:val="both"/>
              <w:rPr>
                <w:b/>
                <w:sz w:val="22"/>
                <w:szCs w:val="22"/>
              </w:rPr>
            </w:pPr>
            <w:r w:rsidRPr="00DA22B1">
              <w:rPr>
                <w:b/>
                <w:sz w:val="22"/>
                <w:szCs w:val="22"/>
              </w:rPr>
              <w:t>учтено частично</w:t>
            </w:r>
          </w:p>
        </w:tc>
        <w:tc>
          <w:tcPr>
            <w:tcW w:w="2111" w:type="dxa"/>
          </w:tcPr>
          <w:p w14:paraId="49587904" w14:textId="35251435" w:rsidR="003F528C" w:rsidRPr="00DA22B1" w:rsidRDefault="00DA22B1" w:rsidP="003F528C">
            <w:pPr>
              <w:jc w:val="center"/>
              <w:rPr>
                <w:b/>
                <w:i/>
                <w:sz w:val="22"/>
                <w:szCs w:val="22"/>
              </w:rPr>
            </w:pPr>
            <w:r w:rsidRPr="00DA22B1">
              <w:rPr>
                <w:b/>
                <w:i/>
                <w:sz w:val="22"/>
                <w:szCs w:val="22"/>
                <w:lang w:val="en-US"/>
              </w:rPr>
              <w:t>2</w:t>
            </w:r>
            <w:r w:rsidR="003F528C" w:rsidRPr="00DA22B1">
              <w:rPr>
                <w:b/>
                <w:i/>
                <w:sz w:val="22"/>
                <w:szCs w:val="22"/>
              </w:rPr>
              <w:t xml:space="preserve"> (</w:t>
            </w:r>
            <w:r w:rsidRPr="00DA22B1">
              <w:rPr>
                <w:b/>
                <w:i/>
                <w:sz w:val="22"/>
                <w:szCs w:val="22"/>
                <w:lang w:val="en-US"/>
              </w:rPr>
              <w:t>14.3</w:t>
            </w:r>
            <w:r w:rsidR="003F528C" w:rsidRPr="00DA22B1">
              <w:rPr>
                <w:b/>
                <w:i/>
                <w:sz w:val="22"/>
                <w:szCs w:val="22"/>
              </w:rPr>
              <w:t>%)</w:t>
            </w:r>
          </w:p>
        </w:tc>
        <w:tc>
          <w:tcPr>
            <w:tcW w:w="3274" w:type="dxa"/>
          </w:tcPr>
          <w:p w14:paraId="6227734E" w14:textId="6BF548C6" w:rsidR="003F528C" w:rsidRPr="00DA22B1" w:rsidRDefault="003F528C" w:rsidP="003F528C">
            <w:pPr>
              <w:jc w:val="both"/>
              <w:rPr>
                <w:sz w:val="22"/>
                <w:szCs w:val="22"/>
              </w:rPr>
            </w:pPr>
          </w:p>
        </w:tc>
      </w:tr>
      <w:tr w:rsidR="003F528C" w:rsidRPr="00C709A3" w14:paraId="664A7E46" w14:textId="77777777" w:rsidTr="002E6DB8">
        <w:tc>
          <w:tcPr>
            <w:tcW w:w="828" w:type="dxa"/>
          </w:tcPr>
          <w:p w14:paraId="18289CB1" w14:textId="77777777" w:rsidR="003F528C" w:rsidRPr="00DA22B1" w:rsidRDefault="003F528C" w:rsidP="003F528C">
            <w:pPr>
              <w:jc w:val="center"/>
              <w:rPr>
                <w:sz w:val="22"/>
                <w:szCs w:val="22"/>
              </w:rPr>
            </w:pPr>
          </w:p>
        </w:tc>
        <w:tc>
          <w:tcPr>
            <w:tcW w:w="9360" w:type="dxa"/>
          </w:tcPr>
          <w:p w14:paraId="690FEADF" w14:textId="77777777" w:rsidR="003F528C" w:rsidRPr="00DA22B1" w:rsidRDefault="003F528C" w:rsidP="003F528C">
            <w:pPr>
              <w:autoSpaceDE w:val="0"/>
              <w:autoSpaceDN w:val="0"/>
              <w:adjustRightInd w:val="0"/>
              <w:ind w:firstLine="45"/>
              <w:jc w:val="both"/>
              <w:rPr>
                <w:b/>
                <w:sz w:val="22"/>
                <w:szCs w:val="22"/>
              </w:rPr>
            </w:pPr>
            <w:r w:rsidRPr="00DA22B1">
              <w:rPr>
                <w:b/>
                <w:sz w:val="22"/>
                <w:szCs w:val="22"/>
              </w:rPr>
              <w:t xml:space="preserve">не учтено </w:t>
            </w:r>
          </w:p>
        </w:tc>
        <w:tc>
          <w:tcPr>
            <w:tcW w:w="2111" w:type="dxa"/>
          </w:tcPr>
          <w:p w14:paraId="22B24C2C" w14:textId="21D7C544" w:rsidR="003F528C" w:rsidRPr="00DA22B1" w:rsidRDefault="00DA22B1" w:rsidP="003F528C">
            <w:pPr>
              <w:jc w:val="center"/>
              <w:rPr>
                <w:b/>
                <w:i/>
                <w:sz w:val="22"/>
                <w:szCs w:val="22"/>
              </w:rPr>
            </w:pPr>
            <w:r w:rsidRPr="00DA22B1">
              <w:rPr>
                <w:b/>
                <w:i/>
                <w:sz w:val="22"/>
                <w:szCs w:val="22"/>
                <w:lang w:val="en-US"/>
              </w:rPr>
              <w:t>1</w:t>
            </w:r>
            <w:r w:rsidR="003F528C" w:rsidRPr="00DA22B1">
              <w:rPr>
                <w:b/>
                <w:i/>
                <w:sz w:val="22"/>
                <w:szCs w:val="22"/>
              </w:rPr>
              <w:t xml:space="preserve"> (</w:t>
            </w:r>
            <w:r w:rsidRPr="00DA22B1">
              <w:rPr>
                <w:b/>
                <w:i/>
                <w:sz w:val="22"/>
                <w:szCs w:val="22"/>
                <w:lang w:val="en-US"/>
              </w:rPr>
              <w:t>7.1</w:t>
            </w:r>
            <w:r w:rsidR="003F528C" w:rsidRPr="00DA22B1">
              <w:rPr>
                <w:b/>
                <w:i/>
                <w:sz w:val="22"/>
                <w:szCs w:val="22"/>
              </w:rPr>
              <w:t>%)</w:t>
            </w:r>
          </w:p>
        </w:tc>
        <w:tc>
          <w:tcPr>
            <w:tcW w:w="3274" w:type="dxa"/>
          </w:tcPr>
          <w:p w14:paraId="2D2101B0" w14:textId="3BF5C00D" w:rsidR="003F528C" w:rsidRPr="00B912B2" w:rsidRDefault="003F528C" w:rsidP="003F528C">
            <w:pPr>
              <w:jc w:val="both"/>
              <w:rPr>
                <w:sz w:val="22"/>
                <w:szCs w:val="22"/>
              </w:rPr>
            </w:pPr>
          </w:p>
        </w:tc>
      </w:tr>
    </w:tbl>
    <w:p w14:paraId="52DB2C41" w14:textId="77777777" w:rsidR="00D64DAB" w:rsidRDefault="00D64DAB" w:rsidP="00D64DAB"/>
    <w:p w14:paraId="3D3D97E0" w14:textId="77777777" w:rsidR="00684200" w:rsidRPr="001B1165" w:rsidRDefault="00D64DAB" w:rsidP="00D64DAB">
      <w:pPr>
        <w:pStyle w:val="a3"/>
        <w:outlineLvl w:val="0"/>
        <w:rPr>
          <w:b/>
          <w:sz w:val="22"/>
          <w:szCs w:val="22"/>
        </w:rPr>
      </w:pPr>
      <w:r w:rsidRPr="001B1165">
        <w:rPr>
          <w:b/>
          <w:sz w:val="22"/>
          <w:szCs w:val="22"/>
        </w:rPr>
        <w:t xml:space="preserve">Заместитель председателя </w:t>
      </w:r>
    </w:p>
    <w:p w14:paraId="7EF8332E" w14:textId="77777777" w:rsidR="00684200" w:rsidRPr="001B1165" w:rsidRDefault="00D64DAB" w:rsidP="00D64DAB">
      <w:pPr>
        <w:pStyle w:val="a3"/>
        <w:outlineLvl w:val="0"/>
        <w:rPr>
          <w:b/>
          <w:sz w:val="22"/>
          <w:szCs w:val="22"/>
        </w:rPr>
      </w:pPr>
      <w:r w:rsidRPr="001B1165">
        <w:rPr>
          <w:b/>
          <w:sz w:val="22"/>
          <w:szCs w:val="22"/>
        </w:rPr>
        <w:t xml:space="preserve">контрольно-счетной палаты </w:t>
      </w:r>
    </w:p>
    <w:p w14:paraId="12D05E81" w14:textId="77777777" w:rsidR="00D64DAB" w:rsidRPr="001B1165" w:rsidRDefault="00D64DAB" w:rsidP="00D64DAB">
      <w:pPr>
        <w:pStyle w:val="a3"/>
        <w:outlineLvl w:val="0"/>
        <w:rPr>
          <w:b/>
          <w:sz w:val="22"/>
          <w:szCs w:val="22"/>
        </w:rPr>
      </w:pPr>
      <w:r w:rsidRPr="001B1165">
        <w:rPr>
          <w:b/>
          <w:sz w:val="22"/>
          <w:szCs w:val="22"/>
        </w:rPr>
        <w:t>Волгоградской области</w:t>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r>
      <w:r w:rsidRPr="001B1165">
        <w:rPr>
          <w:b/>
          <w:sz w:val="22"/>
          <w:szCs w:val="22"/>
        </w:rPr>
        <w:tab/>
        <w:t>Л.М. Горгоцкая</w:t>
      </w:r>
    </w:p>
    <w:sectPr w:rsidR="00D64DAB" w:rsidRPr="001B1165" w:rsidSect="00433B63">
      <w:headerReference w:type="even" r:id="rId8"/>
      <w:headerReference w:type="default" r:id="rId9"/>
      <w:headerReference w:type="first" r:id="rId10"/>
      <w:pgSz w:w="16838" w:h="11906" w:orient="landscape"/>
      <w:pgMar w:top="1276" w:right="641" w:bottom="113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2FBD0" w14:textId="77777777" w:rsidR="00376BE8" w:rsidRDefault="00376BE8">
      <w:r>
        <w:separator/>
      </w:r>
    </w:p>
  </w:endnote>
  <w:endnote w:type="continuationSeparator" w:id="0">
    <w:p w14:paraId="50F330A4" w14:textId="77777777" w:rsidR="00376BE8" w:rsidRDefault="0037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mplified Arabic">
    <w:charset w:val="B2"/>
    <w:family w:val="roman"/>
    <w:pitch w:val="variable"/>
    <w:sig w:usb0="00002003" w:usb1="80000000"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ACC80" w14:textId="77777777" w:rsidR="00376BE8" w:rsidRDefault="00376BE8">
      <w:r>
        <w:separator/>
      </w:r>
    </w:p>
  </w:footnote>
  <w:footnote w:type="continuationSeparator" w:id="0">
    <w:p w14:paraId="3EEE2C9F" w14:textId="77777777" w:rsidR="00376BE8" w:rsidRDefault="00376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0A9A1" w14:textId="77777777" w:rsidR="00607606" w:rsidRDefault="001A3FE4" w:rsidP="007D22B4">
    <w:pPr>
      <w:pStyle w:val="a7"/>
      <w:framePr w:wrap="around" w:vAnchor="text" w:hAnchor="margin" w:xAlign="center" w:y="1"/>
      <w:rPr>
        <w:rStyle w:val="a8"/>
      </w:rPr>
    </w:pPr>
    <w:r>
      <w:rPr>
        <w:rStyle w:val="a8"/>
      </w:rPr>
      <w:fldChar w:fldCharType="begin"/>
    </w:r>
    <w:r w:rsidR="00607606">
      <w:rPr>
        <w:rStyle w:val="a8"/>
      </w:rPr>
      <w:instrText xml:space="preserve">PAGE  </w:instrText>
    </w:r>
    <w:r>
      <w:rPr>
        <w:rStyle w:val="a8"/>
      </w:rPr>
      <w:fldChar w:fldCharType="end"/>
    </w:r>
  </w:p>
  <w:p w14:paraId="58F88025" w14:textId="77777777" w:rsidR="00607606" w:rsidRDefault="0060760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7553836"/>
      <w:docPartObj>
        <w:docPartGallery w:val="Page Numbers (Margins)"/>
        <w:docPartUnique/>
      </w:docPartObj>
    </w:sdtPr>
    <w:sdtEndPr/>
    <w:sdtContent>
      <w:p w14:paraId="671B2D0D" w14:textId="6D972183" w:rsidR="00E3747D" w:rsidRDefault="00376BE8">
        <w:pPr>
          <w:pStyle w:val="a7"/>
        </w:pPr>
        <w:r>
          <w:pict w14:anchorId="18FA3C44">
            <v:rect id="_x0000_s2052" style="position:absolute;margin-left:0;margin-top:0;width:57.3pt;height:25.95pt;z-index:251661312;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" o:allowincell="f" stroked="f">
              <v:textbox style="mso-next-textbox:#_x0000_s2052">
                <w:txbxContent>
                  <w:p w14:paraId="52E6C9A7" w14:textId="77777777" w:rsidR="00E3747D" w:rsidRDefault="00E3747D" w:rsidP="00E3747D">
                    <w:pPr>
                      <w:pBdr>
                        <w:bottom w:val="single" w:sz="4" w:space="1" w:color="auto"/>
                      </w:pBdr>
                      <w:jc w:val="center"/>
                    </w:pPr>
                    <w:r>
                      <w:fldChar w:fldCharType="begin"/>
                    </w:r>
                    <w:r>
                      <w:instrText>PAGE   \* MERGEFORMAT</w:instrText>
                    </w:r>
                    <w:r>
                      <w:fldChar w:fldCharType="separate"/>
                    </w:r>
                    <w:r>
                      <w:t>2</w:t>
                    </w:r>
                    <w:r>
                      <w:fldChar w:fldCharType="end"/>
                    </w:r>
                  </w:p>
                </w:txbxContent>
              </v:textbox>
              <w10:wrap anchorx="margin" anchory="margin"/>
            </v:rect>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331491"/>
      <w:docPartObj>
        <w:docPartGallery w:val="Page Numbers (Margins)"/>
        <w:docPartUnique/>
      </w:docPartObj>
    </w:sdtPr>
    <w:sdtEndPr/>
    <w:sdtContent>
      <w:p w14:paraId="7DF6F2D6" w14:textId="5EC1A31E" w:rsidR="00207CB9" w:rsidRDefault="00376BE8">
        <w:pPr>
          <w:pStyle w:val="a7"/>
        </w:pPr>
        <w:r>
          <w:pict w14:anchorId="6E819CF4">
            <v:rect id="Rectangle 4" o:spid="_x0000_s2050" style="position:absolute;margin-left:0;margin-top:0;width:57.3pt;height:25.95pt;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" o:allowincell="f" stroked="f">
              <v:textbox style="mso-next-textbox:#Rectangle 4">
                <w:txbxContent>
                  <w:p w14:paraId="7D6F27EF" w14:textId="77777777" w:rsidR="00207CB9" w:rsidRDefault="00207CB9">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52244"/>
    <w:multiLevelType w:val="hybridMultilevel"/>
    <w:tmpl w:val="A48039E0"/>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E257AD"/>
    <w:multiLevelType w:val="hybridMultilevel"/>
    <w:tmpl w:val="BC64F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6F7025"/>
    <w:multiLevelType w:val="hybridMultilevel"/>
    <w:tmpl w:val="1E703090"/>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F44516"/>
    <w:multiLevelType w:val="hybridMultilevel"/>
    <w:tmpl w:val="90EE8BEE"/>
    <w:lvl w:ilvl="0" w:tplc="F692BFA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0C85133"/>
    <w:multiLevelType w:val="hybridMultilevel"/>
    <w:tmpl w:val="8F96E6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2B064B5"/>
    <w:multiLevelType w:val="hybridMultilevel"/>
    <w:tmpl w:val="792E4B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59746B3"/>
    <w:multiLevelType w:val="hybridMultilevel"/>
    <w:tmpl w:val="08E8F68E"/>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C207EC"/>
    <w:multiLevelType w:val="hybridMultilevel"/>
    <w:tmpl w:val="22322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D13A77"/>
    <w:multiLevelType w:val="hybridMultilevel"/>
    <w:tmpl w:val="2F46EE0A"/>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9F6588"/>
    <w:multiLevelType w:val="hybridMultilevel"/>
    <w:tmpl w:val="C2527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5A3FAD"/>
    <w:multiLevelType w:val="multilevel"/>
    <w:tmpl w:val="0419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441FEE"/>
    <w:multiLevelType w:val="hybridMultilevel"/>
    <w:tmpl w:val="3984D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300CDC"/>
    <w:multiLevelType w:val="hybridMultilevel"/>
    <w:tmpl w:val="F58807EA"/>
    <w:lvl w:ilvl="0" w:tplc="04190001">
      <w:start w:val="1"/>
      <w:numFmt w:val="bullet"/>
      <w:lvlText w:val=""/>
      <w:lvlJc w:val="left"/>
      <w:pPr>
        <w:ind w:left="1026" w:hanging="360"/>
      </w:pPr>
      <w:rPr>
        <w:rFonts w:ascii="Symbol" w:hAnsi="Symbol" w:hint="default"/>
      </w:rPr>
    </w:lvl>
    <w:lvl w:ilvl="1" w:tplc="04190003" w:tentative="1">
      <w:start w:val="1"/>
      <w:numFmt w:val="bullet"/>
      <w:lvlText w:val="o"/>
      <w:lvlJc w:val="left"/>
      <w:pPr>
        <w:ind w:left="1746" w:hanging="360"/>
      </w:pPr>
      <w:rPr>
        <w:rFonts w:ascii="Courier New" w:hAnsi="Courier New" w:cs="Courier New" w:hint="default"/>
      </w:rPr>
    </w:lvl>
    <w:lvl w:ilvl="2" w:tplc="04190005" w:tentative="1">
      <w:start w:val="1"/>
      <w:numFmt w:val="bullet"/>
      <w:lvlText w:val=""/>
      <w:lvlJc w:val="left"/>
      <w:pPr>
        <w:ind w:left="2466" w:hanging="360"/>
      </w:pPr>
      <w:rPr>
        <w:rFonts w:ascii="Wingdings" w:hAnsi="Wingdings" w:hint="default"/>
      </w:rPr>
    </w:lvl>
    <w:lvl w:ilvl="3" w:tplc="04190001" w:tentative="1">
      <w:start w:val="1"/>
      <w:numFmt w:val="bullet"/>
      <w:lvlText w:val=""/>
      <w:lvlJc w:val="left"/>
      <w:pPr>
        <w:ind w:left="3186" w:hanging="360"/>
      </w:pPr>
      <w:rPr>
        <w:rFonts w:ascii="Symbol" w:hAnsi="Symbol" w:hint="default"/>
      </w:rPr>
    </w:lvl>
    <w:lvl w:ilvl="4" w:tplc="04190003" w:tentative="1">
      <w:start w:val="1"/>
      <w:numFmt w:val="bullet"/>
      <w:lvlText w:val="o"/>
      <w:lvlJc w:val="left"/>
      <w:pPr>
        <w:ind w:left="3906" w:hanging="360"/>
      </w:pPr>
      <w:rPr>
        <w:rFonts w:ascii="Courier New" w:hAnsi="Courier New" w:cs="Courier New" w:hint="default"/>
      </w:rPr>
    </w:lvl>
    <w:lvl w:ilvl="5" w:tplc="04190005" w:tentative="1">
      <w:start w:val="1"/>
      <w:numFmt w:val="bullet"/>
      <w:lvlText w:val=""/>
      <w:lvlJc w:val="left"/>
      <w:pPr>
        <w:ind w:left="4626" w:hanging="360"/>
      </w:pPr>
      <w:rPr>
        <w:rFonts w:ascii="Wingdings" w:hAnsi="Wingdings" w:hint="default"/>
      </w:rPr>
    </w:lvl>
    <w:lvl w:ilvl="6" w:tplc="04190001" w:tentative="1">
      <w:start w:val="1"/>
      <w:numFmt w:val="bullet"/>
      <w:lvlText w:val=""/>
      <w:lvlJc w:val="left"/>
      <w:pPr>
        <w:ind w:left="5346" w:hanging="360"/>
      </w:pPr>
      <w:rPr>
        <w:rFonts w:ascii="Symbol" w:hAnsi="Symbol" w:hint="default"/>
      </w:rPr>
    </w:lvl>
    <w:lvl w:ilvl="7" w:tplc="04190003" w:tentative="1">
      <w:start w:val="1"/>
      <w:numFmt w:val="bullet"/>
      <w:lvlText w:val="o"/>
      <w:lvlJc w:val="left"/>
      <w:pPr>
        <w:ind w:left="6066" w:hanging="360"/>
      </w:pPr>
      <w:rPr>
        <w:rFonts w:ascii="Courier New" w:hAnsi="Courier New" w:cs="Courier New" w:hint="default"/>
      </w:rPr>
    </w:lvl>
    <w:lvl w:ilvl="8" w:tplc="04190005" w:tentative="1">
      <w:start w:val="1"/>
      <w:numFmt w:val="bullet"/>
      <w:lvlText w:val=""/>
      <w:lvlJc w:val="left"/>
      <w:pPr>
        <w:ind w:left="6786" w:hanging="360"/>
      </w:pPr>
      <w:rPr>
        <w:rFonts w:ascii="Wingdings" w:hAnsi="Wingdings" w:hint="default"/>
      </w:rPr>
    </w:lvl>
  </w:abstractNum>
  <w:abstractNum w:abstractNumId="13" w15:restartNumberingAfterBreak="0">
    <w:nsid w:val="60E15ACA"/>
    <w:multiLevelType w:val="hybridMultilevel"/>
    <w:tmpl w:val="1C36CB98"/>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1996741"/>
    <w:multiLevelType w:val="hybridMultilevel"/>
    <w:tmpl w:val="49827C9C"/>
    <w:lvl w:ilvl="0" w:tplc="588EA9B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123612"/>
    <w:multiLevelType w:val="hybridMultilevel"/>
    <w:tmpl w:val="818AFB5C"/>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FDD3845"/>
    <w:multiLevelType w:val="hybridMultilevel"/>
    <w:tmpl w:val="44FE3FF6"/>
    <w:lvl w:ilvl="0" w:tplc="B2A02120">
      <w:start w:val="1"/>
      <w:numFmt w:val="bullet"/>
      <w:lvlText w:val="-"/>
      <w:lvlJc w:val="left"/>
      <w:pPr>
        <w:ind w:left="720" w:hanging="360"/>
      </w:pPr>
      <w:rPr>
        <w:rFonts w:ascii="Simplified Arabic" w:hAnsi="Simplified Arabic"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3E1535"/>
    <w:multiLevelType w:val="hybridMultilevel"/>
    <w:tmpl w:val="84A8A5DC"/>
    <w:lvl w:ilvl="0" w:tplc="F692BF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381289"/>
    <w:multiLevelType w:val="hybridMultilevel"/>
    <w:tmpl w:val="80FCBF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8"/>
  </w:num>
  <w:num w:numId="2">
    <w:abstractNumId w:val="14"/>
  </w:num>
  <w:num w:numId="3">
    <w:abstractNumId w:val="12"/>
  </w:num>
  <w:num w:numId="4">
    <w:abstractNumId w:val="0"/>
  </w:num>
  <w:num w:numId="5">
    <w:abstractNumId w:val="6"/>
  </w:num>
  <w:num w:numId="6">
    <w:abstractNumId w:val="16"/>
  </w:num>
  <w:num w:numId="7">
    <w:abstractNumId w:val="10"/>
  </w:num>
  <w:num w:numId="8">
    <w:abstractNumId w:val="9"/>
  </w:num>
  <w:num w:numId="9">
    <w:abstractNumId w:val="13"/>
  </w:num>
  <w:num w:numId="10">
    <w:abstractNumId w:val="17"/>
  </w:num>
  <w:num w:numId="11">
    <w:abstractNumId w:val="15"/>
  </w:num>
  <w:num w:numId="12">
    <w:abstractNumId w:val="8"/>
  </w:num>
  <w:num w:numId="13">
    <w:abstractNumId w:val="4"/>
  </w:num>
  <w:num w:numId="14">
    <w:abstractNumId w:val="11"/>
  </w:num>
  <w:num w:numId="15">
    <w:abstractNumId w:val="3"/>
  </w:num>
  <w:num w:numId="16">
    <w:abstractNumId w:val="5"/>
  </w:num>
  <w:num w:numId="17">
    <w:abstractNumId w:val="7"/>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4DAB"/>
    <w:rsid w:val="000013FA"/>
    <w:rsid w:val="0000355B"/>
    <w:rsid w:val="000050EC"/>
    <w:rsid w:val="000057ED"/>
    <w:rsid w:val="000112B6"/>
    <w:rsid w:val="00012D80"/>
    <w:rsid w:val="0001491C"/>
    <w:rsid w:val="000163AE"/>
    <w:rsid w:val="00021ABB"/>
    <w:rsid w:val="000221A3"/>
    <w:rsid w:val="00022633"/>
    <w:rsid w:val="00024475"/>
    <w:rsid w:val="00030673"/>
    <w:rsid w:val="00030F06"/>
    <w:rsid w:val="0003340F"/>
    <w:rsid w:val="00034907"/>
    <w:rsid w:val="0003504A"/>
    <w:rsid w:val="000403AB"/>
    <w:rsid w:val="00041FB0"/>
    <w:rsid w:val="000423CA"/>
    <w:rsid w:val="00060086"/>
    <w:rsid w:val="00063C5E"/>
    <w:rsid w:val="00067DF2"/>
    <w:rsid w:val="00070DA8"/>
    <w:rsid w:val="00071A99"/>
    <w:rsid w:val="00071DD5"/>
    <w:rsid w:val="00073409"/>
    <w:rsid w:val="00077C97"/>
    <w:rsid w:val="0008016A"/>
    <w:rsid w:val="0009186C"/>
    <w:rsid w:val="0009398B"/>
    <w:rsid w:val="000956D4"/>
    <w:rsid w:val="000A0D17"/>
    <w:rsid w:val="000A152B"/>
    <w:rsid w:val="000A2EF5"/>
    <w:rsid w:val="000A3C57"/>
    <w:rsid w:val="000A5A78"/>
    <w:rsid w:val="000B1F22"/>
    <w:rsid w:val="000B72E2"/>
    <w:rsid w:val="000B7ECE"/>
    <w:rsid w:val="000C228E"/>
    <w:rsid w:val="000D003D"/>
    <w:rsid w:val="000D19CF"/>
    <w:rsid w:val="000D47AF"/>
    <w:rsid w:val="000D7E42"/>
    <w:rsid w:val="000E1A55"/>
    <w:rsid w:val="000E5EFA"/>
    <w:rsid w:val="000E70FC"/>
    <w:rsid w:val="000F03E2"/>
    <w:rsid w:val="00103919"/>
    <w:rsid w:val="00110EC0"/>
    <w:rsid w:val="00110F92"/>
    <w:rsid w:val="00113637"/>
    <w:rsid w:val="00116DD4"/>
    <w:rsid w:val="00117CD5"/>
    <w:rsid w:val="00120098"/>
    <w:rsid w:val="00121EC6"/>
    <w:rsid w:val="001245DB"/>
    <w:rsid w:val="001339C7"/>
    <w:rsid w:val="00133A16"/>
    <w:rsid w:val="00133CA3"/>
    <w:rsid w:val="0013508A"/>
    <w:rsid w:val="00141447"/>
    <w:rsid w:val="0014726D"/>
    <w:rsid w:val="00150305"/>
    <w:rsid w:val="0015102D"/>
    <w:rsid w:val="001511AA"/>
    <w:rsid w:val="001579F0"/>
    <w:rsid w:val="0016034E"/>
    <w:rsid w:val="00161DE3"/>
    <w:rsid w:val="00161E4F"/>
    <w:rsid w:val="00164011"/>
    <w:rsid w:val="00180D7E"/>
    <w:rsid w:val="00182570"/>
    <w:rsid w:val="00184E20"/>
    <w:rsid w:val="00186910"/>
    <w:rsid w:val="00187231"/>
    <w:rsid w:val="00191801"/>
    <w:rsid w:val="0019446B"/>
    <w:rsid w:val="001A3FE4"/>
    <w:rsid w:val="001A4751"/>
    <w:rsid w:val="001B0AC6"/>
    <w:rsid w:val="001B1165"/>
    <w:rsid w:val="001B1DAC"/>
    <w:rsid w:val="001B2DA6"/>
    <w:rsid w:val="001B3F98"/>
    <w:rsid w:val="001B5B43"/>
    <w:rsid w:val="001B670F"/>
    <w:rsid w:val="001B7877"/>
    <w:rsid w:val="001C2306"/>
    <w:rsid w:val="001D2328"/>
    <w:rsid w:val="001E346E"/>
    <w:rsid w:val="001F0388"/>
    <w:rsid w:val="001F1399"/>
    <w:rsid w:val="001F3008"/>
    <w:rsid w:val="002042CD"/>
    <w:rsid w:val="00207CB9"/>
    <w:rsid w:val="00207FAA"/>
    <w:rsid w:val="002116FE"/>
    <w:rsid w:val="00212C19"/>
    <w:rsid w:val="00214C5C"/>
    <w:rsid w:val="0021520C"/>
    <w:rsid w:val="002279C6"/>
    <w:rsid w:val="00237237"/>
    <w:rsid w:val="00242C85"/>
    <w:rsid w:val="002448BC"/>
    <w:rsid w:val="00244D78"/>
    <w:rsid w:val="0024509C"/>
    <w:rsid w:val="00245B1A"/>
    <w:rsid w:val="0024619C"/>
    <w:rsid w:val="00246BCC"/>
    <w:rsid w:val="002513D0"/>
    <w:rsid w:val="0025266F"/>
    <w:rsid w:val="00261998"/>
    <w:rsid w:val="002642F4"/>
    <w:rsid w:val="00270374"/>
    <w:rsid w:val="00274CC4"/>
    <w:rsid w:val="002750CB"/>
    <w:rsid w:val="002755B1"/>
    <w:rsid w:val="00276E8E"/>
    <w:rsid w:val="002807F7"/>
    <w:rsid w:val="00286C45"/>
    <w:rsid w:val="002934F4"/>
    <w:rsid w:val="00293F2A"/>
    <w:rsid w:val="00294C5A"/>
    <w:rsid w:val="00297FBA"/>
    <w:rsid w:val="002A0B71"/>
    <w:rsid w:val="002A4F4D"/>
    <w:rsid w:val="002A78C8"/>
    <w:rsid w:val="002B146A"/>
    <w:rsid w:val="002B565A"/>
    <w:rsid w:val="002B7FC7"/>
    <w:rsid w:val="002C36A1"/>
    <w:rsid w:val="002C733C"/>
    <w:rsid w:val="002D1FC4"/>
    <w:rsid w:val="002D2B30"/>
    <w:rsid w:val="002D6936"/>
    <w:rsid w:val="002D7589"/>
    <w:rsid w:val="002D7A3E"/>
    <w:rsid w:val="002E519C"/>
    <w:rsid w:val="002E60A4"/>
    <w:rsid w:val="002E6DB8"/>
    <w:rsid w:val="002E70CA"/>
    <w:rsid w:val="002F1D2F"/>
    <w:rsid w:val="00300458"/>
    <w:rsid w:val="00304F9A"/>
    <w:rsid w:val="00307E44"/>
    <w:rsid w:val="00311400"/>
    <w:rsid w:val="003117E2"/>
    <w:rsid w:val="00313B82"/>
    <w:rsid w:val="003236CC"/>
    <w:rsid w:val="00323F72"/>
    <w:rsid w:val="00327150"/>
    <w:rsid w:val="00330711"/>
    <w:rsid w:val="00332339"/>
    <w:rsid w:val="00332D05"/>
    <w:rsid w:val="0033334B"/>
    <w:rsid w:val="003341AF"/>
    <w:rsid w:val="00335132"/>
    <w:rsid w:val="003357C7"/>
    <w:rsid w:val="00341A84"/>
    <w:rsid w:val="0034286E"/>
    <w:rsid w:val="00350471"/>
    <w:rsid w:val="00350BCB"/>
    <w:rsid w:val="00350CBB"/>
    <w:rsid w:val="00351D4C"/>
    <w:rsid w:val="00351EF9"/>
    <w:rsid w:val="00361F5B"/>
    <w:rsid w:val="003638CE"/>
    <w:rsid w:val="00363DD6"/>
    <w:rsid w:val="003643A0"/>
    <w:rsid w:val="00365309"/>
    <w:rsid w:val="003658B0"/>
    <w:rsid w:val="00372E5B"/>
    <w:rsid w:val="00372E9B"/>
    <w:rsid w:val="00373F26"/>
    <w:rsid w:val="003759D9"/>
    <w:rsid w:val="00376BE8"/>
    <w:rsid w:val="003806A4"/>
    <w:rsid w:val="00383B36"/>
    <w:rsid w:val="00383F45"/>
    <w:rsid w:val="00384281"/>
    <w:rsid w:val="00385931"/>
    <w:rsid w:val="0038787E"/>
    <w:rsid w:val="00387AE1"/>
    <w:rsid w:val="00387BB1"/>
    <w:rsid w:val="00392431"/>
    <w:rsid w:val="00395ACE"/>
    <w:rsid w:val="00397262"/>
    <w:rsid w:val="003A01EA"/>
    <w:rsid w:val="003A0F7D"/>
    <w:rsid w:val="003A21AD"/>
    <w:rsid w:val="003A2297"/>
    <w:rsid w:val="003A2F4D"/>
    <w:rsid w:val="003B0EEF"/>
    <w:rsid w:val="003B3F16"/>
    <w:rsid w:val="003B6526"/>
    <w:rsid w:val="003C0F82"/>
    <w:rsid w:val="003C25E5"/>
    <w:rsid w:val="003C54F9"/>
    <w:rsid w:val="003C6453"/>
    <w:rsid w:val="003D2424"/>
    <w:rsid w:val="003D3A52"/>
    <w:rsid w:val="003D46A4"/>
    <w:rsid w:val="003D56A2"/>
    <w:rsid w:val="003E351B"/>
    <w:rsid w:val="003E6F27"/>
    <w:rsid w:val="003E7329"/>
    <w:rsid w:val="003F3E35"/>
    <w:rsid w:val="003F528C"/>
    <w:rsid w:val="003F6B04"/>
    <w:rsid w:val="00406413"/>
    <w:rsid w:val="0041141D"/>
    <w:rsid w:val="00412262"/>
    <w:rsid w:val="0042108E"/>
    <w:rsid w:val="00423980"/>
    <w:rsid w:val="00425AB7"/>
    <w:rsid w:val="00431BA0"/>
    <w:rsid w:val="00433B63"/>
    <w:rsid w:val="004371DC"/>
    <w:rsid w:val="0043780B"/>
    <w:rsid w:val="00437EFE"/>
    <w:rsid w:val="004408D6"/>
    <w:rsid w:val="00443328"/>
    <w:rsid w:val="00443811"/>
    <w:rsid w:val="00450A18"/>
    <w:rsid w:val="004568D4"/>
    <w:rsid w:val="0046051C"/>
    <w:rsid w:val="00463551"/>
    <w:rsid w:val="004706DA"/>
    <w:rsid w:val="0047444C"/>
    <w:rsid w:val="00474684"/>
    <w:rsid w:val="00480205"/>
    <w:rsid w:val="00480896"/>
    <w:rsid w:val="0048154C"/>
    <w:rsid w:val="00483222"/>
    <w:rsid w:val="00497B6D"/>
    <w:rsid w:val="004A30CF"/>
    <w:rsid w:val="004A546B"/>
    <w:rsid w:val="004A5C88"/>
    <w:rsid w:val="004B10E5"/>
    <w:rsid w:val="004B268D"/>
    <w:rsid w:val="004B371E"/>
    <w:rsid w:val="004B3FB6"/>
    <w:rsid w:val="004B7D0C"/>
    <w:rsid w:val="004E3059"/>
    <w:rsid w:val="004E525A"/>
    <w:rsid w:val="004F634B"/>
    <w:rsid w:val="005016E4"/>
    <w:rsid w:val="005019A0"/>
    <w:rsid w:val="00502ECC"/>
    <w:rsid w:val="00503E52"/>
    <w:rsid w:val="00511456"/>
    <w:rsid w:val="00512A2C"/>
    <w:rsid w:val="0051787B"/>
    <w:rsid w:val="0052265A"/>
    <w:rsid w:val="00530530"/>
    <w:rsid w:val="005345C8"/>
    <w:rsid w:val="005373E8"/>
    <w:rsid w:val="00545951"/>
    <w:rsid w:val="0054611A"/>
    <w:rsid w:val="0054695F"/>
    <w:rsid w:val="00554780"/>
    <w:rsid w:val="00555D0F"/>
    <w:rsid w:val="00557679"/>
    <w:rsid w:val="0056394B"/>
    <w:rsid w:val="00565CFF"/>
    <w:rsid w:val="005661E8"/>
    <w:rsid w:val="0056667A"/>
    <w:rsid w:val="00576A47"/>
    <w:rsid w:val="00577773"/>
    <w:rsid w:val="005870F4"/>
    <w:rsid w:val="005A2BB1"/>
    <w:rsid w:val="005A6F02"/>
    <w:rsid w:val="005A7068"/>
    <w:rsid w:val="005B3D00"/>
    <w:rsid w:val="005C247E"/>
    <w:rsid w:val="005C34D7"/>
    <w:rsid w:val="005C47C8"/>
    <w:rsid w:val="005C5C31"/>
    <w:rsid w:val="005C6DAB"/>
    <w:rsid w:val="005D238D"/>
    <w:rsid w:val="005D3C40"/>
    <w:rsid w:val="005D52EC"/>
    <w:rsid w:val="005D5734"/>
    <w:rsid w:val="005E5B41"/>
    <w:rsid w:val="005E74E9"/>
    <w:rsid w:val="005E77B2"/>
    <w:rsid w:val="005E78E8"/>
    <w:rsid w:val="005F30AA"/>
    <w:rsid w:val="005F72F7"/>
    <w:rsid w:val="00601920"/>
    <w:rsid w:val="00607606"/>
    <w:rsid w:val="00611994"/>
    <w:rsid w:val="00611EE0"/>
    <w:rsid w:val="00613A52"/>
    <w:rsid w:val="00617457"/>
    <w:rsid w:val="00620081"/>
    <w:rsid w:val="006206F6"/>
    <w:rsid w:val="00622E7B"/>
    <w:rsid w:val="00624512"/>
    <w:rsid w:val="006258E5"/>
    <w:rsid w:val="006270A6"/>
    <w:rsid w:val="00635EE6"/>
    <w:rsid w:val="006409C6"/>
    <w:rsid w:val="006430AD"/>
    <w:rsid w:val="00643B1D"/>
    <w:rsid w:val="00645665"/>
    <w:rsid w:val="006467A6"/>
    <w:rsid w:val="006470EB"/>
    <w:rsid w:val="006518DB"/>
    <w:rsid w:val="00652CE5"/>
    <w:rsid w:val="0065446F"/>
    <w:rsid w:val="00656511"/>
    <w:rsid w:val="006573AD"/>
    <w:rsid w:val="00661767"/>
    <w:rsid w:val="00661CC1"/>
    <w:rsid w:val="00661DC0"/>
    <w:rsid w:val="00665F58"/>
    <w:rsid w:val="00666DC5"/>
    <w:rsid w:val="0067448A"/>
    <w:rsid w:val="00681CAA"/>
    <w:rsid w:val="00684200"/>
    <w:rsid w:val="00684999"/>
    <w:rsid w:val="006851C6"/>
    <w:rsid w:val="006A0434"/>
    <w:rsid w:val="006A2DC8"/>
    <w:rsid w:val="006A4AAA"/>
    <w:rsid w:val="006A7605"/>
    <w:rsid w:val="006A79F6"/>
    <w:rsid w:val="006B21C9"/>
    <w:rsid w:val="006C2841"/>
    <w:rsid w:val="006C5997"/>
    <w:rsid w:val="006C768B"/>
    <w:rsid w:val="006D3606"/>
    <w:rsid w:val="006D5F9F"/>
    <w:rsid w:val="006E05B1"/>
    <w:rsid w:val="006E55EC"/>
    <w:rsid w:val="006E624E"/>
    <w:rsid w:val="006E6A7F"/>
    <w:rsid w:val="006E743F"/>
    <w:rsid w:val="006F0916"/>
    <w:rsid w:val="006F143B"/>
    <w:rsid w:val="006F222A"/>
    <w:rsid w:val="006F5316"/>
    <w:rsid w:val="006F68DF"/>
    <w:rsid w:val="00701816"/>
    <w:rsid w:val="00725019"/>
    <w:rsid w:val="00725E82"/>
    <w:rsid w:val="007264CB"/>
    <w:rsid w:val="00727431"/>
    <w:rsid w:val="00736E32"/>
    <w:rsid w:val="00737575"/>
    <w:rsid w:val="00741061"/>
    <w:rsid w:val="00741476"/>
    <w:rsid w:val="00742AB4"/>
    <w:rsid w:val="0074687A"/>
    <w:rsid w:val="0074736E"/>
    <w:rsid w:val="00753C88"/>
    <w:rsid w:val="00764B7D"/>
    <w:rsid w:val="00765827"/>
    <w:rsid w:val="0077026B"/>
    <w:rsid w:val="00774DAE"/>
    <w:rsid w:val="0078111D"/>
    <w:rsid w:val="00783F1A"/>
    <w:rsid w:val="00790363"/>
    <w:rsid w:val="0079761C"/>
    <w:rsid w:val="007A0859"/>
    <w:rsid w:val="007A6DF5"/>
    <w:rsid w:val="007A7319"/>
    <w:rsid w:val="007B03C3"/>
    <w:rsid w:val="007B2D7D"/>
    <w:rsid w:val="007B3B48"/>
    <w:rsid w:val="007B5A87"/>
    <w:rsid w:val="007C13F0"/>
    <w:rsid w:val="007C4119"/>
    <w:rsid w:val="007C511D"/>
    <w:rsid w:val="007C537E"/>
    <w:rsid w:val="007C7C88"/>
    <w:rsid w:val="007D07ED"/>
    <w:rsid w:val="007D1116"/>
    <w:rsid w:val="007D17A1"/>
    <w:rsid w:val="007D22B4"/>
    <w:rsid w:val="007D34F6"/>
    <w:rsid w:val="007D79EE"/>
    <w:rsid w:val="007E6145"/>
    <w:rsid w:val="007F1139"/>
    <w:rsid w:val="007F6E27"/>
    <w:rsid w:val="007F7F01"/>
    <w:rsid w:val="008017B8"/>
    <w:rsid w:val="00802283"/>
    <w:rsid w:val="00807633"/>
    <w:rsid w:val="00813E34"/>
    <w:rsid w:val="008157A5"/>
    <w:rsid w:val="00827BC4"/>
    <w:rsid w:val="0083012B"/>
    <w:rsid w:val="00836349"/>
    <w:rsid w:val="00842316"/>
    <w:rsid w:val="008423EC"/>
    <w:rsid w:val="008433A6"/>
    <w:rsid w:val="008456D2"/>
    <w:rsid w:val="008457F4"/>
    <w:rsid w:val="00846359"/>
    <w:rsid w:val="008510F7"/>
    <w:rsid w:val="0085615C"/>
    <w:rsid w:val="00860A97"/>
    <w:rsid w:val="0086283B"/>
    <w:rsid w:val="00872663"/>
    <w:rsid w:val="00874197"/>
    <w:rsid w:val="00875269"/>
    <w:rsid w:val="00880ED0"/>
    <w:rsid w:val="00883468"/>
    <w:rsid w:val="008844E1"/>
    <w:rsid w:val="00886A5D"/>
    <w:rsid w:val="008907FD"/>
    <w:rsid w:val="008A3402"/>
    <w:rsid w:val="008A4ECC"/>
    <w:rsid w:val="008B0DF7"/>
    <w:rsid w:val="008B16D1"/>
    <w:rsid w:val="008B2576"/>
    <w:rsid w:val="008B2AEB"/>
    <w:rsid w:val="008B5E31"/>
    <w:rsid w:val="008B6538"/>
    <w:rsid w:val="008D3DE8"/>
    <w:rsid w:val="008D4A5D"/>
    <w:rsid w:val="008D7B83"/>
    <w:rsid w:val="008E18BA"/>
    <w:rsid w:val="008E1CC7"/>
    <w:rsid w:val="008E1ECC"/>
    <w:rsid w:val="008E214D"/>
    <w:rsid w:val="008E3CCC"/>
    <w:rsid w:val="008E76CF"/>
    <w:rsid w:val="008F202E"/>
    <w:rsid w:val="008F6E31"/>
    <w:rsid w:val="00902871"/>
    <w:rsid w:val="009040A1"/>
    <w:rsid w:val="00911515"/>
    <w:rsid w:val="009126C5"/>
    <w:rsid w:val="00917922"/>
    <w:rsid w:val="00922390"/>
    <w:rsid w:val="00924A0F"/>
    <w:rsid w:val="00924C9E"/>
    <w:rsid w:val="009254F6"/>
    <w:rsid w:val="00926051"/>
    <w:rsid w:val="0092739D"/>
    <w:rsid w:val="0093714F"/>
    <w:rsid w:val="0093715B"/>
    <w:rsid w:val="00940053"/>
    <w:rsid w:val="00945720"/>
    <w:rsid w:val="00945D4F"/>
    <w:rsid w:val="00946EF1"/>
    <w:rsid w:val="00947D20"/>
    <w:rsid w:val="009511A6"/>
    <w:rsid w:val="00953443"/>
    <w:rsid w:val="00960933"/>
    <w:rsid w:val="00962E3F"/>
    <w:rsid w:val="00963892"/>
    <w:rsid w:val="00967663"/>
    <w:rsid w:val="009721C1"/>
    <w:rsid w:val="0097469E"/>
    <w:rsid w:val="00974797"/>
    <w:rsid w:val="0097716E"/>
    <w:rsid w:val="00990816"/>
    <w:rsid w:val="009915AA"/>
    <w:rsid w:val="009A5111"/>
    <w:rsid w:val="009B0464"/>
    <w:rsid w:val="009B3BA9"/>
    <w:rsid w:val="009B6A6D"/>
    <w:rsid w:val="009B78E1"/>
    <w:rsid w:val="009C0A7E"/>
    <w:rsid w:val="009C2B2D"/>
    <w:rsid w:val="009D228F"/>
    <w:rsid w:val="009D345E"/>
    <w:rsid w:val="009D4474"/>
    <w:rsid w:val="009D4EB2"/>
    <w:rsid w:val="009D5BF6"/>
    <w:rsid w:val="009D645E"/>
    <w:rsid w:val="009D657D"/>
    <w:rsid w:val="009D722D"/>
    <w:rsid w:val="009D737C"/>
    <w:rsid w:val="009D762E"/>
    <w:rsid w:val="009E1D41"/>
    <w:rsid w:val="009E39A9"/>
    <w:rsid w:val="009E4095"/>
    <w:rsid w:val="009E4818"/>
    <w:rsid w:val="009F1909"/>
    <w:rsid w:val="009F241D"/>
    <w:rsid w:val="009F3042"/>
    <w:rsid w:val="009F6846"/>
    <w:rsid w:val="009F7133"/>
    <w:rsid w:val="00A02710"/>
    <w:rsid w:val="00A06EEC"/>
    <w:rsid w:val="00A12399"/>
    <w:rsid w:val="00A1416D"/>
    <w:rsid w:val="00A14EC1"/>
    <w:rsid w:val="00A15B96"/>
    <w:rsid w:val="00A21341"/>
    <w:rsid w:val="00A23798"/>
    <w:rsid w:val="00A3090C"/>
    <w:rsid w:val="00A31553"/>
    <w:rsid w:val="00A3472F"/>
    <w:rsid w:val="00A37A13"/>
    <w:rsid w:val="00A37B75"/>
    <w:rsid w:val="00A40D7C"/>
    <w:rsid w:val="00A458B8"/>
    <w:rsid w:val="00A5159F"/>
    <w:rsid w:val="00A52015"/>
    <w:rsid w:val="00A560DC"/>
    <w:rsid w:val="00A576AC"/>
    <w:rsid w:val="00A60535"/>
    <w:rsid w:val="00A64AF3"/>
    <w:rsid w:val="00A72DF6"/>
    <w:rsid w:val="00A73DD0"/>
    <w:rsid w:val="00A773AF"/>
    <w:rsid w:val="00A80ED8"/>
    <w:rsid w:val="00A8542D"/>
    <w:rsid w:val="00A93C12"/>
    <w:rsid w:val="00AA1D49"/>
    <w:rsid w:val="00AA4158"/>
    <w:rsid w:val="00AB1362"/>
    <w:rsid w:val="00AB1CC5"/>
    <w:rsid w:val="00AC347D"/>
    <w:rsid w:val="00AD0E8C"/>
    <w:rsid w:val="00AD37C3"/>
    <w:rsid w:val="00AD566F"/>
    <w:rsid w:val="00AD6AEB"/>
    <w:rsid w:val="00AE110B"/>
    <w:rsid w:val="00AE18D6"/>
    <w:rsid w:val="00AE47C3"/>
    <w:rsid w:val="00AE483F"/>
    <w:rsid w:val="00AE7950"/>
    <w:rsid w:val="00AF2437"/>
    <w:rsid w:val="00AF377B"/>
    <w:rsid w:val="00AF4FAD"/>
    <w:rsid w:val="00AF7EA0"/>
    <w:rsid w:val="00B0180C"/>
    <w:rsid w:val="00B033A1"/>
    <w:rsid w:val="00B06454"/>
    <w:rsid w:val="00B1028B"/>
    <w:rsid w:val="00B11874"/>
    <w:rsid w:val="00B131CB"/>
    <w:rsid w:val="00B13999"/>
    <w:rsid w:val="00B15ACA"/>
    <w:rsid w:val="00B217DD"/>
    <w:rsid w:val="00B248FC"/>
    <w:rsid w:val="00B31883"/>
    <w:rsid w:val="00B340E9"/>
    <w:rsid w:val="00B42764"/>
    <w:rsid w:val="00B428D6"/>
    <w:rsid w:val="00B4450E"/>
    <w:rsid w:val="00B56658"/>
    <w:rsid w:val="00B570CC"/>
    <w:rsid w:val="00B70005"/>
    <w:rsid w:val="00B73C33"/>
    <w:rsid w:val="00B76657"/>
    <w:rsid w:val="00B86BF6"/>
    <w:rsid w:val="00B87C47"/>
    <w:rsid w:val="00B912B2"/>
    <w:rsid w:val="00B94FA9"/>
    <w:rsid w:val="00B954A7"/>
    <w:rsid w:val="00BA0521"/>
    <w:rsid w:val="00BA2B83"/>
    <w:rsid w:val="00BA51B7"/>
    <w:rsid w:val="00BA7D41"/>
    <w:rsid w:val="00BB2745"/>
    <w:rsid w:val="00BB6E42"/>
    <w:rsid w:val="00BC4DF8"/>
    <w:rsid w:val="00BD6EC2"/>
    <w:rsid w:val="00BD7844"/>
    <w:rsid w:val="00BE732A"/>
    <w:rsid w:val="00BF3615"/>
    <w:rsid w:val="00BF6493"/>
    <w:rsid w:val="00C012F8"/>
    <w:rsid w:val="00C02C3D"/>
    <w:rsid w:val="00C0457E"/>
    <w:rsid w:val="00C151FD"/>
    <w:rsid w:val="00C27A3E"/>
    <w:rsid w:val="00C27F12"/>
    <w:rsid w:val="00C33C57"/>
    <w:rsid w:val="00C35457"/>
    <w:rsid w:val="00C362A2"/>
    <w:rsid w:val="00C379A8"/>
    <w:rsid w:val="00C44B4C"/>
    <w:rsid w:val="00C47E0D"/>
    <w:rsid w:val="00C54EE5"/>
    <w:rsid w:val="00C56F6A"/>
    <w:rsid w:val="00C64F36"/>
    <w:rsid w:val="00C66889"/>
    <w:rsid w:val="00C6799A"/>
    <w:rsid w:val="00C709A3"/>
    <w:rsid w:val="00C724F4"/>
    <w:rsid w:val="00C73576"/>
    <w:rsid w:val="00C77A4C"/>
    <w:rsid w:val="00C84DFA"/>
    <w:rsid w:val="00C92A8F"/>
    <w:rsid w:val="00C9336F"/>
    <w:rsid w:val="00C97F7F"/>
    <w:rsid w:val="00CB04FB"/>
    <w:rsid w:val="00CB250E"/>
    <w:rsid w:val="00CC1A55"/>
    <w:rsid w:val="00CC5E13"/>
    <w:rsid w:val="00CD0D13"/>
    <w:rsid w:val="00CD36F8"/>
    <w:rsid w:val="00CD5AD7"/>
    <w:rsid w:val="00CF0437"/>
    <w:rsid w:val="00CF0850"/>
    <w:rsid w:val="00CF5608"/>
    <w:rsid w:val="00CF6395"/>
    <w:rsid w:val="00CF6D77"/>
    <w:rsid w:val="00CF784A"/>
    <w:rsid w:val="00D016B6"/>
    <w:rsid w:val="00D10E21"/>
    <w:rsid w:val="00D12EEF"/>
    <w:rsid w:val="00D17CE5"/>
    <w:rsid w:val="00D243DF"/>
    <w:rsid w:val="00D26225"/>
    <w:rsid w:val="00D31987"/>
    <w:rsid w:val="00D3750B"/>
    <w:rsid w:val="00D441FC"/>
    <w:rsid w:val="00D448A2"/>
    <w:rsid w:val="00D4642C"/>
    <w:rsid w:val="00D46773"/>
    <w:rsid w:val="00D47E7F"/>
    <w:rsid w:val="00D5513F"/>
    <w:rsid w:val="00D57947"/>
    <w:rsid w:val="00D61D18"/>
    <w:rsid w:val="00D64DAB"/>
    <w:rsid w:val="00D65069"/>
    <w:rsid w:val="00D67646"/>
    <w:rsid w:val="00D7125F"/>
    <w:rsid w:val="00D7256F"/>
    <w:rsid w:val="00D80548"/>
    <w:rsid w:val="00D806B3"/>
    <w:rsid w:val="00D83AD8"/>
    <w:rsid w:val="00D86F48"/>
    <w:rsid w:val="00D90F54"/>
    <w:rsid w:val="00D92834"/>
    <w:rsid w:val="00D93C96"/>
    <w:rsid w:val="00D93E7B"/>
    <w:rsid w:val="00D968C5"/>
    <w:rsid w:val="00DA22B1"/>
    <w:rsid w:val="00DA24AA"/>
    <w:rsid w:val="00DA46BD"/>
    <w:rsid w:val="00DA4864"/>
    <w:rsid w:val="00DA5A60"/>
    <w:rsid w:val="00DB2271"/>
    <w:rsid w:val="00DB3F5E"/>
    <w:rsid w:val="00DC0866"/>
    <w:rsid w:val="00DC21B6"/>
    <w:rsid w:val="00DC5E43"/>
    <w:rsid w:val="00DC5E7A"/>
    <w:rsid w:val="00DC6348"/>
    <w:rsid w:val="00DC7FC7"/>
    <w:rsid w:val="00DD1A71"/>
    <w:rsid w:val="00DD1CDB"/>
    <w:rsid w:val="00DE56C1"/>
    <w:rsid w:val="00DE6BAB"/>
    <w:rsid w:val="00DE6CBB"/>
    <w:rsid w:val="00DE6E66"/>
    <w:rsid w:val="00DF0EB9"/>
    <w:rsid w:val="00E03E7F"/>
    <w:rsid w:val="00E0433D"/>
    <w:rsid w:val="00E125FD"/>
    <w:rsid w:val="00E212ED"/>
    <w:rsid w:val="00E23F8B"/>
    <w:rsid w:val="00E247C7"/>
    <w:rsid w:val="00E27783"/>
    <w:rsid w:val="00E31933"/>
    <w:rsid w:val="00E31CFB"/>
    <w:rsid w:val="00E3245A"/>
    <w:rsid w:val="00E3747D"/>
    <w:rsid w:val="00E37EE5"/>
    <w:rsid w:val="00E453B3"/>
    <w:rsid w:val="00E455EB"/>
    <w:rsid w:val="00E5278F"/>
    <w:rsid w:val="00E6110D"/>
    <w:rsid w:val="00E62E5F"/>
    <w:rsid w:val="00E64E7B"/>
    <w:rsid w:val="00E749B0"/>
    <w:rsid w:val="00E8070A"/>
    <w:rsid w:val="00E85EB2"/>
    <w:rsid w:val="00E87084"/>
    <w:rsid w:val="00E94967"/>
    <w:rsid w:val="00E95312"/>
    <w:rsid w:val="00EA33BF"/>
    <w:rsid w:val="00EA3D6D"/>
    <w:rsid w:val="00EA52D0"/>
    <w:rsid w:val="00EA673A"/>
    <w:rsid w:val="00EB0250"/>
    <w:rsid w:val="00EC7509"/>
    <w:rsid w:val="00EC7CEF"/>
    <w:rsid w:val="00ED06DA"/>
    <w:rsid w:val="00ED1B37"/>
    <w:rsid w:val="00ED26A5"/>
    <w:rsid w:val="00ED28EF"/>
    <w:rsid w:val="00ED3113"/>
    <w:rsid w:val="00ED43CB"/>
    <w:rsid w:val="00EE0D4B"/>
    <w:rsid w:val="00EE3E24"/>
    <w:rsid w:val="00EE56E2"/>
    <w:rsid w:val="00EE6DC4"/>
    <w:rsid w:val="00EF103A"/>
    <w:rsid w:val="00EF1E0E"/>
    <w:rsid w:val="00F0238E"/>
    <w:rsid w:val="00F1085E"/>
    <w:rsid w:val="00F17815"/>
    <w:rsid w:val="00F21CC2"/>
    <w:rsid w:val="00F23163"/>
    <w:rsid w:val="00F24822"/>
    <w:rsid w:val="00F25EC4"/>
    <w:rsid w:val="00F335F3"/>
    <w:rsid w:val="00F3395D"/>
    <w:rsid w:val="00F3518E"/>
    <w:rsid w:val="00F36B35"/>
    <w:rsid w:val="00F41FD5"/>
    <w:rsid w:val="00F447E3"/>
    <w:rsid w:val="00F46DFD"/>
    <w:rsid w:val="00F52187"/>
    <w:rsid w:val="00F5385D"/>
    <w:rsid w:val="00F53EC4"/>
    <w:rsid w:val="00F55DFC"/>
    <w:rsid w:val="00F5696F"/>
    <w:rsid w:val="00F651AD"/>
    <w:rsid w:val="00F6611D"/>
    <w:rsid w:val="00F75F98"/>
    <w:rsid w:val="00F7704E"/>
    <w:rsid w:val="00F77974"/>
    <w:rsid w:val="00F77D30"/>
    <w:rsid w:val="00F83397"/>
    <w:rsid w:val="00F878F5"/>
    <w:rsid w:val="00F94600"/>
    <w:rsid w:val="00FA359D"/>
    <w:rsid w:val="00FA530F"/>
    <w:rsid w:val="00FA7300"/>
    <w:rsid w:val="00FB249B"/>
    <w:rsid w:val="00FB320A"/>
    <w:rsid w:val="00FB49F3"/>
    <w:rsid w:val="00FC1FE2"/>
    <w:rsid w:val="00FC33AD"/>
    <w:rsid w:val="00FC5C32"/>
    <w:rsid w:val="00FC64DE"/>
    <w:rsid w:val="00FD417D"/>
    <w:rsid w:val="00FD6484"/>
    <w:rsid w:val="00FE0763"/>
    <w:rsid w:val="00FE50A3"/>
    <w:rsid w:val="00FF0E8F"/>
    <w:rsid w:val="00FF125A"/>
    <w:rsid w:val="00FF1378"/>
    <w:rsid w:val="00FF1725"/>
    <w:rsid w:val="00FF2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4EDE379"/>
  <w15:docId w15:val="{B0120727-DD9C-4DD3-A3F4-C3B01CE6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64DAB"/>
    <w:rPr>
      <w:sz w:val="24"/>
    </w:rPr>
  </w:style>
  <w:style w:type="paragraph" w:styleId="1">
    <w:name w:val="heading 1"/>
    <w:basedOn w:val="a"/>
    <w:next w:val="a"/>
    <w:qFormat/>
    <w:rsid w:val="00D64DAB"/>
    <w:pPr>
      <w:keepNext/>
      <w:ind w:left="113" w:right="113"/>
      <w:jc w:val="both"/>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Òàáë òåêñò"/>
    <w:basedOn w:val="a"/>
    <w:rsid w:val="00D64DAB"/>
    <w:pPr>
      <w:jc w:val="both"/>
    </w:pPr>
  </w:style>
  <w:style w:type="paragraph" w:styleId="a4">
    <w:name w:val="Body Text Indent"/>
    <w:basedOn w:val="a"/>
    <w:rsid w:val="00D64DAB"/>
    <w:pPr>
      <w:spacing w:after="120"/>
      <w:ind w:left="283"/>
    </w:pPr>
  </w:style>
  <w:style w:type="paragraph" w:customStyle="1" w:styleId="10">
    <w:name w:val="1"/>
    <w:uiPriority w:val="99"/>
    <w:rsid w:val="00611EE0"/>
    <w:rPr>
      <w:sz w:val="24"/>
    </w:rPr>
  </w:style>
  <w:style w:type="paragraph" w:customStyle="1" w:styleId="ConsPlusNormal">
    <w:name w:val="ConsPlusNormal"/>
    <w:link w:val="ConsPlusNormal0"/>
    <w:qFormat/>
    <w:rsid w:val="00611EE0"/>
    <w:pPr>
      <w:widowControl w:val="0"/>
      <w:autoSpaceDE w:val="0"/>
      <w:autoSpaceDN w:val="0"/>
      <w:adjustRightInd w:val="0"/>
      <w:ind w:firstLine="720"/>
    </w:pPr>
    <w:rPr>
      <w:rFonts w:ascii="Arial" w:hAnsi="Arial" w:cs="Arial"/>
    </w:rPr>
  </w:style>
  <w:style w:type="paragraph" w:styleId="2">
    <w:name w:val="Body Text 2"/>
    <w:basedOn w:val="a"/>
    <w:rsid w:val="004B268D"/>
    <w:pPr>
      <w:spacing w:after="120" w:line="480" w:lineRule="auto"/>
    </w:pPr>
    <w:rPr>
      <w:szCs w:val="24"/>
    </w:rPr>
  </w:style>
  <w:style w:type="paragraph" w:styleId="20">
    <w:name w:val="Body Text Indent 2"/>
    <w:basedOn w:val="a"/>
    <w:rsid w:val="004B268D"/>
    <w:pPr>
      <w:spacing w:after="120" w:line="480" w:lineRule="auto"/>
      <w:ind w:left="283"/>
    </w:pPr>
    <w:rPr>
      <w:szCs w:val="24"/>
    </w:rPr>
  </w:style>
  <w:style w:type="paragraph" w:styleId="a5">
    <w:name w:val="Title"/>
    <w:basedOn w:val="a"/>
    <w:qFormat/>
    <w:rsid w:val="001B7877"/>
    <w:pPr>
      <w:jc w:val="center"/>
    </w:pPr>
    <w:rPr>
      <w:szCs w:val="24"/>
    </w:rPr>
  </w:style>
  <w:style w:type="paragraph" w:styleId="a6">
    <w:name w:val="Plain Text"/>
    <w:basedOn w:val="a"/>
    <w:rsid w:val="00184E20"/>
    <w:rPr>
      <w:rFonts w:ascii="Courier New" w:hAnsi="Courier New" w:cs="Courier New"/>
      <w:sz w:val="20"/>
    </w:rPr>
  </w:style>
  <w:style w:type="paragraph" w:customStyle="1" w:styleId="ConsNormal">
    <w:name w:val="ConsNormal"/>
    <w:rsid w:val="00184E20"/>
    <w:pPr>
      <w:widowControl w:val="0"/>
      <w:autoSpaceDE w:val="0"/>
      <w:autoSpaceDN w:val="0"/>
      <w:adjustRightInd w:val="0"/>
      <w:ind w:firstLine="720"/>
    </w:pPr>
    <w:rPr>
      <w:rFonts w:ascii="Arial" w:hAnsi="Arial" w:cs="Arial"/>
      <w:sz w:val="16"/>
      <w:szCs w:val="16"/>
    </w:rPr>
  </w:style>
  <w:style w:type="paragraph" w:styleId="a7">
    <w:name w:val="header"/>
    <w:basedOn w:val="a"/>
    <w:rsid w:val="005A7068"/>
    <w:pPr>
      <w:tabs>
        <w:tab w:val="center" w:pos="4677"/>
        <w:tab w:val="right" w:pos="9355"/>
      </w:tabs>
    </w:pPr>
  </w:style>
  <w:style w:type="character" w:styleId="a8">
    <w:name w:val="page number"/>
    <w:basedOn w:val="a0"/>
    <w:rsid w:val="005A7068"/>
  </w:style>
  <w:style w:type="paragraph" w:styleId="a9">
    <w:name w:val="Subtitle"/>
    <w:basedOn w:val="a"/>
    <w:qFormat/>
    <w:rsid w:val="00071A99"/>
    <w:pPr>
      <w:jc w:val="center"/>
    </w:pPr>
    <w:rPr>
      <w:b/>
      <w:bCs/>
      <w:sz w:val="28"/>
      <w:szCs w:val="24"/>
    </w:rPr>
  </w:style>
  <w:style w:type="paragraph" w:customStyle="1" w:styleId="11">
    <w:name w:val="Обычный1"/>
    <w:rsid w:val="004568D4"/>
    <w:pPr>
      <w:widowControl w:val="0"/>
      <w:snapToGrid w:val="0"/>
    </w:pPr>
  </w:style>
  <w:style w:type="paragraph" w:customStyle="1" w:styleId="21">
    <w:name w:val="Основной текст с отступом 21"/>
    <w:basedOn w:val="a"/>
    <w:rsid w:val="00DC5E7A"/>
    <w:pPr>
      <w:overflowPunct w:val="0"/>
      <w:autoSpaceDE w:val="0"/>
      <w:autoSpaceDN w:val="0"/>
      <w:adjustRightInd w:val="0"/>
      <w:ind w:firstLine="709"/>
      <w:jc w:val="both"/>
      <w:textAlignment w:val="baseline"/>
    </w:pPr>
    <w:rPr>
      <w:sz w:val="28"/>
    </w:rPr>
  </w:style>
  <w:style w:type="paragraph" w:styleId="3">
    <w:name w:val="Body Text Indent 3"/>
    <w:basedOn w:val="a"/>
    <w:rsid w:val="00875269"/>
    <w:pPr>
      <w:spacing w:after="120"/>
      <w:ind w:left="283"/>
    </w:pPr>
    <w:rPr>
      <w:sz w:val="16"/>
      <w:szCs w:val="16"/>
    </w:rPr>
  </w:style>
  <w:style w:type="character" w:styleId="aa">
    <w:name w:val="Hyperlink"/>
    <w:basedOn w:val="a0"/>
    <w:rsid w:val="000A2EF5"/>
    <w:rPr>
      <w:color w:val="0857A6"/>
      <w:u w:val="single"/>
    </w:rPr>
  </w:style>
  <w:style w:type="character" w:styleId="ab">
    <w:name w:val="Strong"/>
    <w:basedOn w:val="a0"/>
    <w:qFormat/>
    <w:rsid w:val="000A2EF5"/>
    <w:rPr>
      <w:b/>
      <w:bCs/>
    </w:rPr>
  </w:style>
  <w:style w:type="paragraph" w:styleId="ac">
    <w:name w:val="Balloon Text"/>
    <w:basedOn w:val="a"/>
    <w:semiHidden/>
    <w:rsid w:val="00F3518E"/>
    <w:rPr>
      <w:rFonts w:ascii="Tahoma" w:hAnsi="Tahoma" w:cs="Tahoma"/>
      <w:sz w:val="16"/>
      <w:szCs w:val="16"/>
    </w:rPr>
  </w:style>
  <w:style w:type="paragraph" w:customStyle="1" w:styleId="12">
    <w:name w:val="Абзац списка1"/>
    <w:basedOn w:val="a"/>
    <w:rsid w:val="009D228F"/>
    <w:pPr>
      <w:spacing w:after="200" w:line="276" w:lineRule="auto"/>
      <w:ind w:left="720"/>
      <w:contextualSpacing/>
    </w:pPr>
    <w:rPr>
      <w:rFonts w:ascii="Calibri" w:hAnsi="Calibri"/>
      <w:sz w:val="22"/>
      <w:szCs w:val="22"/>
      <w:lang w:eastAsia="en-US"/>
    </w:rPr>
  </w:style>
  <w:style w:type="paragraph" w:styleId="ad">
    <w:name w:val="List Paragraph"/>
    <w:aliases w:val="_Абзац списка,A_маркированный_список,Bullet List,FooterText,numbered,ТЗ список,Абзац списка литеральный,Bullet 1,Use Case List Paragraph"/>
    <w:basedOn w:val="a"/>
    <w:link w:val="ae"/>
    <w:uiPriority w:val="34"/>
    <w:qFormat/>
    <w:rsid w:val="003C6453"/>
    <w:pPr>
      <w:spacing w:line="360" w:lineRule="auto"/>
      <w:ind w:left="720" w:firstLine="720"/>
      <w:contextualSpacing/>
    </w:pPr>
    <w:rPr>
      <w:sz w:val="28"/>
    </w:rPr>
  </w:style>
  <w:style w:type="paragraph" w:customStyle="1" w:styleId="ConsPlusTitle">
    <w:name w:val="ConsPlusTitle"/>
    <w:uiPriority w:val="99"/>
    <w:rsid w:val="005C247E"/>
    <w:pPr>
      <w:widowControl w:val="0"/>
      <w:suppressAutoHyphens/>
      <w:autoSpaceDE w:val="0"/>
    </w:pPr>
    <w:rPr>
      <w:rFonts w:eastAsia="Arial"/>
      <w:b/>
      <w:bCs/>
      <w:sz w:val="24"/>
      <w:szCs w:val="24"/>
      <w:lang w:eastAsia="ar-SA"/>
    </w:rPr>
  </w:style>
  <w:style w:type="character" w:customStyle="1" w:styleId="CharAttribute2">
    <w:name w:val="CharAttribute2"/>
    <w:uiPriority w:val="99"/>
    <w:rsid w:val="009511A6"/>
    <w:rPr>
      <w:rFonts w:ascii="Times New Roman" w:eastAsia="Times New Roman"/>
      <w:sz w:val="24"/>
    </w:rPr>
  </w:style>
  <w:style w:type="character" w:customStyle="1" w:styleId="CharAttribute14">
    <w:name w:val="CharAttribute14"/>
    <w:uiPriority w:val="99"/>
    <w:rsid w:val="009511A6"/>
    <w:rPr>
      <w:rFonts w:ascii="Times New Roman" w:eastAsia="Times New Roman"/>
      <w:i/>
      <w:sz w:val="24"/>
      <w:u w:val="single"/>
    </w:rPr>
  </w:style>
  <w:style w:type="paragraph" w:styleId="af">
    <w:name w:val="Normal (Web)"/>
    <w:basedOn w:val="a"/>
    <w:unhideWhenUsed/>
    <w:rsid w:val="009511A6"/>
    <w:pPr>
      <w:spacing w:before="100" w:beforeAutospacing="1" w:after="115"/>
    </w:pPr>
    <w:rPr>
      <w:color w:val="000000"/>
      <w:szCs w:val="24"/>
    </w:rPr>
  </w:style>
  <w:style w:type="character" w:styleId="af0">
    <w:name w:val="Emphasis"/>
    <w:basedOn w:val="a0"/>
    <w:qFormat/>
    <w:rsid w:val="00E749B0"/>
    <w:rPr>
      <w:i/>
      <w:iCs/>
    </w:rPr>
  </w:style>
  <w:style w:type="character" w:customStyle="1" w:styleId="ConsPlusNormal0">
    <w:name w:val="ConsPlusNormal Знак"/>
    <w:link w:val="ConsPlusNormal"/>
    <w:locked/>
    <w:rsid w:val="00FF125A"/>
    <w:rPr>
      <w:rFonts w:ascii="Arial" w:hAnsi="Arial" w:cs="Arial"/>
    </w:rPr>
  </w:style>
  <w:style w:type="character" w:customStyle="1" w:styleId="ae">
    <w:name w:val="Абзац списка Знак"/>
    <w:aliases w:val="_Абзац списка Знак,A_маркированный_список Знак,Bullet List Знак,FooterText Знак,numbered Знак,ТЗ список Знак,Абзац списка литеральный Знак,Bullet 1 Знак,Use Case List Paragraph Знак"/>
    <w:link w:val="ad"/>
    <w:uiPriority w:val="34"/>
    <w:locked/>
    <w:rsid w:val="00C92A8F"/>
    <w:rPr>
      <w:sz w:val="28"/>
    </w:rPr>
  </w:style>
  <w:style w:type="paragraph" w:customStyle="1" w:styleId="Default">
    <w:name w:val="Default"/>
    <w:rsid w:val="00395ACE"/>
    <w:pPr>
      <w:autoSpaceDE w:val="0"/>
      <w:autoSpaceDN w:val="0"/>
      <w:adjustRightInd w:val="0"/>
    </w:pPr>
    <w:rPr>
      <w:rFonts w:eastAsia="Calibri"/>
      <w:color w:val="000000"/>
      <w:sz w:val="24"/>
      <w:szCs w:val="24"/>
    </w:rPr>
  </w:style>
  <w:style w:type="paragraph" w:styleId="af1">
    <w:name w:val="footer"/>
    <w:basedOn w:val="a"/>
    <w:link w:val="af2"/>
    <w:unhideWhenUsed/>
    <w:rsid w:val="00207CB9"/>
    <w:pPr>
      <w:tabs>
        <w:tab w:val="center" w:pos="4677"/>
        <w:tab w:val="right" w:pos="9355"/>
      </w:tabs>
    </w:pPr>
  </w:style>
  <w:style w:type="character" w:customStyle="1" w:styleId="af2">
    <w:name w:val="Нижний колонтитул Знак"/>
    <w:basedOn w:val="a0"/>
    <w:link w:val="af1"/>
    <w:rsid w:val="00207CB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0C3AC-7B03-485D-8D1A-5177F33C6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3</Pages>
  <Words>1054</Words>
  <Characters>6010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creator>Самарцева</dc:creator>
  <cp:lastModifiedBy>Самарцева Оксана Геннадьевна</cp:lastModifiedBy>
  <cp:revision>42</cp:revision>
  <cp:lastPrinted>2020-02-14T06:38:00Z</cp:lastPrinted>
  <dcterms:created xsi:type="dcterms:W3CDTF">2017-11-30T06:58:00Z</dcterms:created>
  <dcterms:modified xsi:type="dcterms:W3CDTF">2021-02-26T06:05:00Z</dcterms:modified>
</cp:coreProperties>
</file>