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2296F" w14:textId="5F63FC21" w:rsidR="00A96D7A" w:rsidRPr="00602865" w:rsidRDefault="00A96D7A" w:rsidP="00A96D7A">
      <w:pPr>
        <w:tabs>
          <w:tab w:val="left" w:pos="180"/>
          <w:tab w:val="left" w:pos="360"/>
        </w:tabs>
        <w:ind w:left="6120"/>
        <w:rPr>
          <w:b/>
        </w:rPr>
      </w:pPr>
      <w:r w:rsidRPr="00602865">
        <w:rPr>
          <w:b/>
        </w:rPr>
        <w:t>УТВЕРЖД</w:t>
      </w:r>
      <w:r w:rsidR="00846C53">
        <w:rPr>
          <w:b/>
        </w:rPr>
        <w:t>ЕНО</w:t>
      </w:r>
      <w:r w:rsidRPr="00602865">
        <w:rPr>
          <w:b/>
        </w:rPr>
        <w:t xml:space="preserve"> </w:t>
      </w:r>
    </w:p>
    <w:p w14:paraId="6A1C78EA" w14:textId="51564342" w:rsidR="00A96D7A" w:rsidRPr="00602865" w:rsidRDefault="00A96D7A" w:rsidP="00A96D7A">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r w:rsidR="00846C53">
        <w:t>коллегией</w:t>
      </w:r>
      <w:r w:rsidRPr="00602865">
        <w:t xml:space="preserve"> </w:t>
      </w:r>
      <w:proofErr w:type="spellStart"/>
      <w:r w:rsidRPr="00602865">
        <w:t>контрольно</w:t>
      </w:r>
      <w:proofErr w:type="spellEnd"/>
      <w:r w:rsidRPr="00602865">
        <w:t xml:space="preserve"> - счетной</w:t>
      </w:r>
    </w:p>
    <w:p w14:paraId="615790EF" w14:textId="77777777" w:rsidR="00A96D7A" w:rsidRPr="00602865" w:rsidRDefault="00A96D7A" w:rsidP="00A96D7A">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t>палаты Волгоградской области</w:t>
      </w:r>
    </w:p>
    <w:p w14:paraId="775FF830" w14:textId="77777777" w:rsidR="00A96D7A" w:rsidRPr="00602865" w:rsidRDefault="00A96D7A" w:rsidP="00A96D7A">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p>
    <w:p w14:paraId="0C023809" w14:textId="66BC769D" w:rsidR="00A96D7A" w:rsidRPr="00602865" w:rsidRDefault="00A96D7A" w:rsidP="00A96D7A">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r w:rsidRPr="00602865">
        <w:tab/>
      </w:r>
      <w:r>
        <w:t>__</w:t>
      </w:r>
      <w:proofErr w:type="gramStart"/>
      <w:r>
        <w:t xml:space="preserve">_  </w:t>
      </w:r>
      <w:r w:rsidR="00846C53">
        <w:t>марта</w:t>
      </w:r>
      <w:proofErr w:type="gramEnd"/>
      <w:r>
        <w:t xml:space="preserve">  202</w:t>
      </w:r>
      <w:r w:rsidR="00C16AE2">
        <w:t>1</w:t>
      </w:r>
      <w:r w:rsidRPr="00602865">
        <w:t xml:space="preserve"> года </w:t>
      </w:r>
    </w:p>
    <w:p w14:paraId="4C2C7A19" w14:textId="77777777" w:rsidR="00A96D7A" w:rsidRPr="00602865" w:rsidRDefault="00A96D7A" w:rsidP="00A96D7A">
      <w:pPr>
        <w:jc w:val="center"/>
        <w:rPr>
          <w:b/>
          <w:i/>
        </w:rPr>
      </w:pPr>
    </w:p>
    <w:p w14:paraId="61550033" w14:textId="77777777" w:rsidR="00A96D7A" w:rsidRPr="00602865" w:rsidRDefault="00A96D7A" w:rsidP="00A96D7A">
      <w:pPr>
        <w:jc w:val="center"/>
        <w:rPr>
          <w:b/>
          <w:i/>
        </w:rPr>
      </w:pPr>
      <w:r w:rsidRPr="00602865">
        <w:rPr>
          <w:b/>
          <w:i/>
        </w:rPr>
        <w:t>ЗАКЛЮЧЕНИЕ</w:t>
      </w:r>
    </w:p>
    <w:p w14:paraId="14F58CAE" w14:textId="77777777" w:rsidR="00A96D7A" w:rsidRPr="00602865" w:rsidRDefault="00A96D7A" w:rsidP="00A96D7A">
      <w:pPr>
        <w:ind w:left="283"/>
        <w:jc w:val="center"/>
        <w:rPr>
          <w:b/>
          <w:i/>
        </w:rPr>
      </w:pPr>
      <w:r w:rsidRPr="00602865">
        <w:rPr>
          <w:b/>
          <w:i/>
          <w:color w:val="000000"/>
        </w:rPr>
        <w:t xml:space="preserve">по результатам </w:t>
      </w:r>
      <w:r w:rsidRPr="00602865">
        <w:rPr>
          <w:b/>
          <w:i/>
        </w:rPr>
        <w:t>внешней проверки бюджетной отчетности и</w:t>
      </w:r>
    </w:p>
    <w:p w14:paraId="2B22B51F" w14:textId="7B3DEFCB" w:rsidR="00A96D7A" w:rsidRPr="00602865" w:rsidRDefault="00A96D7A" w:rsidP="00A96D7A">
      <w:pPr>
        <w:ind w:left="283"/>
        <w:jc w:val="center"/>
        <w:rPr>
          <w:b/>
          <w:i/>
        </w:rPr>
      </w:pPr>
      <w:r w:rsidRPr="00602865">
        <w:rPr>
          <w:b/>
          <w:i/>
        </w:rPr>
        <w:t>отдельных вопросов исполнения областного бюджета за 20</w:t>
      </w:r>
      <w:r w:rsidR="00C16AE2">
        <w:rPr>
          <w:b/>
          <w:i/>
        </w:rPr>
        <w:t>20</w:t>
      </w:r>
      <w:r w:rsidRPr="00602865">
        <w:rPr>
          <w:b/>
          <w:i/>
        </w:rPr>
        <w:t xml:space="preserve"> год</w:t>
      </w:r>
    </w:p>
    <w:p w14:paraId="6D8B2BCB" w14:textId="77777777" w:rsidR="00A96D7A" w:rsidRPr="00602865" w:rsidRDefault="00A96D7A" w:rsidP="00A96D7A">
      <w:pPr>
        <w:ind w:left="283"/>
        <w:jc w:val="center"/>
        <w:rPr>
          <w:b/>
          <w:i/>
        </w:rPr>
      </w:pPr>
      <w:r w:rsidRPr="00602865">
        <w:rPr>
          <w:b/>
          <w:i/>
        </w:rPr>
        <w:t xml:space="preserve">главным администратором средств областного бюджета – </w:t>
      </w:r>
    </w:p>
    <w:p w14:paraId="0F1BFA2B" w14:textId="77777777" w:rsidR="00A96D7A" w:rsidRPr="005072BC" w:rsidRDefault="008C58DF" w:rsidP="00A96D7A">
      <w:pPr>
        <w:ind w:left="283"/>
        <w:jc w:val="center"/>
        <w:rPr>
          <w:b/>
          <w:i/>
        </w:rPr>
      </w:pPr>
      <w:r>
        <w:rPr>
          <w:b/>
          <w:i/>
        </w:rPr>
        <w:t xml:space="preserve">контрольно-счетной палатой </w:t>
      </w:r>
      <w:r w:rsidR="00A96D7A" w:rsidRPr="005072BC">
        <w:rPr>
          <w:b/>
          <w:bCs/>
          <w:i/>
          <w:iCs/>
          <w:color w:val="000000"/>
        </w:rPr>
        <w:t>Волгоградской области</w:t>
      </w:r>
    </w:p>
    <w:p w14:paraId="3F58FAFE" w14:textId="77777777" w:rsidR="00A96D7A" w:rsidRPr="00602865" w:rsidRDefault="00A96D7A" w:rsidP="00A96D7A">
      <w:pPr>
        <w:jc w:val="center"/>
        <w:rPr>
          <w:b/>
        </w:rPr>
      </w:pPr>
    </w:p>
    <w:p w14:paraId="53A1C507" w14:textId="10E49DF3" w:rsidR="00A96D7A" w:rsidRDefault="00A96D7A" w:rsidP="00A96D7A">
      <w:pPr>
        <w:ind w:firstLine="851"/>
        <w:jc w:val="both"/>
      </w:pPr>
      <w:r w:rsidRPr="00602865">
        <w:t xml:space="preserve">В соответствии с </w:t>
      </w:r>
      <w:r w:rsidRPr="00DA0DEE">
        <w:t>п.3.</w:t>
      </w:r>
      <w:r w:rsidR="008C58DF">
        <w:t>1.22</w:t>
      </w:r>
      <w:r w:rsidRPr="00F3546A">
        <w:t xml:space="preserve"> </w:t>
      </w:r>
      <w:r w:rsidR="000C2AA8">
        <w:t>П</w:t>
      </w:r>
      <w:r w:rsidRPr="00602865">
        <w:t>лан</w:t>
      </w:r>
      <w:r>
        <w:t>а</w:t>
      </w:r>
      <w:r w:rsidRPr="00602865">
        <w:t xml:space="preserve"> работы контрольно-счетной палаты Волгоградской области, утвержденн</w:t>
      </w:r>
      <w:r>
        <w:t>ого</w:t>
      </w:r>
      <w:r w:rsidRPr="00602865">
        <w:t xml:space="preserve"> постановлением коллегии контрольно-счётной палаты Волгоградской области </w:t>
      </w:r>
      <w:r w:rsidRPr="00C31196">
        <w:t>от</w:t>
      </w:r>
      <w:r>
        <w:t xml:space="preserve"> </w:t>
      </w:r>
      <w:r w:rsidR="00C16AE2">
        <w:t>03</w:t>
      </w:r>
      <w:r w:rsidRPr="007E54B1">
        <w:t>.12.20</w:t>
      </w:r>
      <w:r w:rsidR="00C16AE2">
        <w:t>20</w:t>
      </w:r>
      <w:r w:rsidRPr="007E54B1">
        <w:t xml:space="preserve"> № </w:t>
      </w:r>
      <w:r w:rsidR="00BC03D2">
        <w:t>1</w:t>
      </w:r>
      <w:r>
        <w:t>3</w:t>
      </w:r>
      <w:r w:rsidRPr="007E54B1">
        <w:t>/</w:t>
      </w:r>
      <w:r w:rsidR="00BC03D2">
        <w:t>3</w:t>
      </w:r>
      <w:r w:rsidRPr="00602865">
        <w:t>, в целях подготовки заключения на годовой отчет об исполнении областного бюджета за 20</w:t>
      </w:r>
      <w:r w:rsidR="00BC03D2">
        <w:t>20</w:t>
      </w:r>
      <w:r w:rsidRPr="00602865">
        <w:t xml:space="preserve"> год</w:t>
      </w:r>
      <w:r>
        <w:t xml:space="preserve"> </w:t>
      </w:r>
      <w:r w:rsidRPr="00602865">
        <w:t xml:space="preserve">проведена </w:t>
      </w:r>
      <w:r w:rsidRPr="00602865">
        <w:rPr>
          <w:color w:val="000000"/>
        </w:rPr>
        <w:t xml:space="preserve">внешняя </w:t>
      </w:r>
      <w:r w:rsidRPr="00602865">
        <w:t>проверка бюджетной отчетности и отдельных вопросов исполнения областного бюджета за 20</w:t>
      </w:r>
      <w:r w:rsidR="00BC03D2">
        <w:t>20</w:t>
      </w:r>
      <w:r w:rsidRPr="00602865">
        <w:t xml:space="preserve"> год главным администратором средств областного бюджета –</w:t>
      </w:r>
      <w:r w:rsidRPr="005072BC">
        <w:rPr>
          <w:b/>
          <w:i/>
        </w:rPr>
        <w:t xml:space="preserve"> </w:t>
      </w:r>
      <w:r w:rsidR="008C58DF">
        <w:t xml:space="preserve">контрольно-счетной палатой Волгоградской области </w:t>
      </w:r>
      <w:r w:rsidRPr="00602865">
        <w:t>(далее</w:t>
      </w:r>
      <w:r w:rsidR="002C7060">
        <w:t xml:space="preserve"> -</w:t>
      </w:r>
      <w:r w:rsidR="008C58DF">
        <w:t xml:space="preserve"> КСП</w:t>
      </w:r>
      <w:r w:rsidRPr="00602865">
        <w:t>).</w:t>
      </w:r>
    </w:p>
    <w:p w14:paraId="001086D2" w14:textId="77777777" w:rsidR="008C58DF" w:rsidRDefault="008C58DF" w:rsidP="008C58DF">
      <w:pPr>
        <w:ind w:firstLine="709"/>
        <w:jc w:val="both"/>
      </w:pPr>
      <w:r>
        <w:t xml:space="preserve">КСП действует на основании Закона Волгоградской области от </w:t>
      </w:r>
      <w:proofErr w:type="gramStart"/>
      <w:r>
        <w:t>17.12.1999  №</w:t>
      </w:r>
      <w:proofErr w:type="gramEnd"/>
      <w:r>
        <w:t xml:space="preserve"> 344-ОД «О контрольно-счетной палате Волгоградской области» и является постоянно действующим органом внешнего государственного финансового контроля, образуемым Волгоградской областной Думой и подотчетным ей.</w:t>
      </w:r>
    </w:p>
    <w:p w14:paraId="1510E1A3" w14:textId="77777777" w:rsidR="008C58DF" w:rsidRDefault="008C58DF" w:rsidP="008C58DF">
      <w:pPr>
        <w:ind w:firstLine="709"/>
        <w:jc w:val="both"/>
      </w:pPr>
      <w:r w:rsidRPr="007C6B52">
        <w:t>КСП является юридическим лицом, имеет самостоятельный баланс, счета, открываемые в соответствии с законодательством</w:t>
      </w:r>
      <w:r>
        <w:t xml:space="preserve">, </w:t>
      </w:r>
      <w:r w:rsidRPr="00377182">
        <w:t xml:space="preserve">не имеет подведомственной сети и не осуществляет приносящую доход деятельность. </w:t>
      </w:r>
    </w:p>
    <w:p w14:paraId="5B78479F" w14:textId="77777777" w:rsidR="00BC03D2" w:rsidRPr="00AA08AF" w:rsidRDefault="00BC03D2" w:rsidP="00BC03D2">
      <w:pPr>
        <w:ind w:firstLine="708"/>
        <w:jc w:val="both"/>
      </w:pPr>
      <w:r w:rsidRPr="00686F72">
        <w:t xml:space="preserve">Законом Волгоградской области от </w:t>
      </w:r>
      <w:r>
        <w:t>21</w:t>
      </w:r>
      <w:r w:rsidRPr="00686F72">
        <w:t>.1</w:t>
      </w:r>
      <w:r>
        <w:t>1</w:t>
      </w:r>
      <w:r w:rsidRPr="00686F72">
        <w:t>.201</w:t>
      </w:r>
      <w:r>
        <w:t>9</w:t>
      </w:r>
      <w:r w:rsidRPr="00686F72">
        <w:t xml:space="preserve"> №</w:t>
      </w:r>
      <w:r>
        <w:t>97</w:t>
      </w:r>
      <w:r w:rsidRPr="00686F72">
        <w:t>-ОД «Об областном бюджете на 20</w:t>
      </w:r>
      <w:r>
        <w:t>20</w:t>
      </w:r>
      <w:r w:rsidRPr="00686F72">
        <w:t xml:space="preserve"> год и на плановый период 202</w:t>
      </w:r>
      <w:r>
        <w:t>1</w:t>
      </w:r>
      <w:r w:rsidRPr="00686F72">
        <w:t xml:space="preserve"> и 202</w:t>
      </w:r>
      <w:r>
        <w:t>2</w:t>
      </w:r>
      <w:r w:rsidRPr="00686F72">
        <w:t xml:space="preserve"> годов» (далее - Закон об областном бюджете на 20</w:t>
      </w:r>
      <w:r>
        <w:t>20</w:t>
      </w:r>
      <w:r w:rsidRPr="00686F72">
        <w:t xml:space="preserve"> год) предельная численность государственных гражданских служащих (далее - ГГС) КСП утверждена в количестве 60 человек. </w:t>
      </w:r>
      <w:r w:rsidRPr="00AA08AF">
        <w:t>Окончательным штатным расписанием на 20</w:t>
      </w:r>
      <w:r>
        <w:t>20</w:t>
      </w:r>
      <w:r w:rsidRPr="00AA08AF">
        <w:t xml:space="preserve"> год численность КСП была утверждена в количестве </w:t>
      </w:r>
      <w:r>
        <w:t>70</w:t>
      </w:r>
      <w:r w:rsidRPr="00AA08AF">
        <w:t xml:space="preserve"> штатных единиц, в том числе 60 ГГС, 5 штатных единиц государственных должностей (председатель, заместитель председателя и 3 аудитора) и 5 должностей, не отнесённых к должностям ГГС. </w:t>
      </w:r>
    </w:p>
    <w:p w14:paraId="3060942D" w14:textId="77777777" w:rsidR="00BC03D2" w:rsidRPr="002F4747" w:rsidRDefault="00BC03D2" w:rsidP="00BC03D2">
      <w:pPr>
        <w:ind w:firstLine="720"/>
        <w:contextualSpacing/>
        <w:jc w:val="both"/>
      </w:pPr>
      <w:r w:rsidRPr="00F35068">
        <w:t>Фактически по состоянию на 01.01.202</w:t>
      </w:r>
      <w:r>
        <w:t>1</w:t>
      </w:r>
      <w:r w:rsidRPr="00F35068">
        <w:t xml:space="preserve"> численность КСП </w:t>
      </w:r>
      <w:r w:rsidRPr="0075526A">
        <w:t>составляла 58</w:t>
      </w:r>
      <w:r w:rsidRPr="00F35068">
        <w:t xml:space="preserve"> чел., количество вакантных ставок - </w:t>
      </w:r>
      <w:r w:rsidRPr="0075526A">
        <w:t>12</w:t>
      </w:r>
      <w:r w:rsidRPr="00F35068">
        <w:t xml:space="preserve"> ед. по должностям ГГС. Сре</w:t>
      </w:r>
      <w:r w:rsidRPr="00AA08AF">
        <w:t xml:space="preserve">днесписочная численность работников КСП за проверяемый период составила </w:t>
      </w:r>
      <w:r>
        <w:t>58</w:t>
      </w:r>
      <w:r w:rsidRPr="00AA08AF">
        <w:t xml:space="preserve"> человек.</w:t>
      </w:r>
    </w:p>
    <w:p w14:paraId="72876221" w14:textId="77777777" w:rsidR="00B5483D" w:rsidRDefault="00B5483D" w:rsidP="00B5483D">
      <w:pPr>
        <w:jc w:val="center"/>
        <w:rPr>
          <w:b/>
          <w:i/>
        </w:rPr>
      </w:pPr>
    </w:p>
    <w:p w14:paraId="4ECC7410" w14:textId="77777777" w:rsidR="00B5483D" w:rsidRPr="00B5483D" w:rsidRDefault="00B5483D" w:rsidP="00B5483D">
      <w:pPr>
        <w:jc w:val="center"/>
        <w:rPr>
          <w:b/>
          <w:i/>
        </w:rPr>
      </w:pPr>
      <w:r w:rsidRPr="00A3123E">
        <w:rPr>
          <w:b/>
          <w:i/>
        </w:rPr>
        <w:t xml:space="preserve">Бюджетная отчётность </w:t>
      </w:r>
    </w:p>
    <w:p w14:paraId="148D6F32" w14:textId="0CD1AB05" w:rsidR="00B5483D" w:rsidRDefault="00B5483D" w:rsidP="00B5483D">
      <w:pPr>
        <w:ind w:firstLine="720"/>
        <w:jc w:val="both"/>
      </w:pPr>
      <w:r>
        <w:t>Б</w:t>
      </w:r>
      <w:r w:rsidRPr="00B65D33">
        <w:t>юджетная отчетность К</w:t>
      </w:r>
      <w:r>
        <w:t>СП</w:t>
      </w:r>
      <w:r w:rsidRPr="00B65D33">
        <w:t xml:space="preserve"> представлена к проверке в составе, определенном </w:t>
      </w:r>
      <w:r>
        <w:t xml:space="preserve">         </w:t>
      </w:r>
      <w:r w:rsidRPr="00B65D33">
        <w:t xml:space="preserve">ст. 264.1 </w:t>
      </w:r>
      <w:r w:rsidR="00F3233E">
        <w:t xml:space="preserve">Бюджетного Кодекса Российской Федерации (далее - </w:t>
      </w:r>
      <w:r w:rsidRPr="00B65D33">
        <w:t>БК РФ</w:t>
      </w:r>
      <w:r w:rsidR="00F3233E">
        <w:t>)</w:t>
      </w:r>
      <w:r w:rsidRPr="00B65D33">
        <w:t>,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w:t>
      </w:r>
      <w:r>
        <w:t xml:space="preserve"> </w:t>
      </w:r>
      <w:r w:rsidRPr="00B65D33">
        <w:t>191н)</w:t>
      </w:r>
      <w:r>
        <w:t>.</w:t>
      </w:r>
      <w:r w:rsidRPr="004D083F">
        <w:t xml:space="preserve"> </w:t>
      </w:r>
    </w:p>
    <w:p w14:paraId="54B19D78" w14:textId="77777777" w:rsidR="00731B88" w:rsidRDefault="00731B88" w:rsidP="00731B88">
      <w:pPr>
        <w:ind w:firstLine="720"/>
        <w:jc w:val="both"/>
      </w:pPr>
      <w:r>
        <w:t xml:space="preserve">Письмом </w:t>
      </w:r>
      <w:proofErr w:type="spellStart"/>
      <w:r>
        <w:t>Облфина</w:t>
      </w:r>
      <w:proofErr w:type="spellEnd"/>
      <w:r>
        <w:t xml:space="preserve"> от 13.01.2021 №06-05-01-61/104 установлен порядок сдачи главными распорядителями бюджетных средств в комитет финансов Волгоградской области годовой бюджетной отчетности, годовой бухгалтерской отчетности государственных (муниципальных) бюджетных и автономных учреждений за 2020 г.</w:t>
      </w:r>
    </w:p>
    <w:p w14:paraId="3CF2E3D4" w14:textId="77777777" w:rsidR="00731B88" w:rsidRPr="009B6FF5" w:rsidRDefault="00731B88" w:rsidP="00731B88">
      <w:pPr>
        <w:ind w:firstLine="720"/>
        <w:jc w:val="both"/>
      </w:pPr>
      <w:r>
        <w:t>В соответствии с установленным порядком в связи с осуществлением мероприятий по обеспечению охраны здоровья населения и нераспространению новой коронавирусной инфекции (</w:t>
      </w:r>
      <w:r>
        <w:rPr>
          <w:lang w:val="en-US"/>
        </w:rPr>
        <w:t>COVID</w:t>
      </w:r>
      <w:r w:rsidRPr="009B6FF5">
        <w:t>-</w:t>
      </w:r>
      <w:r>
        <w:t>19) на территории Российской Федерации представление годовой отчетности в Облфин осуществляется в электронном виде. Представленным формам отчетности присваивается статус «экспертиза».</w:t>
      </w:r>
    </w:p>
    <w:p w14:paraId="4D1B10AF" w14:textId="2742D2EA" w:rsidR="00731B88" w:rsidRPr="009B6FF5" w:rsidRDefault="00731B88" w:rsidP="00731B88">
      <w:pPr>
        <w:ind w:firstLine="720"/>
        <w:jc w:val="both"/>
      </w:pPr>
      <w:r w:rsidRPr="004D083F">
        <w:lastRenderedPageBreak/>
        <w:t>Годовая бюджетная отчетность КСП за 20</w:t>
      </w:r>
      <w:r>
        <w:t>20</w:t>
      </w:r>
      <w:r w:rsidRPr="004D083F">
        <w:t xml:space="preserve"> год представлена в </w:t>
      </w:r>
      <w:r>
        <w:t xml:space="preserve">комитет финансов Волгоградской области (далее – </w:t>
      </w:r>
      <w:r w:rsidRPr="004D083F">
        <w:t>Облфин</w:t>
      </w:r>
      <w:r>
        <w:t>)</w:t>
      </w:r>
      <w:r w:rsidRPr="004D083F">
        <w:t xml:space="preserve"> в </w:t>
      </w:r>
      <w:r w:rsidRPr="00076518">
        <w:t>установленный срок</w:t>
      </w:r>
      <w:r>
        <w:t xml:space="preserve"> </w:t>
      </w:r>
      <w:r w:rsidRPr="00076518">
        <w:t>09.02.2020.</w:t>
      </w:r>
      <w:r>
        <w:t xml:space="preserve"> </w:t>
      </w:r>
      <w:r w:rsidR="00F3233E">
        <w:t xml:space="preserve">На момент </w:t>
      </w:r>
      <w:r w:rsidR="00862FD0">
        <w:t>окончания</w:t>
      </w:r>
      <w:r w:rsidR="00F3233E">
        <w:t xml:space="preserve"> настоящей проверки</w:t>
      </w:r>
      <w:r w:rsidR="00723227">
        <w:t xml:space="preserve"> камеральная проверка бюджетной отчетности КСП </w:t>
      </w:r>
      <w:r w:rsidR="00862FD0">
        <w:t xml:space="preserve">Облфином </w:t>
      </w:r>
      <w:r w:rsidR="00723227">
        <w:t>не проведена.</w:t>
      </w:r>
    </w:p>
    <w:p w14:paraId="4E5EC928" w14:textId="43E29D74" w:rsidR="00B5483D" w:rsidRDefault="00B5483D" w:rsidP="00B5483D">
      <w:pPr>
        <w:tabs>
          <w:tab w:val="left" w:pos="0"/>
          <w:tab w:val="left" w:pos="284"/>
          <w:tab w:val="left" w:pos="5812"/>
        </w:tabs>
        <w:spacing w:line="240" w:lineRule="atLeast"/>
        <w:ind w:firstLine="680"/>
        <w:jc w:val="both"/>
      </w:pPr>
      <w:r w:rsidRPr="00521EE2">
        <w:t>Проверкой бюджетной отчетности КСП за 20</w:t>
      </w:r>
      <w:r w:rsidR="00731B88">
        <w:t>20</w:t>
      </w:r>
      <w:r w:rsidRPr="00521EE2">
        <w:t xml:space="preserve"> год, сформированной в соответствии с Инструкцией №1</w:t>
      </w:r>
      <w:r w:rsidR="0062789E">
        <w:t>91н, ф</w:t>
      </w:r>
      <w:r w:rsidRPr="00521EE2">
        <w:t>актов неполноты и недостоверности бюджетной отчётности не выявлено.</w:t>
      </w:r>
    </w:p>
    <w:p w14:paraId="67BF45E0" w14:textId="55162FF5" w:rsidR="00B55632" w:rsidRDefault="00B55632" w:rsidP="00B5483D">
      <w:pPr>
        <w:tabs>
          <w:tab w:val="left" w:pos="0"/>
          <w:tab w:val="left" w:pos="284"/>
          <w:tab w:val="left" w:pos="5812"/>
        </w:tabs>
        <w:spacing w:line="240" w:lineRule="atLeast"/>
        <w:ind w:firstLine="680"/>
        <w:jc w:val="both"/>
      </w:pPr>
    </w:p>
    <w:p w14:paraId="595A6368" w14:textId="77777777" w:rsidR="00B55632" w:rsidRDefault="00B55632" w:rsidP="00B55632">
      <w:pPr>
        <w:tabs>
          <w:tab w:val="left" w:pos="0"/>
          <w:tab w:val="left" w:pos="284"/>
          <w:tab w:val="left" w:pos="5812"/>
        </w:tabs>
        <w:spacing w:line="240" w:lineRule="atLeast"/>
        <w:ind w:firstLine="680"/>
        <w:jc w:val="both"/>
      </w:pPr>
      <w:r w:rsidRPr="000345B2">
        <w:t>Проверкой бюджетной отчетности КСП за 2020 год установлено</w:t>
      </w:r>
      <w:r>
        <w:t xml:space="preserve"> </w:t>
      </w:r>
      <w:r w:rsidRPr="000345B2">
        <w:t>искажение строк 170</w:t>
      </w:r>
      <w:r>
        <w:t xml:space="preserve"> и 173 «Справки о наличии имущества и обязательств на забалансовых счетах в составе Баланса» (далее – Справка в составе Баланса (ф.0503130)).</w:t>
      </w:r>
    </w:p>
    <w:p w14:paraId="572FF5D5" w14:textId="77777777" w:rsidR="00B55632" w:rsidRDefault="00B55632" w:rsidP="00B55632">
      <w:pPr>
        <w:tabs>
          <w:tab w:val="left" w:pos="0"/>
          <w:tab w:val="left" w:pos="284"/>
          <w:tab w:val="left" w:pos="5812"/>
        </w:tabs>
        <w:spacing w:line="240" w:lineRule="atLeast"/>
        <w:ind w:firstLine="680"/>
        <w:jc w:val="both"/>
      </w:pPr>
      <w:r>
        <w:t xml:space="preserve">По строкам 170 и 173 Справки в составе Баланса (ф.0503130) в соответствии с </w:t>
      </w:r>
      <w:r w:rsidRPr="00BB1AAE">
        <w:t>требованиям</w:t>
      </w:r>
      <w:r>
        <w:t>и</w:t>
      </w:r>
      <w:r w:rsidRPr="00BB1AAE">
        <w:t xml:space="preserve"> п. 20 Инструкции №191н</w:t>
      </w:r>
      <w:r>
        <w:t xml:space="preserve"> отражается поступление и выбытие денежных средств в разрезе итоговых сумм по доходам, расходам, источникам финансирования дефицита бюджета.</w:t>
      </w:r>
    </w:p>
    <w:p w14:paraId="4F3ABA9F" w14:textId="39C60A3D" w:rsidR="00B55632" w:rsidRDefault="00B55632" w:rsidP="00B5483D">
      <w:pPr>
        <w:tabs>
          <w:tab w:val="left" w:pos="0"/>
          <w:tab w:val="left" w:pos="284"/>
          <w:tab w:val="left" w:pos="5812"/>
        </w:tabs>
        <w:spacing w:line="240" w:lineRule="atLeast"/>
        <w:ind w:firstLine="680"/>
        <w:jc w:val="both"/>
      </w:pPr>
      <w:r>
        <w:t xml:space="preserve">На забалансовых счетах 17 и 18 КСП отражено движение (поступление и выбытие) средств, полученных во временное распоряжение КСП в </w:t>
      </w:r>
      <w:r w:rsidRPr="001B1D95">
        <w:t xml:space="preserve">обеспечение исполнения </w:t>
      </w:r>
      <w:r w:rsidRPr="006D0593">
        <w:t>контрактов в соответствии со ст. 96 Федерального закона от 05.04.2013 № 44-ФЗ «О</w:t>
      </w:r>
      <w:r w:rsidRPr="00752552">
        <w:t xml:space="preserve"> контрактной системе в сфере закупок товаров, работ, услуг для обеспечения </w:t>
      </w:r>
      <w:r w:rsidRPr="00BB1AAE">
        <w:t>государственных и муниципальных нужд»</w:t>
      </w:r>
      <w:r>
        <w:t>.</w:t>
      </w:r>
    </w:p>
    <w:p w14:paraId="0443B656" w14:textId="62738D25" w:rsidR="00D058DF" w:rsidRPr="00BB1AAE" w:rsidRDefault="00D058DF" w:rsidP="00D058DF">
      <w:pPr>
        <w:tabs>
          <w:tab w:val="left" w:pos="0"/>
          <w:tab w:val="left" w:pos="284"/>
          <w:tab w:val="left" w:pos="5812"/>
        </w:tabs>
        <w:spacing w:line="240" w:lineRule="atLeast"/>
        <w:ind w:firstLine="680"/>
        <w:jc w:val="both"/>
      </w:pPr>
      <w:r w:rsidRPr="00723227">
        <w:t xml:space="preserve">В соответствии с п.45 Плана счетов бюджетного учета и Инструкцией по его применению, утвержденными </w:t>
      </w:r>
      <w:r w:rsidR="00723227">
        <w:t>п</w:t>
      </w:r>
      <w:r w:rsidRPr="00723227">
        <w:t xml:space="preserve">риказом Минфина РФ от 06.12.2010 №162н (далее – Инструкция №162н) и </w:t>
      </w:r>
      <w:proofErr w:type="spellStart"/>
      <w:r w:rsidRPr="00723227">
        <w:t>п.п</w:t>
      </w:r>
      <w:proofErr w:type="spellEnd"/>
      <w:r w:rsidRPr="00723227">
        <w:t>. 365, 367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(далее – Инструкция №157н) средства, поступившие во временное распоряжение КСП отражены в регистрах бухгалтерского учета на счете 3 201 11 000 и счете 3 304 01 000 с одновременным отражением на забалансовых счетах 17 и 18 поступление и выбытие денежных средств в сумме 95,4 тыс.</w:t>
      </w:r>
      <w:r w:rsidRPr="00BB1AAE">
        <w:t xml:space="preserve"> руб</w:t>
      </w:r>
      <w:r>
        <w:t>лей</w:t>
      </w:r>
      <w:r w:rsidRPr="00BB1AAE">
        <w:t>.</w:t>
      </w:r>
    </w:p>
    <w:p w14:paraId="0A8F9312" w14:textId="0D3914ED" w:rsidR="00D058DF" w:rsidRDefault="00D058DF" w:rsidP="00D058DF">
      <w:pPr>
        <w:tabs>
          <w:tab w:val="left" w:pos="0"/>
          <w:tab w:val="left" w:pos="284"/>
          <w:tab w:val="left" w:pos="5812"/>
        </w:tabs>
        <w:spacing w:line="240" w:lineRule="atLeast"/>
        <w:ind w:firstLine="680"/>
        <w:jc w:val="both"/>
      </w:pPr>
      <w:r>
        <w:t>Однако в Справке в составе Баланса (ф.0503130) отражено поступление денежных средств на забалансовом счете 17 и выбытие денежных средств на забалансовом счете 18 в сумме 202,7 тыс. руб. соответственно, что больше данных регистров бухгалтерского учета на 107,3 тыс. рублей.</w:t>
      </w:r>
    </w:p>
    <w:p w14:paraId="17B0D7F7" w14:textId="2B8F241D" w:rsidR="00D058DF" w:rsidRDefault="00D058DF" w:rsidP="00D058DF">
      <w:pPr>
        <w:autoSpaceDE w:val="0"/>
        <w:autoSpaceDN w:val="0"/>
        <w:adjustRightInd w:val="0"/>
        <w:ind w:firstLine="540"/>
        <w:jc w:val="both"/>
      </w:pPr>
      <w:r>
        <w:t xml:space="preserve">Несоответствие данных Справки в составе Баланса (ф.0503130) по стр. 170 и стр. 180 данным регистров бухгалтерского учета является нарушением п. 1 ст. </w:t>
      </w:r>
      <w:r w:rsidRPr="00C55623">
        <w:t xml:space="preserve">13 </w:t>
      </w:r>
      <w:r w:rsidRPr="00831356">
        <w:t>Федеральн</w:t>
      </w:r>
      <w:r>
        <w:t>ого</w:t>
      </w:r>
      <w:r w:rsidRPr="00831356">
        <w:t xml:space="preserve"> закон</w:t>
      </w:r>
      <w:r>
        <w:t>а</w:t>
      </w:r>
      <w:r w:rsidRPr="00831356">
        <w:t xml:space="preserve"> от 06.12.2011 № 402-ФЗ «О бухгалтерском учёте»</w:t>
      </w:r>
      <w:r>
        <w:t>.</w:t>
      </w:r>
      <w:r w:rsidRPr="00831356">
        <w:t xml:space="preserve"> </w:t>
      </w:r>
    </w:p>
    <w:p w14:paraId="7659D054" w14:textId="77777777" w:rsidR="00D058DF" w:rsidRDefault="00D058DF" w:rsidP="00D058DF">
      <w:pPr>
        <w:tabs>
          <w:tab w:val="left" w:pos="0"/>
          <w:tab w:val="left" w:pos="284"/>
          <w:tab w:val="left" w:pos="5812"/>
        </w:tabs>
        <w:spacing w:line="240" w:lineRule="atLeast"/>
        <w:ind w:firstLine="680"/>
        <w:jc w:val="both"/>
      </w:pPr>
      <w:r>
        <w:t xml:space="preserve">В ходе проверки КСП вышеприведенное нарушение устранено. В Облфин представлена уточненная форма 0503130 «Баланс», в том числе Справки в составе Баланса (ф.0503130). Уточненная форма представлена в соответствии с письмом </w:t>
      </w:r>
      <w:proofErr w:type="spellStart"/>
      <w:r>
        <w:t>Облфина</w:t>
      </w:r>
      <w:proofErr w:type="spellEnd"/>
      <w:r>
        <w:t xml:space="preserve"> от 13.01.2021 №06-05-01-61/104 в электронном виде.</w:t>
      </w:r>
    </w:p>
    <w:p w14:paraId="72D80B56" w14:textId="77777777" w:rsidR="00B5483D" w:rsidRDefault="00B5483D" w:rsidP="00F3335A">
      <w:pPr>
        <w:autoSpaceDE w:val="0"/>
        <w:autoSpaceDN w:val="0"/>
        <w:adjustRightInd w:val="0"/>
        <w:rPr>
          <w:b/>
          <w:i/>
        </w:rPr>
      </w:pPr>
    </w:p>
    <w:p w14:paraId="6537E943" w14:textId="77777777" w:rsidR="00B5483D" w:rsidRDefault="00B5483D" w:rsidP="00B5483D">
      <w:pPr>
        <w:autoSpaceDE w:val="0"/>
        <w:autoSpaceDN w:val="0"/>
        <w:adjustRightInd w:val="0"/>
        <w:jc w:val="center"/>
        <w:rPr>
          <w:b/>
          <w:i/>
        </w:rPr>
      </w:pPr>
      <w:r w:rsidRPr="00F56E72">
        <w:rPr>
          <w:b/>
          <w:i/>
        </w:rPr>
        <w:t>Исполнение доходов</w:t>
      </w:r>
    </w:p>
    <w:p w14:paraId="08D4AEEC" w14:textId="77777777" w:rsidR="006414C5" w:rsidRPr="00531A7A" w:rsidRDefault="006414C5" w:rsidP="006414C5">
      <w:pPr>
        <w:pStyle w:val="a9"/>
        <w:ind w:firstLine="708"/>
        <w:jc w:val="both"/>
        <w:rPr>
          <w:b w:val="0"/>
        </w:rPr>
      </w:pPr>
      <w:r w:rsidRPr="00E71BD5">
        <w:rPr>
          <w:b w:val="0"/>
        </w:rPr>
        <w:t>Исполнение прогнозных показателей по доходам за 20</w:t>
      </w:r>
      <w:r>
        <w:rPr>
          <w:b w:val="0"/>
        </w:rPr>
        <w:t>20</w:t>
      </w:r>
      <w:r w:rsidRPr="00E71BD5">
        <w:rPr>
          <w:b w:val="0"/>
        </w:rPr>
        <w:t xml:space="preserve"> год составило </w:t>
      </w:r>
      <w:r>
        <w:rPr>
          <w:b w:val="0"/>
        </w:rPr>
        <w:t>35,0</w:t>
      </w:r>
      <w:r w:rsidRPr="00E71BD5">
        <w:rPr>
          <w:b w:val="0"/>
        </w:rPr>
        <w:t xml:space="preserve"> тыс. руб., или 1</w:t>
      </w:r>
      <w:r>
        <w:rPr>
          <w:b w:val="0"/>
        </w:rPr>
        <w:t>00,0</w:t>
      </w:r>
      <w:r w:rsidRPr="00E71BD5">
        <w:rPr>
          <w:b w:val="0"/>
        </w:rPr>
        <w:t> % от утвержденных бюджетных назначений.</w:t>
      </w:r>
      <w:r>
        <w:rPr>
          <w:b w:val="0"/>
        </w:rPr>
        <w:t xml:space="preserve"> </w:t>
      </w:r>
      <w:r w:rsidRPr="006417BF">
        <w:rPr>
          <w:b w:val="0"/>
        </w:rPr>
        <w:t>Указанные доходы представляют собой административные штрафы, наложенные мировыми судьями по протоколам об административных правонарушениях, составленным</w:t>
      </w:r>
      <w:r>
        <w:rPr>
          <w:b w:val="0"/>
        </w:rPr>
        <w:t>и</w:t>
      </w:r>
      <w:r w:rsidRPr="006417BF">
        <w:rPr>
          <w:b w:val="0"/>
        </w:rPr>
        <w:t xml:space="preserve"> уполномоченными сотрудниками КСП.</w:t>
      </w:r>
    </w:p>
    <w:p w14:paraId="0EF288E8" w14:textId="3389E566" w:rsidR="00635700" w:rsidRDefault="00635700" w:rsidP="00B5483D">
      <w:pPr>
        <w:jc w:val="both"/>
        <w:rPr>
          <w:highlight w:val="yellow"/>
        </w:rPr>
      </w:pPr>
    </w:p>
    <w:p w14:paraId="4C325B16" w14:textId="671F3FFF" w:rsidR="0017562B" w:rsidRDefault="0017562B" w:rsidP="00B5483D">
      <w:pPr>
        <w:jc w:val="both"/>
        <w:rPr>
          <w:highlight w:val="yellow"/>
        </w:rPr>
      </w:pPr>
    </w:p>
    <w:p w14:paraId="34E7071C" w14:textId="1E087F1C" w:rsidR="00846C53" w:rsidRDefault="00846C53" w:rsidP="00B5483D">
      <w:pPr>
        <w:jc w:val="both"/>
        <w:rPr>
          <w:highlight w:val="yellow"/>
        </w:rPr>
      </w:pPr>
    </w:p>
    <w:p w14:paraId="47012904" w14:textId="77777777" w:rsidR="00846C53" w:rsidRDefault="00846C53" w:rsidP="00B5483D">
      <w:pPr>
        <w:jc w:val="both"/>
        <w:rPr>
          <w:highlight w:val="yellow"/>
        </w:rPr>
      </w:pPr>
    </w:p>
    <w:p w14:paraId="58153AD3" w14:textId="77777777" w:rsidR="00B5483D" w:rsidRDefault="00B5483D" w:rsidP="00B5483D">
      <w:pPr>
        <w:jc w:val="center"/>
        <w:rPr>
          <w:b/>
          <w:i/>
        </w:rPr>
      </w:pPr>
      <w:r w:rsidRPr="006713D9">
        <w:rPr>
          <w:b/>
          <w:i/>
        </w:rPr>
        <w:lastRenderedPageBreak/>
        <w:t>Исполнение расходов</w:t>
      </w:r>
    </w:p>
    <w:p w14:paraId="0AD9EFF8" w14:textId="77777777" w:rsidR="00635700" w:rsidRDefault="00635700" w:rsidP="00635700">
      <w:pPr>
        <w:ind w:firstLine="709"/>
        <w:jc w:val="both"/>
      </w:pPr>
      <w:r w:rsidRPr="00357AD3">
        <w:t>Согласно отчету об</w:t>
      </w:r>
      <w:r>
        <w:t xml:space="preserve"> исполнении бюджета на 01.01.2021</w:t>
      </w:r>
      <w:r w:rsidRPr="00357AD3">
        <w:t xml:space="preserve"> (ф. 0503127) утвержденные </w:t>
      </w:r>
      <w:r w:rsidRPr="00524749">
        <w:t>Законом об областном бюджете на 20</w:t>
      </w:r>
      <w:r>
        <w:t>20</w:t>
      </w:r>
      <w:r w:rsidRPr="00524749">
        <w:t xml:space="preserve"> год</w:t>
      </w:r>
      <w:r w:rsidRPr="00357AD3">
        <w:t xml:space="preserve"> бюджетные назначения, доведенные Облфином, составили </w:t>
      </w:r>
      <w:r w:rsidRPr="00FD54E4">
        <w:t>8</w:t>
      </w:r>
      <w:r>
        <w:t>5 639,7тыс. рублей.</w:t>
      </w:r>
    </w:p>
    <w:p w14:paraId="65D7B164" w14:textId="77777777" w:rsidR="00635700" w:rsidRDefault="00635700" w:rsidP="00635700">
      <w:pPr>
        <w:autoSpaceDE w:val="0"/>
        <w:autoSpaceDN w:val="0"/>
        <w:adjustRightInd w:val="0"/>
        <w:ind w:firstLine="709"/>
        <w:jc w:val="both"/>
      </w:pPr>
      <w:r w:rsidRPr="006A4426">
        <w:t>У</w:t>
      </w:r>
      <w:r>
        <w:t>меньше</w:t>
      </w:r>
      <w:r w:rsidRPr="006A4426">
        <w:t xml:space="preserve">ние утвержденных бюджетных ассигнований в росписи относительно </w:t>
      </w:r>
      <w:r>
        <w:t xml:space="preserve">ассигнований, </w:t>
      </w:r>
      <w:r w:rsidRPr="0013702E">
        <w:t>утвержденных в Законе об областном бюджете</w:t>
      </w:r>
      <w:r>
        <w:t>,</w:t>
      </w:r>
      <w:r w:rsidRPr="0013702E">
        <w:t xml:space="preserve"> на сумму </w:t>
      </w:r>
      <w:r w:rsidRPr="002269DD">
        <w:t>7 213,5</w:t>
      </w:r>
      <w:r>
        <w:t xml:space="preserve"> тыс. руб. обусловлено внесением изменений</w:t>
      </w:r>
      <w:r w:rsidRPr="0013702E">
        <w:rPr>
          <w:bCs/>
        </w:rPr>
        <w:t xml:space="preserve"> в сводную бюджетную роспись </w:t>
      </w:r>
      <w:r w:rsidRPr="0013702E">
        <w:t xml:space="preserve">без внесения изменений в закон о бюджете в соответствии с </w:t>
      </w:r>
      <w:r>
        <w:t>перераспределением бюджетных ассигнований и лимитов бюджетных обязательств в</w:t>
      </w:r>
      <w:r>
        <w:rPr>
          <w:rFonts w:eastAsiaTheme="minorHAnsi"/>
          <w:lang w:eastAsia="en-US"/>
        </w:rPr>
        <w:t xml:space="preserve"> соответствии с </w:t>
      </w:r>
      <w:hyperlink r:id="rId8" w:history="1">
        <w:r w:rsidRPr="000D37F1">
          <w:rPr>
            <w:rFonts w:eastAsiaTheme="minorHAnsi"/>
            <w:lang w:eastAsia="en-US"/>
          </w:rPr>
          <w:t>частью 8 статьи 217</w:t>
        </w:r>
      </w:hyperlink>
      <w:r>
        <w:t xml:space="preserve"> </w:t>
      </w:r>
      <w:r>
        <w:rPr>
          <w:rFonts w:eastAsiaTheme="minorHAnsi"/>
          <w:lang w:eastAsia="en-US"/>
        </w:rPr>
        <w:t>БК РФ</w:t>
      </w:r>
      <w:r>
        <w:t>:</w:t>
      </w:r>
    </w:p>
    <w:p w14:paraId="1EBD414A" w14:textId="77777777" w:rsidR="00635700" w:rsidRDefault="00635700" w:rsidP="00635700">
      <w:pPr>
        <w:ind w:firstLine="709"/>
        <w:jc w:val="both"/>
      </w:pPr>
      <w:r w:rsidRPr="00BB1AAE">
        <w:t>- на сумму 7 185,0 тыс. руб. на основании абзаца 5 статьи 41.1 Закона Волгоградской области от 11.06.2008 №1694-ОД «О бюджетном процессе в Волгоградской области» (далее – Закон о бюджетном процессе) между главными распорядителями бюджетных средств. Указанное перераспределение произведено в связи с обращениями комитета тарифного</w:t>
      </w:r>
      <w:r>
        <w:t xml:space="preserve"> регулирования Волгоградской области от 12.11.2020 №31-04-14/3521 и комитета природных ресурсов, лесного хозяйства и экологии Волгоградской области от 19.11.2020 №10-02-01/21614 о наличии потребности в дополнительных средствах на оплату труда;</w:t>
      </w:r>
    </w:p>
    <w:p w14:paraId="5D7E864D" w14:textId="77777777" w:rsidR="00635700" w:rsidRDefault="00635700" w:rsidP="00635700">
      <w:pPr>
        <w:ind w:firstLine="709"/>
        <w:jc w:val="both"/>
        <w:rPr>
          <w:rFonts w:eastAsiaTheme="minorHAnsi"/>
          <w:lang w:eastAsia="en-US"/>
        </w:rPr>
      </w:pPr>
      <w:r>
        <w:t xml:space="preserve">- на сумму 28,5 тыс. руб. на основании абзаца 6 статьи 41.1 Закона о бюджетном процессе между главными распорядителями бюджетных средств </w:t>
      </w:r>
      <w:r>
        <w:rPr>
          <w:rFonts w:eastAsiaTheme="minorHAnsi"/>
          <w:lang w:eastAsia="en-US"/>
        </w:rPr>
        <w:t>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сложившейся в результате применения конкурсных процедур.</w:t>
      </w:r>
    </w:p>
    <w:p w14:paraId="59F330AE" w14:textId="2D693465" w:rsidR="00635700" w:rsidRDefault="00635700" w:rsidP="00635700">
      <w:pPr>
        <w:tabs>
          <w:tab w:val="left" w:pos="0"/>
        </w:tabs>
        <w:ind w:firstLine="720"/>
        <w:jc w:val="both"/>
      </w:pPr>
      <w:r>
        <w:t xml:space="preserve">Лимиты бюджетных обязательств составили </w:t>
      </w:r>
      <w:r w:rsidRPr="00C32C18">
        <w:t>8</w:t>
      </w:r>
      <w:r>
        <w:t>4 207,3</w:t>
      </w:r>
      <w:r w:rsidR="00723227">
        <w:t xml:space="preserve"> </w:t>
      </w:r>
      <w:r w:rsidRPr="006E2508">
        <w:t xml:space="preserve">тыс. руб., что </w:t>
      </w:r>
      <w:r w:rsidRPr="00E71BD5">
        <w:t xml:space="preserve">на </w:t>
      </w:r>
      <w:r>
        <w:t>1 432,4</w:t>
      </w:r>
      <w:r w:rsidRPr="00E71BD5">
        <w:t xml:space="preserve"> тыс. руб. ниже утвержденных бюджетных назначений.</w:t>
      </w:r>
      <w:r>
        <w:t xml:space="preserve"> </w:t>
      </w:r>
      <w:r w:rsidRPr="00E71BD5">
        <w:rPr>
          <w:rFonts w:eastAsia="SimSun"/>
          <w:color w:val="000000"/>
          <w:lang w:eastAsia="zh-CN"/>
        </w:rPr>
        <w:t>Кассовые расходы составили</w:t>
      </w:r>
      <w:r>
        <w:rPr>
          <w:rFonts w:eastAsia="SimSun"/>
          <w:color w:val="000000"/>
          <w:lang w:eastAsia="zh-CN"/>
        </w:rPr>
        <w:t xml:space="preserve"> </w:t>
      </w:r>
      <w:r w:rsidRPr="00E71BD5">
        <w:t>8</w:t>
      </w:r>
      <w:r>
        <w:t>2</w:t>
      </w:r>
      <w:r w:rsidRPr="00E71BD5">
        <w:t> </w:t>
      </w:r>
      <w:r>
        <w:t>627</w:t>
      </w:r>
      <w:r w:rsidRPr="00E71BD5">
        <w:t>,</w:t>
      </w:r>
      <w:r>
        <w:t>7</w:t>
      </w:r>
      <w:r w:rsidRPr="00E71BD5">
        <w:t xml:space="preserve"> тыс. руб., или 9</w:t>
      </w:r>
      <w:r>
        <w:t>6</w:t>
      </w:r>
      <w:r w:rsidRPr="00E71BD5">
        <w:t>,</w:t>
      </w:r>
      <w:r>
        <w:t>5</w:t>
      </w:r>
      <w:r w:rsidRPr="00E71BD5">
        <w:t>% к утвержденным бюджетным назначениям.</w:t>
      </w:r>
    </w:p>
    <w:p w14:paraId="619F74F3" w14:textId="0E06486A" w:rsidR="00635700" w:rsidRDefault="00635700" w:rsidP="00635700">
      <w:pPr>
        <w:tabs>
          <w:tab w:val="left" w:pos="0"/>
        </w:tabs>
        <w:ind w:firstLine="720"/>
        <w:jc w:val="both"/>
      </w:pPr>
      <w:r>
        <w:t>Анализ и</w:t>
      </w:r>
      <w:r w:rsidRPr="00A818C0">
        <w:t>сполнени</w:t>
      </w:r>
      <w:r>
        <w:t>я</w:t>
      </w:r>
      <w:r w:rsidRPr="00A818C0">
        <w:t xml:space="preserve"> </w:t>
      </w:r>
      <w:r>
        <w:t>бюджетных назначений по расходам</w:t>
      </w:r>
      <w:r w:rsidRPr="00A818C0">
        <w:t xml:space="preserve"> КСП представлен в таблице</w:t>
      </w:r>
      <w:r>
        <w:t>.</w:t>
      </w:r>
    </w:p>
    <w:p w14:paraId="646FEEA5" w14:textId="77777777" w:rsidR="00635700" w:rsidRPr="00157B96" w:rsidRDefault="00635700" w:rsidP="00635700">
      <w:pPr>
        <w:tabs>
          <w:tab w:val="left" w:pos="3261"/>
        </w:tabs>
        <w:autoSpaceDE w:val="0"/>
        <w:autoSpaceDN w:val="0"/>
        <w:adjustRightInd w:val="0"/>
        <w:jc w:val="right"/>
        <w:rPr>
          <w:i/>
          <w:sz w:val="18"/>
          <w:szCs w:val="18"/>
        </w:rPr>
      </w:pPr>
      <w:r>
        <w:rPr>
          <w:i/>
          <w:sz w:val="18"/>
          <w:szCs w:val="18"/>
        </w:rPr>
        <w:t>(</w:t>
      </w:r>
      <w:proofErr w:type="spellStart"/>
      <w:r>
        <w:rPr>
          <w:i/>
          <w:sz w:val="18"/>
          <w:szCs w:val="18"/>
        </w:rPr>
        <w:t>тыс.руб</w:t>
      </w:r>
      <w:proofErr w:type="spellEnd"/>
      <w:r>
        <w:rPr>
          <w:i/>
          <w:sz w:val="18"/>
          <w:szCs w:val="18"/>
        </w:rPr>
        <w:t>.)</w:t>
      </w:r>
    </w:p>
    <w:tbl>
      <w:tblPr>
        <w:tblW w:w="9970" w:type="dxa"/>
        <w:tblInd w:w="-2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412"/>
        <w:gridCol w:w="728"/>
        <w:gridCol w:w="992"/>
        <w:gridCol w:w="992"/>
        <w:gridCol w:w="1011"/>
        <w:gridCol w:w="993"/>
        <w:gridCol w:w="992"/>
        <w:gridCol w:w="850"/>
      </w:tblGrid>
      <w:tr w:rsidR="00635700" w:rsidRPr="008D7DFD" w14:paraId="7FB63963" w14:textId="77777777" w:rsidTr="0017562B">
        <w:trPr>
          <w:trHeight w:val="458"/>
        </w:trPr>
        <w:tc>
          <w:tcPr>
            <w:tcW w:w="3412" w:type="dxa"/>
            <w:vMerge w:val="restart"/>
            <w:shd w:val="clear" w:color="auto" w:fill="E7E6E6" w:themeFill="background2"/>
            <w:vAlign w:val="center"/>
            <w:hideMark/>
          </w:tcPr>
          <w:p w14:paraId="352319F7" w14:textId="77777777" w:rsidR="00635700" w:rsidRPr="003C5EED" w:rsidRDefault="00635700" w:rsidP="008834B4">
            <w:pPr>
              <w:jc w:val="center"/>
              <w:rPr>
                <w:b/>
                <w:color w:val="000000"/>
              </w:rPr>
            </w:pPr>
            <w:r w:rsidRPr="003C5EED">
              <w:rPr>
                <w:b/>
                <w:color w:val="000000"/>
                <w:sz w:val="22"/>
                <w:szCs w:val="22"/>
              </w:rPr>
              <w:t>Наименование показателя</w:t>
            </w:r>
          </w:p>
        </w:tc>
        <w:tc>
          <w:tcPr>
            <w:tcW w:w="728" w:type="dxa"/>
            <w:vMerge w:val="restart"/>
            <w:shd w:val="clear" w:color="auto" w:fill="E7E6E6" w:themeFill="background2"/>
            <w:vAlign w:val="center"/>
            <w:hideMark/>
          </w:tcPr>
          <w:p w14:paraId="1EA7F365" w14:textId="77777777" w:rsidR="00635700" w:rsidRPr="008D7DFD" w:rsidRDefault="00635700" w:rsidP="008834B4">
            <w:pPr>
              <w:jc w:val="center"/>
              <w:rPr>
                <w:color w:val="000000"/>
                <w:sz w:val="16"/>
                <w:szCs w:val="16"/>
              </w:rPr>
            </w:pPr>
            <w:r>
              <w:rPr>
                <w:color w:val="000000"/>
                <w:sz w:val="16"/>
                <w:szCs w:val="16"/>
              </w:rPr>
              <w:t>КБК</w:t>
            </w:r>
            <w:r w:rsidRPr="008D7DFD">
              <w:rPr>
                <w:color w:val="000000"/>
                <w:sz w:val="16"/>
                <w:szCs w:val="16"/>
              </w:rPr>
              <w:t xml:space="preserve"> (раздел, </w:t>
            </w:r>
            <w:proofErr w:type="spellStart"/>
            <w:r w:rsidRPr="008D7DFD">
              <w:rPr>
                <w:color w:val="000000"/>
                <w:sz w:val="16"/>
                <w:szCs w:val="16"/>
              </w:rPr>
              <w:t>подразд</w:t>
            </w:r>
            <w:proofErr w:type="spellEnd"/>
            <w:r w:rsidRPr="008D7DFD">
              <w:rPr>
                <w:color w:val="000000"/>
                <w:sz w:val="16"/>
                <w:szCs w:val="16"/>
              </w:rPr>
              <w:t>, цел. статья)</w:t>
            </w:r>
          </w:p>
        </w:tc>
        <w:tc>
          <w:tcPr>
            <w:tcW w:w="992" w:type="dxa"/>
            <w:vMerge w:val="restart"/>
            <w:shd w:val="clear" w:color="auto" w:fill="E7E6E6" w:themeFill="background2"/>
            <w:vAlign w:val="center"/>
            <w:hideMark/>
          </w:tcPr>
          <w:p w14:paraId="2C313B4A" w14:textId="77777777" w:rsidR="00635700" w:rsidRPr="008D7DFD" w:rsidRDefault="00635700" w:rsidP="008834B4">
            <w:pPr>
              <w:jc w:val="center"/>
              <w:rPr>
                <w:color w:val="000000"/>
                <w:sz w:val="16"/>
                <w:szCs w:val="16"/>
              </w:rPr>
            </w:pPr>
            <w:r w:rsidRPr="008D7DFD">
              <w:rPr>
                <w:color w:val="000000"/>
                <w:sz w:val="16"/>
                <w:szCs w:val="16"/>
              </w:rPr>
              <w:t>Закон об областном бюджете</w:t>
            </w:r>
          </w:p>
        </w:tc>
        <w:tc>
          <w:tcPr>
            <w:tcW w:w="992" w:type="dxa"/>
            <w:vMerge w:val="restart"/>
            <w:shd w:val="clear" w:color="auto" w:fill="E7E6E6" w:themeFill="background2"/>
            <w:vAlign w:val="center"/>
            <w:hideMark/>
          </w:tcPr>
          <w:p w14:paraId="77BC584D" w14:textId="77777777" w:rsidR="00635700" w:rsidRPr="008D7DFD" w:rsidRDefault="00635700" w:rsidP="008834B4">
            <w:pPr>
              <w:jc w:val="center"/>
              <w:rPr>
                <w:color w:val="000000"/>
                <w:sz w:val="16"/>
                <w:szCs w:val="16"/>
              </w:rPr>
            </w:pPr>
            <w:r w:rsidRPr="008D7DFD">
              <w:rPr>
                <w:color w:val="000000"/>
                <w:sz w:val="16"/>
                <w:szCs w:val="16"/>
              </w:rPr>
              <w:t>Утвержденные бюджетные назначения по росписи</w:t>
            </w:r>
          </w:p>
        </w:tc>
        <w:tc>
          <w:tcPr>
            <w:tcW w:w="1011" w:type="dxa"/>
            <w:vMerge w:val="restart"/>
            <w:shd w:val="clear" w:color="auto" w:fill="E7E6E6" w:themeFill="background2"/>
            <w:vAlign w:val="center"/>
            <w:hideMark/>
          </w:tcPr>
          <w:p w14:paraId="0F947AAF" w14:textId="77777777" w:rsidR="00635700" w:rsidRPr="008D7DFD" w:rsidRDefault="00635700" w:rsidP="008834B4">
            <w:pPr>
              <w:jc w:val="center"/>
              <w:rPr>
                <w:color w:val="000000"/>
                <w:sz w:val="16"/>
                <w:szCs w:val="16"/>
              </w:rPr>
            </w:pPr>
            <w:r w:rsidRPr="008D7DFD">
              <w:rPr>
                <w:color w:val="000000"/>
                <w:sz w:val="16"/>
                <w:szCs w:val="16"/>
              </w:rPr>
              <w:t>Лимиты бюджетных обязательств</w:t>
            </w:r>
          </w:p>
        </w:tc>
        <w:tc>
          <w:tcPr>
            <w:tcW w:w="993" w:type="dxa"/>
            <w:vMerge w:val="restart"/>
            <w:shd w:val="clear" w:color="auto" w:fill="E7E6E6" w:themeFill="background2"/>
            <w:vAlign w:val="center"/>
            <w:hideMark/>
          </w:tcPr>
          <w:p w14:paraId="4E335707" w14:textId="77777777" w:rsidR="00635700" w:rsidRPr="008D7DFD" w:rsidRDefault="00635700" w:rsidP="008834B4">
            <w:pPr>
              <w:jc w:val="center"/>
              <w:rPr>
                <w:color w:val="000000"/>
                <w:sz w:val="16"/>
                <w:szCs w:val="16"/>
              </w:rPr>
            </w:pPr>
            <w:r w:rsidRPr="008D7DFD">
              <w:rPr>
                <w:color w:val="000000"/>
                <w:sz w:val="16"/>
                <w:szCs w:val="16"/>
              </w:rPr>
              <w:t>Исполнено</w:t>
            </w:r>
          </w:p>
        </w:tc>
        <w:tc>
          <w:tcPr>
            <w:tcW w:w="992" w:type="dxa"/>
            <w:vMerge w:val="restart"/>
            <w:shd w:val="clear" w:color="auto" w:fill="E7E6E6" w:themeFill="background2"/>
            <w:vAlign w:val="center"/>
            <w:hideMark/>
          </w:tcPr>
          <w:p w14:paraId="229E7E03" w14:textId="77777777" w:rsidR="00635700" w:rsidRDefault="00635700" w:rsidP="008834B4">
            <w:pPr>
              <w:jc w:val="center"/>
              <w:rPr>
                <w:color w:val="000000"/>
                <w:sz w:val="16"/>
                <w:szCs w:val="16"/>
              </w:rPr>
            </w:pPr>
            <w:proofErr w:type="spellStart"/>
            <w:r w:rsidRPr="008D7DFD">
              <w:rPr>
                <w:color w:val="000000"/>
                <w:sz w:val="16"/>
                <w:szCs w:val="16"/>
              </w:rPr>
              <w:t>Неисполнен</w:t>
            </w:r>
            <w:proofErr w:type="spellEnd"/>
          </w:p>
          <w:p w14:paraId="35550418" w14:textId="77777777" w:rsidR="00635700" w:rsidRPr="008D7DFD" w:rsidRDefault="00635700" w:rsidP="008834B4">
            <w:pPr>
              <w:jc w:val="center"/>
              <w:rPr>
                <w:color w:val="000000"/>
                <w:sz w:val="16"/>
                <w:szCs w:val="16"/>
              </w:rPr>
            </w:pPr>
            <w:proofErr w:type="spellStart"/>
            <w:r w:rsidRPr="008D7DFD">
              <w:rPr>
                <w:color w:val="000000"/>
                <w:sz w:val="16"/>
                <w:szCs w:val="16"/>
              </w:rPr>
              <w:t>ные</w:t>
            </w:r>
            <w:proofErr w:type="spellEnd"/>
            <w:r w:rsidRPr="008D7DFD">
              <w:rPr>
                <w:color w:val="000000"/>
                <w:sz w:val="16"/>
                <w:szCs w:val="16"/>
              </w:rPr>
              <w:t xml:space="preserve"> назначения по ассигнованиям</w:t>
            </w:r>
          </w:p>
        </w:tc>
        <w:tc>
          <w:tcPr>
            <w:tcW w:w="850" w:type="dxa"/>
            <w:vMerge w:val="restart"/>
            <w:shd w:val="clear" w:color="auto" w:fill="E7E6E6" w:themeFill="background2"/>
            <w:vAlign w:val="center"/>
            <w:hideMark/>
          </w:tcPr>
          <w:p w14:paraId="198ADFBE" w14:textId="77777777" w:rsidR="00635700" w:rsidRPr="008D7DFD" w:rsidRDefault="00635700" w:rsidP="008834B4">
            <w:pPr>
              <w:jc w:val="center"/>
              <w:rPr>
                <w:color w:val="000000"/>
                <w:sz w:val="16"/>
                <w:szCs w:val="16"/>
              </w:rPr>
            </w:pPr>
            <w:r w:rsidRPr="008D7DFD">
              <w:rPr>
                <w:color w:val="000000"/>
                <w:sz w:val="16"/>
                <w:szCs w:val="16"/>
              </w:rPr>
              <w:t>% исполнения</w:t>
            </w:r>
          </w:p>
        </w:tc>
      </w:tr>
      <w:tr w:rsidR="00635700" w:rsidRPr="008D7DFD" w14:paraId="743C4EC6" w14:textId="77777777" w:rsidTr="0017562B">
        <w:trPr>
          <w:trHeight w:val="1009"/>
        </w:trPr>
        <w:tc>
          <w:tcPr>
            <w:tcW w:w="3412" w:type="dxa"/>
            <w:vMerge/>
            <w:shd w:val="clear" w:color="auto" w:fill="E7E6E6" w:themeFill="background2"/>
            <w:vAlign w:val="center"/>
            <w:hideMark/>
          </w:tcPr>
          <w:p w14:paraId="0CC4821B" w14:textId="77777777" w:rsidR="00635700" w:rsidRPr="008D7DFD" w:rsidRDefault="00635700" w:rsidP="008834B4">
            <w:pPr>
              <w:rPr>
                <w:color w:val="000000"/>
                <w:sz w:val="16"/>
                <w:szCs w:val="16"/>
              </w:rPr>
            </w:pPr>
          </w:p>
        </w:tc>
        <w:tc>
          <w:tcPr>
            <w:tcW w:w="728" w:type="dxa"/>
            <w:vMerge/>
            <w:shd w:val="clear" w:color="auto" w:fill="E7E6E6" w:themeFill="background2"/>
            <w:vAlign w:val="center"/>
            <w:hideMark/>
          </w:tcPr>
          <w:p w14:paraId="69BFF217" w14:textId="77777777" w:rsidR="00635700" w:rsidRPr="008D7DFD" w:rsidRDefault="00635700" w:rsidP="008834B4">
            <w:pPr>
              <w:rPr>
                <w:color w:val="000000"/>
                <w:sz w:val="16"/>
                <w:szCs w:val="16"/>
              </w:rPr>
            </w:pPr>
          </w:p>
        </w:tc>
        <w:tc>
          <w:tcPr>
            <w:tcW w:w="992" w:type="dxa"/>
            <w:vMerge/>
            <w:shd w:val="clear" w:color="auto" w:fill="E7E6E6" w:themeFill="background2"/>
            <w:vAlign w:val="center"/>
            <w:hideMark/>
          </w:tcPr>
          <w:p w14:paraId="03B7439C" w14:textId="77777777" w:rsidR="00635700" w:rsidRPr="008D7DFD" w:rsidRDefault="00635700" w:rsidP="008834B4">
            <w:pPr>
              <w:rPr>
                <w:color w:val="000000"/>
                <w:sz w:val="16"/>
                <w:szCs w:val="16"/>
              </w:rPr>
            </w:pPr>
          </w:p>
        </w:tc>
        <w:tc>
          <w:tcPr>
            <w:tcW w:w="992" w:type="dxa"/>
            <w:vMerge/>
            <w:shd w:val="clear" w:color="auto" w:fill="E7E6E6" w:themeFill="background2"/>
            <w:vAlign w:val="center"/>
            <w:hideMark/>
          </w:tcPr>
          <w:p w14:paraId="28A976B0" w14:textId="77777777" w:rsidR="00635700" w:rsidRPr="008D7DFD" w:rsidRDefault="00635700" w:rsidP="008834B4">
            <w:pPr>
              <w:rPr>
                <w:color w:val="000000"/>
                <w:sz w:val="16"/>
                <w:szCs w:val="16"/>
              </w:rPr>
            </w:pPr>
          </w:p>
        </w:tc>
        <w:tc>
          <w:tcPr>
            <w:tcW w:w="1011" w:type="dxa"/>
            <w:vMerge/>
            <w:shd w:val="clear" w:color="auto" w:fill="E7E6E6" w:themeFill="background2"/>
            <w:vAlign w:val="center"/>
            <w:hideMark/>
          </w:tcPr>
          <w:p w14:paraId="083B0E90" w14:textId="77777777" w:rsidR="00635700" w:rsidRPr="008D7DFD" w:rsidRDefault="00635700" w:rsidP="008834B4">
            <w:pPr>
              <w:rPr>
                <w:color w:val="000000"/>
                <w:sz w:val="16"/>
                <w:szCs w:val="16"/>
              </w:rPr>
            </w:pPr>
          </w:p>
        </w:tc>
        <w:tc>
          <w:tcPr>
            <w:tcW w:w="993" w:type="dxa"/>
            <w:vMerge/>
            <w:shd w:val="clear" w:color="auto" w:fill="E7E6E6" w:themeFill="background2"/>
            <w:vAlign w:val="center"/>
            <w:hideMark/>
          </w:tcPr>
          <w:p w14:paraId="5CAA6EDF" w14:textId="77777777" w:rsidR="00635700" w:rsidRPr="008D7DFD" w:rsidRDefault="00635700" w:rsidP="008834B4">
            <w:pPr>
              <w:rPr>
                <w:color w:val="000000"/>
                <w:sz w:val="16"/>
                <w:szCs w:val="16"/>
              </w:rPr>
            </w:pPr>
          </w:p>
        </w:tc>
        <w:tc>
          <w:tcPr>
            <w:tcW w:w="992" w:type="dxa"/>
            <w:vMerge/>
            <w:shd w:val="clear" w:color="auto" w:fill="E7E6E6" w:themeFill="background2"/>
            <w:vAlign w:val="center"/>
            <w:hideMark/>
          </w:tcPr>
          <w:p w14:paraId="116C4292" w14:textId="77777777" w:rsidR="00635700" w:rsidRPr="008D7DFD" w:rsidRDefault="00635700" w:rsidP="008834B4">
            <w:pPr>
              <w:rPr>
                <w:color w:val="000000"/>
                <w:sz w:val="16"/>
                <w:szCs w:val="16"/>
              </w:rPr>
            </w:pPr>
          </w:p>
        </w:tc>
        <w:tc>
          <w:tcPr>
            <w:tcW w:w="850" w:type="dxa"/>
            <w:vMerge/>
            <w:shd w:val="clear" w:color="auto" w:fill="E7E6E6" w:themeFill="background2"/>
            <w:vAlign w:val="center"/>
            <w:hideMark/>
          </w:tcPr>
          <w:p w14:paraId="0142A18D" w14:textId="77777777" w:rsidR="00635700" w:rsidRPr="008D7DFD" w:rsidRDefault="00635700" w:rsidP="008834B4">
            <w:pPr>
              <w:rPr>
                <w:color w:val="000000"/>
                <w:sz w:val="16"/>
                <w:szCs w:val="16"/>
              </w:rPr>
            </w:pPr>
          </w:p>
        </w:tc>
      </w:tr>
      <w:tr w:rsidR="00635700" w:rsidRPr="00C1219E" w14:paraId="66A7E4FC" w14:textId="77777777" w:rsidTr="0017562B">
        <w:trPr>
          <w:trHeight w:val="20"/>
        </w:trPr>
        <w:tc>
          <w:tcPr>
            <w:tcW w:w="3412" w:type="dxa"/>
            <w:shd w:val="clear" w:color="auto" w:fill="auto"/>
            <w:vAlign w:val="bottom"/>
            <w:hideMark/>
          </w:tcPr>
          <w:p w14:paraId="48A6F6BE" w14:textId="77777777" w:rsidR="00635700" w:rsidRPr="003C5EED" w:rsidRDefault="00635700" w:rsidP="008834B4">
            <w:pPr>
              <w:rPr>
                <w:b/>
                <w:bCs/>
                <w:color w:val="000000"/>
                <w:sz w:val="18"/>
                <w:szCs w:val="18"/>
              </w:rPr>
            </w:pPr>
            <w:r w:rsidRPr="003C5EED">
              <w:rPr>
                <w:b/>
                <w:bCs/>
                <w:color w:val="000000"/>
                <w:sz w:val="18"/>
                <w:szCs w:val="18"/>
              </w:rPr>
              <w:t xml:space="preserve">Расходы бюджета – </w:t>
            </w:r>
            <w:proofErr w:type="gramStart"/>
            <w:r w:rsidRPr="003C5EED">
              <w:rPr>
                <w:b/>
                <w:bCs/>
                <w:color w:val="000000"/>
                <w:sz w:val="18"/>
                <w:szCs w:val="18"/>
              </w:rPr>
              <w:t xml:space="preserve">всего,   </w:t>
            </w:r>
            <w:proofErr w:type="gramEnd"/>
            <w:r w:rsidRPr="003C5EED">
              <w:rPr>
                <w:b/>
                <w:bCs/>
                <w:color w:val="000000"/>
                <w:sz w:val="18"/>
                <w:szCs w:val="18"/>
              </w:rPr>
              <w:t>в том числе:</w:t>
            </w:r>
          </w:p>
        </w:tc>
        <w:tc>
          <w:tcPr>
            <w:tcW w:w="728" w:type="dxa"/>
            <w:shd w:val="clear" w:color="auto" w:fill="auto"/>
            <w:noWrap/>
            <w:vAlign w:val="center"/>
            <w:hideMark/>
          </w:tcPr>
          <w:p w14:paraId="4854C34B" w14:textId="77777777" w:rsidR="00635700" w:rsidRPr="003C5EED" w:rsidRDefault="00635700" w:rsidP="008834B4">
            <w:pPr>
              <w:jc w:val="center"/>
              <w:rPr>
                <w:b/>
                <w:bCs/>
                <w:color w:val="000000"/>
                <w:sz w:val="20"/>
                <w:szCs w:val="20"/>
              </w:rPr>
            </w:pPr>
            <w:r w:rsidRPr="003C5EED">
              <w:rPr>
                <w:b/>
                <w:bCs/>
                <w:color w:val="000000"/>
                <w:sz w:val="20"/>
                <w:szCs w:val="20"/>
              </w:rPr>
              <w:t>Х</w:t>
            </w:r>
          </w:p>
        </w:tc>
        <w:tc>
          <w:tcPr>
            <w:tcW w:w="992" w:type="dxa"/>
            <w:shd w:val="clear" w:color="auto" w:fill="auto"/>
            <w:noWrap/>
            <w:vAlign w:val="center"/>
            <w:hideMark/>
          </w:tcPr>
          <w:p w14:paraId="76D50024" w14:textId="77777777" w:rsidR="00635700" w:rsidRPr="00491F4B" w:rsidRDefault="00635700" w:rsidP="008834B4">
            <w:pPr>
              <w:jc w:val="center"/>
              <w:rPr>
                <w:b/>
                <w:bCs/>
                <w:color w:val="000000"/>
                <w:sz w:val="20"/>
                <w:szCs w:val="20"/>
                <w:lang w:val="en-US"/>
              </w:rPr>
            </w:pPr>
            <w:r>
              <w:rPr>
                <w:b/>
                <w:bCs/>
                <w:color w:val="000000"/>
                <w:sz w:val="20"/>
                <w:szCs w:val="20"/>
                <w:lang w:val="en-US"/>
              </w:rPr>
              <w:t>92</w:t>
            </w:r>
            <w:r w:rsidRPr="003C5EED">
              <w:rPr>
                <w:b/>
                <w:bCs/>
                <w:color w:val="000000"/>
                <w:sz w:val="20"/>
                <w:szCs w:val="20"/>
              </w:rPr>
              <w:t> </w:t>
            </w:r>
            <w:r>
              <w:rPr>
                <w:b/>
                <w:bCs/>
                <w:color w:val="000000"/>
                <w:sz w:val="20"/>
                <w:szCs w:val="20"/>
                <w:lang w:val="en-US"/>
              </w:rPr>
              <w:t>853</w:t>
            </w:r>
            <w:r w:rsidRPr="003C5EED">
              <w:rPr>
                <w:b/>
                <w:bCs/>
                <w:color w:val="000000"/>
                <w:sz w:val="20"/>
                <w:szCs w:val="20"/>
              </w:rPr>
              <w:t>,</w:t>
            </w:r>
            <w:r>
              <w:rPr>
                <w:b/>
                <w:bCs/>
                <w:color w:val="000000"/>
                <w:sz w:val="20"/>
                <w:szCs w:val="20"/>
                <w:lang w:val="en-US"/>
              </w:rPr>
              <w:t>2</w:t>
            </w:r>
          </w:p>
        </w:tc>
        <w:tc>
          <w:tcPr>
            <w:tcW w:w="992" w:type="dxa"/>
            <w:shd w:val="clear" w:color="auto" w:fill="auto"/>
            <w:noWrap/>
            <w:vAlign w:val="center"/>
            <w:hideMark/>
          </w:tcPr>
          <w:p w14:paraId="6473547F" w14:textId="77777777" w:rsidR="00635700" w:rsidRPr="003C5EED" w:rsidRDefault="00635700" w:rsidP="008834B4">
            <w:pPr>
              <w:jc w:val="center"/>
              <w:rPr>
                <w:b/>
                <w:bCs/>
                <w:color w:val="000000"/>
                <w:sz w:val="20"/>
                <w:szCs w:val="20"/>
              </w:rPr>
            </w:pPr>
            <w:r w:rsidRPr="003C5EED">
              <w:rPr>
                <w:b/>
                <w:bCs/>
                <w:color w:val="000000"/>
                <w:sz w:val="20"/>
                <w:szCs w:val="20"/>
              </w:rPr>
              <w:t>8</w:t>
            </w:r>
            <w:r>
              <w:rPr>
                <w:b/>
                <w:bCs/>
                <w:color w:val="000000"/>
                <w:sz w:val="20"/>
                <w:szCs w:val="20"/>
              </w:rPr>
              <w:t>5 639,7</w:t>
            </w:r>
          </w:p>
        </w:tc>
        <w:tc>
          <w:tcPr>
            <w:tcW w:w="1011" w:type="dxa"/>
            <w:shd w:val="clear" w:color="auto" w:fill="auto"/>
            <w:noWrap/>
            <w:vAlign w:val="center"/>
            <w:hideMark/>
          </w:tcPr>
          <w:p w14:paraId="377D69DF" w14:textId="77777777" w:rsidR="00635700" w:rsidRPr="003C5EED" w:rsidRDefault="00635700" w:rsidP="008834B4">
            <w:pPr>
              <w:jc w:val="center"/>
              <w:rPr>
                <w:b/>
                <w:bCs/>
                <w:color w:val="000000"/>
                <w:sz w:val="20"/>
                <w:szCs w:val="20"/>
              </w:rPr>
            </w:pPr>
            <w:r w:rsidRPr="003C5EED">
              <w:rPr>
                <w:b/>
                <w:bCs/>
                <w:color w:val="000000"/>
                <w:sz w:val="20"/>
                <w:szCs w:val="20"/>
              </w:rPr>
              <w:t>8</w:t>
            </w:r>
            <w:r>
              <w:rPr>
                <w:b/>
                <w:bCs/>
                <w:color w:val="000000"/>
                <w:sz w:val="20"/>
                <w:szCs w:val="20"/>
              </w:rPr>
              <w:t>4 207,3</w:t>
            </w:r>
          </w:p>
        </w:tc>
        <w:tc>
          <w:tcPr>
            <w:tcW w:w="993" w:type="dxa"/>
            <w:shd w:val="clear" w:color="auto" w:fill="auto"/>
            <w:noWrap/>
            <w:vAlign w:val="center"/>
            <w:hideMark/>
          </w:tcPr>
          <w:p w14:paraId="615372C4" w14:textId="77777777" w:rsidR="00635700" w:rsidRPr="003C5EED" w:rsidRDefault="00635700" w:rsidP="008834B4">
            <w:pPr>
              <w:jc w:val="center"/>
              <w:rPr>
                <w:b/>
                <w:bCs/>
                <w:color w:val="000000"/>
                <w:sz w:val="20"/>
                <w:szCs w:val="20"/>
              </w:rPr>
            </w:pPr>
            <w:r w:rsidRPr="003C5EED">
              <w:rPr>
                <w:b/>
                <w:bCs/>
                <w:color w:val="000000"/>
                <w:sz w:val="20"/>
                <w:szCs w:val="20"/>
              </w:rPr>
              <w:t>8</w:t>
            </w:r>
            <w:r>
              <w:rPr>
                <w:b/>
                <w:bCs/>
                <w:color w:val="000000"/>
                <w:sz w:val="20"/>
                <w:szCs w:val="20"/>
              </w:rPr>
              <w:t>2</w:t>
            </w:r>
            <w:r w:rsidRPr="003C5EED">
              <w:rPr>
                <w:b/>
                <w:bCs/>
                <w:color w:val="000000"/>
                <w:sz w:val="20"/>
                <w:szCs w:val="20"/>
              </w:rPr>
              <w:t> </w:t>
            </w:r>
            <w:r>
              <w:rPr>
                <w:b/>
                <w:bCs/>
                <w:color w:val="000000"/>
                <w:sz w:val="20"/>
                <w:szCs w:val="20"/>
              </w:rPr>
              <w:t>627</w:t>
            </w:r>
            <w:r w:rsidRPr="003C5EED">
              <w:rPr>
                <w:b/>
                <w:bCs/>
                <w:color w:val="000000"/>
                <w:sz w:val="20"/>
                <w:szCs w:val="20"/>
              </w:rPr>
              <w:t>,</w:t>
            </w:r>
            <w:r>
              <w:rPr>
                <w:b/>
                <w:bCs/>
                <w:color w:val="000000"/>
                <w:sz w:val="20"/>
                <w:szCs w:val="20"/>
              </w:rPr>
              <w:t>7</w:t>
            </w:r>
          </w:p>
        </w:tc>
        <w:tc>
          <w:tcPr>
            <w:tcW w:w="992" w:type="dxa"/>
            <w:shd w:val="clear" w:color="auto" w:fill="auto"/>
            <w:noWrap/>
            <w:vAlign w:val="center"/>
            <w:hideMark/>
          </w:tcPr>
          <w:p w14:paraId="5966B27A" w14:textId="77777777" w:rsidR="00635700" w:rsidRPr="003C5EED" w:rsidRDefault="00635700" w:rsidP="008834B4">
            <w:pPr>
              <w:jc w:val="center"/>
              <w:rPr>
                <w:b/>
                <w:bCs/>
                <w:color w:val="000000"/>
                <w:sz w:val="20"/>
                <w:szCs w:val="20"/>
                <w:highlight w:val="yellow"/>
              </w:rPr>
            </w:pPr>
            <w:r w:rsidRPr="003C5EED">
              <w:rPr>
                <w:b/>
                <w:bCs/>
                <w:color w:val="000000"/>
                <w:sz w:val="20"/>
                <w:szCs w:val="20"/>
              </w:rPr>
              <w:t>-</w:t>
            </w:r>
            <w:r>
              <w:rPr>
                <w:b/>
                <w:bCs/>
                <w:color w:val="000000"/>
                <w:sz w:val="20"/>
                <w:szCs w:val="20"/>
              </w:rPr>
              <w:t>3 012,0</w:t>
            </w:r>
          </w:p>
        </w:tc>
        <w:tc>
          <w:tcPr>
            <w:tcW w:w="850" w:type="dxa"/>
            <w:shd w:val="clear" w:color="auto" w:fill="auto"/>
            <w:noWrap/>
            <w:vAlign w:val="center"/>
            <w:hideMark/>
          </w:tcPr>
          <w:p w14:paraId="53D9D407" w14:textId="77777777" w:rsidR="00635700" w:rsidRPr="003C5EED" w:rsidRDefault="00635700" w:rsidP="008834B4">
            <w:pPr>
              <w:jc w:val="center"/>
              <w:rPr>
                <w:b/>
                <w:bCs/>
                <w:color w:val="000000"/>
                <w:sz w:val="20"/>
                <w:szCs w:val="20"/>
              </w:rPr>
            </w:pPr>
            <w:r w:rsidRPr="003C5EED">
              <w:rPr>
                <w:b/>
                <w:bCs/>
                <w:color w:val="000000"/>
                <w:sz w:val="20"/>
                <w:szCs w:val="20"/>
              </w:rPr>
              <w:t>9</w:t>
            </w:r>
            <w:r>
              <w:rPr>
                <w:b/>
                <w:bCs/>
                <w:color w:val="000000"/>
                <w:sz w:val="20"/>
                <w:szCs w:val="20"/>
              </w:rPr>
              <w:t>6</w:t>
            </w:r>
            <w:r w:rsidRPr="003C5EED">
              <w:rPr>
                <w:b/>
                <w:bCs/>
                <w:color w:val="000000"/>
                <w:sz w:val="20"/>
                <w:szCs w:val="20"/>
              </w:rPr>
              <w:t>,</w:t>
            </w:r>
            <w:r>
              <w:rPr>
                <w:b/>
                <w:bCs/>
                <w:color w:val="000000"/>
                <w:sz w:val="20"/>
                <w:szCs w:val="20"/>
              </w:rPr>
              <w:t>5</w:t>
            </w:r>
          </w:p>
        </w:tc>
      </w:tr>
      <w:tr w:rsidR="00635700" w:rsidRPr="008D7DFD" w14:paraId="192A744D" w14:textId="77777777" w:rsidTr="0017562B">
        <w:trPr>
          <w:trHeight w:val="20"/>
        </w:trPr>
        <w:tc>
          <w:tcPr>
            <w:tcW w:w="3412" w:type="dxa"/>
            <w:shd w:val="clear" w:color="auto" w:fill="auto"/>
            <w:vAlign w:val="bottom"/>
            <w:hideMark/>
          </w:tcPr>
          <w:p w14:paraId="52088C96" w14:textId="77777777" w:rsidR="00635700" w:rsidRPr="003C5EED" w:rsidRDefault="00635700" w:rsidP="008834B4">
            <w:pPr>
              <w:rPr>
                <w:b/>
                <w:bCs/>
                <w:color w:val="000000"/>
                <w:sz w:val="18"/>
                <w:szCs w:val="18"/>
              </w:rPr>
            </w:pPr>
            <w:r w:rsidRPr="003C5EED">
              <w:rPr>
                <w:b/>
                <w:bCs/>
                <w:color w:val="000000"/>
                <w:sz w:val="18"/>
                <w:szCs w:val="18"/>
              </w:rPr>
              <w:t>Общегосударственные вопросы</w:t>
            </w:r>
          </w:p>
        </w:tc>
        <w:tc>
          <w:tcPr>
            <w:tcW w:w="728" w:type="dxa"/>
            <w:shd w:val="clear" w:color="auto" w:fill="auto"/>
            <w:noWrap/>
            <w:vAlign w:val="center"/>
            <w:hideMark/>
          </w:tcPr>
          <w:p w14:paraId="2D0625B1" w14:textId="77777777" w:rsidR="00635700" w:rsidRPr="003C5EED" w:rsidRDefault="00635700" w:rsidP="008834B4">
            <w:pPr>
              <w:jc w:val="center"/>
              <w:rPr>
                <w:b/>
                <w:bCs/>
                <w:color w:val="000000"/>
                <w:sz w:val="20"/>
                <w:szCs w:val="20"/>
              </w:rPr>
            </w:pPr>
            <w:r w:rsidRPr="003C5EED">
              <w:rPr>
                <w:b/>
                <w:bCs/>
                <w:color w:val="000000"/>
                <w:sz w:val="20"/>
                <w:szCs w:val="20"/>
              </w:rPr>
              <w:t>100</w:t>
            </w:r>
          </w:p>
        </w:tc>
        <w:tc>
          <w:tcPr>
            <w:tcW w:w="992" w:type="dxa"/>
            <w:shd w:val="clear" w:color="auto" w:fill="auto"/>
            <w:noWrap/>
            <w:vAlign w:val="center"/>
            <w:hideMark/>
          </w:tcPr>
          <w:p w14:paraId="5FE0D0EA" w14:textId="77777777" w:rsidR="00635700" w:rsidRPr="002B14EA" w:rsidRDefault="00635700" w:rsidP="008834B4">
            <w:pPr>
              <w:jc w:val="center"/>
              <w:rPr>
                <w:b/>
                <w:bCs/>
                <w:color w:val="000000"/>
                <w:sz w:val="20"/>
                <w:szCs w:val="20"/>
              </w:rPr>
            </w:pPr>
            <w:r w:rsidRPr="002B14EA">
              <w:rPr>
                <w:b/>
                <w:bCs/>
                <w:color w:val="000000"/>
                <w:sz w:val="20"/>
                <w:szCs w:val="20"/>
                <w:lang w:val="en-US"/>
              </w:rPr>
              <w:t>92</w:t>
            </w:r>
            <w:r w:rsidRPr="002B14EA">
              <w:rPr>
                <w:b/>
                <w:bCs/>
                <w:color w:val="000000"/>
                <w:sz w:val="20"/>
                <w:szCs w:val="20"/>
              </w:rPr>
              <w:t> </w:t>
            </w:r>
            <w:r w:rsidRPr="002B14EA">
              <w:rPr>
                <w:b/>
                <w:bCs/>
                <w:color w:val="000000"/>
                <w:sz w:val="20"/>
                <w:szCs w:val="20"/>
                <w:lang w:val="en-US"/>
              </w:rPr>
              <w:t>503</w:t>
            </w:r>
            <w:r w:rsidRPr="002B14EA">
              <w:rPr>
                <w:b/>
                <w:bCs/>
                <w:color w:val="000000"/>
                <w:sz w:val="20"/>
                <w:szCs w:val="20"/>
              </w:rPr>
              <w:t>,</w:t>
            </w:r>
            <w:r w:rsidRPr="002B14EA">
              <w:rPr>
                <w:b/>
                <w:bCs/>
                <w:color w:val="000000"/>
                <w:sz w:val="20"/>
                <w:szCs w:val="20"/>
                <w:lang w:val="en-US"/>
              </w:rPr>
              <w:t>2</w:t>
            </w:r>
          </w:p>
        </w:tc>
        <w:tc>
          <w:tcPr>
            <w:tcW w:w="992" w:type="dxa"/>
            <w:shd w:val="clear" w:color="auto" w:fill="auto"/>
            <w:noWrap/>
            <w:vAlign w:val="center"/>
            <w:hideMark/>
          </w:tcPr>
          <w:p w14:paraId="4EBB8423" w14:textId="77777777" w:rsidR="00635700" w:rsidRPr="002B14EA" w:rsidRDefault="00635700" w:rsidP="008834B4">
            <w:pPr>
              <w:jc w:val="center"/>
              <w:rPr>
                <w:b/>
                <w:bCs/>
                <w:color w:val="000000"/>
                <w:sz w:val="20"/>
                <w:szCs w:val="20"/>
              </w:rPr>
            </w:pPr>
            <w:r w:rsidRPr="002B14EA">
              <w:rPr>
                <w:b/>
                <w:bCs/>
                <w:color w:val="000000"/>
                <w:sz w:val="20"/>
                <w:szCs w:val="20"/>
              </w:rPr>
              <w:t>85 289,7</w:t>
            </w:r>
          </w:p>
        </w:tc>
        <w:tc>
          <w:tcPr>
            <w:tcW w:w="1011" w:type="dxa"/>
            <w:shd w:val="clear" w:color="auto" w:fill="auto"/>
            <w:noWrap/>
            <w:vAlign w:val="center"/>
            <w:hideMark/>
          </w:tcPr>
          <w:p w14:paraId="0AC91879" w14:textId="77777777" w:rsidR="00635700" w:rsidRPr="002B14EA" w:rsidRDefault="00635700" w:rsidP="008834B4">
            <w:pPr>
              <w:jc w:val="center"/>
              <w:rPr>
                <w:b/>
                <w:bCs/>
                <w:color w:val="000000"/>
                <w:sz w:val="20"/>
                <w:szCs w:val="20"/>
              </w:rPr>
            </w:pPr>
            <w:r w:rsidRPr="002B14EA">
              <w:rPr>
                <w:b/>
                <w:bCs/>
                <w:color w:val="000000"/>
                <w:sz w:val="20"/>
                <w:szCs w:val="20"/>
              </w:rPr>
              <w:t>84 157,3</w:t>
            </w:r>
          </w:p>
        </w:tc>
        <w:tc>
          <w:tcPr>
            <w:tcW w:w="993" w:type="dxa"/>
            <w:shd w:val="clear" w:color="auto" w:fill="auto"/>
            <w:noWrap/>
            <w:vAlign w:val="center"/>
            <w:hideMark/>
          </w:tcPr>
          <w:p w14:paraId="5FBC80B1" w14:textId="77777777" w:rsidR="00635700" w:rsidRPr="002B14EA" w:rsidRDefault="00635700" w:rsidP="008834B4">
            <w:pPr>
              <w:jc w:val="center"/>
              <w:rPr>
                <w:b/>
                <w:bCs/>
                <w:color w:val="000000"/>
                <w:sz w:val="20"/>
                <w:szCs w:val="20"/>
              </w:rPr>
            </w:pPr>
            <w:r w:rsidRPr="002B14EA">
              <w:rPr>
                <w:b/>
                <w:bCs/>
                <w:color w:val="000000"/>
                <w:sz w:val="20"/>
                <w:szCs w:val="20"/>
              </w:rPr>
              <w:t>8</w:t>
            </w:r>
            <w:r>
              <w:rPr>
                <w:b/>
                <w:bCs/>
                <w:color w:val="000000"/>
                <w:sz w:val="20"/>
                <w:szCs w:val="20"/>
              </w:rPr>
              <w:t>2</w:t>
            </w:r>
            <w:r w:rsidRPr="002B14EA">
              <w:rPr>
                <w:b/>
                <w:bCs/>
                <w:color w:val="000000"/>
                <w:sz w:val="20"/>
                <w:szCs w:val="20"/>
              </w:rPr>
              <w:t> 5</w:t>
            </w:r>
            <w:r>
              <w:rPr>
                <w:b/>
                <w:bCs/>
                <w:color w:val="000000"/>
                <w:sz w:val="20"/>
                <w:szCs w:val="20"/>
              </w:rPr>
              <w:t>77</w:t>
            </w:r>
            <w:r w:rsidRPr="002B14EA">
              <w:rPr>
                <w:b/>
                <w:bCs/>
                <w:color w:val="000000"/>
                <w:sz w:val="20"/>
                <w:szCs w:val="20"/>
              </w:rPr>
              <w:t>,</w:t>
            </w:r>
            <w:r>
              <w:rPr>
                <w:b/>
                <w:bCs/>
                <w:color w:val="000000"/>
                <w:sz w:val="20"/>
                <w:szCs w:val="20"/>
              </w:rPr>
              <w:t>7</w:t>
            </w:r>
          </w:p>
        </w:tc>
        <w:tc>
          <w:tcPr>
            <w:tcW w:w="992" w:type="dxa"/>
            <w:shd w:val="clear" w:color="auto" w:fill="auto"/>
            <w:noWrap/>
            <w:vAlign w:val="center"/>
            <w:hideMark/>
          </w:tcPr>
          <w:p w14:paraId="5DA202FB" w14:textId="77777777" w:rsidR="00635700" w:rsidRPr="002B14EA" w:rsidRDefault="00635700" w:rsidP="008834B4">
            <w:pPr>
              <w:jc w:val="center"/>
              <w:rPr>
                <w:b/>
                <w:bCs/>
                <w:color w:val="000000"/>
                <w:sz w:val="20"/>
                <w:szCs w:val="20"/>
                <w:highlight w:val="yellow"/>
              </w:rPr>
            </w:pPr>
            <w:r w:rsidRPr="002B14EA">
              <w:rPr>
                <w:b/>
                <w:bCs/>
                <w:color w:val="000000"/>
                <w:sz w:val="20"/>
                <w:szCs w:val="20"/>
              </w:rPr>
              <w:t>-2</w:t>
            </w:r>
            <w:r>
              <w:rPr>
                <w:b/>
                <w:bCs/>
                <w:color w:val="000000"/>
                <w:sz w:val="20"/>
                <w:szCs w:val="20"/>
              </w:rPr>
              <w:t> 712,0</w:t>
            </w:r>
          </w:p>
        </w:tc>
        <w:tc>
          <w:tcPr>
            <w:tcW w:w="850" w:type="dxa"/>
            <w:shd w:val="clear" w:color="auto" w:fill="auto"/>
            <w:noWrap/>
            <w:vAlign w:val="center"/>
            <w:hideMark/>
          </w:tcPr>
          <w:p w14:paraId="2B593A9D" w14:textId="77777777" w:rsidR="00635700" w:rsidRPr="002B14EA" w:rsidRDefault="00635700" w:rsidP="008834B4">
            <w:pPr>
              <w:jc w:val="center"/>
              <w:rPr>
                <w:b/>
                <w:bCs/>
                <w:color w:val="000000"/>
                <w:sz w:val="20"/>
                <w:szCs w:val="20"/>
              </w:rPr>
            </w:pPr>
            <w:r w:rsidRPr="002B14EA">
              <w:rPr>
                <w:b/>
                <w:bCs/>
                <w:color w:val="000000"/>
                <w:sz w:val="20"/>
                <w:szCs w:val="20"/>
              </w:rPr>
              <w:t>9</w:t>
            </w:r>
            <w:r>
              <w:rPr>
                <w:b/>
                <w:bCs/>
                <w:color w:val="000000"/>
                <w:sz w:val="20"/>
                <w:szCs w:val="20"/>
              </w:rPr>
              <w:t>6</w:t>
            </w:r>
            <w:r w:rsidRPr="002B14EA">
              <w:rPr>
                <w:b/>
                <w:bCs/>
                <w:color w:val="000000"/>
                <w:sz w:val="20"/>
                <w:szCs w:val="20"/>
              </w:rPr>
              <w:t>,</w:t>
            </w:r>
            <w:r>
              <w:rPr>
                <w:b/>
                <w:bCs/>
                <w:color w:val="000000"/>
                <w:sz w:val="20"/>
                <w:szCs w:val="20"/>
              </w:rPr>
              <w:t>8</w:t>
            </w:r>
          </w:p>
        </w:tc>
      </w:tr>
      <w:tr w:rsidR="00635700" w:rsidRPr="008D7DFD" w14:paraId="5A4227B1" w14:textId="77777777" w:rsidTr="0017562B">
        <w:trPr>
          <w:trHeight w:val="20"/>
        </w:trPr>
        <w:tc>
          <w:tcPr>
            <w:tcW w:w="3412" w:type="dxa"/>
            <w:shd w:val="clear" w:color="auto" w:fill="auto"/>
            <w:vAlign w:val="bottom"/>
            <w:hideMark/>
          </w:tcPr>
          <w:p w14:paraId="0CBC6A98" w14:textId="77777777" w:rsidR="00635700" w:rsidRPr="003C5EED" w:rsidRDefault="00635700" w:rsidP="008834B4">
            <w:pPr>
              <w:jc w:val="both"/>
              <w:rPr>
                <w:b/>
                <w:bCs/>
                <w:color w:val="000000"/>
                <w:sz w:val="18"/>
                <w:szCs w:val="18"/>
              </w:rPr>
            </w:pPr>
            <w:r w:rsidRPr="003C5EED">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8" w:type="dxa"/>
            <w:shd w:val="clear" w:color="auto" w:fill="auto"/>
            <w:noWrap/>
            <w:vAlign w:val="center"/>
            <w:hideMark/>
          </w:tcPr>
          <w:p w14:paraId="3351FAAC" w14:textId="77777777" w:rsidR="00635700" w:rsidRPr="003C5EED" w:rsidRDefault="00635700" w:rsidP="008834B4">
            <w:pPr>
              <w:jc w:val="center"/>
              <w:rPr>
                <w:b/>
                <w:bCs/>
                <w:color w:val="000000"/>
                <w:sz w:val="20"/>
                <w:szCs w:val="20"/>
              </w:rPr>
            </w:pPr>
            <w:r w:rsidRPr="003C5EED">
              <w:rPr>
                <w:b/>
                <w:bCs/>
                <w:color w:val="000000"/>
                <w:sz w:val="20"/>
                <w:szCs w:val="20"/>
              </w:rPr>
              <w:t>0106</w:t>
            </w:r>
          </w:p>
        </w:tc>
        <w:tc>
          <w:tcPr>
            <w:tcW w:w="992" w:type="dxa"/>
            <w:shd w:val="clear" w:color="auto" w:fill="auto"/>
            <w:noWrap/>
            <w:vAlign w:val="center"/>
            <w:hideMark/>
          </w:tcPr>
          <w:p w14:paraId="6B0A6DD3" w14:textId="77777777" w:rsidR="00635700" w:rsidRPr="002B14EA" w:rsidRDefault="00635700" w:rsidP="008834B4">
            <w:pPr>
              <w:jc w:val="center"/>
              <w:rPr>
                <w:b/>
                <w:bCs/>
                <w:color w:val="000000"/>
                <w:sz w:val="20"/>
                <w:szCs w:val="20"/>
              </w:rPr>
            </w:pPr>
            <w:r w:rsidRPr="002B14EA">
              <w:rPr>
                <w:b/>
                <w:bCs/>
                <w:color w:val="000000"/>
                <w:sz w:val="20"/>
                <w:szCs w:val="20"/>
                <w:lang w:val="en-US"/>
              </w:rPr>
              <w:t>92</w:t>
            </w:r>
            <w:r w:rsidRPr="002B14EA">
              <w:rPr>
                <w:b/>
                <w:bCs/>
                <w:color w:val="000000"/>
                <w:sz w:val="20"/>
                <w:szCs w:val="20"/>
              </w:rPr>
              <w:t> </w:t>
            </w:r>
            <w:r w:rsidRPr="002B14EA">
              <w:rPr>
                <w:b/>
                <w:bCs/>
                <w:color w:val="000000"/>
                <w:sz w:val="20"/>
                <w:szCs w:val="20"/>
                <w:lang w:val="en-US"/>
              </w:rPr>
              <w:t>353</w:t>
            </w:r>
            <w:r w:rsidRPr="002B14EA">
              <w:rPr>
                <w:b/>
                <w:bCs/>
                <w:color w:val="000000"/>
                <w:sz w:val="20"/>
                <w:szCs w:val="20"/>
              </w:rPr>
              <w:t>,</w:t>
            </w:r>
            <w:r w:rsidRPr="002B14EA">
              <w:rPr>
                <w:b/>
                <w:bCs/>
                <w:color w:val="000000"/>
                <w:sz w:val="20"/>
                <w:szCs w:val="20"/>
                <w:lang w:val="en-US"/>
              </w:rPr>
              <w:t>2</w:t>
            </w:r>
          </w:p>
        </w:tc>
        <w:tc>
          <w:tcPr>
            <w:tcW w:w="992" w:type="dxa"/>
            <w:shd w:val="clear" w:color="auto" w:fill="auto"/>
            <w:noWrap/>
            <w:vAlign w:val="center"/>
            <w:hideMark/>
          </w:tcPr>
          <w:p w14:paraId="0A243396" w14:textId="77777777" w:rsidR="00635700" w:rsidRPr="003C5EED" w:rsidRDefault="00635700" w:rsidP="008834B4">
            <w:pPr>
              <w:jc w:val="center"/>
              <w:rPr>
                <w:b/>
                <w:color w:val="000000"/>
                <w:sz w:val="20"/>
                <w:szCs w:val="20"/>
              </w:rPr>
            </w:pPr>
            <w:r w:rsidRPr="003C5EED">
              <w:rPr>
                <w:b/>
                <w:color w:val="000000"/>
                <w:sz w:val="20"/>
                <w:szCs w:val="20"/>
              </w:rPr>
              <w:t>85 </w:t>
            </w:r>
            <w:r>
              <w:rPr>
                <w:b/>
                <w:color w:val="000000"/>
                <w:sz w:val="20"/>
                <w:szCs w:val="20"/>
              </w:rPr>
              <w:t>210</w:t>
            </w:r>
            <w:r w:rsidRPr="003C5EED">
              <w:rPr>
                <w:b/>
                <w:color w:val="000000"/>
                <w:sz w:val="20"/>
                <w:szCs w:val="20"/>
              </w:rPr>
              <w:t>,</w:t>
            </w:r>
            <w:r>
              <w:rPr>
                <w:b/>
                <w:color w:val="000000"/>
                <w:sz w:val="20"/>
                <w:szCs w:val="20"/>
              </w:rPr>
              <w:t>1</w:t>
            </w:r>
          </w:p>
        </w:tc>
        <w:tc>
          <w:tcPr>
            <w:tcW w:w="1011" w:type="dxa"/>
            <w:shd w:val="clear" w:color="auto" w:fill="auto"/>
            <w:noWrap/>
            <w:vAlign w:val="center"/>
            <w:hideMark/>
          </w:tcPr>
          <w:p w14:paraId="29DBC5C1" w14:textId="77777777" w:rsidR="00635700" w:rsidRPr="003C5EED" w:rsidRDefault="00635700" w:rsidP="008834B4">
            <w:pPr>
              <w:jc w:val="center"/>
              <w:rPr>
                <w:b/>
                <w:color w:val="000000"/>
                <w:sz w:val="20"/>
                <w:szCs w:val="20"/>
              </w:rPr>
            </w:pPr>
            <w:r w:rsidRPr="003C5EED">
              <w:rPr>
                <w:b/>
                <w:color w:val="000000"/>
                <w:sz w:val="20"/>
                <w:szCs w:val="20"/>
              </w:rPr>
              <w:t>8</w:t>
            </w:r>
            <w:r>
              <w:rPr>
                <w:b/>
                <w:color w:val="000000"/>
                <w:sz w:val="20"/>
                <w:szCs w:val="20"/>
              </w:rPr>
              <w:t>4</w:t>
            </w:r>
            <w:r w:rsidRPr="003C5EED">
              <w:rPr>
                <w:b/>
                <w:color w:val="000000"/>
                <w:sz w:val="20"/>
                <w:szCs w:val="20"/>
              </w:rPr>
              <w:t> </w:t>
            </w:r>
            <w:r>
              <w:rPr>
                <w:b/>
                <w:color w:val="000000"/>
                <w:sz w:val="20"/>
                <w:szCs w:val="20"/>
              </w:rPr>
              <w:t>157</w:t>
            </w:r>
            <w:r w:rsidRPr="003C5EED">
              <w:rPr>
                <w:b/>
                <w:color w:val="000000"/>
                <w:sz w:val="20"/>
                <w:szCs w:val="20"/>
              </w:rPr>
              <w:t>,</w:t>
            </w:r>
            <w:r>
              <w:rPr>
                <w:b/>
                <w:color w:val="000000"/>
                <w:sz w:val="20"/>
                <w:szCs w:val="20"/>
              </w:rPr>
              <w:t>3</w:t>
            </w:r>
          </w:p>
        </w:tc>
        <w:tc>
          <w:tcPr>
            <w:tcW w:w="993" w:type="dxa"/>
            <w:shd w:val="clear" w:color="auto" w:fill="auto"/>
            <w:noWrap/>
            <w:vAlign w:val="center"/>
            <w:hideMark/>
          </w:tcPr>
          <w:p w14:paraId="6F3E42CB" w14:textId="77777777" w:rsidR="00635700" w:rsidRPr="003C5EED" w:rsidRDefault="00635700" w:rsidP="008834B4">
            <w:pPr>
              <w:jc w:val="center"/>
              <w:rPr>
                <w:b/>
                <w:color w:val="000000"/>
                <w:sz w:val="20"/>
                <w:szCs w:val="20"/>
              </w:rPr>
            </w:pPr>
            <w:r w:rsidRPr="003C5EED">
              <w:rPr>
                <w:b/>
                <w:color w:val="000000"/>
                <w:sz w:val="20"/>
                <w:szCs w:val="20"/>
              </w:rPr>
              <w:t>8</w:t>
            </w:r>
            <w:r>
              <w:rPr>
                <w:b/>
                <w:color w:val="000000"/>
                <w:sz w:val="20"/>
                <w:szCs w:val="20"/>
              </w:rPr>
              <w:t>2</w:t>
            </w:r>
            <w:r w:rsidRPr="003C5EED">
              <w:rPr>
                <w:b/>
                <w:color w:val="000000"/>
                <w:sz w:val="20"/>
                <w:szCs w:val="20"/>
              </w:rPr>
              <w:t> </w:t>
            </w:r>
            <w:r>
              <w:rPr>
                <w:b/>
                <w:color w:val="000000"/>
                <w:sz w:val="20"/>
                <w:szCs w:val="20"/>
              </w:rPr>
              <w:t>577</w:t>
            </w:r>
            <w:r w:rsidRPr="003C5EED">
              <w:rPr>
                <w:b/>
                <w:color w:val="000000"/>
                <w:sz w:val="20"/>
                <w:szCs w:val="20"/>
              </w:rPr>
              <w:t>,</w:t>
            </w:r>
            <w:r>
              <w:rPr>
                <w:b/>
                <w:color w:val="000000"/>
                <w:sz w:val="20"/>
                <w:szCs w:val="20"/>
              </w:rPr>
              <w:t>7</w:t>
            </w:r>
          </w:p>
        </w:tc>
        <w:tc>
          <w:tcPr>
            <w:tcW w:w="992" w:type="dxa"/>
            <w:shd w:val="clear" w:color="auto" w:fill="auto"/>
            <w:noWrap/>
            <w:vAlign w:val="center"/>
          </w:tcPr>
          <w:p w14:paraId="4295631A" w14:textId="77777777" w:rsidR="00635700" w:rsidRPr="003C5EED" w:rsidRDefault="00635700" w:rsidP="008834B4">
            <w:pPr>
              <w:jc w:val="center"/>
              <w:rPr>
                <w:b/>
                <w:color w:val="000000"/>
                <w:sz w:val="20"/>
                <w:szCs w:val="20"/>
              </w:rPr>
            </w:pPr>
            <w:r>
              <w:rPr>
                <w:b/>
                <w:color w:val="000000"/>
                <w:sz w:val="20"/>
                <w:szCs w:val="20"/>
              </w:rPr>
              <w:t>-2 632,4</w:t>
            </w:r>
          </w:p>
        </w:tc>
        <w:tc>
          <w:tcPr>
            <w:tcW w:w="850" w:type="dxa"/>
            <w:shd w:val="clear" w:color="auto" w:fill="auto"/>
            <w:noWrap/>
            <w:vAlign w:val="center"/>
            <w:hideMark/>
          </w:tcPr>
          <w:p w14:paraId="7807B1EF" w14:textId="77777777" w:rsidR="00635700" w:rsidRPr="003C5EED" w:rsidRDefault="00635700" w:rsidP="008834B4">
            <w:pPr>
              <w:jc w:val="center"/>
              <w:rPr>
                <w:b/>
                <w:bCs/>
                <w:color w:val="000000"/>
                <w:sz w:val="20"/>
                <w:szCs w:val="20"/>
              </w:rPr>
            </w:pPr>
            <w:r w:rsidRPr="003C5EED">
              <w:rPr>
                <w:b/>
                <w:bCs/>
                <w:color w:val="000000"/>
                <w:sz w:val="20"/>
                <w:szCs w:val="20"/>
              </w:rPr>
              <w:t>9</w:t>
            </w:r>
            <w:r>
              <w:rPr>
                <w:b/>
                <w:bCs/>
                <w:color w:val="000000"/>
                <w:sz w:val="20"/>
                <w:szCs w:val="20"/>
              </w:rPr>
              <w:t>6</w:t>
            </w:r>
            <w:r w:rsidRPr="003C5EED">
              <w:rPr>
                <w:b/>
                <w:bCs/>
                <w:color w:val="000000"/>
                <w:sz w:val="20"/>
                <w:szCs w:val="20"/>
              </w:rPr>
              <w:t>,</w:t>
            </w:r>
            <w:r>
              <w:rPr>
                <w:b/>
                <w:bCs/>
                <w:color w:val="000000"/>
                <w:sz w:val="20"/>
                <w:szCs w:val="20"/>
              </w:rPr>
              <w:t>9</w:t>
            </w:r>
          </w:p>
        </w:tc>
      </w:tr>
      <w:tr w:rsidR="00635700" w:rsidRPr="008D7DFD" w14:paraId="728A2F6B" w14:textId="77777777" w:rsidTr="0017562B">
        <w:trPr>
          <w:trHeight w:val="20"/>
        </w:trPr>
        <w:tc>
          <w:tcPr>
            <w:tcW w:w="3412" w:type="dxa"/>
            <w:shd w:val="clear" w:color="auto" w:fill="auto"/>
            <w:vAlign w:val="bottom"/>
            <w:hideMark/>
          </w:tcPr>
          <w:p w14:paraId="36F99388" w14:textId="77777777" w:rsidR="00635700" w:rsidRPr="003C5EED" w:rsidRDefault="00635700" w:rsidP="008834B4">
            <w:pPr>
              <w:autoSpaceDE w:val="0"/>
              <w:autoSpaceDN w:val="0"/>
              <w:adjustRightInd w:val="0"/>
              <w:jc w:val="both"/>
              <w:rPr>
                <w:rFonts w:eastAsiaTheme="minorHAnsi"/>
                <w:sz w:val="18"/>
                <w:szCs w:val="18"/>
                <w:lang w:eastAsia="en-US"/>
              </w:rPr>
            </w:pPr>
            <w:r w:rsidRPr="003C5EED">
              <w:rPr>
                <w:rFonts w:eastAsiaTheme="minorHAnsi"/>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shd w:val="clear" w:color="auto" w:fill="auto"/>
            <w:noWrap/>
            <w:vAlign w:val="center"/>
            <w:hideMark/>
          </w:tcPr>
          <w:p w14:paraId="1F9DA745" w14:textId="77777777" w:rsidR="00635700" w:rsidRPr="003C5EED" w:rsidRDefault="00635700" w:rsidP="008834B4">
            <w:pPr>
              <w:jc w:val="center"/>
              <w:rPr>
                <w:color w:val="000000"/>
                <w:sz w:val="20"/>
                <w:szCs w:val="20"/>
              </w:rPr>
            </w:pPr>
            <w:r w:rsidRPr="003C5EED">
              <w:rPr>
                <w:bCs/>
                <w:color w:val="000000"/>
                <w:sz w:val="20"/>
                <w:szCs w:val="20"/>
              </w:rPr>
              <w:t>90 0</w:t>
            </w:r>
          </w:p>
        </w:tc>
        <w:tc>
          <w:tcPr>
            <w:tcW w:w="992" w:type="dxa"/>
            <w:shd w:val="clear" w:color="auto" w:fill="auto"/>
            <w:noWrap/>
            <w:vAlign w:val="center"/>
            <w:hideMark/>
          </w:tcPr>
          <w:p w14:paraId="7E26B3E4" w14:textId="77777777" w:rsidR="00635700" w:rsidRPr="00491F4B" w:rsidRDefault="00635700" w:rsidP="008834B4">
            <w:pPr>
              <w:jc w:val="center"/>
              <w:rPr>
                <w:color w:val="000000"/>
                <w:sz w:val="20"/>
                <w:szCs w:val="20"/>
                <w:highlight w:val="yellow"/>
                <w:lang w:val="en-US"/>
              </w:rPr>
            </w:pPr>
            <w:r w:rsidRPr="003C5EED">
              <w:rPr>
                <w:color w:val="000000"/>
                <w:sz w:val="20"/>
                <w:szCs w:val="20"/>
              </w:rPr>
              <w:t>8</w:t>
            </w:r>
            <w:r>
              <w:rPr>
                <w:color w:val="000000"/>
                <w:sz w:val="20"/>
                <w:szCs w:val="20"/>
                <w:lang w:val="en-US"/>
              </w:rPr>
              <w:t>0</w:t>
            </w:r>
            <w:r w:rsidRPr="003C5EED">
              <w:rPr>
                <w:color w:val="000000"/>
                <w:sz w:val="20"/>
                <w:szCs w:val="20"/>
              </w:rPr>
              <w:t> </w:t>
            </w:r>
            <w:r>
              <w:rPr>
                <w:color w:val="000000"/>
                <w:sz w:val="20"/>
                <w:szCs w:val="20"/>
                <w:lang w:val="en-US"/>
              </w:rPr>
              <w:t>438</w:t>
            </w:r>
            <w:r w:rsidRPr="003C5EED">
              <w:rPr>
                <w:color w:val="000000"/>
                <w:sz w:val="20"/>
                <w:szCs w:val="20"/>
              </w:rPr>
              <w:t>,</w:t>
            </w:r>
            <w:r>
              <w:rPr>
                <w:color w:val="000000"/>
                <w:sz w:val="20"/>
                <w:szCs w:val="20"/>
                <w:lang w:val="en-US"/>
              </w:rPr>
              <w:t>0</w:t>
            </w:r>
          </w:p>
        </w:tc>
        <w:tc>
          <w:tcPr>
            <w:tcW w:w="992" w:type="dxa"/>
            <w:shd w:val="clear" w:color="auto" w:fill="auto"/>
            <w:noWrap/>
            <w:vAlign w:val="center"/>
            <w:hideMark/>
          </w:tcPr>
          <w:p w14:paraId="2DD02A04" w14:textId="77777777" w:rsidR="00635700" w:rsidRPr="002B4C98" w:rsidRDefault="00635700" w:rsidP="008834B4">
            <w:pPr>
              <w:jc w:val="center"/>
              <w:rPr>
                <w:color w:val="000000"/>
                <w:sz w:val="20"/>
                <w:szCs w:val="20"/>
                <w:highlight w:val="yellow"/>
                <w:lang w:val="en-US"/>
              </w:rPr>
            </w:pPr>
            <w:r>
              <w:rPr>
                <w:color w:val="000000"/>
                <w:sz w:val="20"/>
                <w:szCs w:val="20"/>
              </w:rPr>
              <w:t>78 </w:t>
            </w:r>
            <w:r>
              <w:rPr>
                <w:color w:val="000000"/>
                <w:sz w:val="20"/>
                <w:szCs w:val="20"/>
                <w:lang w:val="en-US"/>
              </w:rPr>
              <w:t>666</w:t>
            </w:r>
            <w:r>
              <w:rPr>
                <w:color w:val="000000"/>
                <w:sz w:val="20"/>
                <w:szCs w:val="20"/>
              </w:rPr>
              <w:t>,</w:t>
            </w:r>
            <w:r>
              <w:rPr>
                <w:color w:val="000000"/>
                <w:sz w:val="20"/>
                <w:szCs w:val="20"/>
                <w:lang w:val="en-US"/>
              </w:rPr>
              <w:t>7</w:t>
            </w:r>
          </w:p>
        </w:tc>
        <w:tc>
          <w:tcPr>
            <w:tcW w:w="1011" w:type="dxa"/>
            <w:shd w:val="clear" w:color="auto" w:fill="auto"/>
            <w:noWrap/>
            <w:vAlign w:val="center"/>
            <w:hideMark/>
          </w:tcPr>
          <w:p w14:paraId="25E89C6B" w14:textId="77777777" w:rsidR="00635700" w:rsidRPr="003845B8" w:rsidRDefault="00635700" w:rsidP="008834B4">
            <w:pPr>
              <w:jc w:val="center"/>
              <w:rPr>
                <w:color w:val="000000"/>
                <w:sz w:val="20"/>
                <w:szCs w:val="20"/>
              </w:rPr>
            </w:pPr>
            <w:r w:rsidRPr="003845B8">
              <w:rPr>
                <w:color w:val="000000"/>
                <w:sz w:val="20"/>
                <w:szCs w:val="20"/>
              </w:rPr>
              <w:t>77 893,2</w:t>
            </w:r>
          </w:p>
        </w:tc>
        <w:tc>
          <w:tcPr>
            <w:tcW w:w="993" w:type="dxa"/>
            <w:shd w:val="clear" w:color="auto" w:fill="auto"/>
            <w:noWrap/>
            <w:vAlign w:val="center"/>
            <w:hideMark/>
          </w:tcPr>
          <w:p w14:paraId="67C57ADA" w14:textId="77777777" w:rsidR="00635700" w:rsidRPr="003C5EED" w:rsidRDefault="00635700" w:rsidP="008834B4">
            <w:pPr>
              <w:jc w:val="center"/>
              <w:rPr>
                <w:color w:val="000000"/>
                <w:sz w:val="20"/>
                <w:szCs w:val="20"/>
                <w:highlight w:val="yellow"/>
              </w:rPr>
            </w:pPr>
            <w:r w:rsidRPr="003C5EED">
              <w:rPr>
                <w:color w:val="000000"/>
                <w:sz w:val="20"/>
                <w:szCs w:val="20"/>
              </w:rPr>
              <w:t>76 5</w:t>
            </w:r>
            <w:r>
              <w:rPr>
                <w:color w:val="000000"/>
                <w:sz w:val="20"/>
                <w:szCs w:val="20"/>
              </w:rPr>
              <w:t>66</w:t>
            </w:r>
            <w:r w:rsidRPr="003C5EED">
              <w:rPr>
                <w:color w:val="000000"/>
                <w:sz w:val="20"/>
                <w:szCs w:val="20"/>
              </w:rPr>
              <w:t>,</w:t>
            </w:r>
            <w:r>
              <w:rPr>
                <w:color w:val="000000"/>
                <w:sz w:val="20"/>
                <w:szCs w:val="20"/>
              </w:rPr>
              <w:t>7</w:t>
            </w:r>
          </w:p>
        </w:tc>
        <w:tc>
          <w:tcPr>
            <w:tcW w:w="992" w:type="dxa"/>
            <w:shd w:val="clear" w:color="auto" w:fill="auto"/>
            <w:noWrap/>
            <w:vAlign w:val="center"/>
          </w:tcPr>
          <w:p w14:paraId="1E06F010" w14:textId="77777777" w:rsidR="00635700" w:rsidRPr="00290DD6" w:rsidRDefault="00635700" w:rsidP="008834B4">
            <w:pPr>
              <w:jc w:val="center"/>
              <w:rPr>
                <w:color w:val="000000"/>
                <w:sz w:val="20"/>
                <w:szCs w:val="20"/>
              </w:rPr>
            </w:pPr>
            <w:r w:rsidRPr="00290DD6">
              <w:rPr>
                <w:color w:val="000000"/>
                <w:sz w:val="20"/>
                <w:szCs w:val="20"/>
              </w:rPr>
              <w:t>-2 100,0</w:t>
            </w:r>
          </w:p>
        </w:tc>
        <w:tc>
          <w:tcPr>
            <w:tcW w:w="850" w:type="dxa"/>
            <w:shd w:val="clear" w:color="auto" w:fill="auto"/>
            <w:noWrap/>
            <w:vAlign w:val="center"/>
            <w:hideMark/>
          </w:tcPr>
          <w:p w14:paraId="0B345AC0" w14:textId="77777777" w:rsidR="00635700" w:rsidRPr="003C5EED" w:rsidRDefault="00635700" w:rsidP="008834B4">
            <w:pPr>
              <w:jc w:val="center"/>
              <w:rPr>
                <w:bCs/>
                <w:color w:val="000000"/>
                <w:sz w:val="20"/>
                <w:szCs w:val="20"/>
                <w:highlight w:val="yellow"/>
              </w:rPr>
            </w:pPr>
            <w:r w:rsidRPr="003C5EED">
              <w:rPr>
                <w:bCs/>
                <w:color w:val="000000"/>
                <w:sz w:val="20"/>
                <w:szCs w:val="20"/>
              </w:rPr>
              <w:t>9</w:t>
            </w:r>
            <w:r>
              <w:rPr>
                <w:bCs/>
                <w:color w:val="000000"/>
                <w:sz w:val="20"/>
                <w:szCs w:val="20"/>
              </w:rPr>
              <w:t>7</w:t>
            </w:r>
            <w:r w:rsidRPr="003C5EED">
              <w:rPr>
                <w:bCs/>
                <w:color w:val="000000"/>
                <w:sz w:val="20"/>
                <w:szCs w:val="20"/>
              </w:rPr>
              <w:t>,</w:t>
            </w:r>
            <w:r>
              <w:rPr>
                <w:bCs/>
                <w:color w:val="000000"/>
                <w:sz w:val="20"/>
                <w:szCs w:val="20"/>
              </w:rPr>
              <w:t>3</w:t>
            </w:r>
          </w:p>
        </w:tc>
      </w:tr>
      <w:tr w:rsidR="00635700" w:rsidRPr="008D7DFD" w14:paraId="4471F477" w14:textId="77777777" w:rsidTr="0017562B">
        <w:trPr>
          <w:trHeight w:val="20"/>
        </w:trPr>
        <w:tc>
          <w:tcPr>
            <w:tcW w:w="3412" w:type="dxa"/>
            <w:shd w:val="clear" w:color="auto" w:fill="auto"/>
            <w:vAlign w:val="bottom"/>
            <w:hideMark/>
          </w:tcPr>
          <w:p w14:paraId="3A4A1A80" w14:textId="77777777" w:rsidR="00635700" w:rsidRPr="002B4C98" w:rsidRDefault="00635700" w:rsidP="008834B4">
            <w:pPr>
              <w:autoSpaceDE w:val="0"/>
              <w:autoSpaceDN w:val="0"/>
              <w:adjustRightInd w:val="0"/>
              <w:jc w:val="both"/>
              <w:rPr>
                <w:rFonts w:eastAsiaTheme="minorHAnsi"/>
                <w:sz w:val="18"/>
                <w:szCs w:val="18"/>
                <w:lang w:eastAsia="en-US"/>
              </w:rPr>
            </w:pPr>
            <w:r>
              <w:rPr>
                <w:rFonts w:eastAsiaTheme="minorHAnsi"/>
                <w:sz w:val="18"/>
                <w:szCs w:val="18"/>
                <w:lang w:eastAsia="en-US"/>
              </w:rPr>
              <w:t>Иные выплаты персоналу государственная. органов за исключением ФОТ</w:t>
            </w:r>
          </w:p>
        </w:tc>
        <w:tc>
          <w:tcPr>
            <w:tcW w:w="728" w:type="dxa"/>
            <w:shd w:val="clear" w:color="auto" w:fill="auto"/>
            <w:noWrap/>
            <w:vAlign w:val="center"/>
            <w:hideMark/>
          </w:tcPr>
          <w:p w14:paraId="47E77971" w14:textId="77777777" w:rsidR="00635700" w:rsidRPr="003C5EED" w:rsidRDefault="00635700" w:rsidP="008834B4">
            <w:pPr>
              <w:jc w:val="center"/>
              <w:rPr>
                <w:color w:val="000000"/>
                <w:sz w:val="20"/>
                <w:szCs w:val="20"/>
              </w:rPr>
            </w:pPr>
            <w:r w:rsidRPr="003C5EED">
              <w:rPr>
                <w:bCs/>
                <w:color w:val="000000"/>
                <w:sz w:val="20"/>
                <w:szCs w:val="20"/>
              </w:rPr>
              <w:t>90 0</w:t>
            </w:r>
          </w:p>
        </w:tc>
        <w:tc>
          <w:tcPr>
            <w:tcW w:w="992" w:type="dxa"/>
            <w:shd w:val="clear" w:color="auto" w:fill="auto"/>
            <w:noWrap/>
            <w:vAlign w:val="center"/>
            <w:hideMark/>
          </w:tcPr>
          <w:p w14:paraId="162AAED5" w14:textId="77777777" w:rsidR="00635700" w:rsidRPr="003C5EED" w:rsidRDefault="00635700" w:rsidP="008834B4">
            <w:pPr>
              <w:jc w:val="center"/>
              <w:rPr>
                <w:color w:val="000000"/>
                <w:sz w:val="20"/>
                <w:szCs w:val="20"/>
              </w:rPr>
            </w:pPr>
          </w:p>
        </w:tc>
        <w:tc>
          <w:tcPr>
            <w:tcW w:w="992" w:type="dxa"/>
            <w:shd w:val="clear" w:color="auto" w:fill="auto"/>
            <w:noWrap/>
            <w:vAlign w:val="center"/>
            <w:hideMark/>
          </w:tcPr>
          <w:p w14:paraId="7E81DF7E" w14:textId="77777777" w:rsidR="00635700" w:rsidRDefault="00635700" w:rsidP="008834B4">
            <w:pPr>
              <w:jc w:val="center"/>
              <w:rPr>
                <w:color w:val="000000"/>
                <w:sz w:val="20"/>
                <w:szCs w:val="20"/>
              </w:rPr>
            </w:pPr>
            <w:r>
              <w:rPr>
                <w:color w:val="000000"/>
                <w:sz w:val="20"/>
                <w:szCs w:val="20"/>
              </w:rPr>
              <w:t>228,0</w:t>
            </w:r>
          </w:p>
        </w:tc>
        <w:tc>
          <w:tcPr>
            <w:tcW w:w="1011" w:type="dxa"/>
            <w:shd w:val="clear" w:color="auto" w:fill="auto"/>
            <w:noWrap/>
            <w:vAlign w:val="center"/>
            <w:hideMark/>
          </w:tcPr>
          <w:p w14:paraId="5767D4DD" w14:textId="77777777" w:rsidR="00635700" w:rsidRPr="003C5EED" w:rsidRDefault="00635700" w:rsidP="008834B4">
            <w:pPr>
              <w:jc w:val="center"/>
              <w:rPr>
                <w:color w:val="000000"/>
                <w:sz w:val="20"/>
                <w:szCs w:val="20"/>
              </w:rPr>
            </w:pPr>
            <w:r>
              <w:rPr>
                <w:color w:val="000000"/>
                <w:sz w:val="20"/>
                <w:szCs w:val="20"/>
              </w:rPr>
              <w:t>129,0</w:t>
            </w:r>
          </w:p>
        </w:tc>
        <w:tc>
          <w:tcPr>
            <w:tcW w:w="993" w:type="dxa"/>
            <w:shd w:val="clear" w:color="auto" w:fill="auto"/>
            <w:noWrap/>
            <w:vAlign w:val="center"/>
            <w:hideMark/>
          </w:tcPr>
          <w:p w14:paraId="455E184C" w14:textId="77777777" w:rsidR="00635700" w:rsidRPr="003C5EED" w:rsidRDefault="00635700" w:rsidP="008834B4">
            <w:pPr>
              <w:jc w:val="center"/>
              <w:rPr>
                <w:color w:val="000000"/>
                <w:sz w:val="20"/>
                <w:szCs w:val="20"/>
              </w:rPr>
            </w:pPr>
            <w:r>
              <w:rPr>
                <w:color w:val="000000"/>
                <w:sz w:val="20"/>
                <w:szCs w:val="20"/>
              </w:rPr>
              <w:t>108,2</w:t>
            </w:r>
          </w:p>
        </w:tc>
        <w:tc>
          <w:tcPr>
            <w:tcW w:w="992" w:type="dxa"/>
            <w:shd w:val="clear" w:color="auto" w:fill="auto"/>
            <w:noWrap/>
            <w:vAlign w:val="center"/>
          </w:tcPr>
          <w:p w14:paraId="45D6F8AC" w14:textId="77777777" w:rsidR="00635700" w:rsidRPr="003C5EED" w:rsidRDefault="00635700" w:rsidP="008834B4">
            <w:pPr>
              <w:jc w:val="center"/>
              <w:rPr>
                <w:color w:val="000000"/>
                <w:sz w:val="20"/>
                <w:szCs w:val="20"/>
              </w:rPr>
            </w:pPr>
            <w:r>
              <w:rPr>
                <w:color w:val="000000"/>
                <w:sz w:val="20"/>
                <w:szCs w:val="20"/>
              </w:rPr>
              <w:t>-119,8</w:t>
            </w:r>
          </w:p>
        </w:tc>
        <w:tc>
          <w:tcPr>
            <w:tcW w:w="850" w:type="dxa"/>
            <w:shd w:val="clear" w:color="auto" w:fill="auto"/>
            <w:noWrap/>
            <w:vAlign w:val="center"/>
            <w:hideMark/>
          </w:tcPr>
          <w:p w14:paraId="630EA8E3" w14:textId="77777777" w:rsidR="00635700" w:rsidRPr="003C5EED" w:rsidRDefault="00635700" w:rsidP="008834B4">
            <w:pPr>
              <w:jc w:val="center"/>
              <w:rPr>
                <w:bCs/>
                <w:color w:val="000000"/>
                <w:sz w:val="20"/>
                <w:szCs w:val="20"/>
              </w:rPr>
            </w:pPr>
            <w:r>
              <w:rPr>
                <w:bCs/>
                <w:color w:val="000000"/>
                <w:sz w:val="20"/>
                <w:szCs w:val="20"/>
              </w:rPr>
              <w:t>47,5</w:t>
            </w:r>
          </w:p>
        </w:tc>
      </w:tr>
      <w:tr w:rsidR="00635700" w:rsidRPr="008D7DFD" w14:paraId="7A005D05" w14:textId="77777777" w:rsidTr="0017562B">
        <w:trPr>
          <w:trHeight w:val="20"/>
        </w:trPr>
        <w:tc>
          <w:tcPr>
            <w:tcW w:w="3412" w:type="dxa"/>
            <w:shd w:val="clear" w:color="auto" w:fill="auto"/>
            <w:vAlign w:val="bottom"/>
            <w:hideMark/>
          </w:tcPr>
          <w:p w14:paraId="62BC5790" w14:textId="77777777" w:rsidR="00635700" w:rsidRPr="00EC2DE3" w:rsidRDefault="00635700" w:rsidP="008834B4">
            <w:pPr>
              <w:autoSpaceDE w:val="0"/>
              <w:autoSpaceDN w:val="0"/>
              <w:adjustRightInd w:val="0"/>
              <w:jc w:val="both"/>
              <w:rPr>
                <w:rFonts w:eastAsiaTheme="minorHAnsi"/>
                <w:sz w:val="18"/>
                <w:szCs w:val="18"/>
                <w:lang w:eastAsia="en-US"/>
              </w:rPr>
            </w:pPr>
            <w:r w:rsidRPr="00EC2DE3">
              <w:rPr>
                <w:rFonts w:eastAsiaTheme="minorHAnsi"/>
                <w:sz w:val="18"/>
                <w:szCs w:val="18"/>
                <w:lang w:eastAsia="en-US"/>
              </w:rPr>
              <w:t>Пособия, компенсации и иные социальные выплаты гражданам, кроме публичных нормативных обязательств</w:t>
            </w:r>
          </w:p>
        </w:tc>
        <w:tc>
          <w:tcPr>
            <w:tcW w:w="728" w:type="dxa"/>
            <w:shd w:val="clear" w:color="auto" w:fill="auto"/>
            <w:noWrap/>
            <w:vAlign w:val="center"/>
            <w:hideMark/>
          </w:tcPr>
          <w:p w14:paraId="6E782373" w14:textId="77777777" w:rsidR="00635700" w:rsidRPr="00EC2DE3" w:rsidRDefault="00635700" w:rsidP="008834B4">
            <w:pPr>
              <w:jc w:val="center"/>
              <w:rPr>
                <w:bCs/>
                <w:color w:val="000000"/>
                <w:sz w:val="20"/>
                <w:szCs w:val="20"/>
              </w:rPr>
            </w:pPr>
            <w:r w:rsidRPr="00EC2DE3">
              <w:rPr>
                <w:bCs/>
                <w:color w:val="000000"/>
                <w:sz w:val="20"/>
                <w:szCs w:val="20"/>
              </w:rPr>
              <w:t>90 0</w:t>
            </w:r>
          </w:p>
        </w:tc>
        <w:tc>
          <w:tcPr>
            <w:tcW w:w="992" w:type="dxa"/>
            <w:shd w:val="clear" w:color="auto" w:fill="auto"/>
            <w:noWrap/>
            <w:vAlign w:val="center"/>
            <w:hideMark/>
          </w:tcPr>
          <w:p w14:paraId="11F4E173" w14:textId="77777777" w:rsidR="00635700" w:rsidRPr="00EC2DE3" w:rsidRDefault="00635700" w:rsidP="008834B4">
            <w:pPr>
              <w:jc w:val="center"/>
              <w:rPr>
                <w:color w:val="000000"/>
                <w:sz w:val="20"/>
                <w:szCs w:val="20"/>
              </w:rPr>
            </w:pPr>
          </w:p>
        </w:tc>
        <w:tc>
          <w:tcPr>
            <w:tcW w:w="992" w:type="dxa"/>
            <w:shd w:val="clear" w:color="auto" w:fill="auto"/>
            <w:noWrap/>
            <w:vAlign w:val="center"/>
            <w:hideMark/>
          </w:tcPr>
          <w:p w14:paraId="7A79B730" w14:textId="77777777" w:rsidR="00635700" w:rsidRPr="00EC2DE3" w:rsidRDefault="00635700" w:rsidP="008834B4">
            <w:pPr>
              <w:jc w:val="center"/>
              <w:rPr>
                <w:color w:val="000000"/>
                <w:sz w:val="20"/>
                <w:szCs w:val="20"/>
              </w:rPr>
            </w:pPr>
            <w:r>
              <w:rPr>
                <w:color w:val="000000"/>
                <w:sz w:val="20"/>
                <w:szCs w:val="20"/>
              </w:rPr>
              <w:t>3,3</w:t>
            </w:r>
          </w:p>
        </w:tc>
        <w:tc>
          <w:tcPr>
            <w:tcW w:w="1011" w:type="dxa"/>
            <w:shd w:val="clear" w:color="auto" w:fill="auto"/>
            <w:noWrap/>
            <w:vAlign w:val="center"/>
            <w:hideMark/>
          </w:tcPr>
          <w:p w14:paraId="2A75B868" w14:textId="77777777" w:rsidR="00635700" w:rsidRPr="00E54F2A" w:rsidRDefault="00635700" w:rsidP="008834B4">
            <w:pPr>
              <w:jc w:val="center"/>
              <w:rPr>
                <w:color w:val="000000"/>
                <w:sz w:val="20"/>
                <w:szCs w:val="20"/>
                <w:lang w:val="en-US"/>
              </w:rPr>
            </w:pPr>
            <w:r>
              <w:rPr>
                <w:color w:val="000000"/>
                <w:sz w:val="20"/>
                <w:szCs w:val="20"/>
              </w:rPr>
              <w:t>3,3</w:t>
            </w:r>
          </w:p>
        </w:tc>
        <w:tc>
          <w:tcPr>
            <w:tcW w:w="993" w:type="dxa"/>
            <w:shd w:val="clear" w:color="auto" w:fill="auto"/>
            <w:noWrap/>
            <w:vAlign w:val="center"/>
            <w:hideMark/>
          </w:tcPr>
          <w:p w14:paraId="01302CF3" w14:textId="77777777" w:rsidR="00635700" w:rsidRPr="00EC2DE3" w:rsidRDefault="00635700" w:rsidP="008834B4">
            <w:pPr>
              <w:jc w:val="center"/>
              <w:rPr>
                <w:color w:val="000000"/>
                <w:sz w:val="20"/>
                <w:szCs w:val="20"/>
              </w:rPr>
            </w:pPr>
            <w:r>
              <w:rPr>
                <w:color w:val="000000"/>
                <w:sz w:val="20"/>
                <w:szCs w:val="20"/>
              </w:rPr>
              <w:t>3,3</w:t>
            </w:r>
          </w:p>
        </w:tc>
        <w:tc>
          <w:tcPr>
            <w:tcW w:w="992" w:type="dxa"/>
            <w:shd w:val="clear" w:color="auto" w:fill="auto"/>
            <w:noWrap/>
            <w:vAlign w:val="center"/>
          </w:tcPr>
          <w:p w14:paraId="30391E7A" w14:textId="77777777" w:rsidR="00635700" w:rsidRPr="00EC2DE3" w:rsidRDefault="00635700" w:rsidP="008834B4">
            <w:pPr>
              <w:jc w:val="center"/>
              <w:rPr>
                <w:color w:val="000000"/>
                <w:sz w:val="20"/>
                <w:szCs w:val="20"/>
              </w:rPr>
            </w:pPr>
            <w:r>
              <w:rPr>
                <w:color w:val="000000"/>
                <w:sz w:val="20"/>
                <w:szCs w:val="20"/>
              </w:rPr>
              <w:t>0,0</w:t>
            </w:r>
          </w:p>
        </w:tc>
        <w:tc>
          <w:tcPr>
            <w:tcW w:w="850" w:type="dxa"/>
            <w:shd w:val="clear" w:color="auto" w:fill="auto"/>
            <w:noWrap/>
            <w:vAlign w:val="center"/>
            <w:hideMark/>
          </w:tcPr>
          <w:p w14:paraId="1A52EAA4" w14:textId="77777777" w:rsidR="00635700" w:rsidRPr="003C5EED" w:rsidRDefault="00635700" w:rsidP="008834B4">
            <w:pPr>
              <w:jc w:val="center"/>
              <w:rPr>
                <w:bCs/>
                <w:color w:val="000000"/>
                <w:sz w:val="20"/>
                <w:szCs w:val="20"/>
              </w:rPr>
            </w:pPr>
            <w:r w:rsidRPr="00EC2DE3">
              <w:rPr>
                <w:bCs/>
                <w:color w:val="000000"/>
                <w:sz w:val="20"/>
                <w:szCs w:val="20"/>
              </w:rPr>
              <w:t>100,0</w:t>
            </w:r>
          </w:p>
        </w:tc>
      </w:tr>
      <w:tr w:rsidR="00635700" w:rsidRPr="008D7DFD" w14:paraId="37B8F0C0" w14:textId="77777777" w:rsidTr="0017562B">
        <w:trPr>
          <w:trHeight w:val="20"/>
        </w:trPr>
        <w:tc>
          <w:tcPr>
            <w:tcW w:w="3412" w:type="dxa"/>
            <w:shd w:val="clear" w:color="auto" w:fill="auto"/>
            <w:vAlign w:val="bottom"/>
            <w:hideMark/>
          </w:tcPr>
          <w:p w14:paraId="7AFD7D4A" w14:textId="77777777" w:rsidR="00635700" w:rsidRPr="003C5EED" w:rsidRDefault="00635700" w:rsidP="008834B4">
            <w:pPr>
              <w:autoSpaceDE w:val="0"/>
              <w:autoSpaceDN w:val="0"/>
              <w:adjustRightInd w:val="0"/>
              <w:jc w:val="both"/>
              <w:rPr>
                <w:rFonts w:eastAsiaTheme="minorHAnsi"/>
                <w:sz w:val="18"/>
                <w:szCs w:val="18"/>
                <w:lang w:eastAsia="en-US"/>
              </w:rPr>
            </w:pPr>
            <w:r w:rsidRPr="003C5EED">
              <w:rPr>
                <w:rFonts w:eastAsiaTheme="minorHAnsi"/>
                <w:sz w:val="18"/>
                <w:szCs w:val="18"/>
                <w:lang w:eastAsia="en-US"/>
              </w:rPr>
              <w:t>Закупка товаров, работ и услуг для обеспечения государственных (муниципальных) нужд</w:t>
            </w:r>
          </w:p>
        </w:tc>
        <w:tc>
          <w:tcPr>
            <w:tcW w:w="728" w:type="dxa"/>
            <w:shd w:val="clear" w:color="auto" w:fill="auto"/>
            <w:noWrap/>
            <w:vAlign w:val="center"/>
            <w:hideMark/>
          </w:tcPr>
          <w:p w14:paraId="69BC7AD7" w14:textId="77777777" w:rsidR="00635700" w:rsidRPr="003C5EED" w:rsidRDefault="00635700" w:rsidP="008834B4">
            <w:pPr>
              <w:jc w:val="center"/>
              <w:rPr>
                <w:bCs/>
                <w:color w:val="000000"/>
                <w:sz w:val="20"/>
                <w:szCs w:val="20"/>
              </w:rPr>
            </w:pPr>
            <w:r w:rsidRPr="003C5EED">
              <w:rPr>
                <w:bCs/>
                <w:color w:val="000000"/>
                <w:sz w:val="20"/>
                <w:szCs w:val="20"/>
              </w:rPr>
              <w:t>90 0</w:t>
            </w:r>
          </w:p>
        </w:tc>
        <w:tc>
          <w:tcPr>
            <w:tcW w:w="992" w:type="dxa"/>
            <w:shd w:val="clear" w:color="auto" w:fill="auto"/>
            <w:noWrap/>
            <w:vAlign w:val="center"/>
            <w:hideMark/>
          </w:tcPr>
          <w:p w14:paraId="7EC166CA" w14:textId="77777777" w:rsidR="00635700" w:rsidRPr="00491F4B" w:rsidRDefault="00635700" w:rsidP="008834B4">
            <w:pPr>
              <w:jc w:val="center"/>
              <w:rPr>
                <w:color w:val="000000"/>
                <w:sz w:val="20"/>
                <w:szCs w:val="20"/>
                <w:lang w:val="en-US"/>
              </w:rPr>
            </w:pPr>
            <w:r>
              <w:rPr>
                <w:color w:val="000000"/>
                <w:sz w:val="20"/>
                <w:szCs w:val="20"/>
                <w:lang w:val="en-US"/>
              </w:rPr>
              <w:t>11</w:t>
            </w:r>
            <w:r>
              <w:rPr>
                <w:color w:val="000000"/>
                <w:sz w:val="20"/>
                <w:szCs w:val="20"/>
              </w:rPr>
              <w:t> </w:t>
            </w:r>
            <w:r>
              <w:rPr>
                <w:color w:val="000000"/>
                <w:sz w:val="20"/>
                <w:szCs w:val="20"/>
                <w:lang w:val="en-US"/>
              </w:rPr>
              <w:t>643</w:t>
            </w:r>
            <w:r>
              <w:rPr>
                <w:color w:val="000000"/>
                <w:sz w:val="20"/>
                <w:szCs w:val="20"/>
              </w:rPr>
              <w:t>,</w:t>
            </w:r>
            <w:r>
              <w:rPr>
                <w:color w:val="000000"/>
                <w:sz w:val="20"/>
                <w:szCs w:val="20"/>
                <w:lang w:val="en-US"/>
              </w:rPr>
              <w:t>2</w:t>
            </w:r>
          </w:p>
        </w:tc>
        <w:tc>
          <w:tcPr>
            <w:tcW w:w="992" w:type="dxa"/>
            <w:shd w:val="clear" w:color="auto" w:fill="auto"/>
            <w:noWrap/>
            <w:vAlign w:val="center"/>
            <w:hideMark/>
          </w:tcPr>
          <w:p w14:paraId="5C9147AC" w14:textId="77777777" w:rsidR="00635700" w:rsidRPr="003C5EED" w:rsidRDefault="00635700" w:rsidP="008834B4">
            <w:pPr>
              <w:jc w:val="center"/>
              <w:rPr>
                <w:color w:val="000000"/>
                <w:sz w:val="20"/>
                <w:szCs w:val="20"/>
              </w:rPr>
            </w:pPr>
            <w:r>
              <w:rPr>
                <w:color w:val="000000"/>
                <w:sz w:val="20"/>
                <w:szCs w:val="20"/>
              </w:rPr>
              <w:t>6 007,4</w:t>
            </w:r>
          </w:p>
        </w:tc>
        <w:tc>
          <w:tcPr>
            <w:tcW w:w="1011" w:type="dxa"/>
            <w:shd w:val="clear" w:color="auto" w:fill="auto"/>
            <w:noWrap/>
            <w:vAlign w:val="center"/>
            <w:hideMark/>
          </w:tcPr>
          <w:p w14:paraId="4C7767BA" w14:textId="77777777" w:rsidR="00635700" w:rsidRPr="00394DC4" w:rsidRDefault="00635700" w:rsidP="008834B4">
            <w:pPr>
              <w:jc w:val="center"/>
              <w:rPr>
                <w:sz w:val="20"/>
                <w:szCs w:val="20"/>
                <w:lang w:val="en-US"/>
              </w:rPr>
            </w:pPr>
            <w:r>
              <w:rPr>
                <w:sz w:val="20"/>
                <w:szCs w:val="20"/>
                <w:lang w:val="en-US"/>
              </w:rPr>
              <w:t>5 838</w:t>
            </w:r>
            <w:r>
              <w:rPr>
                <w:sz w:val="20"/>
                <w:szCs w:val="20"/>
              </w:rPr>
              <w:t>,</w:t>
            </w:r>
            <w:r>
              <w:rPr>
                <w:sz w:val="20"/>
                <w:szCs w:val="20"/>
                <w:lang w:val="en-US"/>
              </w:rPr>
              <w:t>1</w:t>
            </w:r>
          </w:p>
        </w:tc>
        <w:tc>
          <w:tcPr>
            <w:tcW w:w="993" w:type="dxa"/>
            <w:shd w:val="clear" w:color="auto" w:fill="auto"/>
            <w:noWrap/>
            <w:vAlign w:val="center"/>
            <w:hideMark/>
          </w:tcPr>
          <w:p w14:paraId="1BD32709" w14:textId="77777777" w:rsidR="00635700" w:rsidRPr="003C5EED" w:rsidRDefault="00635700" w:rsidP="008834B4">
            <w:pPr>
              <w:jc w:val="center"/>
              <w:rPr>
                <w:sz w:val="20"/>
                <w:szCs w:val="20"/>
              </w:rPr>
            </w:pPr>
            <w:r>
              <w:rPr>
                <w:sz w:val="20"/>
                <w:szCs w:val="20"/>
              </w:rPr>
              <w:t>5 607,3</w:t>
            </w:r>
          </w:p>
        </w:tc>
        <w:tc>
          <w:tcPr>
            <w:tcW w:w="992" w:type="dxa"/>
            <w:shd w:val="clear" w:color="auto" w:fill="auto"/>
            <w:noWrap/>
            <w:vAlign w:val="center"/>
          </w:tcPr>
          <w:p w14:paraId="0E8D3D4B" w14:textId="77777777" w:rsidR="00635700" w:rsidRPr="00290DD6" w:rsidRDefault="00635700" w:rsidP="008834B4">
            <w:pPr>
              <w:jc w:val="center"/>
              <w:rPr>
                <w:color w:val="000000"/>
                <w:sz w:val="20"/>
                <w:szCs w:val="20"/>
              </w:rPr>
            </w:pPr>
            <w:r w:rsidRPr="00290DD6">
              <w:rPr>
                <w:color w:val="000000"/>
                <w:sz w:val="20"/>
                <w:szCs w:val="20"/>
              </w:rPr>
              <w:t>-400,1</w:t>
            </w:r>
          </w:p>
        </w:tc>
        <w:tc>
          <w:tcPr>
            <w:tcW w:w="850" w:type="dxa"/>
            <w:shd w:val="clear" w:color="auto" w:fill="auto"/>
            <w:noWrap/>
            <w:vAlign w:val="center"/>
            <w:hideMark/>
          </w:tcPr>
          <w:p w14:paraId="5B75227D" w14:textId="77777777" w:rsidR="00635700" w:rsidRPr="00AF65BA" w:rsidRDefault="00635700" w:rsidP="008834B4">
            <w:pPr>
              <w:jc w:val="center"/>
              <w:rPr>
                <w:bCs/>
                <w:color w:val="000000"/>
                <w:sz w:val="20"/>
                <w:szCs w:val="20"/>
              </w:rPr>
            </w:pPr>
            <w:r w:rsidRPr="00AF65BA">
              <w:rPr>
                <w:bCs/>
                <w:color w:val="000000"/>
                <w:sz w:val="20"/>
                <w:szCs w:val="20"/>
              </w:rPr>
              <w:t>93,3</w:t>
            </w:r>
          </w:p>
        </w:tc>
      </w:tr>
      <w:tr w:rsidR="00635700" w:rsidRPr="008D7DFD" w14:paraId="7665206E" w14:textId="77777777" w:rsidTr="0017562B">
        <w:trPr>
          <w:trHeight w:val="20"/>
        </w:trPr>
        <w:tc>
          <w:tcPr>
            <w:tcW w:w="3412" w:type="dxa"/>
            <w:shd w:val="clear" w:color="auto" w:fill="auto"/>
            <w:vAlign w:val="bottom"/>
            <w:hideMark/>
          </w:tcPr>
          <w:p w14:paraId="4CF8B956" w14:textId="77777777" w:rsidR="00635700" w:rsidRPr="003C5EED" w:rsidRDefault="00635700" w:rsidP="008834B4">
            <w:pPr>
              <w:autoSpaceDE w:val="0"/>
              <w:autoSpaceDN w:val="0"/>
              <w:adjustRightInd w:val="0"/>
              <w:jc w:val="both"/>
              <w:rPr>
                <w:rFonts w:eastAsiaTheme="minorHAnsi"/>
                <w:sz w:val="18"/>
                <w:szCs w:val="18"/>
                <w:lang w:eastAsia="en-US"/>
              </w:rPr>
            </w:pPr>
            <w:r w:rsidRPr="003C5EED">
              <w:rPr>
                <w:rFonts w:eastAsiaTheme="minorHAnsi"/>
                <w:sz w:val="18"/>
                <w:szCs w:val="18"/>
                <w:lang w:eastAsia="en-US"/>
              </w:rPr>
              <w:t xml:space="preserve">Обеспечение деятельности </w:t>
            </w:r>
            <w:proofErr w:type="spellStart"/>
            <w:proofErr w:type="gramStart"/>
            <w:r w:rsidRPr="003C5EED">
              <w:rPr>
                <w:rFonts w:eastAsiaTheme="minorHAnsi"/>
                <w:sz w:val="18"/>
                <w:szCs w:val="18"/>
                <w:lang w:eastAsia="en-US"/>
              </w:rPr>
              <w:t>гос.органов</w:t>
            </w:r>
            <w:proofErr w:type="spellEnd"/>
            <w:proofErr w:type="gramEnd"/>
            <w:r w:rsidRPr="003C5EED">
              <w:rPr>
                <w:rFonts w:eastAsiaTheme="minorHAnsi"/>
                <w:sz w:val="18"/>
                <w:szCs w:val="18"/>
                <w:lang w:eastAsia="en-US"/>
              </w:rPr>
              <w:t xml:space="preserve"> Волгоградской области (расходы по обязательствам прошлых лет)</w:t>
            </w:r>
          </w:p>
        </w:tc>
        <w:tc>
          <w:tcPr>
            <w:tcW w:w="728" w:type="dxa"/>
            <w:shd w:val="clear" w:color="auto" w:fill="auto"/>
            <w:noWrap/>
            <w:vAlign w:val="center"/>
            <w:hideMark/>
          </w:tcPr>
          <w:p w14:paraId="7CEAEBEF" w14:textId="77777777" w:rsidR="00635700" w:rsidRPr="003C5EED" w:rsidRDefault="00635700" w:rsidP="008834B4">
            <w:pPr>
              <w:jc w:val="center"/>
              <w:rPr>
                <w:bCs/>
                <w:color w:val="000000"/>
                <w:sz w:val="20"/>
                <w:szCs w:val="20"/>
              </w:rPr>
            </w:pPr>
            <w:r w:rsidRPr="003C5EED">
              <w:rPr>
                <w:bCs/>
                <w:color w:val="000000"/>
                <w:sz w:val="20"/>
                <w:szCs w:val="20"/>
              </w:rPr>
              <w:t>90 0</w:t>
            </w:r>
          </w:p>
        </w:tc>
        <w:tc>
          <w:tcPr>
            <w:tcW w:w="992" w:type="dxa"/>
            <w:shd w:val="clear" w:color="auto" w:fill="auto"/>
            <w:noWrap/>
            <w:vAlign w:val="center"/>
            <w:hideMark/>
          </w:tcPr>
          <w:p w14:paraId="5B6A2BE7" w14:textId="77777777" w:rsidR="00635700" w:rsidRPr="003C5EED" w:rsidRDefault="00635700" w:rsidP="008834B4">
            <w:pPr>
              <w:jc w:val="center"/>
              <w:rPr>
                <w:color w:val="000000"/>
                <w:sz w:val="20"/>
                <w:szCs w:val="20"/>
              </w:rPr>
            </w:pPr>
          </w:p>
        </w:tc>
        <w:tc>
          <w:tcPr>
            <w:tcW w:w="992" w:type="dxa"/>
            <w:shd w:val="clear" w:color="auto" w:fill="auto"/>
            <w:noWrap/>
            <w:vAlign w:val="center"/>
            <w:hideMark/>
          </w:tcPr>
          <w:p w14:paraId="13233555" w14:textId="77777777" w:rsidR="00635700" w:rsidRPr="003C5EED" w:rsidRDefault="00635700" w:rsidP="008834B4">
            <w:pPr>
              <w:jc w:val="center"/>
              <w:rPr>
                <w:color w:val="000000"/>
                <w:sz w:val="20"/>
                <w:szCs w:val="20"/>
              </w:rPr>
            </w:pPr>
            <w:r>
              <w:rPr>
                <w:color w:val="000000"/>
                <w:sz w:val="20"/>
                <w:szCs w:val="20"/>
              </w:rPr>
              <w:t>32,7</w:t>
            </w:r>
          </w:p>
        </w:tc>
        <w:tc>
          <w:tcPr>
            <w:tcW w:w="1011" w:type="dxa"/>
            <w:shd w:val="clear" w:color="auto" w:fill="auto"/>
            <w:noWrap/>
            <w:vAlign w:val="center"/>
            <w:hideMark/>
          </w:tcPr>
          <w:p w14:paraId="48C1AD62" w14:textId="77777777" w:rsidR="00635700" w:rsidRPr="003C5EED" w:rsidRDefault="00635700" w:rsidP="008834B4">
            <w:pPr>
              <w:jc w:val="center"/>
              <w:rPr>
                <w:color w:val="000000"/>
                <w:sz w:val="20"/>
                <w:szCs w:val="20"/>
              </w:rPr>
            </w:pPr>
            <w:r>
              <w:rPr>
                <w:color w:val="000000"/>
                <w:sz w:val="20"/>
                <w:szCs w:val="20"/>
              </w:rPr>
              <w:t>32,7</w:t>
            </w:r>
          </w:p>
        </w:tc>
        <w:tc>
          <w:tcPr>
            <w:tcW w:w="993" w:type="dxa"/>
            <w:shd w:val="clear" w:color="auto" w:fill="auto"/>
            <w:noWrap/>
            <w:vAlign w:val="center"/>
            <w:hideMark/>
          </w:tcPr>
          <w:p w14:paraId="49256896" w14:textId="77777777" w:rsidR="00635700" w:rsidRPr="003C5EED" w:rsidRDefault="00635700" w:rsidP="008834B4">
            <w:pPr>
              <w:jc w:val="center"/>
              <w:rPr>
                <w:color w:val="000000"/>
                <w:sz w:val="20"/>
                <w:szCs w:val="20"/>
              </w:rPr>
            </w:pPr>
            <w:r>
              <w:rPr>
                <w:color w:val="000000"/>
                <w:sz w:val="20"/>
                <w:szCs w:val="20"/>
              </w:rPr>
              <w:t>32,7</w:t>
            </w:r>
          </w:p>
        </w:tc>
        <w:tc>
          <w:tcPr>
            <w:tcW w:w="992" w:type="dxa"/>
            <w:shd w:val="clear" w:color="auto" w:fill="auto"/>
            <w:noWrap/>
            <w:vAlign w:val="center"/>
          </w:tcPr>
          <w:p w14:paraId="3B2A101E" w14:textId="77777777" w:rsidR="00635700" w:rsidRPr="003C5EED" w:rsidRDefault="00635700" w:rsidP="008834B4">
            <w:pPr>
              <w:jc w:val="center"/>
              <w:rPr>
                <w:color w:val="000000"/>
                <w:sz w:val="20"/>
                <w:szCs w:val="20"/>
              </w:rPr>
            </w:pPr>
            <w:r>
              <w:rPr>
                <w:color w:val="000000"/>
                <w:sz w:val="20"/>
                <w:szCs w:val="20"/>
              </w:rPr>
              <w:t>0,0</w:t>
            </w:r>
          </w:p>
        </w:tc>
        <w:tc>
          <w:tcPr>
            <w:tcW w:w="850" w:type="dxa"/>
            <w:shd w:val="clear" w:color="auto" w:fill="auto"/>
            <w:noWrap/>
            <w:vAlign w:val="center"/>
            <w:hideMark/>
          </w:tcPr>
          <w:p w14:paraId="57B92FA1" w14:textId="77777777" w:rsidR="00635700" w:rsidRPr="003C5EED" w:rsidRDefault="00635700" w:rsidP="008834B4">
            <w:pPr>
              <w:jc w:val="center"/>
              <w:rPr>
                <w:bCs/>
                <w:color w:val="000000"/>
                <w:sz w:val="20"/>
                <w:szCs w:val="20"/>
              </w:rPr>
            </w:pPr>
            <w:r w:rsidRPr="003C5EED">
              <w:rPr>
                <w:bCs/>
                <w:color w:val="000000"/>
                <w:sz w:val="20"/>
                <w:szCs w:val="20"/>
              </w:rPr>
              <w:t>100,0</w:t>
            </w:r>
          </w:p>
        </w:tc>
      </w:tr>
      <w:tr w:rsidR="00635700" w:rsidRPr="008D7DFD" w14:paraId="45FC10D8" w14:textId="77777777" w:rsidTr="0017562B">
        <w:trPr>
          <w:trHeight w:val="20"/>
        </w:trPr>
        <w:tc>
          <w:tcPr>
            <w:tcW w:w="3412" w:type="dxa"/>
            <w:shd w:val="clear" w:color="auto" w:fill="auto"/>
            <w:vAlign w:val="bottom"/>
            <w:hideMark/>
          </w:tcPr>
          <w:p w14:paraId="209A2036" w14:textId="77777777" w:rsidR="00635700" w:rsidRPr="003C5EED" w:rsidRDefault="00635700" w:rsidP="008834B4">
            <w:pPr>
              <w:autoSpaceDE w:val="0"/>
              <w:autoSpaceDN w:val="0"/>
              <w:adjustRightInd w:val="0"/>
              <w:jc w:val="both"/>
              <w:rPr>
                <w:rFonts w:eastAsiaTheme="minorHAnsi"/>
                <w:sz w:val="18"/>
                <w:szCs w:val="18"/>
                <w:lang w:eastAsia="en-US"/>
              </w:rPr>
            </w:pPr>
            <w:r w:rsidRPr="003C5EED">
              <w:rPr>
                <w:rFonts w:eastAsiaTheme="minorHAnsi"/>
                <w:sz w:val="18"/>
                <w:szCs w:val="18"/>
                <w:lang w:eastAsia="en-US"/>
              </w:rPr>
              <w:lastRenderedPageBreak/>
              <w:t>Уплата налога на имущество организаций и земельного налога</w:t>
            </w:r>
          </w:p>
        </w:tc>
        <w:tc>
          <w:tcPr>
            <w:tcW w:w="728" w:type="dxa"/>
            <w:shd w:val="clear" w:color="auto" w:fill="auto"/>
            <w:noWrap/>
            <w:vAlign w:val="center"/>
            <w:hideMark/>
          </w:tcPr>
          <w:p w14:paraId="53D28205" w14:textId="77777777" w:rsidR="00635700" w:rsidRPr="003C5EED" w:rsidRDefault="00635700" w:rsidP="008834B4">
            <w:pPr>
              <w:jc w:val="center"/>
              <w:rPr>
                <w:bCs/>
                <w:color w:val="000000"/>
                <w:sz w:val="20"/>
                <w:szCs w:val="20"/>
              </w:rPr>
            </w:pPr>
            <w:r w:rsidRPr="003C5EED">
              <w:rPr>
                <w:bCs/>
                <w:color w:val="000000"/>
                <w:sz w:val="20"/>
                <w:szCs w:val="20"/>
              </w:rPr>
              <w:t>90 0</w:t>
            </w:r>
          </w:p>
        </w:tc>
        <w:tc>
          <w:tcPr>
            <w:tcW w:w="992" w:type="dxa"/>
            <w:shd w:val="clear" w:color="auto" w:fill="auto"/>
            <w:noWrap/>
            <w:vAlign w:val="center"/>
            <w:hideMark/>
          </w:tcPr>
          <w:p w14:paraId="4DD2E1D1" w14:textId="77777777" w:rsidR="00635700" w:rsidRPr="003C5EED" w:rsidRDefault="00635700" w:rsidP="008834B4">
            <w:pPr>
              <w:jc w:val="center"/>
              <w:rPr>
                <w:color w:val="000000"/>
                <w:sz w:val="20"/>
                <w:szCs w:val="20"/>
              </w:rPr>
            </w:pPr>
            <w:r>
              <w:rPr>
                <w:color w:val="000000"/>
                <w:sz w:val="20"/>
                <w:szCs w:val="20"/>
                <w:lang w:val="en-US"/>
              </w:rPr>
              <w:t>272</w:t>
            </w:r>
            <w:r w:rsidRPr="003C5EED">
              <w:rPr>
                <w:color w:val="000000"/>
                <w:sz w:val="20"/>
                <w:szCs w:val="20"/>
              </w:rPr>
              <w:t>,0</w:t>
            </w:r>
          </w:p>
        </w:tc>
        <w:tc>
          <w:tcPr>
            <w:tcW w:w="992" w:type="dxa"/>
            <w:shd w:val="clear" w:color="auto" w:fill="auto"/>
            <w:noWrap/>
            <w:vAlign w:val="center"/>
            <w:hideMark/>
          </w:tcPr>
          <w:p w14:paraId="2E2DED43" w14:textId="77777777" w:rsidR="00635700" w:rsidRPr="003C5EED" w:rsidRDefault="00635700" w:rsidP="008834B4">
            <w:pPr>
              <w:jc w:val="center"/>
              <w:rPr>
                <w:color w:val="000000"/>
                <w:sz w:val="20"/>
                <w:szCs w:val="20"/>
              </w:rPr>
            </w:pPr>
            <w:r>
              <w:rPr>
                <w:color w:val="000000"/>
                <w:sz w:val="20"/>
                <w:szCs w:val="20"/>
              </w:rPr>
              <w:t>271,5</w:t>
            </w:r>
          </w:p>
        </w:tc>
        <w:tc>
          <w:tcPr>
            <w:tcW w:w="1011" w:type="dxa"/>
            <w:shd w:val="clear" w:color="auto" w:fill="auto"/>
            <w:noWrap/>
            <w:vAlign w:val="center"/>
            <w:hideMark/>
          </w:tcPr>
          <w:p w14:paraId="32F3F11E" w14:textId="77777777" w:rsidR="00635700" w:rsidRPr="003C5EED" w:rsidRDefault="00635700" w:rsidP="008834B4">
            <w:pPr>
              <w:jc w:val="center"/>
              <w:rPr>
                <w:color w:val="000000"/>
                <w:sz w:val="20"/>
                <w:szCs w:val="20"/>
              </w:rPr>
            </w:pPr>
            <w:r w:rsidRPr="003C5EED">
              <w:rPr>
                <w:color w:val="000000"/>
                <w:sz w:val="20"/>
                <w:szCs w:val="20"/>
              </w:rPr>
              <w:t>26</w:t>
            </w:r>
            <w:r>
              <w:rPr>
                <w:color w:val="000000"/>
                <w:sz w:val="20"/>
                <w:szCs w:val="20"/>
              </w:rPr>
              <w:t>0,6</w:t>
            </w:r>
          </w:p>
        </w:tc>
        <w:tc>
          <w:tcPr>
            <w:tcW w:w="993" w:type="dxa"/>
            <w:shd w:val="clear" w:color="auto" w:fill="auto"/>
            <w:noWrap/>
            <w:vAlign w:val="center"/>
            <w:hideMark/>
          </w:tcPr>
          <w:p w14:paraId="5375D434" w14:textId="77777777" w:rsidR="00635700" w:rsidRPr="003C5EED" w:rsidRDefault="00635700" w:rsidP="008834B4">
            <w:pPr>
              <w:jc w:val="center"/>
              <w:rPr>
                <w:color w:val="000000"/>
                <w:sz w:val="20"/>
                <w:szCs w:val="20"/>
              </w:rPr>
            </w:pPr>
            <w:r w:rsidRPr="003C5EED">
              <w:rPr>
                <w:color w:val="000000"/>
                <w:sz w:val="20"/>
                <w:szCs w:val="20"/>
              </w:rPr>
              <w:t>2</w:t>
            </w:r>
            <w:r>
              <w:rPr>
                <w:color w:val="000000"/>
                <w:sz w:val="20"/>
                <w:szCs w:val="20"/>
              </w:rPr>
              <w:t>59,4</w:t>
            </w:r>
          </w:p>
        </w:tc>
        <w:tc>
          <w:tcPr>
            <w:tcW w:w="992" w:type="dxa"/>
            <w:shd w:val="clear" w:color="auto" w:fill="auto"/>
            <w:noWrap/>
            <w:vAlign w:val="center"/>
          </w:tcPr>
          <w:p w14:paraId="6A5AB398" w14:textId="77777777" w:rsidR="00635700" w:rsidRPr="003C5EED" w:rsidRDefault="00635700" w:rsidP="008834B4">
            <w:pPr>
              <w:jc w:val="center"/>
              <w:rPr>
                <w:color w:val="000000"/>
                <w:sz w:val="20"/>
                <w:szCs w:val="20"/>
              </w:rPr>
            </w:pPr>
            <w:r>
              <w:rPr>
                <w:color w:val="000000"/>
                <w:sz w:val="20"/>
                <w:szCs w:val="20"/>
              </w:rPr>
              <w:t>-12,1</w:t>
            </w:r>
          </w:p>
        </w:tc>
        <w:tc>
          <w:tcPr>
            <w:tcW w:w="850" w:type="dxa"/>
            <w:shd w:val="clear" w:color="auto" w:fill="auto"/>
            <w:noWrap/>
            <w:vAlign w:val="center"/>
            <w:hideMark/>
          </w:tcPr>
          <w:p w14:paraId="34A8ACDB" w14:textId="77777777" w:rsidR="00635700" w:rsidRPr="003C5EED" w:rsidRDefault="00635700" w:rsidP="008834B4">
            <w:pPr>
              <w:jc w:val="center"/>
              <w:rPr>
                <w:bCs/>
                <w:color w:val="000000"/>
                <w:sz w:val="20"/>
                <w:szCs w:val="20"/>
              </w:rPr>
            </w:pPr>
            <w:r w:rsidRPr="003C5EED">
              <w:rPr>
                <w:bCs/>
                <w:color w:val="000000"/>
                <w:sz w:val="20"/>
                <w:szCs w:val="20"/>
              </w:rPr>
              <w:t>9</w:t>
            </w:r>
            <w:r>
              <w:rPr>
                <w:bCs/>
                <w:color w:val="000000"/>
                <w:sz w:val="20"/>
                <w:szCs w:val="20"/>
              </w:rPr>
              <w:t>5</w:t>
            </w:r>
            <w:r w:rsidRPr="003C5EED">
              <w:rPr>
                <w:bCs/>
                <w:color w:val="000000"/>
                <w:sz w:val="20"/>
                <w:szCs w:val="20"/>
              </w:rPr>
              <w:t>,</w:t>
            </w:r>
            <w:r>
              <w:rPr>
                <w:bCs/>
                <w:color w:val="000000"/>
                <w:sz w:val="20"/>
                <w:szCs w:val="20"/>
              </w:rPr>
              <w:t>5</w:t>
            </w:r>
          </w:p>
        </w:tc>
      </w:tr>
      <w:tr w:rsidR="00635700" w:rsidRPr="008D7DFD" w14:paraId="5C14B661" w14:textId="77777777" w:rsidTr="0017562B">
        <w:trPr>
          <w:trHeight w:val="20"/>
        </w:trPr>
        <w:tc>
          <w:tcPr>
            <w:tcW w:w="3412" w:type="dxa"/>
            <w:shd w:val="clear" w:color="auto" w:fill="auto"/>
            <w:vAlign w:val="bottom"/>
            <w:hideMark/>
          </w:tcPr>
          <w:p w14:paraId="721F0CA7" w14:textId="77777777" w:rsidR="00635700" w:rsidRPr="003C5EED" w:rsidRDefault="00635700" w:rsidP="008834B4">
            <w:pPr>
              <w:autoSpaceDE w:val="0"/>
              <w:autoSpaceDN w:val="0"/>
              <w:adjustRightInd w:val="0"/>
              <w:jc w:val="both"/>
              <w:rPr>
                <w:rFonts w:eastAsiaTheme="minorHAnsi"/>
                <w:sz w:val="18"/>
                <w:szCs w:val="18"/>
                <w:lang w:eastAsia="en-US"/>
              </w:rPr>
            </w:pPr>
            <w:r w:rsidRPr="003C5EED">
              <w:rPr>
                <w:rFonts w:eastAsiaTheme="minorHAnsi"/>
                <w:sz w:val="18"/>
                <w:szCs w:val="18"/>
                <w:lang w:eastAsia="en-US"/>
              </w:rPr>
              <w:t>Уплата иных платежей</w:t>
            </w:r>
          </w:p>
        </w:tc>
        <w:tc>
          <w:tcPr>
            <w:tcW w:w="728" w:type="dxa"/>
            <w:shd w:val="clear" w:color="auto" w:fill="auto"/>
            <w:noWrap/>
            <w:vAlign w:val="center"/>
            <w:hideMark/>
          </w:tcPr>
          <w:p w14:paraId="2C3548DF" w14:textId="77777777" w:rsidR="00635700" w:rsidRPr="003C5EED" w:rsidRDefault="00635700" w:rsidP="008834B4">
            <w:pPr>
              <w:jc w:val="center"/>
              <w:rPr>
                <w:bCs/>
                <w:color w:val="000000"/>
                <w:sz w:val="20"/>
                <w:szCs w:val="20"/>
              </w:rPr>
            </w:pPr>
            <w:r w:rsidRPr="003C5EED">
              <w:rPr>
                <w:bCs/>
                <w:color w:val="000000"/>
                <w:sz w:val="20"/>
                <w:szCs w:val="20"/>
              </w:rPr>
              <w:t>90 0</w:t>
            </w:r>
          </w:p>
        </w:tc>
        <w:tc>
          <w:tcPr>
            <w:tcW w:w="992" w:type="dxa"/>
            <w:shd w:val="clear" w:color="auto" w:fill="auto"/>
            <w:noWrap/>
            <w:vAlign w:val="center"/>
            <w:hideMark/>
          </w:tcPr>
          <w:p w14:paraId="13396390" w14:textId="77777777" w:rsidR="00635700" w:rsidRPr="003C5EED" w:rsidRDefault="00635700" w:rsidP="008834B4">
            <w:pPr>
              <w:jc w:val="center"/>
              <w:rPr>
                <w:color w:val="000000"/>
                <w:sz w:val="20"/>
                <w:szCs w:val="20"/>
              </w:rPr>
            </w:pPr>
          </w:p>
        </w:tc>
        <w:tc>
          <w:tcPr>
            <w:tcW w:w="992" w:type="dxa"/>
            <w:shd w:val="clear" w:color="auto" w:fill="auto"/>
            <w:noWrap/>
            <w:vAlign w:val="center"/>
            <w:hideMark/>
          </w:tcPr>
          <w:p w14:paraId="1BAD48E8" w14:textId="77777777" w:rsidR="00635700" w:rsidRPr="003C5EED" w:rsidRDefault="00635700" w:rsidP="008834B4">
            <w:pPr>
              <w:jc w:val="center"/>
              <w:rPr>
                <w:color w:val="000000"/>
                <w:sz w:val="20"/>
                <w:szCs w:val="20"/>
              </w:rPr>
            </w:pPr>
            <w:r>
              <w:rPr>
                <w:color w:val="000000"/>
                <w:sz w:val="20"/>
                <w:szCs w:val="20"/>
              </w:rPr>
              <w:t>0,5</w:t>
            </w:r>
          </w:p>
        </w:tc>
        <w:tc>
          <w:tcPr>
            <w:tcW w:w="1011" w:type="dxa"/>
            <w:shd w:val="clear" w:color="auto" w:fill="auto"/>
            <w:noWrap/>
            <w:vAlign w:val="center"/>
            <w:hideMark/>
          </w:tcPr>
          <w:p w14:paraId="61D2AB98" w14:textId="77777777" w:rsidR="00635700" w:rsidRPr="003C5EED" w:rsidRDefault="00635700" w:rsidP="008834B4">
            <w:pPr>
              <w:jc w:val="center"/>
              <w:rPr>
                <w:color w:val="000000"/>
                <w:sz w:val="20"/>
                <w:szCs w:val="20"/>
              </w:rPr>
            </w:pPr>
            <w:r>
              <w:rPr>
                <w:color w:val="000000"/>
                <w:sz w:val="20"/>
                <w:szCs w:val="20"/>
              </w:rPr>
              <w:t>0,4</w:t>
            </w:r>
          </w:p>
        </w:tc>
        <w:tc>
          <w:tcPr>
            <w:tcW w:w="993" w:type="dxa"/>
            <w:shd w:val="clear" w:color="auto" w:fill="auto"/>
            <w:noWrap/>
            <w:vAlign w:val="center"/>
            <w:hideMark/>
          </w:tcPr>
          <w:p w14:paraId="6A0DD2B6" w14:textId="77777777" w:rsidR="00635700" w:rsidRPr="003C5EED" w:rsidRDefault="00635700" w:rsidP="008834B4">
            <w:pPr>
              <w:jc w:val="center"/>
              <w:rPr>
                <w:color w:val="000000"/>
                <w:sz w:val="20"/>
                <w:szCs w:val="20"/>
              </w:rPr>
            </w:pPr>
            <w:r w:rsidRPr="003C5EED">
              <w:rPr>
                <w:color w:val="000000"/>
                <w:sz w:val="20"/>
                <w:szCs w:val="20"/>
              </w:rPr>
              <w:t>0,</w:t>
            </w:r>
            <w:r>
              <w:rPr>
                <w:color w:val="000000"/>
                <w:sz w:val="20"/>
                <w:szCs w:val="20"/>
              </w:rPr>
              <w:t>1</w:t>
            </w:r>
          </w:p>
        </w:tc>
        <w:tc>
          <w:tcPr>
            <w:tcW w:w="992" w:type="dxa"/>
            <w:shd w:val="clear" w:color="auto" w:fill="auto"/>
            <w:noWrap/>
            <w:vAlign w:val="center"/>
          </w:tcPr>
          <w:p w14:paraId="2F5990EC" w14:textId="77777777" w:rsidR="00635700" w:rsidRPr="003C5EED" w:rsidRDefault="00635700" w:rsidP="008834B4">
            <w:pPr>
              <w:jc w:val="center"/>
              <w:rPr>
                <w:color w:val="000000"/>
                <w:sz w:val="20"/>
                <w:szCs w:val="20"/>
              </w:rPr>
            </w:pPr>
            <w:r>
              <w:rPr>
                <w:color w:val="000000"/>
                <w:sz w:val="20"/>
                <w:szCs w:val="20"/>
              </w:rPr>
              <w:t>-0,4</w:t>
            </w:r>
          </w:p>
        </w:tc>
        <w:tc>
          <w:tcPr>
            <w:tcW w:w="850" w:type="dxa"/>
            <w:shd w:val="clear" w:color="auto" w:fill="auto"/>
            <w:noWrap/>
            <w:vAlign w:val="center"/>
            <w:hideMark/>
          </w:tcPr>
          <w:p w14:paraId="1A196A6E" w14:textId="77777777" w:rsidR="00635700" w:rsidRPr="003C5EED" w:rsidRDefault="00635700" w:rsidP="008834B4">
            <w:pPr>
              <w:jc w:val="center"/>
              <w:rPr>
                <w:bCs/>
                <w:color w:val="000000"/>
                <w:sz w:val="20"/>
                <w:szCs w:val="20"/>
              </w:rPr>
            </w:pPr>
            <w:r w:rsidRPr="003C5EED">
              <w:rPr>
                <w:bCs/>
                <w:color w:val="000000"/>
                <w:sz w:val="20"/>
                <w:szCs w:val="20"/>
              </w:rPr>
              <w:t>2</w:t>
            </w:r>
            <w:r>
              <w:rPr>
                <w:bCs/>
                <w:color w:val="000000"/>
                <w:sz w:val="20"/>
                <w:szCs w:val="20"/>
              </w:rPr>
              <w:t>0</w:t>
            </w:r>
            <w:r w:rsidRPr="003C5EED">
              <w:rPr>
                <w:bCs/>
                <w:color w:val="000000"/>
                <w:sz w:val="20"/>
                <w:szCs w:val="20"/>
              </w:rPr>
              <w:t>,</w:t>
            </w:r>
            <w:r>
              <w:rPr>
                <w:bCs/>
                <w:color w:val="000000"/>
                <w:sz w:val="20"/>
                <w:szCs w:val="20"/>
              </w:rPr>
              <w:t>0</w:t>
            </w:r>
          </w:p>
        </w:tc>
      </w:tr>
      <w:tr w:rsidR="00635700" w:rsidRPr="008D7DFD" w14:paraId="5380A809" w14:textId="77777777" w:rsidTr="0017562B">
        <w:trPr>
          <w:trHeight w:val="20"/>
        </w:trPr>
        <w:tc>
          <w:tcPr>
            <w:tcW w:w="3412" w:type="dxa"/>
            <w:shd w:val="clear" w:color="auto" w:fill="auto"/>
            <w:vAlign w:val="bottom"/>
            <w:hideMark/>
          </w:tcPr>
          <w:p w14:paraId="21A59ED3" w14:textId="77777777" w:rsidR="00635700" w:rsidRPr="003C5EED" w:rsidRDefault="00635700" w:rsidP="008834B4">
            <w:pPr>
              <w:jc w:val="both"/>
              <w:rPr>
                <w:b/>
                <w:bCs/>
                <w:color w:val="000000"/>
                <w:sz w:val="18"/>
                <w:szCs w:val="18"/>
              </w:rPr>
            </w:pPr>
            <w:r w:rsidRPr="003C5EED">
              <w:rPr>
                <w:b/>
                <w:bCs/>
                <w:color w:val="000000"/>
                <w:sz w:val="18"/>
                <w:szCs w:val="18"/>
              </w:rPr>
              <w:t>Взносы в международные организации</w:t>
            </w:r>
          </w:p>
        </w:tc>
        <w:tc>
          <w:tcPr>
            <w:tcW w:w="728" w:type="dxa"/>
            <w:shd w:val="clear" w:color="auto" w:fill="auto"/>
            <w:noWrap/>
            <w:vAlign w:val="center"/>
            <w:hideMark/>
          </w:tcPr>
          <w:p w14:paraId="69CADA98" w14:textId="77777777" w:rsidR="00635700" w:rsidRPr="003C5EED" w:rsidRDefault="00635700" w:rsidP="008834B4">
            <w:pPr>
              <w:jc w:val="center"/>
              <w:rPr>
                <w:b/>
                <w:bCs/>
                <w:sz w:val="20"/>
                <w:szCs w:val="20"/>
              </w:rPr>
            </w:pPr>
            <w:r w:rsidRPr="003C5EED">
              <w:rPr>
                <w:b/>
                <w:bCs/>
                <w:sz w:val="20"/>
                <w:szCs w:val="20"/>
              </w:rPr>
              <w:t>0113</w:t>
            </w:r>
          </w:p>
        </w:tc>
        <w:tc>
          <w:tcPr>
            <w:tcW w:w="992" w:type="dxa"/>
            <w:shd w:val="clear" w:color="auto" w:fill="auto"/>
            <w:noWrap/>
            <w:vAlign w:val="center"/>
            <w:hideMark/>
          </w:tcPr>
          <w:p w14:paraId="2630E02C" w14:textId="77777777" w:rsidR="00635700" w:rsidRPr="00491F4B" w:rsidRDefault="00635700" w:rsidP="008834B4">
            <w:pPr>
              <w:jc w:val="center"/>
              <w:rPr>
                <w:b/>
                <w:sz w:val="20"/>
                <w:szCs w:val="20"/>
              </w:rPr>
            </w:pPr>
            <w:r w:rsidRPr="00491F4B">
              <w:rPr>
                <w:b/>
                <w:sz w:val="20"/>
                <w:szCs w:val="20"/>
                <w:lang w:val="en-US"/>
              </w:rPr>
              <w:t>150</w:t>
            </w:r>
            <w:r w:rsidRPr="00491F4B">
              <w:rPr>
                <w:b/>
                <w:sz w:val="20"/>
                <w:szCs w:val="20"/>
              </w:rPr>
              <w:t>,</w:t>
            </w:r>
            <w:r w:rsidRPr="00491F4B">
              <w:rPr>
                <w:b/>
                <w:sz w:val="20"/>
                <w:szCs w:val="20"/>
                <w:lang w:val="en-US"/>
              </w:rPr>
              <w:t>0</w:t>
            </w:r>
          </w:p>
        </w:tc>
        <w:tc>
          <w:tcPr>
            <w:tcW w:w="992" w:type="dxa"/>
            <w:shd w:val="clear" w:color="auto" w:fill="auto"/>
            <w:noWrap/>
            <w:vAlign w:val="center"/>
            <w:hideMark/>
          </w:tcPr>
          <w:p w14:paraId="3C14C17D" w14:textId="77777777" w:rsidR="00635700" w:rsidRPr="003C5EED" w:rsidRDefault="00635700" w:rsidP="008834B4">
            <w:pPr>
              <w:jc w:val="center"/>
              <w:rPr>
                <w:b/>
                <w:sz w:val="20"/>
                <w:szCs w:val="20"/>
              </w:rPr>
            </w:pPr>
            <w:r>
              <w:rPr>
                <w:b/>
                <w:sz w:val="20"/>
                <w:szCs w:val="20"/>
              </w:rPr>
              <w:t>79,6</w:t>
            </w:r>
          </w:p>
        </w:tc>
        <w:tc>
          <w:tcPr>
            <w:tcW w:w="1011" w:type="dxa"/>
            <w:shd w:val="clear" w:color="auto" w:fill="auto"/>
            <w:noWrap/>
            <w:vAlign w:val="center"/>
            <w:hideMark/>
          </w:tcPr>
          <w:p w14:paraId="034FB985" w14:textId="77777777" w:rsidR="00635700" w:rsidRPr="003C5EED" w:rsidRDefault="00635700" w:rsidP="008834B4">
            <w:pPr>
              <w:jc w:val="center"/>
              <w:rPr>
                <w:b/>
                <w:sz w:val="20"/>
                <w:szCs w:val="20"/>
              </w:rPr>
            </w:pPr>
            <w:r>
              <w:rPr>
                <w:b/>
                <w:sz w:val="20"/>
                <w:szCs w:val="20"/>
              </w:rPr>
              <w:t>0,0</w:t>
            </w:r>
          </w:p>
        </w:tc>
        <w:tc>
          <w:tcPr>
            <w:tcW w:w="993" w:type="dxa"/>
            <w:shd w:val="clear" w:color="auto" w:fill="auto"/>
            <w:noWrap/>
            <w:vAlign w:val="center"/>
            <w:hideMark/>
          </w:tcPr>
          <w:p w14:paraId="248CE661" w14:textId="77777777" w:rsidR="00635700" w:rsidRPr="003C5EED" w:rsidRDefault="00635700" w:rsidP="008834B4">
            <w:pPr>
              <w:jc w:val="center"/>
              <w:rPr>
                <w:b/>
                <w:sz w:val="20"/>
                <w:szCs w:val="20"/>
              </w:rPr>
            </w:pPr>
            <w:r>
              <w:rPr>
                <w:b/>
                <w:sz w:val="20"/>
                <w:szCs w:val="20"/>
              </w:rPr>
              <w:t>0</w:t>
            </w:r>
            <w:r w:rsidRPr="003C5EED">
              <w:rPr>
                <w:b/>
                <w:sz w:val="20"/>
                <w:szCs w:val="20"/>
              </w:rPr>
              <w:t>,0</w:t>
            </w:r>
          </w:p>
        </w:tc>
        <w:tc>
          <w:tcPr>
            <w:tcW w:w="992" w:type="dxa"/>
            <w:shd w:val="clear" w:color="auto" w:fill="auto"/>
            <w:noWrap/>
            <w:vAlign w:val="center"/>
          </w:tcPr>
          <w:p w14:paraId="4C6EE085" w14:textId="77777777" w:rsidR="00635700" w:rsidRPr="003C5EED" w:rsidRDefault="00635700" w:rsidP="008834B4">
            <w:pPr>
              <w:jc w:val="center"/>
              <w:rPr>
                <w:b/>
                <w:sz w:val="20"/>
                <w:szCs w:val="20"/>
              </w:rPr>
            </w:pPr>
            <w:r>
              <w:rPr>
                <w:b/>
                <w:sz w:val="20"/>
                <w:szCs w:val="20"/>
              </w:rPr>
              <w:t>-79,6</w:t>
            </w:r>
          </w:p>
        </w:tc>
        <w:tc>
          <w:tcPr>
            <w:tcW w:w="850" w:type="dxa"/>
            <w:shd w:val="clear" w:color="auto" w:fill="auto"/>
            <w:noWrap/>
            <w:vAlign w:val="center"/>
            <w:hideMark/>
          </w:tcPr>
          <w:p w14:paraId="54A83185" w14:textId="77777777" w:rsidR="00635700" w:rsidRPr="003C5EED" w:rsidRDefault="00635700" w:rsidP="008834B4">
            <w:pPr>
              <w:jc w:val="center"/>
              <w:rPr>
                <w:b/>
                <w:bCs/>
                <w:sz w:val="20"/>
                <w:szCs w:val="20"/>
              </w:rPr>
            </w:pPr>
            <w:r>
              <w:rPr>
                <w:b/>
                <w:bCs/>
                <w:sz w:val="20"/>
                <w:szCs w:val="20"/>
              </w:rPr>
              <w:t>-10</w:t>
            </w:r>
            <w:r w:rsidRPr="003C5EED">
              <w:rPr>
                <w:b/>
                <w:bCs/>
                <w:sz w:val="20"/>
                <w:szCs w:val="20"/>
              </w:rPr>
              <w:t>0,0</w:t>
            </w:r>
          </w:p>
        </w:tc>
      </w:tr>
      <w:tr w:rsidR="00635700" w:rsidRPr="00C1219E" w14:paraId="4E2D0861" w14:textId="77777777" w:rsidTr="0017562B">
        <w:trPr>
          <w:trHeight w:val="20"/>
        </w:trPr>
        <w:tc>
          <w:tcPr>
            <w:tcW w:w="3412" w:type="dxa"/>
            <w:shd w:val="clear" w:color="auto" w:fill="auto"/>
            <w:vAlign w:val="bottom"/>
            <w:hideMark/>
          </w:tcPr>
          <w:p w14:paraId="09BB509E" w14:textId="77777777" w:rsidR="00635700" w:rsidRPr="003C5EED" w:rsidRDefault="00635700" w:rsidP="008834B4">
            <w:pPr>
              <w:jc w:val="both"/>
              <w:rPr>
                <w:b/>
                <w:bCs/>
                <w:color w:val="000000"/>
                <w:sz w:val="18"/>
                <w:szCs w:val="18"/>
              </w:rPr>
            </w:pPr>
            <w:r w:rsidRPr="003C5EED">
              <w:rPr>
                <w:b/>
                <w:bCs/>
                <w:color w:val="000000"/>
                <w:sz w:val="18"/>
                <w:szCs w:val="18"/>
              </w:rPr>
              <w:t>Образование. Профессиональная подготовка, переподготовка и повышение квалификации</w:t>
            </w:r>
          </w:p>
        </w:tc>
        <w:tc>
          <w:tcPr>
            <w:tcW w:w="728" w:type="dxa"/>
            <w:shd w:val="clear" w:color="auto" w:fill="auto"/>
            <w:noWrap/>
            <w:vAlign w:val="center"/>
            <w:hideMark/>
          </w:tcPr>
          <w:p w14:paraId="72106DB9" w14:textId="77777777" w:rsidR="00635700" w:rsidRPr="003C5EED" w:rsidRDefault="00635700" w:rsidP="008834B4">
            <w:pPr>
              <w:jc w:val="center"/>
              <w:rPr>
                <w:b/>
                <w:color w:val="000000"/>
                <w:sz w:val="20"/>
                <w:szCs w:val="20"/>
              </w:rPr>
            </w:pPr>
            <w:r w:rsidRPr="003C5EED">
              <w:rPr>
                <w:b/>
                <w:color w:val="000000"/>
                <w:sz w:val="20"/>
                <w:szCs w:val="20"/>
              </w:rPr>
              <w:t>0705</w:t>
            </w:r>
          </w:p>
        </w:tc>
        <w:tc>
          <w:tcPr>
            <w:tcW w:w="992" w:type="dxa"/>
            <w:shd w:val="clear" w:color="auto" w:fill="auto"/>
            <w:noWrap/>
            <w:vAlign w:val="center"/>
            <w:hideMark/>
          </w:tcPr>
          <w:p w14:paraId="7B4E587A" w14:textId="77777777" w:rsidR="00635700" w:rsidRPr="00523B8B" w:rsidRDefault="00635700" w:rsidP="008834B4">
            <w:pPr>
              <w:jc w:val="center"/>
              <w:rPr>
                <w:b/>
                <w:color w:val="000000"/>
                <w:sz w:val="20"/>
                <w:szCs w:val="20"/>
              </w:rPr>
            </w:pPr>
            <w:r>
              <w:rPr>
                <w:b/>
                <w:color w:val="000000"/>
                <w:sz w:val="20"/>
                <w:szCs w:val="20"/>
              </w:rPr>
              <w:t>350</w:t>
            </w:r>
            <w:r w:rsidRPr="00523B8B">
              <w:rPr>
                <w:b/>
                <w:color w:val="000000"/>
                <w:sz w:val="20"/>
                <w:szCs w:val="20"/>
              </w:rPr>
              <w:t>,0</w:t>
            </w:r>
          </w:p>
        </w:tc>
        <w:tc>
          <w:tcPr>
            <w:tcW w:w="992" w:type="dxa"/>
            <w:shd w:val="clear" w:color="auto" w:fill="auto"/>
            <w:noWrap/>
            <w:vAlign w:val="center"/>
            <w:hideMark/>
          </w:tcPr>
          <w:p w14:paraId="07A52D58" w14:textId="77777777" w:rsidR="00635700" w:rsidRPr="003C5EED" w:rsidRDefault="00635700" w:rsidP="008834B4">
            <w:pPr>
              <w:jc w:val="center"/>
              <w:rPr>
                <w:b/>
                <w:color w:val="000000"/>
                <w:sz w:val="20"/>
                <w:szCs w:val="20"/>
              </w:rPr>
            </w:pPr>
            <w:r>
              <w:rPr>
                <w:b/>
                <w:color w:val="000000"/>
                <w:sz w:val="20"/>
                <w:szCs w:val="20"/>
              </w:rPr>
              <w:t>350,0</w:t>
            </w:r>
          </w:p>
        </w:tc>
        <w:tc>
          <w:tcPr>
            <w:tcW w:w="1011" w:type="dxa"/>
            <w:shd w:val="clear" w:color="auto" w:fill="auto"/>
            <w:noWrap/>
            <w:vAlign w:val="center"/>
            <w:hideMark/>
          </w:tcPr>
          <w:p w14:paraId="66C94788" w14:textId="77777777" w:rsidR="00635700" w:rsidRPr="003C5EED" w:rsidRDefault="00635700" w:rsidP="008834B4">
            <w:pPr>
              <w:jc w:val="center"/>
              <w:rPr>
                <w:b/>
                <w:color w:val="000000"/>
                <w:sz w:val="20"/>
                <w:szCs w:val="20"/>
              </w:rPr>
            </w:pPr>
            <w:r>
              <w:rPr>
                <w:b/>
                <w:color w:val="000000"/>
                <w:sz w:val="20"/>
                <w:szCs w:val="20"/>
              </w:rPr>
              <w:t>50</w:t>
            </w:r>
            <w:r w:rsidRPr="003C5EED">
              <w:rPr>
                <w:b/>
                <w:color w:val="000000"/>
                <w:sz w:val="20"/>
                <w:szCs w:val="20"/>
              </w:rPr>
              <w:t>,0</w:t>
            </w:r>
          </w:p>
        </w:tc>
        <w:tc>
          <w:tcPr>
            <w:tcW w:w="993" w:type="dxa"/>
            <w:shd w:val="clear" w:color="auto" w:fill="auto"/>
            <w:noWrap/>
            <w:vAlign w:val="center"/>
            <w:hideMark/>
          </w:tcPr>
          <w:p w14:paraId="52CA1FF2" w14:textId="77777777" w:rsidR="00635700" w:rsidRPr="003C5EED" w:rsidRDefault="00635700" w:rsidP="008834B4">
            <w:pPr>
              <w:jc w:val="center"/>
              <w:rPr>
                <w:b/>
                <w:color w:val="000000"/>
                <w:sz w:val="20"/>
                <w:szCs w:val="20"/>
              </w:rPr>
            </w:pPr>
            <w:r>
              <w:rPr>
                <w:b/>
                <w:color w:val="000000"/>
                <w:sz w:val="20"/>
                <w:szCs w:val="20"/>
              </w:rPr>
              <w:t>50,0</w:t>
            </w:r>
          </w:p>
        </w:tc>
        <w:tc>
          <w:tcPr>
            <w:tcW w:w="992" w:type="dxa"/>
            <w:shd w:val="clear" w:color="auto" w:fill="auto"/>
            <w:noWrap/>
            <w:vAlign w:val="center"/>
          </w:tcPr>
          <w:p w14:paraId="2F386433" w14:textId="77777777" w:rsidR="00635700" w:rsidRPr="00AF65BA" w:rsidRDefault="00635700" w:rsidP="008834B4">
            <w:pPr>
              <w:jc w:val="center"/>
              <w:rPr>
                <w:b/>
                <w:color w:val="000000"/>
                <w:sz w:val="20"/>
                <w:szCs w:val="20"/>
              </w:rPr>
            </w:pPr>
            <w:r>
              <w:rPr>
                <w:b/>
                <w:color w:val="000000"/>
                <w:sz w:val="20"/>
                <w:szCs w:val="20"/>
              </w:rPr>
              <w:t>-300,0</w:t>
            </w:r>
          </w:p>
        </w:tc>
        <w:tc>
          <w:tcPr>
            <w:tcW w:w="850" w:type="dxa"/>
            <w:shd w:val="clear" w:color="auto" w:fill="auto"/>
            <w:noWrap/>
            <w:vAlign w:val="center"/>
            <w:hideMark/>
          </w:tcPr>
          <w:p w14:paraId="2168D7D7" w14:textId="77777777" w:rsidR="00635700" w:rsidRPr="003C5EED" w:rsidRDefault="00635700" w:rsidP="008834B4">
            <w:pPr>
              <w:jc w:val="center"/>
              <w:rPr>
                <w:b/>
                <w:bCs/>
                <w:color w:val="000000"/>
                <w:sz w:val="20"/>
                <w:szCs w:val="20"/>
              </w:rPr>
            </w:pPr>
            <w:r>
              <w:rPr>
                <w:b/>
                <w:bCs/>
                <w:color w:val="000000"/>
                <w:sz w:val="20"/>
                <w:szCs w:val="20"/>
              </w:rPr>
              <w:t>14,3</w:t>
            </w:r>
          </w:p>
        </w:tc>
      </w:tr>
    </w:tbl>
    <w:p w14:paraId="751EFF98" w14:textId="77777777" w:rsidR="00635700" w:rsidRDefault="00635700" w:rsidP="00635700">
      <w:pPr>
        <w:pStyle w:val="af"/>
        <w:keepNext/>
        <w:spacing w:after="0"/>
        <w:ind w:left="0" w:firstLine="709"/>
        <w:jc w:val="both"/>
      </w:pPr>
      <w:r w:rsidRPr="00936ACD">
        <w:t>Общая сумма неисполненных назначений</w:t>
      </w:r>
      <w:r>
        <w:t xml:space="preserve"> на 01.01.2021 составила 3 012,0 тыс. руб., или </w:t>
      </w:r>
      <w:r w:rsidRPr="00936ACD">
        <w:t>3</w:t>
      </w:r>
      <w:r>
        <w:t>,5</w:t>
      </w:r>
      <w:r w:rsidRPr="00936ACD">
        <w:t>% от утвержденных бюджетных назначений, и сложилась</w:t>
      </w:r>
      <w:r>
        <w:t xml:space="preserve"> в основном за счет:</w:t>
      </w:r>
    </w:p>
    <w:p w14:paraId="41406361" w14:textId="77777777" w:rsidR="00635700" w:rsidRDefault="00635700" w:rsidP="00635700">
      <w:pPr>
        <w:pStyle w:val="af"/>
        <w:keepNext/>
        <w:spacing w:after="0"/>
        <w:ind w:left="0" w:firstLine="709"/>
        <w:jc w:val="both"/>
      </w:pPr>
      <w:r w:rsidRPr="008F2058">
        <w:t>-экономии заработной платы, применения регрессивной шкалы при исчислении страховых взносов на оплату труда сотрудников на сумму 2 100,0 тыс. руб.;</w:t>
      </w:r>
    </w:p>
    <w:p w14:paraId="5E316610" w14:textId="77777777" w:rsidR="00635700" w:rsidRDefault="00635700" w:rsidP="00635700">
      <w:pPr>
        <w:pStyle w:val="af"/>
        <w:keepNext/>
        <w:spacing w:after="0"/>
        <w:ind w:left="0" w:firstLine="709"/>
        <w:jc w:val="both"/>
      </w:pPr>
      <w:r>
        <w:t xml:space="preserve">- </w:t>
      </w:r>
      <w:r w:rsidRPr="002001BA">
        <w:t>экономи</w:t>
      </w:r>
      <w:r>
        <w:t>и</w:t>
      </w:r>
      <w:r w:rsidRPr="002001BA">
        <w:t xml:space="preserve"> бюджетных средств по результатам конкурсных процедур на сумму </w:t>
      </w:r>
      <w:r>
        <w:t>400,1</w:t>
      </w:r>
      <w:r w:rsidRPr="002001BA">
        <w:t xml:space="preserve"> тыс. руб.;</w:t>
      </w:r>
    </w:p>
    <w:p w14:paraId="28256E3F" w14:textId="360E687E" w:rsidR="00635700" w:rsidRDefault="00635700" w:rsidP="00635700">
      <w:pPr>
        <w:pStyle w:val="af"/>
        <w:keepNext/>
        <w:spacing w:after="0"/>
        <w:ind w:left="0" w:firstLine="709"/>
        <w:jc w:val="both"/>
      </w:pPr>
      <w:r>
        <w:t>- отмены из-за распространения коронавирусной инфекции ранее запланированного обучения сотрудников на сумму 300,0 тыс. руб., отмены уплаты взносов</w:t>
      </w:r>
      <w:r w:rsidR="00723227">
        <w:t xml:space="preserve"> в</w:t>
      </w:r>
      <w:r>
        <w:t xml:space="preserve"> </w:t>
      </w:r>
      <w:r w:rsidRPr="00456FDE">
        <w:rPr>
          <w:color w:val="000000"/>
          <w:shd w:val="clear" w:color="auto" w:fill="FFFFFF"/>
        </w:rPr>
        <w:t>Европейск</w:t>
      </w:r>
      <w:r>
        <w:rPr>
          <w:color w:val="000000"/>
          <w:shd w:val="clear" w:color="auto" w:fill="FFFFFF"/>
        </w:rPr>
        <w:t>ую</w:t>
      </w:r>
      <w:r w:rsidRPr="00456FDE">
        <w:rPr>
          <w:color w:val="000000"/>
          <w:shd w:val="clear" w:color="auto" w:fill="FFFFFF"/>
        </w:rPr>
        <w:t xml:space="preserve"> </w:t>
      </w:r>
      <w:r w:rsidRPr="00BB1AAE">
        <w:rPr>
          <w:color w:val="000000"/>
          <w:shd w:val="clear" w:color="auto" w:fill="FFFFFF"/>
        </w:rPr>
        <w:t>организацию региональных органов внешнего финансового контроля (далее – ЕВРОРАИ),</w:t>
      </w:r>
      <w:r>
        <w:rPr>
          <w:color w:val="000000"/>
          <w:shd w:val="clear" w:color="auto" w:fill="FFFFFF"/>
        </w:rPr>
        <w:t xml:space="preserve"> действительным членом которой является КСП, на сумму 79,6 тыс. руб., сокращения командировочных расходов на сумму 119,8 тыс. рублей.</w:t>
      </w:r>
    </w:p>
    <w:p w14:paraId="3F033915" w14:textId="77777777" w:rsidR="00635700" w:rsidRPr="00936ACD" w:rsidRDefault="00635700" w:rsidP="00635700">
      <w:pPr>
        <w:ind w:firstLine="680"/>
        <w:jc w:val="both"/>
      </w:pPr>
      <w:r w:rsidRPr="00936ACD">
        <w:t>В общих расходах наибольший объем занимают расходы на оплату труда с начислени</w:t>
      </w:r>
      <w:r>
        <w:t>ями 76 566,7 тыс. руб., или 92,7</w:t>
      </w:r>
      <w:r w:rsidRPr="00936ACD">
        <w:t xml:space="preserve"> процента. </w:t>
      </w:r>
    </w:p>
    <w:p w14:paraId="3CB2D0F5" w14:textId="77777777" w:rsidR="00635700" w:rsidRPr="00A077BE" w:rsidRDefault="00635700" w:rsidP="00635700">
      <w:pPr>
        <w:tabs>
          <w:tab w:val="left" w:pos="0"/>
        </w:tabs>
        <w:ind w:firstLine="720"/>
        <w:jc w:val="both"/>
      </w:pPr>
      <w:r w:rsidRPr="00936ACD">
        <w:t>Сравнительный анализ показателей исполнения расходов областного бюджета за отчетный год и предыдущий год представлен в таблице:</w:t>
      </w:r>
    </w:p>
    <w:p w14:paraId="33071B26" w14:textId="77777777" w:rsidR="00635700" w:rsidRPr="00157B96" w:rsidRDefault="00635700" w:rsidP="00635700">
      <w:pPr>
        <w:widowControl w:val="0"/>
        <w:tabs>
          <w:tab w:val="left" w:pos="1276"/>
        </w:tabs>
        <w:autoSpaceDE w:val="0"/>
        <w:autoSpaceDN w:val="0"/>
        <w:adjustRightInd w:val="0"/>
        <w:jc w:val="right"/>
        <w:rPr>
          <w:i/>
          <w:sz w:val="18"/>
          <w:szCs w:val="18"/>
        </w:rPr>
      </w:pPr>
      <w:r>
        <w:rPr>
          <w:i/>
          <w:sz w:val="18"/>
          <w:szCs w:val="18"/>
        </w:rPr>
        <w:t>(</w:t>
      </w:r>
      <w:proofErr w:type="spellStart"/>
      <w:r>
        <w:rPr>
          <w:i/>
          <w:sz w:val="18"/>
          <w:szCs w:val="18"/>
        </w:rPr>
        <w:t>тыс.руб</w:t>
      </w:r>
      <w:proofErr w:type="spellEnd"/>
      <w:r>
        <w:rPr>
          <w:i/>
          <w:sz w:val="18"/>
          <w:szCs w:val="18"/>
        </w:rPr>
        <w:t>.)</w:t>
      </w:r>
    </w:p>
    <w:tbl>
      <w:tblPr>
        <w:tblW w:w="9796"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8"/>
        <w:gridCol w:w="4819"/>
        <w:gridCol w:w="992"/>
        <w:gridCol w:w="992"/>
        <w:gridCol w:w="993"/>
        <w:gridCol w:w="992"/>
      </w:tblGrid>
      <w:tr w:rsidR="00635700" w:rsidRPr="00331581" w14:paraId="1843B1C1" w14:textId="77777777" w:rsidTr="008834B4">
        <w:trPr>
          <w:trHeight w:val="64"/>
        </w:trPr>
        <w:tc>
          <w:tcPr>
            <w:tcW w:w="1008" w:type="dxa"/>
            <w:vMerge w:val="restart"/>
            <w:tcBorders>
              <w:top w:val="double" w:sz="4" w:space="0" w:color="auto"/>
              <w:left w:val="double" w:sz="4" w:space="0" w:color="auto"/>
            </w:tcBorders>
            <w:shd w:val="clear" w:color="auto" w:fill="E7E6E6" w:themeFill="background2"/>
            <w:vAlign w:val="center"/>
            <w:hideMark/>
          </w:tcPr>
          <w:p w14:paraId="32A959F8" w14:textId="77777777" w:rsidR="00635700" w:rsidRPr="00331581" w:rsidRDefault="00635700" w:rsidP="008834B4">
            <w:pPr>
              <w:ind w:left="-93" w:right="-77"/>
              <w:jc w:val="center"/>
              <w:rPr>
                <w:bCs/>
                <w:sz w:val="20"/>
                <w:szCs w:val="20"/>
              </w:rPr>
            </w:pPr>
            <w:r w:rsidRPr="00331581">
              <w:rPr>
                <w:bCs/>
                <w:sz w:val="20"/>
                <w:szCs w:val="20"/>
              </w:rPr>
              <w:t>Раздел, подраздел</w:t>
            </w:r>
          </w:p>
        </w:tc>
        <w:tc>
          <w:tcPr>
            <w:tcW w:w="4819" w:type="dxa"/>
            <w:vMerge w:val="restart"/>
            <w:tcBorders>
              <w:top w:val="double" w:sz="4" w:space="0" w:color="auto"/>
            </w:tcBorders>
            <w:shd w:val="clear" w:color="auto" w:fill="E7E6E6" w:themeFill="background2"/>
            <w:vAlign w:val="center"/>
            <w:hideMark/>
          </w:tcPr>
          <w:p w14:paraId="25ED5EC7" w14:textId="77777777" w:rsidR="00635700" w:rsidRPr="00331581" w:rsidRDefault="00635700" w:rsidP="008834B4">
            <w:pPr>
              <w:jc w:val="center"/>
              <w:rPr>
                <w:bCs/>
                <w:sz w:val="20"/>
                <w:szCs w:val="20"/>
              </w:rPr>
            </w:pPr>
            <w:r w:rsidRPr="00331581">
              <w:rPr>
                <w:bCs/>
                <w:sz w:val="20"/>
                <w:szCs w:val="20"/>
              </w:rPr>
              <w:t>Наименование показателя</w:t>
            </w:r>
          </w:p>
        </w:tc>
        <w:tc>
          <w:tcPr>
            <w:tcW w:w="992" w:type="dxa"/>
            <w:vMerge w:val="restart"/>
            <w:tcBorders>
              <w:top w:val="double" w:sz="4" w:space="0" w:color="auto"/>
            </w:tcBorders>
            <w:shd w:val="clear" w:color="auto" w:fill="E7E6E6" w:themeFill="background2"/>
            <w:noWrap/>
            <w:vAlign w:val="center"/>
            <w:hideMark/>
          </w:tcPr>
          <w:p w14:paraId="1E59D069" w14:textId="77777777" w:rsidR="00635700" w:rsidRPr="00331581" w:rsidRDefault="00635700" w:rsidP="008834B4">
            <w:pPr>
              <w:jc w:val="center"/>
              <w:rPr>
                <w:bCs/>
                <w:sz w:val="20"/>
                <w:szCs w:val="20"/>
              </w:rPr>
            </w:pPr>
            <w:r w:rsidRPr="00331581">
              <w:rPr>
                <w:bCs/>
                <w:sz w:val="20"/>
                <w:szCs w:val="20"/>
              </w:rPr>
              <w:t>201</w:t>
            </w:r>
            <w:r>
              <w:rPr>
                <w:bCs/>
                <w:sz w:val="20"/>
                <w:szCs w:val="20"/>
              </w:rPr>
              <w:t>9</w:t>
            </w:r>
            <w:r w:rsidRPr="00331581">
              <w:rPr>
                <w:bCs/>
                <w:sz w:val="20"/>
                <w:szCs w:val="20"/>
              </w:rPr>
              <w:t xml:space="preserve"> год</w:t>
            </w:r>
          </w:p>
        </w:tc>
        <w:tc>
          <w:tcPr>
            <w:tcW w:w="992" w:type="dxa"/>
            <w:vMerge w:val="restart"/>
            <w:tcBorders>
              <w:top w:val="double" w:sz="4" w:space="0" w:color="auto"/>
            </w:tcBorders>
            <w:shd w:val="clear" w:color="auto" w:fill="E7E6E6" w:themeFill="background2"/>
            <w:noWrap/>
            <w:vAlign w:val="center"/>
            <w:hideMark/>
          </w:tcPr>
          <w:p w14:paraId="769D16FF" w14:textId="77777777" w:rsidR="00635700" w:rsidRPr="00331581" w:rsidRDefault="00635700" w:rsidP="008834B4">
            <w:pPr>
              <w:jc w:val="center"/>
              <w:rPr>
                <w:bCs/>
                <w:sz w:val="20"/>
                <w:szCs w:val="20"/>
              </w:rPr>
            </w:pPr>
            <w:r w:rsidRPr="00331581">
              <w:rPr>
                <w:bCs/>
                <w:sz w:val="20"/>
                <w:szCs w:val="20"/>
              </w:rPr>
              <w:t>20</w:t>
            </w:r>
            <w:r>
              <w:rPr>
                <w:bCs/>
                <w:sz w:val="20"/>
                <w:szCs w:val="20"/>
              </w:rPr>
              <w:t>20</w:t>
            </w:r>
            <w:r w:rsidRPr="00331581">
              <w:rPr>
                <w:bCs/>
                <w:sz w:val="20"/>
                <w:szCs w:val="20"/>
              </w:rPr>
              <w:t xml:space="preserve"> год</w:t>
            </w:r>
          </w:p>
        </w:tc>
        <w:tc>
          <w:tcPr>
            <w:tcW w:w="1985" w:type="dxa"/>
            <w:gridSpan w:val="2"/>
            <w:tcBorders>
              <w:top w:val="double" w:sz="4" w:space="0" w:color="auto"/>
              <w:right w:val="double" w:sz="4" w:space="0" w:color="auto"/>
            </w:tcBorders>
            <w:shd w:val="clear" w:color="auto" w:fill="E7E6E6" w:themeFill="background2"/>
            <w:vAlign w:val="center"/>
            <w:hideMark/>
          </w:tcPr>
          <w:p w14:paraId="03882017" w14:textId="77777777" w:rsidR="00635700" w:rsidRPr="00331581" w:rsidRDefault="00635700" w:rsidP="008834B4">
            <w:pPr>
              <w:jc w:val="center"/>
              <w:rPr>
                <w:bCs/>
                <w:sz w:val="20"/>
                <w:szCs w:val="20"/>
              </w:rPr>
            </w:pPr>
            <w:r>
              <w:rPr>
                <w:bCs/>
                <w:sz w:val="20"/>
                <w:szCs w:val="20"/>
              </w:rPr>
              <w:t>Отклонение</w:t>
            </w:r>
          </w:p>
        </w:tc>
      </w:tr>
      <w:tr w:rsidR="00635700" w:rsidRPr="00331581" w14:paraId="3B43F2DB" w14:textId="77777777" w:rsidTr="008834B4">
        <w:trPr>
          <w:trHeight w:val="64"/>
        </w:trPr>
        <w:tc>
          <w:tcPr>
            <w:tcW w:w="1008" w:type="dxa"/>
            <w:vMerge/>
            <w:tcBorders>
              <w:left w:val="double" w:sz="4" w:space="0" w:color="auto"/>
              <w:bottom w:val="double" w:sz="4" w:space="0" w:color="auto"/>
            </w:tcBorders>
            <w:shd w:val="clear" w:color="auto" w:fill="E7E6E6" w:themeFill="background2"/>
            <w:vAlign w:val="center"/>
            <w:hideMark/>
          </w:tcPr>
          <w:p w14:paraId="7806F0B5" w14:textId="77777777" w:rsidR="00635700" w:rsidRPr="00331581" w:rsidRDefault="00635700" w:rsidP="008834B4">
            <w:pPr>
              <w:jc w:val="center"/>
              <w:rPr>
                <w:bCs/>
                <w:sz w:val="20"/>
                <w:szCs w:val="20"/>
              </w:rPr>
            </w:pPr>
          </w:p>
        </w:tc>
        <w:tc>
          <w:tcPr>
            <w:tcW w:w="4819" w:type="dxa"/>
            <w:vMerge/>
            <w:tcBorders>
              <w:bottom w:val="double" w:sz="4" w:space="0" w:color="auto"/>
            </w:tcBorders>
            <w:shd w:val="clear" w:color="auto" w:fill="E7E6E6" w:themeFill="background2"/>
            <w:vAlign w:val="center"/>
            <w:hideMark/>
          </w:tcPr>
          <w:p w14:paraId="3D4D476A" w14:textId="77777777" w:rsidR="00635700" w:rsidRPr="00331581" w:rsidRDefault="00635700" w:rsidP="008834B4">
            <w:pPr>
              <w:jc w:val="center"/>
              <w:rPr>
                <w:bCs/>
                <w:sz w:val="20"/>
                <w:szCs w:val="20"/>
              </w:rPr>
            </w:pPr>
          </w:p>
        </w:tc>
        <w:tc>
          <w:tcPr>
            <w:tcW w:w="992" w:type="dxa"/>
            <w:vMerge/>
            <w:tcBorders>
              <w:bottom w:val="double" w:sz="4" w:space="0" w:color="auto"/>
            </w:tcBorders>
            <w:shd w:val="clear" w:color="auto" w:fill="E7E6E6" w:themeFill="background2"/>
            <w:vAlign w:val="center"/>
            <w:hideMark/>
          </w:tcPr>
          <w:p w14:paraId="58B98A7E" w14:textId="77777777" w:rsidR="00635700" w:rsidRPr="00331581" w:rsidRDefault="00635700" w:rsidP="008834B4">
            <w:pPr>
              <w:jc w:val="center"/>
              <w:rPr>
                <w:bCs/>
                <w:sz w:val="20"/>
                <w:szCs w:val="20"/>
              </w:rPr>
            </w:pPr>
          </w:p>
        </w:tc>
        <w:tc>
          <w:tcPr>
            <w:tcW w:w="992" w:type="dxa"/>
            <w:vMerge/>
            <w:tcBorders>
              <w:bottom w:val="double" w:sz="4" w:space="0" w:color="auto"/>
            </w:tcBorders>
            <w:shd w:val="clear" w:color="auto" w:fill="E7E6E6" w:themeFill="background2"/>
            <w:vAlign w:val="center"/>
            <w:hideMark/>
          </w:tcPr>
          <w:p w14:paraId="6102ED92" w14:textId="77777777" w:rsidR="00635700" w:rsidRPr="00331581" w:rsidRDefault="00635700" w:rsidP="008834B4">
            <w:pPr>
              <w:jc w:val="center"/>
              <w:rPr>
                <w:bCs/>
                <w:sz w:val="20"/>
                <w:szCs w:val="20"/>
              </w:rPr>
            </w:pPr>
          </w:p>
        </w:tc>
        <w:tc>
          <w:tcPr>
            <w:tcW w:w="993" w:type="dxa"/>
            <w:tcBorders>
              <w:bottom w:val="double" w:sz="4" w:space="0" w:color="auto"/>
            </w:tcBorders>
            <w:shd w:val="clear" w:color="auto" w:fill="E7E6E6" w:themeFill="background2"/>
            <w:noWrap/>
            <w:vAlign w:val="center"/>
            <w:hideMark/>
          </w:tcPr>
          <w:p w14:paraId="4860E629" w14:textId="77777777" w:rsidR="00635700" w:rsidRPr="00067214" w:rsidRDefault="00635700" w:rsidP="008834B4">
            <w:pPr>
              <w:jc w:val="center"/>
              <w:rPr>
                <w:bCs/>
                <w:sz w:val="18"/>
                <w:szCs w:val="18"/>
              </w:rPr>
            </w:pPr>
            <w:r w:rsidRPr="00067214">
              <w:rPr>
                <w:bCs/>
                <w:sz w:val="18"/>
                <w:szCs w:val="18"/>
              </w:rPr>
              <w:t>тыс. руб.</w:t>
            </w:r>
          </w:p>
        </w:tc>
        <w:tc>
          <w:tcPr>
            <w:tcW w:w="992" w:type="dxa"/>
            <w:tcBorders>
              <w:bottom w:val="double" w:sz="4" w:space="0" w:color="auto"/>
              <w:right w:val="double" w:sz="4" w:space="0" w:color="auto"/>
            </w:tcBorders>
            <w:shd w:val="clear" w:color="auto" w:fill="E7E6E6" w:themeFill="background2"/>
            <w:noWrap/>
            <w:vAlign w:val="center"/>
            <w:hideMark/>
          </w:tcPr>
          <w:p w14:paraId="486A90DB" w14:textId="77777777" w:rsidR="00635700" w:rsidRPr="00067214" w:rsidRDefault="00635700" w:rsidP="008834B4">
            <w:pPr>
              <w:jc w:val="center"/>
              <w:rPr>
                <w:bCs/>
                <w:sz w:val="18"/>
                <w:szCs w:val="18"/>
              </w:rPr>
            </w:pPr>
            <w:r w:rsidRPr="00067214">
              <w:rPr>
                <w:bCs/>
                <w:sz w:val="18"/>
                <w:szCs w:val="18"/>
              </w:rPr>
              <w:t>%</w:t>
            </w:r>
          </w:p>
        </w:tc>
      </w:tr>
      <w:tr w:rsidR="00635700" w:rsidRPr="00331581" w14:paraId="49EC5BE5" w14:textId="77777777" w:rsidTr="008834B4">
        <w:trPr>
          <w:trHeight w:hRule="exact" w:val="309"/>
        </w:trPr>
        <w:tc>
          <w:tcPr>
            <w:tcW w:w="5827" w:type="dxa"/>
            <w:gridSpan w:val="2"/>
            <w:tcBorders>
              <w:top w:val="double" w:sz="4" w:space="0" w:color="auto"/>
              <w:left w:val="double" w:sz="4" w:space="0" w:color="auto"/>
              <w:bottom w:val="double" w:sz="4" w:space="0" w:color="auto"/>
            </w:tcBorders>
            <w:vAlign w:val="center"/>
            <w:hideMark/>
          </w:tcPr>
          <w:p w14:paraId="38C89878" w14:textId="77777777" w:rsidR="00635700" w:rsidRPr="00331581" w:rsidRDefault="00635700" w:rsidP="008834B4">
            <w:pPr>
              <w:jc w:val="right"/>
              <w:rPr>
                <w:b/>
                <w:bCs/>
                <w:sz w:val="20"/>
                <w:szCs w:val="20"/>
              </w:rPr>
            </w:pPr>
            <w:r w:rsidRPr="00331581">
              <w:rPr>
                <w:b/>
                <w:bCs/>
                <w:sz w:val="20"/>
                <w:szCs w:val="20"/>
              </w:rPr>
              <w:t>Расходы бюджета – всего, в том числе</w:t>
            </w:r>
            <w:r>
              <w:rPr>
                <w:b/>
                <w:bCs/>
                <w:sz w:val="20"/>
                <w:szCs w:val="20"/>
              </w:rPr>
              <w:t>:</w:t>
            </w:r>
          </w:p>
        </w:tc>
        <w:tc>
          <w:tcPr>
            <w:tcW w:w="992" w:type="dxa"/>
            <w:tcBorders>
              <w:top w:val="double" w:sz="4" w:space="0" w:color="auto"/>
              <w:bottom w:val="double" w:sz="4" w:space="0" w:color="auto"/>
            </w:tcBorders>
            <w:noWrap/>
            <w:vAlign w:val="center"/>
            <w:hideMark/>
          </w:tcPr>
          <w:p w14:paraId="028E166E" w14:textId="77777777" w:rsidR="00635700" w:rsidRPr="008F7467" w:rsidRDefault="00635700" w:rsidP="008834B4">
            <w:pPr>
              <w:jc w:val="right"/>
              <w:rPr>
                <w:b/>
                <w:sz w:val="20"/>
                <w:szCs w:val="20"/>
              </w:rPr>
            </w:pPr>
            <w:r>
              <w:rPr>
                <w:b/>
                <w:sz w:val="20"/>
                <w:szCs w:val="20"/>
              </w:rPr>
              <w:t>83 568,0</w:t>
            </w:r>
          </w:p>
        </w:tc>
        <w:tc>
          <w:tcPr>
            <w:tcW w:w="992" w:type="dxa"/>
            <w:tcBorders>
              <w:top w:val="double" w:sz="4" w:space="0" w:color="auto"/>
              <w:bottom w:val="double" w:sz="4" w:space="0" w:color="auto"/>
            </w:tcBorders>
            <w:noWrap/>
            <w:vAlign w:val="center"/>
            <w:hideMark/>
          </w:tcPr>
          <w:p w14:paraId="1FFF1D7B" w14:textId="77777777" w:rsidR="00635700" w:rsidRPr="00F836BD" w:rsidRDefault="00635700" w:rsidP="008834B4">
            <w:pPr>
              <w:jc w:val="right"/>
              <w:rPr>
                <w:b/>
                <w:sz w:val="20"/>
                <w:szCs w:val="20"/>
              </w:rPr>
            </w:pPr>
            <w:r>
              <w:rPr>
                <w:b/>
                <w:sz w:val="20"/>
                <w:szCs w:val="20"/>
              </w:rPr>
              <w:t>82 627,7</w:t>
            </w:r>
          </w:p>
        </w:tc>
        <w:tc>
          <w:tcPr>
            <w:tcW w:w="993" w:type="dxa"/>
            <w:tcBorders>
              <w:top w:val="double" w:sz="4" w:space="0" w:color="auto"/>
              <w:bottom w:val="double" w:sz="4" w:space="0" w:color="auto"/>
            </w:tcBorders>
            <w:noWrap/>
            <w:vAlign w:val="center"/>
            <w:hideMark/>
          </w:tcPr>
          <w:p w14:paraId="191AAEE9" w14:textId="77777777" w:rsidR="00635700" w:rsidRPr="00331581" w:rsidRDefault="00635700" w:rsidP="008834B4">
            <w:pPr>
              <w:jc w:val="right"/>
              <w:rPr>
                <w:b/>
                <w:sz w:val="20"/>
                <w:szCs w:val="20"/>
              </w:rPr>
            </w:pPr>
            <w:r>
              <w:rPr>
                <w:b/>
                <w:sz w:val="20"/>
                <w:szCs w:val="20"/>
              </w:rPr>
              <w:t>-940,3</w:t>
            </w:r>
          </w:p>
        </w:tc>
        <w:tc>
          <w:tcPr>
            <w:tcW w:w="992" w:type="dxa"/>
            <w:tcBorders>
              <w:top w:val="double" w:sz="4" w:space="0" w:color="auto"/>
              <w:bottom w:val="double" w:sz="4" w:space="0" w:color="auto"/>
              <w:right w:val="double" w:sz="4" w:space="0" w:color="auto"/>
            </w:tcBorders>
            <w:noWrap/>
            <w:vAlign w:val="center"/>
            <w:hideMark/>
          </w:tcPr>
          <w:p w14:paraId="2FB4E61B" w14:textId="77777777" w:rsidR="00635700" w:rsidRPr="00331581" w:rsidRDefault="00635700" w:rsidP="008834B4">
            <w:pPr>
              <w:jc w:val="right"/>
              <w:rPr>
                <w:b/>
                <w:sz w:val="20"/>
                <w:szCs w:val="20"/>
              </w:rPr>
            </w:pPr>
            <w:r>
              <w:rPr>
                <w:b/>
                <w:sz w:val="20"/>
                <w:szCs w:val="20"/>
              </w:rPr>
              <w:t>-1,1</w:t>
            </w:r>
          </w:p>
        </w:tc>
      </w:tr>
      <w:tr w:rsidR="00635700" w:rsidRPr="00331581" w14:paraId="5BE9139A" w14:textId="77777777" w:rsidTr="008834B4">
        <w:trPr>
          <w:trHeight w:val="64"/>
        </w:trPr>
        <w:tc>
          <w:tcPr>
            <w:tcW w:w="1008" w:type="dxa"/>
            <w:tcBorders>
              <w:top w:val="double" w:sz="4" w:space="0" w:color="auto"/>
              <w:left w:val="double" w:sz="4" w:space="0" w:color="auto"/>
            </w:tcBorders>
            <w:vAlign w:val="center"/>
            <w:hideMark/>
          </w:tcPr>
          <w:p w14:paraId="0B8E41FA" w14:textId="77777777" w:rsidR="00635700" w:rsidRPr="00331581" w:rsidRDefault="00635700" w:rsidP="008834B4">
            <w:pPr>
              <w:jc w:val="center"/>
              <w:rPr>
                <w:bCs/>
                <w:sz w:val="20"/>
                <w:szCs w:val="20"/>
              </w:rPr>
            </w:pPr>
            <w:r w:rsidRPr="00331581">
              <w:rPr>
                <w:bCs/>
                <w:sz w:val="20"/>
                <w:szCs w:val="20"/>
              </w:rPr>
              <w:t>01</w:t>
            </w:r>
            <w:r>
              <w:rPr>
                <w:bCs/>
                <w:sz w:val="20"/>
                <w:szCs w:val="20"/>
              </w:rPr>
              <w:t>06</w:t>
            </w:r>
          </w:p>
        </w:tc>
        <w:tc>
          <w:tcPr>
            <w:tcW w:w="4819" w:type="dxa"/>
            <w:tcBorders>
              <w:top w:val="double" w:sz="4" w:space="0" w:color="auto"/>
            </w:tcBorders>
            <w:vAlign w:val="center"/>
            <w:hideMark/>
          </w:tcPr>
          <w:p w14:paraId="6B85C8DE" w14:textId="77777777" w:rsidR="00635700" w:rsidRPr="00331581" w:rsidRDefault="00635700" w:rsidP="008834B4">
            <w:pPr>
              <w:rPr>
                <w:bCs/>
                <w:iCs/>
                <w:sz w:val="20"/>
                <w:szCs w:val="20"/>
              </w:rPr>
            </w:pPr>
            <w:r>
              <w:rPr>
                <w:bCs/>
                <w:iCs/>
                <w:sz w:val="20"/>
                <w:szCs w:val="20"/>
              </w:rPr>
              <w:t>О</w:t>
            </w:r>
            <w:r w:rsidRPr="00331581">
              <w:rPr>
                <w:bCs/>
                <w:iCs/>
                <w:sz w:val="20"/>
                <w:szCs w:val="20"/>
              </w:rPr>
              <w:t>бщегосударственные вопросы</w:t>
            </w:r>
          </w:p>
        </w:tc>
        <w:tc>
          <w:tcPr>
            <w:tcW w:w="992" w:type="dxa"/>
            <w:tcBorders>
              <w:top w:val="double" w:sz="4" w:space="0" w:color="auto"/>
            </w:tcBorders>
            <w:noWrap/>
            <w:vAlign w:val="center"/>
            <w:hideMark/>
          </w:tcPr>
          <w:p w14:paraId="0677DD92" w14:textId="77777777" w:rsidR="00635700" w:rsidRPr="008C2F8F" w:rsidRDefault="00635700" w:rsidP="008834B4">
            <w:pPr>
              <w:jc w:val="right"/>
              <w:rPr>
                <w:sz w:val="20"/>
                <w:szCs w:val="20"/>
              </w:rPr>
            </w:pPr>
            <w:r w:rsidRPr="008C2F8F">
              <w:rPr>
                <w:color w:val="000000"/>
                <w:sz w:val="20"/>
                <w:szCs w:val="20"/>
              </w:rPr>
              <w:t>83 168,4</w:t>
            </w:r>
          </w:p>
        </w:tc>
        <w:tc>
          <w:tcPr>
            <w:tcW w:w="992" w:type="dxa"/>
            <w:tcBorders>
              <w:top w:val="double" w:sz="4" w:space="0" w:color="auto"/>
            </w:tcBorders>
            <w:noWrap/>
            <w:vAlign w:val="center"/>
            <w:hideMark/>
          </w:tcPr>
          <w:p w14:paraId="3F7BD353" w14:textId="77777777" w:rsidR="00635700" w:rsidRPr="008C2F8F" w:rsidRDefault="00635700" w:rsidP="008834B4">
            <w:pPr>
              <w:jc w:val="right"/>
              <w:rPr>
                <w:sz w:val="20"/>
                <w:szCs w:val="20"/>
              </w:rPr>
            </w:pPr>
            <w:r w:rsidRPr="008C2F8F">
              <w:rPr>
                <w:color w:val="000000"/>
                <w:sz w:val="20"/>
                <w:szCs w:val="20"/>
              </w:rPr>
              <w:t>82 577,7</w:t>
            </w:r>
          </w:p>
        </w:tc>
        <w:tc>
          <w:tcPr>
            <w:tcW w:w="993" w:type="dxa"/>
            <w:tcBorders>
              <w:top w:val="double" w:sz="4" w:space="0" w:color="auto"/>
            </w:tcBorders>
            <w:noWrap/>
            <w:vAlign w:val="center"/>
            <w:hideMark/>
          </w:tcPr>
          <w:p w14:paraId="0C66F437" w14:textId="77777777" w:rsidR="00635700" w:rsidRPr="008C2F8F" w:rsidRDefault="00635700" w:rsidP="008834B4">
            <w:pPr>
              <w:jc w:val="right"/>
              <w:rPr>
                <w:sz w:val="20"/>
                <w:szCs w:val="20"/>
              </w:rPr>
            </w:pPr>
            <w:r w:rsidRPr="008C2F8F">
              <w:rPr>
                <w:sz w:val="20"/>
                <w:szCs w:val="20"/>
              </w:rPr>
              <w:t>-590,7</w:t>
            </w:r>
          </w:p>
        </w:tc>
        <w:tc>
          <w:tcPr>
            <w:tcW w:w="992" w:type="dxa"/>
            <w:tcBorders>
              <w:top w:val="double" w:sz="4" w:space="0" w:color="auto"/>
              <w:right w:val="double" w:sz="4" w:space="0" w:color="auto"/>
            </w:tcBorders>
            <w:noWrap/>
            <w:vAlign w:val="center"/>
            <w:hideMark/>
          </w:tcPr>
          <w:p w14:paraId="64B3AC62" w14:textId="77777777" w:rsidR="00635700" w:rsidRPr="008C2F8F" w:rsidRDefault="00635700" w:rsidP="008834B4">
            <w:pPr>
              <w:jc w:val="right"/>
              <w:rPr>
                <w:sz w:val="20"/>
                <w:szCs w:val="20"/>
              </w:rPr>
            </w:pPr>
            <w:r w:rsidRPr="008C2F8F">
              <w:rPr>
                <w:sz w:val="20"/>
                <w:szCs w:val="20"/>
              </w:rPr>
              <w:t>-0,7</w:t>
            </w:r>
          </w:p>
        </w:tc>
      </w:tr>
      <w:tr w:rsidR="00635700" w:rsidRPr="00331581" w14:paraId="08CE294C" w14:textId="77777777" w:rsidTr="008834B4">
        <w:trPr>
          <w:trHeight w:val="64"/>
        </w:trPr>
        <w:tc>
          <w:tcPr>
            <w:tcW w:w="1008" w:type="dxa"/>
            <w:tcBorders>
              <w:left w:val="double" w:sz="4" w:space="0" w:color="auto"/>
            </w:tcBorders>
            <w:noWrap/>
            <w:vAlign w:val="center"/>
            <w:hideMark/>
          </w:tcPr>
          <w:p w14:paraId="17A1D948" w14:textId="77777777" w:rsidR="00635700" w:rsidRPr="00331581" w:rsidRDefault="00635700" w:rsidP="008834B4">
            <w:pPr>
              <w:jc w:val="center"/>
              <w:rPr>
                <w:bCs/>
                <w:sz w:val="20"/>
                <w:szCs w:val="20"/>
              </w:rPr>
            </w:pPr>
            <w:r w:rsidRPr="00331581">
              <w:rPr>
                <w:bCs/>
                <w:sz w:val="20"/>
                <w:szCs w:val="20"/>
              </w:rPr>
              <w:t>0113</w:t>
            </w:r>
          </w:p>
        </w:tc>
        <w:tc>
          <w:tcPr>
            <w:tcW w:w="4819" w:type="dxa"/>
            <w:vAlign w:val="center"/>
            <w:hideMark/>
          </w:tcPr>
          <w:p w14:paraId="37196CEF" w14:textId="77777777" w:rsidR="00635700" w:rsidRPr="00331581" w:rsidRDefault="00635700" w:rsidP="008834B4">
            <w:pPr>
              <w:rPr>
                <w:bCs/>
                <w:iCs/>
                <w:sz w:val="20"/>
                <w:szCs w:val="20"/>
              </w:rPr>
            </w:pPr>
            <w:r w:rsidRPr="00331581">
              <w:rPr>
                <w:bCs/>
                <w:iCs/>
                <w:sz w:val="20"/>
                <w:szCs w:val="20"/>
              </w:rPr>
              <w:t>Другие общегосударственные вопросы</w:t>
            </w:r>
          </w:p>
        </w:tc>
        <w:tc>
          <w:tcPr>
            <w:tcW w:w="992" w:type="dxa"/>
            <w:noWrap/>
            <w:vAlign w:val="center"/>
            <w:hideMark/>
          </w:tcPr>
          <w:p w14:paraId="6574D521" w14:textId="77777777" w:rsidR="00635700" w:rsidRPr="008C2F8F" w:rsidRDefault="00635700" w:rsidP="008834B4">
            <w:pPr>
              <w:jc w:val="right"/>
              <w:rPr>
                <w:sz w:val="20"/>
                <w:szCs w:val="20"/>
              </w:rPr>
            </w:pPr>
            <w:r w:rsidRPr="008C2F8F">
              <w:rPr>
                <w:sz w:val="20"/>
                <w:szCs w:val="20"/>
              </w:rPr>
              <w:t>148,0</w:t>
            </w:r>
          </w:p>
        </w:tc>
        <w:tc>
          <w:tcPr>
            <w:tcW w:w="992" w:type="dxa"/>
            <w:noWrap/>
            <w:vAlign w:val="center"/>
            <w:hideMark/>
          </w:tcPr>
          <w:p w14:paraId="4E2137B1" w14:textId="77777777" w:rsidR="00635700" w:rsidRPr="008C2F8F" w:rsidRDefault="00635700" w:rsidP="008834B4">
            <w:pPr>
              <w:jc w:val="right"/>
              <w:rPr>
                <w:sz w:val="20"/>
                <w:szCs w:val="20"/>
              </w:rPr>
            </w:pPr>
            <w:r w:rsidRPr="008C2F8F">
              <w:rPr>
                <w:sz w:val="20"/>
                <w:szCs w:val="20"/>
              </w:rPr>
              <w:t>0,0</w:t>
            </w:r>
          </w:p>
        </w:tc>
        <w:tc>
          <w:tcPr>
            <w:tcW w:w="993" w:type="dxa"/>
            <w:vAlign w:val="center"/>
            <w:hideMark/>
          </w:tcPr>
          <w:p w14:paraId="6B625FEF" w14:textId="77777777" w:rsidR="00635700" w:rsidRPr="008C2F8F" w:rsidRDefault="00635700" w:rsidP="008834B4">
            <w:pPr>
              <w:jc w:val="right"/>
              <w:rPr>
                <w:sz w:val="20"/>
                <w:szCs w:val="20"/>
              </w:rPr>
            </w:pPr>
            <w:r w:rsidRPr="008C2F8F">
              <w:rPr>
                <w:sz w:val="20"/>
                <w:szCs w:val="20"/>
              </w:rPr>
              <w:t>-148,0</w:t>
            </w:r>
          </w:p>
        </w:tc>
        <w:tc>
          <w:tcPr>
            <w:tcW w:w="992" w:type="dxa"/>
            <w:tcBorders>
              <w:right w:val="double" w:sz="4" w:space="0" w:color="auto"/>
            </w:tcBorders>
            <w:noWrap/>
            <w:vAlign w:val="center"/>
            <w:hideMark/>
          </w:tcPr>
          <w:p w14:paraId="38073D79" w14:textId="77777777" w:rsidR="00635700" w:rsidRPr="008C2F8F" w:rsidRDefault="00635700" w:rsidP="008834B4">
            <w:pPr>
              <w:ind w:left="-108"/>
              <w:jc w:val="right"/>
              <w:rPr>
                <w:sz w:val="20"/>
                <w:szCs w:val="20"/>
              </w:rPr>
            </w:pPr>
            <w:r w:rsidRPr="008C2F8F">
              <w:rPr>
                <w:sz w:val="20"/>
                <w:szCs w:val="20"/>
              </w:rPr>
              <w:t>-100,0</w:t>
            </w:r>
          </w:p>
        </w:tc>
      </w:tr>
      <w:tr w:rsidR="00635700" w:rsidRPr="00331581" w14:paraId="59E66D44" w14:textId="77777777" w:rsidTr="008834B4">
        <w:trPr>
          <w:trHeight w:val="102"/>
        </w:trPr>
        <w:tc>
          <w:tcPr>
            <w:tcW w:w="1008" w:type="dxa"/>
            <w:tcBorders>
              <w:left w:val="double" w:sz="4" w:space="0" w:color="auto"/>
              <w:bottom w:val="double" w:sz="4" w:space="0" w:color="auto"/>
            </w:tcBorders>
            <w:noWrap/>
            <w:vAlign w:val="center"/>
            <w:hideMark/>
          </w:tcPr>
          <w:p w14:paraId="6812F005" w14:textId="77777777" w:rsidR="00635700" w:rsidRPr="00331581" w:rsidRDefault="00635700" w:rsidP="008834B4">
            <w:pPr>
              <w:jc w:val="center"/>
              <w:rPr>
                <w:sz w:val="20"/>
                <w:szCs w:val="20"/>
              </w:rPr>
            </w:pPr>
            <w:r>
              <w:rPr>
                <w:sz w:val="20"/>
                <w:szCs w:val="20"/>
              </w:rPr>
              <w:t>0705</w:t>
            </w:r>
          </w:p>
        </w:tc>
        <w:tc>
          <w:tcPr>
            <w:tcW w:w="4819" w:type="dxa"/>
            <w:tcBorders>
              <w:bottom w:val="double" w:sz="4" w:space="0" w:color="auto"/>
            </w:tcBorders>
            <w:vAlign w:val="center"/>
            <w:hideMark/>
          </w:tcPr>
          <w:p w14:paraId="398EDE7C" w14:textId="77777777" w:rsidR="00635700" w:rsidRPr="008F7467" w:rsidRDefault="00635700" w:rsidP="008834B4">
            <w:pPr>
              <w:ind w:right="-108"/>
              <w:rPr>
                <w:bCs/>
                <w:iCs/>
                <w:sz w:val="20"/>
                <w:szCs w:val="20"/>
              </w:rPr>
            </w:pPr>
            <w:r w:rsidRPr="008F7467">
              <w:rPr>
                <w:bCs/>
                <w:sz w:val="20"/>
                <w:szCs w:val="20"/>
              </w:rPr>
              <w:t>Профессиональная подготовка, переподготовка и повышение квалификации</w:t>
            </w:r>
          </w:p>
        </w:tc>
        <w:tc>
          <w:tcPr>
            <w:tcW w:w="992" w:type="dxa"/>
            <w:tcBorders>
              <w:bottom w:val="double" w:sz="4" w:space="0" w:color="auto"/>
            </w:tcBorders>
            <w:noWrap/>
            <w:vAlign w:val="center"/>
            <w:hideMark/>
          </w:tcPr>
          <w:p w14:paraId="38FA1FC0" w14:textId="77777777" w:rsidR="00635700" w:rsidRPr="008C2F8F" w:rsidRDefault="00635700" w:rsidP="008834B4">
            <w:pPr>
              <w:jc w:val="right"/>
              <w:rPr>
                <w:sz w:val="20"/>
                <w:szCs w:val="20"/>
              </w:rPr>
            </w:pPr>
            <w:r w:rsidRPr="008C2F8F">
              <w:rPr>
                <w:color w:val="000000"/>
                <w:sz w:val="20"/>
                <w:szCs w:val="20"/>
              </w:rPr>
              <w:t>251,6</w:t>
            </w:r>
          </w:p>
        </w:tc>
        <w:tc>
          <w:tcPr>
            <w:tcW w:w="992" w:type="dxa"/>
            <w:tcBorders>
              <w:bottom w:val="double" w:sz="4" w:space="0" w:color="auto"/>
            </w:tcBorders>
            <w:noWrap/>
            <w:vAlign w:val="center"/>
            <w:hideMark/>
          </w:tcPr>
          <w:p w14:paraId="6EA0E762" w14:textId="77777777" w:rsidR="00635700" w:rsidRPr="008C2F8F" w:rsidRDefault="00635700" w:rsidP="008834B4">
            <w:pPr>
              <w:jc w:val="right"/>
              <w:rPr>
                <w:sz w:val="20"/>
                <w:szCs w:val="20"/>
              </w:rPr>
            </w:pPr>
            <w:r w:rsidRPr="008C2F8F">
              <w:rPr>
                <w:sz w:val="20"/>
                <w:szCs w:val="20"/>
              </w:rPr>
              <w:t>50,0</w:t>
            </w:r>
          </w:p>
        </w:tc>
        <w:tc>
          <w:tcPr>
            <w:tcW w:w="993" w:type="dxa"/>
            <w:tcBorders>
              <w:bottom w:val="double" w:sz="4" w:space="0" w:color="auto"/>
            </w:tcBorders>
            <w:vAlign w:val="center"/>
            <w:hideMark/>
          </w:tcPr>
          <w:p w14:paraId="2DD98440" w14:textId="77777777" w:rsidR="00635700" w:rsidRPr="008C2F8F" w:rsidRDefault="00635700" w:rsidP="008834B4">
            <w:pPr>
              <w:jc w:val="right"/>
              <w:rPr>
                <w:sz w:val="20"/>
                <w:szCs w:val="20"/>
              </w:rPr>
            </w:pPr>
            <w:r w:rsidRPr="008C2F8F">
              <w:rPr>
                <w:sz w:val="20"/>
                <w:szCs w:val="20"/>
              </w:rPr>
              <w:t>201,6</w:t>
            </w:r>
          </w:p>
        </w:tc>
        <w:tc>
          <w:tcPr>
            <w:tcW w:w="992" w:type="dxa"/>
            <w:tcBorders>
              <w:bottom w:val="double" w:sz="4" w:space="0" w:color="auto"/>
              <w:right w:val="double" w:sz="4" w:space="0" w:color="auto"/>
            </w:tcBorders>
            <w:noWrap/>
            <w:vAlign w:val="center"/>
            <w:hideMark/>
          </w:tcPr>
          <w:p w14:paraId="0CB36997" w14:textId="77777777" w:rsidR="00635700" w:rsidRPr="008C2F8F" w:rsidRDefault="00635700" w:rsidP="008834B4">
            <w:pPr>
              <w:jc w:val="right"/>
              <w:rPr>
                <w:sz w:val="20"/>
                <w:szCs w:val="20"/>
              </w:rPr>
            </w:pPr>
            <w:r w:rsidRPr="008C2F8F">
              <w:rPr>
                <w:sz w:val="20"/>
                <w:szCs w:val="20"/>
              </w:rPr>
              <w:t>-80,0</w:t>
            </w:r>
          </w:p>
        </w:tc>
      </w:tr>
    </w:tbl>
    <w:p w14:paraId="77FAB85E" w14:textId="77777777" w:rsidR="00635700" w:rsidRDefault="00635700" w:rsidP="00635700">
      <w:pPr>
        <w:tabs>
          <w:tab w:val="left" w:pos="1276"/>
        </w:tabs>
        <w:jc w:val="both"/>
        <w:rPr>
          <w:color w:val="FF0000"/>
        </w:rPr>
      </w:pPr>
      <w:r>
        <w:rPr>
          <w:color w:val="FF0000"/>
        </w:rPr>
        <w:tab/>
      </w:r>
    </w:p>
    <w:p w14:paraId="687FF937" w14:textId="28BB7AE6" w:rsidR="00635700" w:rsidRPr="00FC3F3C" w:rsidRDefault="00635700" w:rsidP="00635700">
      <w:pPr>
        <w:tabs>
          <w:tab w:val="left" w:pos="1276"/>
        </w:tabs>
        <w:ind w:firstLine="709"/>
        <w:jc w:val="both"/>
      </w:pPr>
      <w:r w:rsidRPr="00D23D08">
        <w:t>Как видно из таблицы</w:t>
      </w:r>
      <w:r w:rsidR="000F39C3">
        <w:t>,</w:t>
      </w:r>
      <w:r w:rsidRPr="00D23D08">
        <w:t xml:space="preserve"> расходы КСП за отчётный год </w:t>
      </w:r>
      <w:r w:rsidR="000F39C3" w:rsidRPr="00504AF8">
        <w:t>по сравнению с 2019 годом</w:t>
      </w:r>
      <w:r w:rsidR="000F39C3">
        <w:t xml:space="preserve"> </w:t>
      </w:r>
      <w:r>
        <w:t>меньше</w:t>
      </w:r>
      <w:r w:rsidRPr="00D23D08">
        <w:t xml:space="preserve"> на </w:t>
      </w:r>
      <w:r>
        <w:t>940,3</w:t>
      </w:r>
      <w:r w:rsidRPr="00D23D08">
        <w:t xml:space="preserve"> тыс. </w:t>
      </w:r>
      <w:r w:rsidRPr="00504AF8">
        <w:t>руб. или на 1,1%, в основном, по расходам, связанным с</w:t>
      </w:r>
      <w:r w:rsidRPr="00504AF8">
        <w:rPr>
          <w:rFonts w:eastAsiaTheme="minorHAnsi"/>
          <w:lang w:eastAsia="en-US"/>
        </w:rPr>
        <w:t xml:space="preserve"> закупкой товаров, работ и услуг, расходам на иные выплаты персоналу (командировочные</w:t>
      </w:r>
      <w:r>
        <w:rPr>
          <w:rFonts w:eastAsiaTheme="minorHAnsi"/>
          <w:lang w:eastAsia="en-US"/>
        </w:rPr>
        <w:t xml:space="preserve"> расходы), расходам на профессиональную подготовку, переподготовку и повышение квалификации, а также расходам, связанным с уплатой членских взносов в ЕВРОРАИ</w:t>
      </w:r>
      <w:r w:rsidRPr="00FC3F3C">
        <w:t xml:space="preserve">. </w:t>
      </w:r>
    </w:p>
    <w:p w14:paraId="23047B11" w14:textId="77777777" w:rsidR="00F3335A" w:rsidRDefault="00F3335A" w:rsidP="00B5483D">
      <w:pPr>
        <w:tabs>
          <w:tab w:val="left" w:pos="0"/>
        </w:tabs>
        <w:jc w:val="center"/>
        <w:rPr>
          <w:b/>
          <w:i/>
        </w:rPr>
      </w:pPr>
    </w:p>
    <w:p w14:paraId="65A2DD53" w14:textId="77777777" w:rsidR="00635700" w:rsidRDefault="00635700" w:rsidP="00635700">
      <w:pPr>
        <w:tabs>
          <w:tab w:val="left" w:pos="0"/>
        </w:tabs>
        <w:jc w:val="center"/>
        <w:rPr>
          <w:b/>
          <w:i/>
        </w:rPr>
      </w:pPr>
      <w:r w:rsidRPr="00EE29DE">
        <w:rPr>
          <w:b/>
          <w:i/>
        </w:rPr>
        <w:t>Анализ дебиторской и кредиторской задолженности</w:t>
      </w:r>
    </w:p>
    <w:p w14:paraId="3411A400" w14:textId="77777777" w:rsidR="00635700" w:rsidRDefault="00635700" w:rsidP="00635700">
      <w:pPr>
        <w:tabs>
          <w:tab w:val="left" w:pos="0"/>
        </w:tabs>
        <w:ind w:firstLine="709"/>
        <w:jc w:val="both"/>
      </w:pPr>
      <w:r w:rsidRPr="00DD5C8D">
        <w:t>Анализ дебиторской и кредиторской задолженности КСП на 01.01.20</w:t>
      </w:r>
      <w:r>
        <w:t>20 и на 01.01.2021 приведен в таблице</w:t>
      </w:r>
      <w:r w:rsidRPr="00DD5C8D">
        <w:t>:</w:t>
      </w:r>
    </w:p>
    <w:p w14:paraId="23CD6E97" w14:textId="77777777" w:rsidR="00635700" w:rsidRPr="00157B96" w:rsidRDefault="00635700" w:rsidP="00635700">
      <w:pPr>
        <w:widowControl w:val="0"/>
        <w:tabs>
          <w:tab w:val="left" w:pos="1276"/>
        </w:tabs>
        <w:autoSpaceDE w:val="0"/>
        <w:autoSpaceDN w:val="0"/>
        <w:adjustRightInd w:val="0"/>
        <w:jc w:val="right"/>
        <w:rPr>
          <w:i/>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i/>
          <w:sz w:val="18"/>
          <w:szCs w:val="18"/>
        </w:rPr>
        <w:t xml:space="preserve"> (</w:t>
      </w:r>
      <w:proofErr w:type="spellStart"/>
      <w:r>
        <w:rPr>
          <w:i/>
          <w:sz w:val="18"/>
          <w:szCs w:val="18"/>
        </w:rPr>
        <w:t>тыс.руб</w:t>
      </w:r>
      <w:proofErr w:type="spellEnd"/>
      <w:r>
        <w:rPr>
          <w:i/>
          <w:sz w:val="18"/>
          <w:szCs w:val="18"/>
        </w:rPr>
        <w:t>.)</w:t>
      </w:r>
    </w:p>
    <w:tbl>
      <w:tblPr>
        <w:tblW w:w="96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209"/>
        <w:gridCol w:w="1453"/>
        <w:gridCol w:w="1377"/>
        <w:gridCol w:w="1333"/>
        <w:gridCol w:w="1300"/>
      </w:tblGrid>
      <w:tr w:rsidR="00635700" w:rsidRPr="00DE0580" w14:paraId="12E4E5EB" w14:textId="77777777" w:rsidTr="008834B4">
        <w:trPr>
          <w:trHeight w:val="255"/>
          <w:jc w:val="center"/>
        </w:trPr>
        <w:tc>
          <w:tcPr>
            <w:tcW w:w="4209" w:type="dxa"/>
            <w:vMerge w:val="restart"/>
            <w:tcBorders>
              <w:top w:val="double" w:sz="4" w:space="0" w:color="auto"/>
              <w:left w:val="double" w:sz="4" w:space="0" w:color="auto"/>
            </w:tcBorders>
            <w:shd w:val="clear" w:color="auto" w:fill="E7E6E6" w:themeFill="background2"/>
            <w:vAlign w:val="center"/>
          </w:tcPr>
          <w:p w14:paraId="1B18617D" w14:textId="77777777" w:rsidR="00635700" w:rsidRPr="006E44B7" w:rsidRDefault="00635700" w:rsidP="008834B4">
            <w:pPr>
              <w:jc w:val="center"/>
              <w:rPr>
                <w:b/>
                <w:bCs/>
                <w:sz w:val="20"/>
                <w:szCs w:val="20"/>
              </w:rPr>
            </w:pPr>
            <w:r w:rsidRPr="006E44B7">
              <w:rPr>
                <w:b/>
                <w:bCs/>
                <w:sz w:val="20"/>
                <w:szCs w:val="20"/>
              </w:rPr>
              <w:t>Наименование показателя</w:t>
            </w:r>
          </w:p>
        </w:tc>
        <w:tc>
          <w:tcPr>
            <w:tcW w:w="2830" w:type="dxa"/>
            <w:gridSpan w:val="2"/>
            <w:tcBorders>
              <w:top w:val="double" w:sz="4" w:space="0" w:color="auto"/>
            </w:tcBorders>
            <w:shd w:val="clear" w:color="auto" w:fill="E7E6E6" w:themeFill="background2"/>
            <w:vAlign w:val="center"/>
          </w:tcPr>
          <w:p w14:paraId="1160A898" w14:textId="77777777" w:rsidR="00635700" w:rsidRPr="006E44B7" w:rsidRDefault="00635700" w:rsidP="008834B4">
            <w:pPr>
              <w:jc w:val="center"/>
              <w:rPr>
                <w:b/>
                <w:bCs/>
                <w:sz w:val="20"/>
                <w:szCs w:val="20"/>
              </w:rPr>
            </w:pPr>
            <w:r w:rsidRPr="006E44B7">
              <w:rPr>
                <w:b/>
                <w:bCs/>
                <w:sz w:val="20"/>
                <w:szCs w:val="20"/>
              </w:rPr>
              <w:t>Сумма задолженности</w:t>
            </w:r>
          </w:p>
        </w:tc>
        <w:tc>
          <w:tcPr>
            <w:tcW w:w="2633" w:type="dxa"/>
            <w:gridSpan w:val="2"/>
            <w:tcBorders>
              <w:top w:val="double" w:sz="4" w:space="0" w:color="auto"/>
              <w:right w:val="double" w:sz="4" w:space="0" w:color="auto"/>
            </w:tcBorders>
            <w:shd w:val="clear" w:color="auto" w:fill="E7E6E6" w:themeFill="background2"/>
            <w:vAlign w:val="center"/>
          </w:tcPr>
          <w:p w14:paraId="44307AD4" w14:textId="77777777" w:rsidR="00635700" w:rsidRPr="006E44B7" w:rsidRDefault="00635700" w:rsidP="008834B4">
            <w:pPr>
              <w:jc w:val="center"/>
              <w:rPr>
                <w:b/>
                <w:bCs/>
                <w:sz w:val="20"/>
                <w:szCs w:val="20"/>
              </w:rPr>
            </w:pPr>
            <w:r w:rsidRPr="006E44B7">
              <w:rPr>
                <w:b/>
                <w:bCs/>
                <w:sz w:val="20"/>
                <w:szCs w:val="20"/>
              </w:rPr>
              <w:t>Отклонение</w:t>
            </w:r>
            <w:r>
              <w:rPr>
                <w:b/>
                <w:bCs/>
                <w:sz w:val="20"/>
                <w:szCs w:val="20"/>
              </w:rPr>
              <w:t xml:space="preserve"> (</w:t>
            </w:r>
            <w:proofErr w:type="gramStart"/>
            <w:r>
              <w:rPr>
                <w:b/>
                <w:bCs/>
                <w:sz w:val="20"/>
                <w:szCs w:val="20"/>
              </w:rPr>
              <w:t>+,-</w:t>
            </w:r>
            <w:proofErr w:type="gramEnd"/>
            <w:r>
              <w:rPr>
                <w:b/>
                <w:bCs/>
                <w:sz w:val="20"/>
                <w:szCs w:val="20"/>
              </w:rPr>
              <w:t>)</w:t>
            </w:r>
          </w:p>
        </w:tc>
      </w:tr>
      <w:tr w:rsidR="00635700" w:rsidRPr="00DE0580" w14:paraId="7F23F719" w14:textId="77777777" w:rsidTr="008834B4">
        <w:trPr>
          <w:trHeight w:val="255"/>
          <w:jc w:val="center"/>
        </w:trPr>
        <w:tc>
          <w:tcPr>
            <w:tcW w:w="4209" w:type="dxa"/>
            <w:vMerge/>
            <w:tcBorders>
              <w:left w:val="double" w:sz="4" w:space="0" w:color="auto"/>
              <w:bottom w:val="double" w:sz="4" w:space="0" w:color="auto"/>
            </w:tcBorders>
            <w:shd w:val="clear" w:color="auto" w:fill="E7E6E6" w:themeFill="background2"/>
            <w:vAlign w:val="center"/>
          </w:tcPr>
          <w:p w14:paraId="7255261C" w14:textId="77777777" w:rsidR="00635700" w:rsidRPr="006E44B7" w:rsidRDefault="00635700" w:rsidP="008834B4">
            <w:pPr>
              <w:rPr>
                <w:b/>
                <w:bCs/>
                <w:sz w:val="20"/>
                <w:szCs w:val="20"/>
              </w:rPr>
            </w:pPr>
          </w:p>
        </w:tc>
        <w:tc>
          <w:tcPr>
            <w:tcW w:w="1453" w:type="dxa"/>
            <w:tcBorders>
              <w:bottom w:val="double" w:sz="4" w:space="0" w:color="auto"/>
            </w:tcBorders>
            <w:shd w:val="clear" w:color="auto" w:fill="E7E6E6" w:themeFill="background2"/>
            <w:vAlign w:val="center"/>
          </w:tcPr>
          <w:p w14:paraId="47A3F3C9" w14:textId="77777777" w:rsidR="00635700" w:rsidRPr="00A00AD8" w:rsidRDefault="00635700" w:rsidP="008834B4">
            <w:pPr>
              <w:jc w:val="center"/>
              <w:rPr>
                <w:b/>
                <w:bCs/>
                <w:sz w:val="18"/>
                <w:szCs w:val="18"/>
              </w:rPr>
            </w:pPr>
            <w:r w:rsidRPr="00A00AD8">
              <w:rPr>
                <w:b/>
                <w:bCs/>
                <w:sz w:val="18"/>
                <w:szCs w:val="18"/>
              </w:rPr>
              <w:t>на 01.01.20</w:t>
            </w:r>
            <w:r>
              <w:rPr>
                <w:b/>
                <w:bCs/>
                <w:sz w:val="18"/>
                <w:szCs w:val="18"/>
              </w:rPr>
              <w:t>20</w:t>
            </w:r>
          </w:p>
        </w:tc>
        <w:tc>
          <w:tcPr>
            <w:tcW w:w="1377" w:type="dxa"/>
            <w:tcBorders>
              <w:bottom w:val="double" w:sz="4" w:space="0" w:color="auto"/>
            </w:tcBorders>
            <w:shd w:val="clear" w:color="auto" w:fill="E7E6E6" w:themeFill="background2"/>
            <w:vAlign w:val="center"/>
          </w:tcPr>
          <w:p w14:paraId="77CC4A58" w14:textId="77777777" w:rsidR="00635700" w:rsidRPr="00A00AD8" w:rsidRDefault="00635700" w:rsidP="008834B4">
            <w:pPr>
              <w:jc w:val="center"/>
              <w:rPr>
                <w:b/>
                <w:bCs/>
                <w:sz w:val="18"/>
                <w:szCs w:val="18"/>
              </w:rPr>
            </w:pPr>
            <w:r w:rsidRPr="00A00AD8">
              <w:rPr>
                <w:b/>
                <w:bCs/>
                <w:sz w:val="18"/>
                <w:szCs w:val="18"/>
              </w:rPr>
              <w:t>на 01.01.20</w:t>
            </w:r>
            <w:r>
              <w:rPr>
                <w:b/>
                <w:bCs/>
                <w:sz w:val="18"/>
                <w:szCs w:val="18"/>
              </w:rPr>
              <w:t>21</w:t>
            </w:r>
          </w:p>
        </w:tc>
        <w:tc>
          <w:tcPr>
            <w:tcW w:w="1333" w:type="dxa"/>
            <w:tcBorders>
              <w:bottom w:val="double" w:sz="4" w:space="0" w:color="auto"/>
            </w:tcBorders>
            <w:shd w:val="clear" w:color="auto" w:fill="E7E6E6" w:themeFill="background2"/>
            <w:vAlign w:val="center"/>
          </w:tcPr>
          <w:p w14:paraId="734D1A7C" w14:textId="77777777" w:rsidR="00635700" w:rsidRPr="006E44B7" w:rsidRDefault="00635700" w:rsidP="008834B4">
            <w:pPr>
              <w:jc w:val="center"/>
              <w:rPr>
                <w:b/>
                <w:bCs/>
                <w:sz w:val="20"/>
                <w:szCs w:val="20"/>
              </w:rPr>
            </w:pPr>
            <w:r w:rsidRPr="006E44B7">
              <w:rPr>
                <w:b/>
                <w:bCs/>
                <w:sz w:val="20"/>
                <w:szCs w:val="20"/>
              </w:rPr>
              <w:t>тыс. руб.</w:t>
            </w:r>
          </w:p>
        </w:tc>
        <w:tc>
          <w:tcPr>
            <w:tcW w:w="1300" w:type="dxa"/>
            <w:tcBorders>
              <w:bottom w:val="double" w:sz="4" w:space="0" w:color="auto"/>
              <w:right w:val="double" w:sz="4" w:space="0" w:color="auto"/>
            </w:tcBorders>
            <w:shd w:val="clear" w:color="auto" w:fill="E7E6E6" w:themeFill="background2"/>
            <w:vAlign w:val="center"/>
          </w:tcPr>
          <w:p w14:paraId="6FFE0573" w14:textId="77777777" w:rsidR="00635700" w:rsidRPr="006E44B7" w:rsidRDefault="00635700" w:rsidP="008834B4">
            <w:pPr>
              <w:jc w:val="center"/>
              <w:rPr>
                <w:b/>
                <w:bCs/>
                <w:sz w:val="20"/>
                <w:szCs w:val="20"/>
              </w:rPr>
            </w:pPr>
            <w:r>
              <w:rPr>
                <w:b/>
                <w:bCs/>
                <w:sz w:val="20"/>
                <w:szCs w:val="20"/>
              </w:rPr>
              <w:t>%</w:t>
            </w:r>
          </w:p>
        </w:tc>
      </w:tr>
      <w:tr w:rsidR="00635700" w:rsidRPr="00DE0580" w14:paraId="3E007883" w14:textId="77777777" w:rsidTr="008834B4">
        <w:trPr>
          <w:trHeight w:val="20"/>
          <w:jc w:val="center"/>
        </w:trPr>
        <w:tc>
          <w:tcPr>
            <w:tcW w:w="4209" w:type="dxa"/>
            <w:tcBorders>
              <w:top w:val="double" w:sz="4" w:space="0" w:color="auto"/>
              <w:left w:val="double" w:sz="4" w:space="0" w:color="auto"/>
            </w:tcBorders>
            <w:shd w:val="clear" w:color="auto" w:fill="F2F2F2"/>
            <w:vAlign w:val="center"/>
          </w:tcPr>
          <w:p w14:paraId="21CB70B2" w14:textId="77777777" w:rsidR="00635700" w:rsidRDefault="00635700" w:rsidP="008834B4">
            <w:pPr>
              <w:rPr>
                <w:b/>
                <w:bCs/>
                <w:i/>
                <w:iCs/>
                <w:sz w:val="20"/>
                <w:szCs w:val="20"/>
              </w:rPr>
            </w:pPr>
            <w:proofErr w:type="gramStart"/>
            <w:r>
              <w:rPr>
                <w:b/>
                <w:bCs/>
                <w:i/>
                <w:iCs/>
                <w:sz w:val="20"/>
                <w:szCs w:val="20"/>
              </w:rPr>
              <w:t>Дебиторская  задолженность</w:t>
            </w:r>
            <w:proofErr w:type="gramEnd"/>
            <w:r>
              <w:rPr>
                <w:b/>
                <w:bCs/>
                <w:i/>
                <w:iCs/>
                <w:sz w:val="20"/>
                <w:szCs w:val="20"/>
              </w:rPr>
              <w:t xml:space="preserve">  ИТОГО,</w:t>
            </w:r>
          </w:p>
          <w:p w14:paraId="14AF24D3" w14:textId="77777777" w:rsidR="00635700" w:rsidRPr="006E44B7" w:rsidRDefault="00635700" w:rsidP="008834B4">
            <w:pPr>
              <w:rPr>
                <w:b/>
                <w:bCs/>
                <w:i/>
                <w:iCs/>
                <w:sz w:val="20"/>
                <w:szCs w:val="20"/>
              </w:rPr>
            </w:pPr>
            <w:r w:rsidRPr="006E44B7">
              <w:rPr>
                <w:i/>
                <w:iCs/>
                <w:sz w:val="18"/>
                <w:szCs w:val="18"/>
              </w:rPr>
              <w:t>в том числе:</w:t>
            </w:r>
          </w:p>
        </w:tc>
        <w:tc>
          <w:tcPr>
            <w:tcW w:w="1453" w:type="dxa"/>
            <w:tcBorders>
              <w:top w:val="double" w:sz="4" w:space="0" w:color="auto"/>
            </w:tcBorders>
            <w:shd w:val="clear" w:color="auto" w:fill="F2F2F2"/>
            <w:vAlign w:val="center"/>
          </w:tcPr>
          <w:p w14:paraId="1E24630F" w14:textId="77777777" w:rsidR="00635700" w:rsidRPr="00987141" w:rsidRDefault="00635700" w:rsidP="008834B4">
            <w:pPr>
              <w:jc w:val="right"/>
              <w:rPr>
                <w:b/>
                <w:bCs/>
                <w:i/>
                <w:iCs/>
                <w:color w:val="000000"/>
                <w:sz w:val="20"/>
                <w:szCs w:val="20"/>
              </w:rPr>
            </w:pPr>
            <w:r>
              <w:rPr>
                <w:b/>
                <w:bCs/>
                <w:i/>
                <w:iCs/>
                <w:color w:val="000000"/>
                <w:sz w:val="20"/>
                <w:szCs w:val="20"/>
              </w:rPr>
              <w:t>605,4</w:t>
            </w:r>
          </w:p>
        </w:tc>
        <w:tc>
          <w:tcPr>
            <w:tcW w:w="1377" w:type="dxa"/>
            <w:tcBorders>
              <w:top w:val="double" w:sz="4" w:space="0" w:color="auto"/>
            </w:tcBorders>
            <w:shd w:val="clear" w:color="auto" w:fill="F2F2F2"/>
            <w:vAlign w:val="center"/>
          </w:tcPr>
          <w:p w14:paraId="74F8F6F6" w14:textId="77777777" w:rsidR="00635700" w:rsidRPr="00987141" w:rsidRDefault="00635700" w:rsidP="008834B4">
            <w:pPr>
              <w:jc w:val="right"/>
              <w:rPr>
                <w:b/>
                <w:bCs/>
                <w:i/>
                <w:iCs/>
                <w:color w:val="000000"/>
                <w:sz w:val="20"/>
                <w:szCs w:val="20"/>
              </w:rPr>
            </w:pPr>
            <w:r>
              <w:rPr>
                <w:b/>
                <w:bCs/>
                <w:i/>
                <w:iCs/>
                <w:color w:val="000000"/>
                <w:sz w:val="20"/>
                <w:szCs w:val="20"/>
              </w:rPr>
              <w:t>243,6</w:t>
            </w:r>
          </w:p>
        </w:tc>
        <w:tc>
          <w:tcPr>
            <w:tcW w:w="1333" w:type="dxa"/>
            <w:tcBorders>
              <w:top w:val="double" w:sz="4" w:space="0" w:color="auto"/>
            </w:tcBorders>
            <w:shd w:val="clear" w:color="auto" w:fill="F2F2F2"/>
            <w:vAlign w:val="center"/>
          </w:tcPr>
          <w:p w14:paraId="0E272445" w14:textId="77777777" w:rsidR="00635700" w:rsidRPr="00987141" w:rsidRDefault="00635700" w:rsidP="008834B4">
            <w:pPr>
              <w:jc w:val="right"/>
              <w:rPr>
                <w:b/>
                <w:bCs/>
                <w:i/>
                <w:iCs/>
                <w:sz w:val="20"/>
                <w:szCs w:val="20"/>
              </w:rPr>
            </w:pPr>
            <w:r>
              <w:rPr>
                <w:b/>
                <w:bCs/>
                <w:i/>
                <w:iCs/>
                <w:sz w:val="20"/>
                <w:szCs w:val="20"/>
              </w:rPr>
              <w:t>-361,8</w:t>
            </w:r>
          </w:p>
        </w:tc>
        <w:tc>
          <w:tcPr>
            <w:tcW w:w="1300" w:type="dxa"/>
            <w:tcBorders>
              <w:top w:val="double" w:sz="4" w:space="0" w:color="auto"/>
              <w:right w:val="double" w:sz="4" w:space="0" w:color="auto"/>
            </w:tcBorders>
            <w:shd w:val="clear" w:color="auto" w:fill="F2F2F2"/>
            <w:vAlign w:val="center"/>
          </w:tcPr>
          <w:p w14:paraId="0EA729EF" w14:textId="77777777" w:rsidR="00635700" w:rsidRPr="005A17D7" w:rsidRDefault="00635700" w:rsidP="008834B4">
            <w:pPr>
              <w:jc w:val="right"/>
              <w:rPr>
                <w:b/>
                <w:bCs/>
                <w:i/>
                <w:iCs/>
                <w:sz w:val="20"/>
                <w:szCs w:val="20"/>
              </w:rPr>
            </w:pPr>
            <w:r>
              <w:rPr>
                <w:b/>
                <w:bCs/>
                <w:i/>
                <w:iCs/>
                <w:sz w:val="20"/>
                <w:szCs w:val="20"/>
              </w:rPr>
              <w:t>-59,7</w:t>
            </w:r>
          </w:p>
        </w:tc>
      </w:tr>
      <w:tr w:rsidR="00635700" w:rsidRPr="00DE0580" w14:paraId="39E1401F" w14:textId="77777777" w:rsidTr="008834B4">
        <w:trPr>
          <w:trHeight w:val="20"/>
          <w:jc w:val="center"/>
        </w:trPr>
        <w:tc>
          <w:tcPr>
            <w:tcW w:w="4209" w:type="dxa"/>
            <w:tcBorders>
              <w:top w:val="double" w:sz="4" w:space="0" w:color="auto"/>
              <w:left w:val="double" w:sz="4" w:space="0" w:color="auto"/>
            </w:tcBorders>
            <w:shd w:val="clear" w:color="auto" w:fill="F2F2F2"/>
            <w:vAlign w:val="center"/>
          </w:tcPr>
          <w:p w14:paraId="331C0664" w14:textId="77777777" w:rsidR="00635700" w:rsidRDefault="00635700" w:rsidP="008834B4">
            <w:pPr>
              <w:rPr>
                <w:b/>
                <w:bCs/>
                <w:i/>
                <w:iCs/>
                <w:sz w:val="20"/>
                <w:szCs w:val="20"/>
              </w:rPr>
            </w:pPr>
            <w:r w:rsidRPr="006E44B7">
              <w:rPr>
                <w:sz w:val="20"/>
                <w:szCs w:val="20"/>
              </w:rPr>
              <w:t xml:space="preserve">расчеты </w:t>
            </w:r>
            <w:r>
              <w:rPr>
                <w:sz w:val="20"/>
                <w:szCs w:val="20"/>
              </w:rPr>
              <w:t>по доходам</w:t>
            </w:r>
          </w:p>
        </w:tc>
        <w:tc>
          <w:tcPr>
            <w:tcW w:w="1453" w:type="dxa"/>
            <w:tcBorders>
              <w:top w:val="double" w:sz="4" w:space="0" w:color="auto"/>
            </w:tcBorders>
            <w:shd w:val="clear" w:color="auto" w:fill="F2F2F2"/>
            <w:vAlign w:val="center"/>
          </w:tcPr>
          <w:p w14:paraId="552E0B22" w14:textId="77777777" w:rsidR="00635700" w:rsidRPr="002E1BA7" w:rsidRDefault="00635700" w:rsidP="008834B4">
            <w:pPr>
              <w:jc w:val="right"/>
              <w:rPr>
                <w:color w:val="000000"/>
                <w:sz w:val="20"/>
                <w:szCs w:val="20"/>
              </w:rPr>
            </w:pPr>
            <w:r w:rsidRPr="002E1BA7">
              <w:rPr>
                <w:color w:val="000000"/>
                <w:sz w:val="20"/>
                <w:szCs w:val="20"/>
              </w:rPr>
              <w:t>35,0</w:t>
            </w:r>
          </w:p>
        </w:tc>
        <w:tc>
          <w:tcPr>
            <w:tcW w:w="1377" w:type="dxa"/>
            <w:tcBorders>
              <w:top w:val="double" w:sz="4" w:space="0" w:color="auto"/>
            </w:tcBorders>
            <w:shd w:val="clear" w:color="auto" w:fill="F2F2F2"/>
            <w:vAlign w:val="center"/>
          </w:tcPr>
          <w:p w14:paraId="626E0B44" w14:textId="77777777" w:rsidR="00635700" w:rsidRPr="002E1BA7" w:rsidRDefault="00635700" w:rsidP="008834B4">
            <w:pPr>
              <w:jc w:val="right"/>
              <w:rPr>
                <w:color w:val="000000"/>
                <w:sz w:val="20"/>
                <w:szCs w:val="20"/>
              </w:rPr>
            </w:pPr>
            <w:r>
              <w:rPr>
                <w:color w:val="000000"/>
                <w:sz w:val="20"/>
                <w:szCs w:val="20"/>
              </w:rPr>
              <w:t>0,0</w:t>
            </w:r>
          </w:p>
        </w:tc>
        <w:tc>
          <w:tcPr>
            <w:tcW w:w="1333" w:type="dxa"/>
            <w:tcBorders>
              <w:top w:val="double" w:sz="4" w:space="0" w:color="auto"/>
            </w:tcBorders>
            <w:shd w:val="clear" w:color="auto" w:fill="F2F2F2"/>
            <w:vAlign w:val="center"/>
          </w:tcPr>
          <w:p w14:paraId="32B30978" w14:textId="77777777" w:rsidR="00635700" w:rsidRPr="002E1BA7" w:rsidRDefault="00635700" w:rsidP="008834B4">
            <w:pPr>
              <w:jc w:val="right"/>
              <w:rPr>
                <w:sz w:val="20"/>
                <w:szCs w:val="20"/>
              </w:rPr>
            </w:pPr>
            <w:r>
              <w:rPr>
                <w:sz w:val="20"/>
                <w:szCs w:val="20"/>
              </w:rPr>
              <w:t>-35,0</w:t>
            </w:r>
          </w:p>
        </w:tc>
        <w:tc>
          <w:tcPr>
            <w:tcW w:w="1300" w:type="dxa"/>
            <w:tcBorders>
              <w:top w:val="double" w:sz="4" w:space="0" w:color="auto"/>
              <w:right w:val="double" w:sz="4" w:space="0" w:color="auto"/>
            </w:tcBorders>
            <w:shd w:val="clear" w:color="auto" w:fill="F2F2F2"/>
            <w:vAlign w:val="center"/>
          </w:tcPr>
          <w:p w14:paraId="197F0B4D" w14:textId="77777777" w:rsidR="00635700" w:rsidRPr="00D35C27" w:rsidRDefault="00635700" w:rsidP="008834B4">
            <w:pPr>
              <w:jc w:val="right"/>
              <w:rPr>
                <w:sz w:val="20"/>
                <w:szCs w:val="20"/>
                <w:lang w:val="en-US"/>
              </w:rPr>
            </w:pPr>
            <w:r>
              <w:rPr>
                <w:sz w:val="20"/>
                <w:szCs w:val="20"/>
              </w:rPr>
              <w:t>-100,0</w:t>
            </w:r>
          </w:p>
        </w:tc>
      </w:tr>
      <w:tr w:rsidR="00635700" w:rsidRPr="00DE0580" w14:paraId="6EA7270B" w14:textId="77777777" w:rsidTr="008834B4">
        <w:trPr>
          <w:trHeight w:val="20"/>
          <w:jc w:val="center"/>
        </w:trPr>
        <w:tc>
          <w:tcPr>
            <w:tcW w:w="4209" w:type="dxa"/>
            <w:tcBorders>
              <w:left w:val="double" w:sz="4" w:space="0" w:color="auto"/>
            </w:tcBorders>
            <w:shd w:val="clear" w:color="auto" w:fill="auto"/>
            <w:vAlign w:val="center"/>
          </w:tcPr>
          <w:p w14:paraId="1165B31E" w14:textId="77777777" w:rsidR="00635700" w:rsidRPr="006E44B7" w:rsidRDefault="00635700" w:rsidP="008834B4">
            <w:pPr>
              <w:rPr>
                <w:sz w:val="20"/>
                <w:szCs w:val="20"/>
              </w:rPr>
            </w:pPr>
            <w:r w:rsidRPr="006E44B7">
              <w:rPr>
                <w:sz w:val="20"/>
                <w:szCs w:val="20"/>
              </w:rPr>
              <w:t xml:space="preserve">расчеты </w:t>
            </w:r>
            <w:r>
              <w:rPr>
                <w:sz w:val="20"/>
                <w:szCs w:val="20"/>
              </w:rPr>
              <w:t>по авансам выданным</w:t>
            </w:r>
          </w:p>
        </w:tc>
        <w:tc>
          <w:tcPr>
            <w:tcW w:w="1453" w:type="dxa"/>
            <w:shd w:val="clear" w:color="auto" w:fill="auto"/>
            <w:vAlign w:val="center"/>
          </w:tcPr>
          <w:p w14:paraId="05952ED0" w14:textId="77777777" w:rsidR="00635700" w:rsidRPr="00987141" w:rsidRDefault="00635700" w:rsidP="008834B4">
            <w:pPr>
              <w:jc w:val="right"/>
              <w:rPr>
                <w:color w:val="000000"/>
                <w:sz w:val="20"/>
                <w:szCs w:val="20"/>
              </w:rPr>
            </w:pPr>
            <w:r>
              <w:rPr>
                <w:color w:val="000000"/>
                <w:sz w:val="20"/>
                <w:szCs w:val="20"/>
              </w:rPr>
              <w:t>0,0</w:t>
            </w:r>
          </w:p>
        </w:tc>
        <w:tc>
          <w:tcPr>
            <w:tcW w:w="1377" w:type="dxa"/>
            <w:shd w:val="clear" w:color="auto" w:fill="auto"/>
            <w:vAlign w:val="center"/>
          </w:tcPr>
          <w:p w14:paraId="47319BC8" w14:textId="77777777" w:rsidR="00635700" w:rsidRPr="00987141" w:rsidRDefault="00635700" w:rsidP="008834B4">
            <w:pPr>
              <w:jc w:val="right"/>
              <w:rPr>
                <w:color w:val="000000"/>
                <w:sz w:val="20"/>
                <w:szCs w:val="20"/>
              </w:rPr>
            </w:pPr>
            <w:r>
              <w:rPr>
                <w:color w:val="000000"/>
                <w:sz w:val="20"/>
                <w:szCs w:val="20"/>
              </w:rPr>
              <w:t>4,7</w:t>
            </w:r>
          </w:p>
        </w:tc>
        <w:tc>
          <w:tcPr>
            <w:tcW w:w="1333" w:type="dxa"/>
            <w:vAlign w:val="center"/>
          </w:tcPr>
          <w:p w14:paraId="553226AA" w14:textId="77777777" w:rsidR="00635700" w:rsidRPr="00987141" w:rsidRDefault="00635700" w:rsidP="008834B4">
            <w:pPr>
              <w:jc w:val="right"/>
              <w:rPr>
                <w:sz w:val="20"/>
                <w:szCs w:val="20"/>
              </w:rPr>
            </w:pPr>
            <w:r>
              <w:rPr>
                <w:sz w:val="20"/>
                <w:szCs w:val="20"/>
              </w:rPr>
              <w:t>4,7</w:t>
            </w:r>
          </w:p>
        </w:tc>
        <w:tc>
          <w:tcPr>
            <w:tcW w:w="1300" w:type="dxa"/>
            <w:tcBorders>
              <w:right w:val="double" w:sz="4" w:space="0" w:color="auto"/>
            </w:tcBorders>
            <w:vAlign w:val="center"/>
          </w:tcPr>
          <w:p w14:paraId="00022DE4" w14:textId="77777777" w:rsidR="00635700" w:rsidRPr="00987141" w:rsidRDefault="00635700" w:rsidP="008834B4">
            <w:pPr>
              <w:jc w:val="right"/>
              <w:rPr>
                <w:sz w:val="20"/>
                <w:szCs w:val="20"/>
              </w:rPr>
            </w:pPr>
            <w:r>
              <w:rPr>
                <w:sz w:val="20"/>
                <w:szCs w:val="20"/>
              </w:rPr>
              <w:t>100,0</w:t>
            </w:r>
          </w:p>
        </w:tc>
      </w:tr>
      <w:tr w:rsidR="00635700" w:rsidRPr="00DE0580" w14:paraId="3041909C" w14:textId="77777777" w:rsidTr="008834B4">
        <w:trPr>
          <w:trHeight w:val="20"/>
          <w:jc w:val="center"/>
        </w:trPr>
        <w:tc>
          <w:tcPr>
            <w:tcW w:w="4209" w:type="dxa"/>
            <w:tcBorders>
              <w:left w:val="double" w:sz="4" w:space="0" w:color="auto"/>
              <w:bottom w:val="double" w:sz="4" w:space="0" w:color="auto"/>
            </w:tcBorders>
            <w:shd w:val="clear" w:color="auto" w:fill="auto"/>
            <w:vAlign w:val="center"/>
          </w:tcPr>
          <w:p w14:paraId="1D91B913" w14:textId="77777777" w:rsidR="00635700" w:rsidRPr="006E44B7" w:rsidRDefault="00635700" w:rsidP="008834B4">
            <w:pPr>
              <w:rPr>
                <w:sz w:val="20"/>
                <w:szCs w:val="20"/>
              </w:rPr>
            </w:pPr>
            <w:r>
              <w:rPr>
                <w:sz w:val="20"/>
                <w:szCs w:val="20"/>
              </w:rPr>
              <w:t>р</w:t>
            </w:r>
            <w:r w:rsidRPr="006E44B7">
              <w:rPr>
                <w:sz w:val="20"/>
                <w:szCs w:val="20"/>
              </w:rPr>
              <w:t>асчеты по платежам в бюджеты</w:t>
            </w:r>
          </w:p>
        </w:tc>
        <w:tc>
          <w:tcPr>
            <w:tcW w:w="1453" w:type="dxa"/>
            <w:tcBorders>
              <w:bottom w:val="double" w:sz="4" w:space="0" w:color="auto"/>
            </w:tcBorders>
            <w:shd w:val="clear" w:color="auto" w:fill="auto"/>
            <w:vAlign w:val="bottom"/>
          </w:tcPr>
          <w:p w14:paraId="7A75DAB3" w14:textId="77777777" w:rsidR="00635700" w:rsidRPr="00987141" w:rsidRDefault="00635700" w:rsidP="008834B4">
            <w:pPr>
              <w:jc w:val="right"/>
              <w:rPr>
                <w:bCs/>
                <w:iCs/>
                <w:color w:val="000000"/>
                <w:sz w:val="20"/>
                <w:szCs w:val="20"/>
              </w:rPr>
            </w:pPr>
            <w:r>
              <w:rPr>
                <w:bCs/>
                <w:iCs/>
                <w:color w:val="000000"/>
                <w:sz w:val="20"/>
                <w:szCs w:val="20"/>
              </w:rPr>
              <w:t>570,4</w:t>
            </w:r>
          </w:p>
        </w:tc>
        <w:tc>
          <w:tcPr>
            <w:tcW w:w="1377" w:type="dxa"/>
            <w:tcBorders>
              <w:bottom w:val="double" w:sz="4" w:space="0" w:color="auto"/>
            </w:tcBorders>
            <w:shd w:val="clear" w:color="auto" w:fill="auto"/>
            <w:vAlign w:val="bottom"/>
          </w:tcPr>
          <w:p w14:paraId="16540C33" w14:textId="77777777" w:rsidR="00635700" w:rsidRPr="00987141" w:rsidRDefault="00635700" w:rsidP="008834B4">
            <w:pPr>
              <w:jc w:val="right"/>
              <w:rPr>
                <w:bCs/>
                <w:iCs/>
                <w:color w:val="000000"/>
                <w:sz w:val="20"/>
                <w:szCs w:val="20"/>
              </w:rPr>
            </w:pPr>
            <w:r>
              <w:rPr>
                <w:bCs/>
                <w:iCs/>
                <w:color w:val="000000"/>
                <w:sz w:val="20"/>
                <w:szCs w:val="20"/>
              </w:rPr>
              <w:t>238,9</w:t>
            </w:r>
          </w:p>
        </w:tc>
        <w:tc>
          <w:tcPr>
            <w:tcW w:w="1333" w:type="dxa"/>
            <w:tcBorders>
              <w:bottom w:val="double" w:sz="4" w:space="0" w:color="auto"/>
            </w:tcBorders>
            <w:vAlign w:val="center"/>
          </w:tcPr>
          <w:p w14:paraId="3164CE14" w14:textId="77777777" w:rsidR="00635700" w:rsidRPr="00987141" w:rsidRDefault="00635700" w:rsidP="008834B4">
            <w:pPr>
              <w:jc w:val="right"/>
              <w:rPr>
                <w:sz w:val="20"/>
                <w:szCs w:val="20"/>
              </w:rPr>
            </w:pPr>
            <w:r>
              <w:rPr>
                <w:sz w:val="20"/>
                <w:szCs w:val="20"/>
              </w:rPr>
              <w:t>-331,5</w:t>
            </w:r>
          </w:p>
        </w:tc>
        <w:tc>
          <w:tcPr>
            <w:tcW w:w="1300" w:type="dxa"/>
            <w:tcBorders>
              <w:bottom w:val="double" w:sz="4" w:space="0" w:color="auto"/>
              <w:right w:val="double" w:sz="4" w:space="0" w:color="auto"/>
            </w:tcBorders>
            <w:vAlign w:val="center"/>
          </w:tcPr>
          <w:p w14:paraId="0342AF09" w14:textId="77777777" w:rsidR="00635700" w:rsidRPr="00504D0D" w:rsidRDefault="00635700" w:rsidP="008834B4">
            <w:pPr>
              <w:jc w:val="right"/>
              <w:rPr>
                <w:sz w:val="18"/>
                <w:szCs w:val="18"/>
              </w:rPr>
            </w:pPr>
            <w:r>
              <w:rPr>
                <w:sz w:val="18"/>
                <w:szCs w:val="18"/>
              </w:rPr>
              <w:t>-58,1</w:t>
            </w:r>
          </w:p>
        </w:tc>
      </w:tr>
      <w:tr w:rsidR="00635700" w:rsidRPr="00DE0580" w14:paraId="1E6202E3" w14:textId="77777777" w:rsidTr="008834B4">
        <w:trPr>
          <w:trHeight w:val="20"/>
          <w:jc w:val="center"/>
        </w:trPr>
        <w:tc>
          <w:tcPr>
            <w:tcW w:w="4209" w:type="dxa"/>
            <w:tcBorders>
              <w:top w:val="double" w:sz="4" w:space="0" w:color="auto"/>
              <w:left w:val="double" w:sz="4" w:space="0" w:color="auto"/>
            </w:tcBorders>
            <w:shd w:val="clear" w:color="auto" w:fill="F2F2F2"/>
            <w:vAlign w:val="center"/>
          </w:tcPr>
          <w:p w14:paraId="5E558E2F" w14:textId="77777777" w:rsidR="00635700" w:rsidRDefault="00635700" w:rsidP="008834B4">
            <w:pPr>
              <w:rPr>
                <w:b/>
                <w:bCs/>
                <w:i/>
                <w:iCs/>
                <w:sz w:val="20"/>
                <w:szCs w:val="20"/>
              </w:rPr>
            </w:pPr>
            <w:proofErr w:type="gramStart"/>
            <w:r>
              <w:rPr>
                <w:b/>
                <w:bCs/>
                <w:i/>
                <w:iCs/>
                <w:sz w:val="20"/>
                <w:szCs w:val="20"/>
              </w:rPr>
              <w:t>Кредиторская  задолженность</w:t>
            </w:r>
            <w:proofErr w:type="gramEnd"/>
            <w:r>
              <w:rPr>
                <w:b/>
                <w:bCs/>
                <w:i/>
                <w:iCs/>
                <w:sz w:val="20"/>
                <w:szCs w:val="20"/>
              </w:rPr>
              <w:t xml:space="preserve">  ИТОГО,</w:t>
            </w:r>
          </w:p>
          <w:p w14:paraId="133C85EE" w14:textId="77777777" w:rsidR="00635700" w:rsidRPr="006E44B7" w:rsidRDefault="00635700" w:rsidP="008834B4">
            <w:pPr>
              <w:rPr>
                <w:b/>
                <w:bCs/>
                <w:i/>
                <w:iCs/>
                <w:sz w:val="20"/>
                <w:szCs w:val="20"/>
              </w:rPr>
            </w:pPr>
            <w:r>
              <w:rPr>
                <w:i/>
                <w:iCs/>
                <w:sz w:val="18"/>
                <w:szCs w:val="18"/>
              </w:rPr>
              <w:t xml:space="preserve">в </w:t>
            </w:r>
            <w:r w:rsidRPr="006E44B7">
              <w:rPr>
                <w:i/>
                <w:iCs/>
                <w:sz w:val="18"/>
                <w:szCs w:val="18"/>
              </w:rPr>
              <w:t>том числе:</w:t>
            </w:r>
          </w:p>
        </w:tc>
        <w:tc>
          <w:tcPr>
            <w:tcW w:w="1453" w:type="dxa"/>
            <w:tcBorders>
              <w:top w:val="double" w:sz="4" w:space="0" w:color="auto"/>
            </w:tcBorders>
            <w:shd w:val="clear" w:color="auto" w:fill="F2F2F2"/>
            <w:vAlign w:val="center"/>
          </w:tcPr>
          <w:p w14:paraId="13EAC1AC" w14:textId="77777777" w:rsidR="00635700" w:rsidRPr="00987141" w:rsidRDefault="00635700" w:rsidP="008834B4">
            <w:pPr>
              <w:jc w:val="right"/>
              <w:rPr>
                <w:b/>
                <w:bCs/>
                <w:i/>
                <w:iCs/>
                <w:color w:val="000000"/>
                <w:sz w:val="20"/>
                <w:szCs w:val="20"/>
              </w:rPr>
            </w:pPr>
            <w:r>
              <w:rPr>
                <w:b/>
                <w:bCs/>
                <w:i/>
                <w:iCs/>
                <w:color w:val="000000"/>
                <w:sz w:val="20"/>
                <w:szCs w:val="20"/>
              </w:rPr>
              <w:t>32,7</w:t>
            </w:r>
          </w:p>
        </w:tc>
        <w:tc>
          <w:tcPr>
            <w:tcW w:w="1377" w:type="dxa"/>
            <w:tcBorders>
              <w:top w:val="double" w:sz="4" w:space="0" w:color="auto"/>
            </w:tcBorders>
            <w:shd w:val="clear" w:color="auto" w:fill="F2F2F2"/>
            <w:vAlign w:val="center"/>
          </w:tcPr>
          <w:p w14:paraId="30149E87" w14:textId="77777777" w:rsidR="00635700" w:rsidRPr="00D35C27" w:rsidRDefault="00635700" w:rsidP="008834B4">
            <w:pPr>
              <w:jc w:val="right"/>
              <w:rPr>
                <w:b/>
                <w:bCs/>
                <w:i/>
                <w:iCs/>
                <w:color w:val="000000"/>
                <w:sz w:val="20"/>
                <w:szCs w:val="20"/>
                <w:lang w:val="en-US"/>
              </w:rPr>
            </w:pPr>
            <w:r>
              <w:rPr>
                <w:b/>
                <w:bCs/>
                <w:i/>
                <w:iCs/>
                <w:color w:val="000000"/>
                <w:sz w:val="20"/>
                <w:szCs w:val="20"/>
                <w:lang w:val="en-US"/>
              </w:rPr>
              <w:t>67</w:t>
            </w:r>
            <w:r>
              <w:rPr>
                <w:b/>
                <w:bCs/>
                <w:i/>
                <w:iCs/>
                <w:color w:val="000000"/>
                <w:sz w:val="20"/>
                <w:szCs w:val="20"/>
              </w:rPr>
              <w:t>,</w:t>
            </w:r>
            <w:r>
              <w:rPr>
                <w:b/>
                <w:bCs/>
                <w:i/>
                <w:iCs/>
                <w:color w:val="000000"/>
                <w:sz w:val="20"/>
                <w:szCs w:val="20"/>
                <w:lang w:val="en-US"/>
              </w:rPr>
              <w:t>8</w:t>
            </w:r>
          </w:p>
        </w:tc>
        <w:tc>
          <w:tcPr>
            <w:tcW w:w="1333" w:type="dxa"/>
            <w:tcBorders>
              <w:top w:val="double" w:sz="4" w:space="0" w:color="auto"/>
            </w:tcBorders>
            <w:shd w:val="clear" w:color="auto" w:fill="F2F2F2"/>
            <w:vAlign w:val="center"/>
          </w:tcPr>
          <w:p w14:paraId="22127FFB" w14:textId="77777777" w:rsidR="00635700" w:rsidRPr="00987141" w:rsidRDefault="00635700" w:rsidP="008834B4">
            <w:pPr>
              <w:jc w:val="right"/>
              <w:rPr>
                <w:b/>
                <w:bCs/>
                <w:i/>
                <w:iCs/>
                <w:sz w:val="20"/>
                <w:szCs w:val="20"/>
              </w:rPr>
            </w:pPr>
            <w:r>
              <w:rPr>
                <w:b/>
                <w:bCs/>
                <w:i/>
                <w:iCs/>
                <w:sz w:val="20"/>
                <w:szCs w:val="20"/>
              </w:rPr>
              <w:t>35,1</w:t>
            </w:r>
          </w:p>
        </w:tc>
        <w:tc>
          <w:tcPr>
            <w:tcW w:w="1300" w:type="dxa"/>
            <w:tcBorders>
              <w:top w:val="double" w:sz="4" w:space="0" w:color="auto"/>
              <w:right w:val="double" w:sz="4" w:space="0" w:color="auto"/>
            </w:tcBorders>
            <w:shd w:val="clear" w:color="auto" w:fill="F2F2F2"/>
            <w:vAlign w:val="center"/>
          </w:tcPr>
          <w:p w14:paraId="3AC478FB" w14:textId="77777777" w:rsidR="00635700" w:rsidRPr="00D35C27" w:rsidRDefault="00635700" w:rsidP="008834B4">
            <w:pPr>
              <w:jc w:val="right"/>
              <w:rPr>
                <w:b/>
                <w:i/>
                <w:sz w:val="20"/>
                <w:szCs w:val="20"/>
              </w:rPr>
            </w:pPr>
            <w:r>
              <w:rPr>
                <w:b/>
                <w:i/>
                <w:sz w:val="20"/>
                <w:szCs w:val="20"/>
              </w:rPr>
              <w:t>в 2,1 раза</w:t>
            </w:r>
          </w:p>
        </w:tc>
      </w:tr>
      <w:tr w:rsidR="00635700" w:rsidRPr="00DE0580" w14:paraId="0297C6D0" w14:textId="77777777" w:rsidTr="008834B4">
        <w:trPr>
          <w:trHeight w:val="20"/>
          <w:jc w:val="center"/>
        </w:trPr>
        <w:tc>
          <w:tcPr>
            <w:tcW w:w="4209" w:type="dxa"/>
            <w:tcBorders>
              <w:left w:val="double" w:sz="4" w:space="0" w:color="auto"/>
            </w:tcBorders>
            <w:shd w:val="clear" w:color="auto" w:fill="auto"/>
            <w:vAlign w:val="center"/>
          </w:tcPr>
          <w:p w14:paraId="31157FCE" w14:textId="77777777" w:rsidR="00635700" w:rsidRPr="006E44B7" w:rsidRDefault="00635700" w:rsidP="008834B4">
            <w:pPr>
              <w:rPr>
                <w:sz w:val="20"/>
                <w:szCs w:val="20"/>
              </w:rPr>
            </w:pPr>
            <w:r w:rsidRPr="006E44B7">
              <w:rPr>
                <w:sz w:val="20"/>
                <w:szCs w:val="20"/>
              </w:rPr>
              <w:t>расчеты по принятым обязательствам</w:t>
            </w:r>
          </w:p>
        </w:tc>
        <w:tc>
          <w:tcPr>
            <w:tcW w:w="1453" w:type="dxa"/>
            <w:shd w:val="clear" w:color="auto" w:fill="auto"/>
            <w:vAlign w:val="center"/>
          </w:tcPr>
          <w:p w14:paraId="20D4C44D" w14:textId="77777777" w:rsidR="00635700" w:rsidRPr="00987141" w:rsidRDefault="00635700" w:rsidP="008834B4">
            <w:pPr>
              <w:jc w:val="right"/>
              <w:rPr>
                <w:color w:val="000000"/>
                <w:sz w:val="20"/>
                <w:szCs w:val="20"/>
              </w:rPr>
            </w:pPr>
            <w:r>
              <w:rPr>
                <w:color w:val="000000"/>
                <w:sz w:val="20"/>
                <w:szCs w:val="20"/>
              </w:rPr>
              <w:t>32,1</w:t>
            </w:r>
          </w:p>
        </w:tc>
        <w:tc>
          <w:tcPr>
            <w:tcW w:w="1377" w:type="dxa"/>
            <w:shd w:val="clear" w:color="auto" w:fill="auto"/>
            <w:vAlign w:val="center"/>
          </w:tcPr>
          <w:p w14:paraId="1D7B75DF" w14:textId="77777777" w:rsidR="00635700" w:rsidRPr="00987141" w:rsidRDefault="00635700" w:rsidP="008834B4">
            <w:pPr>
              <w:jc w:val="right"/>
              <w:rPr>
                <w:color w:val="000000"/>
                <w:sz w:val="20"/>
                <w:szCs w:val="20"/>
              </w:rPr>
            </w:pPr>
            <w:r>
              <w:rPr>
                <w:color w:val="000000"/>
                <w:sz w:val="20"/>
                <w:szCs w:val="20"/>
              </w:rPr>
              <w:t>32,7</w:t>
            </w:r>
          </w:p>
        </w:tc>
        <w:tc>
          <w:tcPr>
            <w:tcW w:w="1333" w:type="dxa"/>
            <w:vAlign w:val="center"/>
          </w:tcPr>
          <w:p w14:paraId="2465B2D2" w14:textId="77777777" w:rsidR="00635700" w:rsidRPr="00987141" w:rsidRDefault="00635700" w:rsidP="008834B4">
            <w:pPr>
              <w:jc w:val="right"/>
              <w:rPr>
                <w:sz w:val="20"/>
                <w:szCs w:val="20"/>
              </w:rPr>
            </w:pPr>
            <w:r>
              <w:rPr>
                <w:sz w:val="20"/>
                <w:szCs w:val="20"/>
              </w:rPr>
              <w:t>0,6</w:t>
            </w:r>
          </w:p>
        </w:tc>
        <w:tc>
          <w:tcPr>
            <w:tcW w:w="1300" w:type="dxa"/>
            <w:tcBorders>
              <w:right w:val="double" w:sz="4" w:space="0" w:color="auto"/>
            </w:tcBorders>
            <w:vAlign w:val="center"/>
          </w:tcPr>
          <w:p w14:paraId="6C89EEB7" w14:textId="77777777" w:rsidR="00635700" w:rsidRPr="00987141" w:rsidRDefault="00635700" w:rsidP="008834B4">
            <w:pPr>
              <w:jc w:val="right"/>
              <w:rPr>
                <w:sz w:val="20"/>
                <w:szCs w:val="20"/>
              </w:rPr>
            </w:pPr>
            <w:r>
              <w:rPr>
                <w:sz w:val="20"/>
                <w:szCs w:val="20"/>
              </w:rPr>
              <w:t>1,9</w:t>
            </w:r>
          </w:p>
        </w:tc>
      </w:tr>
      <w:tr w:rsidR="00635700" w:rsidRPr="00DE0580" w14:paraId="70849308" w14:textId="77777777" w:rsidTr="008834B4">
        <w:trPr>
          <w:trHeight w:val="20"/>
          <w:jc w:val="center"/>
        </w:trPr>
        <w:tc>
          <w:tcPr>
            <w:tcW w:w="4209" w:type="dxa"/>
            <w:tcBorders>
              <w:left w:val="double" w:sz="4" w:space="0" w:color="auto"/>
            </w:tcBorders>
            <w:shd w:val="clear" w:color="auto" w:fill="auto"/>
            <w:vAlign w:val="center"/>
          </w:tcPr>
          <w:p w14:paraId="13B2D56F" w14:textId="77777777" w:rsidR="00635700" w:rsidRPr="006E44B7" w:rsidRDefault="00635700" w:rsidP="008834B4">
            <w:pPr>
              <w:rPr>
                <w:sz w:val="20"/>
                <w:szCs w:val="20"/>
              </w:rPr>
            </w:pPr>
            <w:r w:rsidRPr="006E44B7">
              <w:rPr>
                <w:sz w:val="20"/>
                <w:szCs w:val="20"/>
              </w:rPr>
              <w:t>расчеты с подотчетными лицами</w:t>
            </w:r>
          </w:p>
        </w:tc>
        <w:tc>
          <w:tcPr>
            <w:tcW w:w="1453" w:type="dxa"/>
            <w:shd w:val="clear" w:color="auto" w:fill="auto"/>
            <w:vAlign w:val="bottom"/>
          </w:tcPr>
          <w:p w14:paraId="4EB2BBD2" w14:textId="77777777" w:rsidR="00635700" w:rsidRPr="00987141" w:rsidRDefault="00635700" w:rsidP="008834B4">
            <w:pPr>
              <w:jc w:val="right"/>
              <w:rPr>
                <w:color w:val="000000"/>
                <w:sz w:val="20"/>
                <w:szCs w:val="20"/>
              </w:rPr>
            </w:pPr>
            <w:r>
              <w:rPr>
                <w:color w:val="000000"/>
                <w:sz w:val="20"/>
                <w:szCs w:val="20"/>
              </w:rPr>
              <w:t>0,6</w:t>
            </w:r>
          </w:p>
        </w:tc>
        <w:tc>
          <w:tcPr>
            <w:tcW w:w="1377" w:type="dxa"/>
            <w:shd w:val="clear" w:color="auto" w:fill="auto"/>
            <w:vAlign w:val="bottom"/>
          </w:tcPr>
          <w:p w14:paraId="39DC567C" w14:textId="77777777" w:rsidR="00635700" w:rsidRPr="00987141" w:rsidRDefault="00635700" w:rsidP="008834B4">
            <w:pPr>
              <w:jc w:val="right"/>
              <w:rPr>
                <w:color w:val="000000"/>
                <w:sz w:val="20"/>
                <w:szCs w:val="20"/>
              </w:rPr>
            </w:pPr>
            <w:r>
              <w:rPr>
                <w:color w:val="000000"/>
                <w:sz w:val="20"/>
                <w:szCs w:val="20"/>
              </w:rPr>
              <w:t>0,0</w:t>
            </w:r>
          </w:p>
        </w:tc>
        <w:tc>
          <w:tcPr>
            <w:tcW w:w="1333" w:type="dxa"/>
            <w:vAlign w:val="center"/>
          </w:tcPr>
          <w:p w14:paraId="54EE9BCD" w14:textId="77777777" w:rsidR="00635700" w:rsidRPr="006E44B7" w:rsidRDefault="00635700" w:rsidP="008834B4">
            <w:pPr>
              <w:jc w:val="right"/>
              <w:rPr>
                <w:sz w:val="20"/>
                <w:szCs w:val="20"/>
              </w:rPr>
            </w:pPr>
            <w:r>
              <w:rPr>
                <w:sz w:val="20"/>
                <w:szCs w:val="20"/>
              </w:rPr>
              <w:t>-0,6</w:t>
            </w:r>
          </w:p>
        </w:tc>
        <w:tc>
          <w:tcPr>
            <w:tcW w:w="1300" w:type="dxa"/>
            <w:tcBorders>
              <w:right w:val="double" w:sz="4" w:space="0" w:color="auto"/>
            </w:tcBorders>
            <w:vAlign w:val="center"/>
          </w:tcPr>
          <w:p w14:paraId="60DBEF9F" w14:textId="77777777" w:rsidR="00635700" w:rsidRPr="00987141" w:rsidRDefault="00635700" w:rsidP="008834B4">
            <w:pPr>
              <w:jc w:val="right"/>
              <w:rPr>
                <w:sz w:val="20"/>
                <w:szCs w:val="20"/>
              </w:rPr>
            </w:pPr>
            <w:r>
              <w:rPr>
                <w:sz w:val="20"/>
                <w:szCs w:val="20"/>
              </w:rPr>
              <w:t>-100,0</w:t>
            </w:r>
          </w:p>
        </w:tc>
      </w:tr>
      <w:tr w:rsidR="00635700" w:rsidRPr="00DE0580" w14:paraId="7BC31101" w14:textId="77777777" w:rsidTr="008834B4">
        <w:trPr>
          <w:trHeight w:val="20"/>
          <w:jc w:val="center"/>
        </w:trPr>
        <w:tc>
          <w:tcPr>
            <w:tcW w:w="4209" w:type="dxa"/>
            <w:tcBorders>
              <w:left w:val="double" w:sz="4" w:space="0" w:color="auto"/>
              <w:bottom w:val="double" w:sz="4" w:space="0" w:color="auto"/>
            </w:tcBorders>
            <w:shd w:val="clear" w:color="auto" w:fill="auto"/>
            <w:vAlign w:val="center"/>
          </w:tcPr>
          <w:p w14:paraId="290985CE" w14:textId="77777777" w:rsidR="00635700" w:rsidRPr="006E44B7" w:rsidRDefault="00635700" w:rsidP="008834B4">
            <w:pPr>
              <w:rPr>
                <w:sz w:val="20"/>
                <w:szCs w:val="20"/>
              </w:rPr>
            </w:pPr>
            <w:r>
              <w:rPr>
                <w:sz w:val="20"/>
                <w:szCs w:val="20"/>
              </w:rPr>
              <w:t>р</w:t>
            </w:r>
            <w:r w:rsidRPr="006E44B7">
              <w:rPr>
                <w:sz w:val="20"/>
                <w:szCs w:val="20"/>
              </w:rPr>
              <w:t>асчеты по платежам в бюджеты</w:t>
            </w:r>
          </w:p>
        </w:tc>
        <w:tc>
          <w:tcPr>
            <w:tcW w:w="1453" w:type="dxa"/>
            <w:tcBorders>
              <w:bottom w:val="double" w:sz="4" w:space="0" w:color="auto"/>
            </w:tcBorders>
            <w:shd w:val="clear" w:color="auto" w:fill="auto"/>
            <w:vAlign w:val="bottom"/>
          </w:tcPr>
          <w:p w14:paraId="6D5EF8E3" w14:textId="77777777" w:rsidR="00635700" w:rsidRDefault="00635700" w:rsidP="008834B4">
            <w:pPr>
              <w:jc w:val="right"/>
              <w:rPr>
                <w:color w:val="000000"/>
                <w:sz w:val="20"/>
                <w:szCs w:val="20"/>
              </w:rPr>
            </w:pPr>
            <w:r>
              <w:rPr>
                <w:color w:val="000000"/>
                <w:sz w:val="20"/>
                <w:szCs w:val="20"/>
              </w:rPr>
              <w:t>0,0</w:t>
            </w:r>
          </w:p>
        </w:tc>
        <w:tc>
          <w:tcPr>
            <w:tcW w:w="1377" w:type="dxa"/>
            <w:tcBorders>
              <w:bottom w:val="double" w:sz="4" w:space="0" w:color="auto"/>
            </w:tcBorders>
            <w:shd w:val="clear" w:color="auto" w:fill="auto"/>
            <w:vAlign w:val="bottom"/>
          </w:tcPr>
          <w:p w14:paraId="6F7F207C" w14:textId="77777777" w:rsidR="00635700" w:rsidRDefault="00635700" w:rsidP="008834B4">
            <w:pPr>
              <w:jc w:val="right"/>
              <w:rPr>
                <w:color w:val="000000"/>
                <w:sz w:val="20"/>
                <w:szCs w:val="20"/>
              </w:rPr>
            </w:pPr>
            <w:r>
              <w:rPr>
                <w:color w:val="000000"/>
                <w:sz w:val="20"/>
                <w:szCs w:val="20"/>
              </w:rPr>
              <w:t>35,1</w:t>
            </w:r>
          </w:p>
        </w:tc>
        <w:tc>
          <w:tcPr>
            <w:tcW w:w="1333" w:type="dxa"/>
            <w:tcBorders>
              <w:bottom w:val="double" w:sz="4" w:space="0" w:color="auto"/>
            </w:tcBorders>
            <w:vAlign w:val="center"/>
          </w:tcPr>
          <w:p w14:paraId="7B0E3758" w14:textId="77777777" w:rsidR="00635700" w:rsidRDefault="00635700" w:rsidP="008834B4">
            <w:pPr>
              <w:jc w:val="right"/>
              <w:rPr>
                <w:sz w:val="20"/>
                <w:szCs w:val="20"/>
              </w:rPr>
            </w:pPr>
            <w:r>
              <w:rPr>
                <w:sz w:val="20"/>
                <w:szCs w:val="20"/>
              </w:rPr>
              <w:t>35,1</w:t>
            </w:r>
          </w:p>
        </w:tc>
        <w:tc>
          <w:tcPr>
            <w:tcW w:w="1300" w:type="dxa"/>
            <w:tcBorders>
              <w:bottom w:val="double" w:sz="4" w:space="0" w:color="auto"/>
              <w:right w:val="double" w:sz="4" w:space="0" w:color="auto"/>
            </w:tcBorders>
            <w:vAlign w:val="center"/>
          </w:tcPr>
          <w:p w14:paraId="6B6E2660" w14:textId="77777777" w:rsidR="00635700" w:rsidRDefault="00635700" w:rsidP="008834B4">
            <w:pPr>
              <w:jc w:val="right"/>
              <w:rPr>
                <w:sz w:val="20"/>
                <w:szCs w:val="20"/>
              </w:rPr>
            </w:pPr>
            <w:r>
              <w:rPr>
                <w:sz w:val="20"/>
                <w:szCs w:val="20"/>
              </w:rPr>
              <w:t>100,0</w:t>
            </w:r>
          </w:p>
        </w:tc>
      </w:tr>
    </w:tbl>
    <w:p w14:paraId="0570555E" w14:textId="419875BC" w:rsidR="00635700" w:rsidRDefault="00635700" w:rsidP="00635700">
      <w:pPr>
        <w:ind w:firstLine="708"/>
        <w:jc w:val="both"/>
      </w:pPr>
      <w:r>
        <w:rPr>
          <w:color w:val="000000" w:themeColor="text1"/>
        </w:rPr>
        <w:t>За 2020 год д</w:t>
      </w:r>
      <w:r w:rsidRPr="00DA0AD9">
        <w:rPr>
          <w:color w:val="000000" w:themeColor="text1"/>
        </w:rPr>
        <w:t xml:space="preserve">ебиторская задолженность </w:t>
      </w:r>
      <w:r>
        <w:t>уменьшилась на 361,8</w:t>
      </w:r>
      <w:r w:rsidR="00723227">
        <w:t xml:space="preserve"> </w:t>
      </w:r>
      <w:proofErr w:type="spellStart"/>
      <w:r>
        <w:t>тыс.руб</w:t>
      </w:r>
      <w:proofErr w:type="spellEnd"/>
      <w:r>
        <w:t>. (-59,7 %), в том числе:</w:t>
      </w:r>
    </w:p>
    <w:p w14:paraId="4187B052" w14:textId="6C5EFF73" w:rsidR="00635700" w:rsidRDefault="00635700" w:rsidP="00635700">
      <w:pPr>
        <w:ind w:firstLine="708"/>
        <w:jc w:val="both"/>
      </w:pPr>
      <w:r>
        <w:lastRenderedPageBreak/>
        <w:t>-задолженность в части «</w:t>
      </w:r>
      <w:r w:rsidRPr="003376CA">
        <w:t>Расчет</w:t>
      </w:r>
      <w:r>
        <w:t>ов</w:t>
      </w:r>
      <w:r w:rsidRPr="003376CA">
        <w:t xml:space="preserve"> по доходам</w:t>
      </w:r>
      <w:r>
        <w:t>»</w:t>
      </w:r>
      <w:r w:rsidRPr="003376CA">
        <w:t xml:space="preserve"> уменьшил</w:t>
      </w:r>
      <w:r w:rsidR="00723227">
        <w:t>а</w:t>
      </w:r>
      <w:r w:rsidRPr="003376CA">
        <w:t>сь на 35,0 тыс. руб</w:t>
      </w:r>
      <w:r>
        <w:t xml:space="preserve">., из которой погашена задолженность на сумму 20,0 </w:t>
      </w:r>
      <w:proofErr w:type="spellStart"/>
      <w:r>
        <w:t>тыс.руб</w:t>
      </w:r>
      <w:proofErr w:type="spellEnd"/>
      <w:r>
        <w:t>., списана на общую сумму 15,0 тыс. рублей.</w:t>
      </w:r>
    </w:p>
    <w:p w14:paraId="0D8403F9" w14:textId="77777777" w:rsidR="00635700" w:rsidRPr="00BB1AAE" w:rsidRDefault="00635700" w:rsidP="00635700">
      <w:pPr>
        <w:ind w:firstLine="708"/>
        <w:jc w:val="both"/>
      </w:pPr>
      <w:r w:rsidRPr="00BB1AAE">
        <w:t>По решению комиссии КСП по поступлению и выбытию активов на основании ст. 47.2 БК РФ задолженность в сумме 15,0 тыс. руб. признана безнадежной к взысканию.</w:t>
      </w:r>
    </w:p>
    <w:p w14:paraId="1C991431" w14:textId="77777777" w:rsidR="00635700" w:rsidRPr="00BB1AAE" w:rsidRDefault="00635700" w:rsidP="00635700">
      <w:pPr>
        <w:ind w:firstLine="708"/>
        <w:jc w:val="both"/>
        <w:rPr>
          <w:rFonts w:eastAsiaTheme="minorHAnsi"/>
          <w:lang w:eastAsia="en-US"/>
        </w:rPr>
      </w:pPr>
      <w:r w:rsidRPr="00BB1AAE">
        <w:t xml:space="preserve">В соответствии с п. 78 Инструкция №162н списанная задолженность отражена на забалансовом счете </w:t>
      </w:r>
      <w:r w:rsidRPr="00BB1AAE">
        <w:rPr>
          <w:rFonts w:eastAsiaTheme="minorHAnsi"/>
          <w:lang w:eastAsia="en-US"/>
        </w:rPr>
        <w:t>04 "Сомнительная задолженность".</w:t>
      </w:r>
    </w:p>
    <w:p w14:paraId="37A86023" w14:textId="6A8CE327" w:rsidR="00635700" w:rsidRDefault="00635700" w:rsidP="00635700">
      <w:pPr>
        <w:ind w:firstLine="708"/>
        <w:jc w:val="both"/>
        <w:rPr>
          <w:rFonts w:eastAsiaTheme="minorHAnsi"/>
          <w:lang w:eastAsia="en-US"/>
        </w:rPr>
      </w:pPr>
      <w:r w:rsidRPr="00BB1AAE">
        <w:rPr>
          <w:rFonts w:eastAsiaTheme="minorHAnsi"/>
          <w:lang w:eastAsia="en-US"/>
        </w:rPr>
        <w:t>-задолженность в части «Расчетов по платежам в бюджеты» уменьшилась на 331,5 тыс. рублей. Основная доля задолженности по данному разделу приходится на задолженность Фонда социального страхования (далее – ФСС) по произведенным расходам по больничным листам. Так, по состоянию на 01.01.2020 задолженность ФСС составляла 410,9 тыс. руб., или 72% от общей суммы задолженность по разделу. Уменьшение задолженности обусловлено, в том числе и возвратом страховых взносов ФСС в 2020 году в</w:t>
      </w:r>
      <w:r>
        <w:rPr>
          <w:rFonts w:eastAsiaTheme="minorHAnsi"/>
          <w:lang w:eastAsia="en-US"/>
        </w:rPr>
        <w:t xml:space="preserve"> сумме 175,0 тыс. рублей. В части задолженности ФСС перед КСП по состоянию на 01.01.2</w:t>
      </w:r>
      <w:r w:rsidR="00723227">
        <w:rPr>
          <w:rFonts w:eastAsiaTheme="minorHAnsi"/>
          <w:lang w:eastAsia="en-US"/>
        </w:rPr>
        <w:t>0</w:t>
      </w:r>
      <w:r>
        <w:rPr>
          <w:rFonts w:eastAsiaTheme="minorHAnsi"/>
          <w:lang w:eastAsia="en-US"/>
        </w:rPr>
        <w:t>21 в сумме 238,9 тыс. руб. запланирована камеральная проверка ИФНС и ФСС, по результатам которой будет принято решение о возмещении расходов в части указанной суммы задолженности.</w:t>
      </w:r>
    </w:p>
    <w:p w14:paraId="517CEB5E" w14:textId="5626CF09" w:rsidR="00635700" w:rsidRPr="003376CA" w:rsidRDefault="00635700" w:rsidP="00635700">
      <w:pPr>
        <w:ind w:firstLine="708"/>
        <w:jc w:val="both"/>
      </w:pPr>
      <w:r>
        <w:rPr>
          <w:rFonts w:eastAsiaTheme="minorHAnsi"/>
          <w:lang w:eastAsia="en-US"/>
        </w:rPr>
        <w:t>-задолженность в части «Расчетов по авансам выданным» увеличилась на 100% и составила на 01.01.2021 4,7 тыс. рублей. Указанная сумма задолженности сложилась из-за разницы в суммах оплаты и фактически оказанных услуг почтовой связи ФГУП «Почта России» на 31.12.2020. По вопросу возврата дебиторской задолженности в сумме 4,7 тыс. руб. в адрес ФГУП «Почта России» направлено письмо от 10.02.2021 №01КСП-02-01/155.</w:t>
      </w:r>
    </w:p>
    <w:p w14:paraId="1370626A" w14:textId="4BAA9948" w:rsidR="002F6EC0" w:rsidRDefault="00635700" w:rsidP="00635700">
      <w:pPr>
        <w:ind w:firstLine="709"/>
        <w:jc w:val="both"/>
      </w:pPr>
      <w:r w:rsidRPr="00237A9A">
        <w:t>Кредиторская задолженность</w:t>
      </w:r>
      <w:r>
        <w:t xml:space="preserve"> </w:t>
      </w:r>
      <w:r w:rsidRPr="00237A9A">
        <w:t>увеличилась на 35,1 тыс. руб. (в 2,1 раза) и сложилась в основном по причине предоставлени</w:t>
      </w:r>
      <w:r w:rsidR="00723227">
        <w:t>я</w:t>
      </w:r>
      <w:r w:rsidRPr="00237A9A">
        <w:t xml:space="preserve"> поставщиками актов выполненных работ по услугам связи, коммунальным услугам</w:t>
      </w:r>
      <w:r w:rsidR="0017562B">
        <w:t xml:space="preserve"> за декабрь 2020 года в январе 2021 года</w:t>
      </w:r>
      <w:r w:rsidR="002F6EC0">
        <w:t xml:space="preserve">. </w:t>
      </w:r>
    </w:p>
    <w:p w14:paraId="405E4805" w14:textId="597C4689" w:rsidR="00635700" w:rsidRDefault="00635700" w:rsidP="00635700">
      <w:pPr>
        <w:ind w:firstLine="709"/>
        <w:jc w:val="both"/>
      </w:pPr>
      <w:proofErr w:type="gramStart"/>
      <w:r w:rsidRPr="00237A9A">
        <w:t>Согласно отчётны</w:t>
      </w:r>
      <w:r>
        <w:t>м</w:t>
      </w:r>
      <w:r w:rsidRPr="00237A9A">
        <w:t xml:space="preserve"> данны</w:t>
      </w:r>
      <w:r>
        <w:t>м</w:t>
      </w:r>
      <w:r w:rsidRPr="00237A9A">
        <w:t xml:space="preserve"> (ф.0503169)</w:t>
      </w:r>
      <w:proofErr w:type="gramEnd"/>
      <w:r w:rsidRPr="00237A9A">
        <w:t xml:space="preserve"> просроченная кредиторская задолженность отсутствует.</w:t>
      </w:r>
    </w:p>
    <w:p w14:paraId="4CB71D3E" w14:textId="27E9A38C" w:rsidR="003E6197" w:rsidRDefault="003E6197" w:rsidP="00635700">
      <w:pPr>
        <w:ind w:firstLine="709"/>
        <w:jc w:val="both"/>
      </w:pPr>
    </w:p>
    <w:p w14:paraId="6CA62437" w14:textId="77777777" w:rsidR="003E6197" w:rsidRPr="006521E0" w:rsidRDefault="003E6197" w:rsidP="003E6197">
      <w:pPr>
        <w:autoSpaceDE w:val="0"/>
        <w:autoSpaceDN w:val="0"/>
        <w:adjustRightInd w:val="0"/>
        <w:ind w:firstLine="720"/>
        <w:jc w:val="center"/>
        <w:rPr>
          <w:b/>
          <w:i/>
        </w:rPr>
      </w:pPr>
      <w:r w:rsidRPr="00AA7555">
        <w:rPr>
          <w:b/>
          <w:i/>
        </w:rPr>
        <w:t>Организация ведомственного финансового контроля и внутреннего финансового аудита.</w:t>
      </w:r>
    </w:p>
    <w:p w14:paraId="3CC83BDB" w14:textId="77777777" w:rsidR="003E6197" w:rsidRPr="003E6197" w:rsidRDefault="003E6197" w:rsidP="003E6197">
      <w:pPr>
        <w:pStyle w:val="ae"/>
        <w:ind w:left="0" w:firstLine="709"/>
        <w:rPr>
          <w:rFonts w:ascii="Times New Roman" w:hAnsi="Times New Roman"/>
          <w:sz w:val="24"/>
          <w:szCs w:val="24"/>
        </w:rPr>
      </w:pPr>
      <w:r w:rsidRPr="003E6197">
        <w:rPr>
          <w:rFonts w:ascii="Times New Roman" w:hAnsi="Times New Roman"/>
          <w:sz w:val="24"/>
          <w:szCs w:val="24"/>
        </w:rPr>
        <w:t>В соответствии с пунктом 5 статьи 160.2-1 БК РФ внутренний финансовый аудит осуществляется в соответствии с федеральными стандартами, установленными Министерством Финансов Российской Федерации (далее – Минфин РФ):</w:t>
      </w:r>
    </w:p>
    <w:p w14:paraId="68AD0D5C" w14:textId="19848E97" w:rsidR="003E6197" w:rsidRPr="00723227" w:rsidRDefault="003E6197" w:rsidP="003E6197">
      <w:pPr>
        <w:ind w:firstLine="709"/>
        <w:jc w:val="both"/>
      </w:pPr>
      <w:r w:rsidRPr="00723227">
        <w:t xml:space="preserve">- Федеральный </w:t>
      </w:r>
      <w:hyperlink r:id="rId9" w:history="1">
        <w:r w:rsidRPr="00723227">
          <w:rPr>
            <w:rStyle w:val="af5"/>
            <w:color w:val="auto"/>
            <w:u w:val="none"/>
          </w:rPr>
          <w:t>стандарт</w:t>
        </w:r>
      </w:hyperlink>
      <w:r w:rsidRPr="00723227">
        <w:t xml:space="preserve"> внутреннего финансового аудита "Планирование и проведение внутреннего финансового аудита", утвержденный </w:t>
      </w:r>
      <w:r w:rsidR="00723227">
        <w:t>п</w:t>
      </w:r>
      <w:r w:rsidRPr="00723227">
        <w:t>риказом Минфина России от 05.08.2020 N 160н (далее - Порядок проведения внутреннего финансового аудита);</w:t>
      </w:r>
    </w:p>
    <w:p w14:paraId="51E6633A" w14:textId="0CC696C3" w:rsidR="003E6197" w:rsidRPr="00723227" w:rsidRDefault="003E6197" w:rsidP="003E6197">
      <w:pPr>
        <w:ind w:firstLine="709"/>
        <w:jc w:val="both"/>
      </w:pPr>
      <w:r w:rsidRPr="00723227">
        <w:t xml:space="preserve">- Федеральный </w:t>
      </w:r>
      <w:hyperlink r:id="rId10" w:history="1">
        <w:r w:rsidRPr="00723227">
          <w:rPr>
            <w:rStyle w:val="af5"/>
            <w:color w:val="auto"/>
            <w:u w:val="none"/>
          </w:rPr>
          <w:t>стандарт</w:t>
        </w:r>
      </w:hyperlink>
      <w:r w:rsidRPr="00723227">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w:t>
      </w:r>
      <w:r w:rsidR="00723227">
        <w:t>п</w:t>
      </w:r>
      <w:r w:rsidRPr="00723227">
        <w:t>риказом Минфина России от 18.12.2019 N 237н (далее - Стандарт "Основания и порядок организации, случаи и порядок передачи полномочий по осуществлению внутреннего финансового аудита");</w:t>
      </w:r>
    </w:p>
    <w:p w14:paraId="0E799BFD" w14:textId="41DA2D87" w:rsidR="003E6197" w:rsidRPr="00723227" w:rsidRDefault="003E6197" w:rsidP="003E6197">
      <w:pPr>
        <w:ind w:firstLine="709"/>
        <w:jc w:val="both"/>
      </w:pPr>
      <w:r w:rsidRPr="00723227">
        <w:t xml:space="preserve">- Федеральный </w:t>
      </w:r>
      <w:hyperlink r:id="rId11" w:history="1">
        <w:r w:rsidRPr="00723227">
          <w:rPr>
            <w:rStyle w:val="af5"/>
            <w:color w:val="auto"/>
            <w:u w:val="none"/>
          </w:rPr>
          <w:t>стандарт</w:t>
        </w:r>
      </w:hyperlink>
      <w:r w:rsidRPr="00723227">
        <w:t xml:space="preserve"> внутреннего финансового аудита "Реализация результатов внутреннего финансового аудита", утвержденный </w:t>
      </w:r>
      <w:r w:rsidR="00723227">
        <w:t>п</w:t>
      </w:r>
      <w:r w:rsidRPr="00723227">
        <w:t>риказом Минфина России от 22.05.2020 N 91н (далее - Стандарт "Реализация результатов внутреннего финансового аудита");</w:t>
      </w:r>
    </w:p>
    <w:p w14:paraId="6A61EC4F" w14:textId="39EAC630" w:rsidR="003E6197" w:rsidRPr="00723227" w:rsidRDefault="003E6197" w:rsidP="003E6197">
      <w:pPr>
        <w:ind w:firstLine="709"/>
        <w:jc w:val="both"/>
      </w:pPr>
      <w:r w:rsidRPr="00723227">
        <w:t xml:space="preserve">- Федеральный </w:t>
      </w:r>
      <w:hyperlink r:id="rId12" w:history="1">
        <w:r w:rsidRPr="00723227">
          <w:rPr>
            <w:rStyle w:val="af5"/>
            <w:color w:val="auto"/>
            <w:u w:val="none"/>
          </w:rPr>
          <w:t>стандарт</w:t>
        </w:r>
      </w:hyperlink>
      <w:r w:rsidRPr="00723227">
        <w:t xml:space="preserve"> внутреннего финансового аудита "Определения, принципы и задачи внутреннего финансового аудита", утвержденный </w:t>
      </w:r>
      <w:r w:rsidR="00723227">
        <w:t>п</w:t>
      </w:r>
      <w:r w:rsidRPr="00723227">
        <w:t>риказом Минфина России от 21.11.2019 N 196н (далее - Стандарт "Определения, принципы и задачи внутреннего аудита");</w:t>
      </w:r>
    </w:p>
    <w:p w14:paraId="49B383C4" w14:textId="71993511" w:rsidR="003E6197" w:rsidRDefault="003E6197" w:rsidP="003E6197">
      <w:pPr>
        <w:ind w:firstLine="709"/>
        <w:jc w:val="both"/>
      </w:pPr>
      <w:r w:rsidRPr="00723227">
        <w:t xml:space="preserve">- Федеральный </w:t>
      </w:r>
      <w:hyperlink r:id="rId13" w:history="1">
        <w:r w:rsidRPr="00723227">
          <w:rPr>
            <w:rStyle w:val="af5"/>
            <w:color w:val="auto"/>
            <w:u w:val="none"/>
          </w:rPr>
          <w:t>стандарт</w:t>
        </w:r>
      </w:hyperlink>
      <w:r w:rsidRPr="00723227">
        <w:t xml:space="preserve"> внутреннего финансового аудита "Права и обязанности должностных лиц (работников) при осуществлении внутреннего финансового аудита", </w:t>
      </w:r>
      <w:r w:rsidRPr="00570A48">
        <w:t xml:space="preserve">утвержденный </w:t>
      </w:r>
      <w:r w:rsidR="00723227">
        <w:t>п</w:t>
      </w:r>
      <w:r w:rsidRPr="00570A48">
        <w:t>риказом Минфина России от 21.11.2019 N 195н (далее - Стандарт "Права и обязанности должностных лиц (работников) при осуществлении внутреннего финансового аудита").</w:t>
      </w:r>
    </w:p>
    <w:p w14:paraId="06D2D3B8" w14:textId="77777777" w:rsidR="003E6197" w:rsidRDefault="003E6197" w:rsidP="003E6197">
      <w:pPr>
        <w:ind w:firstLine="709"/>
        <w:jc w:val="both"/>
      </w:pPr>
      <w:r>
        <w:lastRenderedPageBreak/>
        <w:t xml:space="preserve">Во исполнение требований п. 5 ст. 160.2-1 БК РФ и указанных выше стандартов в соответствии с приказом КСП от 13.02.2020 №28 «Об организации внутреннего финансового аудита и внутреннего финансового контроля в контрольно-счетной палате </w:t>
      </w:r>
      <w:r w:rsidRPr="00BB1AAE">
        <w:t>Волгоградской области» (далее – Приказ от 13.02.2020 №28) внутренний финансовый аудит</w:t>
      </w:r>
      <w:r>
        <w:t xml:space="preserve"> в КСП осуществляется самостоятельно (в упрощенной форме), в том числе при необходимости путем назначения в течение финансового года аудиторских проверок, а также с использованием результатов внешней проверки бюджетной отчетности и отдельных вопросов исполнения областного бюджета КСП, проверок других органов, уполномоченных осуществлять контроль за полнотой, своевременностью начисления и уплаты налогов, страховых взносов, расходов на выплату пособий по временной нетрудоспособности, иных видов пособий по обязательному социальному страхованию.</w:t>
      </w:r>
    </w:p>
    <w:p w14:paraId="56E88318" w14:textId="77777777" w:rsidR="003E6197" w:rsidRDefault="003E6197" w:rsidP="003E6197">
      <w:pPr>
        <w:ind w:firstLine="709"/>
        <w:jc w:val="both"/>
      </w:pPr>
    </w:p>
    <w:p w14:paraId="3D3A46F8" w14:textId="77777777" w:rsidR="00A96D7A" w:rsidRDefault="00A96D7A" w:rsidP="00A96D7A">
      <w:pPr>
        <w:ind w:firstLine="567"/>
        <w:jc w:val="both"/>
        <w:rPr>
          <w:b/>
          <w:i/>
        </w:rPr>
      </w:pPr>
      <w:r w:rsidRPr="00D70A7D">
        <w:rPr>
          <w:b/>
          <w:i/>
        </w:rPr>
        <w:t>Выводы:</w:t>
      </w:r>
    </w:p>
    <w:p w14:paraId="7FC174A0" w14:textId="653EFC05" w:rsidR="0062789E" w:rsidRDefault="0062789E" w:rsidP="00723227">
      <w:pPr>
        <w:pStyle w:val="a6"/>
        <w:numPr>
          <w:ilvl w:val="0"/>
          <w:numId w:val="11"/>
        </w:numPr>
        <w:ind w:left="0" w:firstLine="687"/>
        <w:jc w:val="both"/>
      </w:pPr>
      <w:r w:rsidRPr="004D083F">
        <w:t>Годовая бюджетная отчетность К</w:t>
      </w:r>
      <w:r>
        <w:t>СП за 20</w:t>
      </w:r>
      <w:r w:rsidR="003E6197">
        <w:t>20</w:t>
      </w:r>
      <w:r w:rsidRPr="004D083F">
        <w:t xml:space="preserve"> представлена</w:t>
      </w:r>
      <w:r>
        <w:t xml:space="preserve"> в полном объеме, ф</w:t>
      </w:r>
      <w:r w:rsidRPr="00521EE2">
        <w:t>актов неполноты и недостоверности бюджетной отчётности не выявлено</w:t>
      </w:r>
      <w:r>
        <w:t>.</w:t>
      </w:r>
    </w:p>
    <w:p w14:paraId="49C012F2" w14:textId="5083077E" w:rsidR="002B7F40" w:rsidRDefault="003E6197" w:rsidP="00723227">
      <w:pPr>
        <w:pStyle w:val="a6"/>
        <w:numPr>
          <w:ilvl w:val="0"/>
          <w:numId w:val="11"/>
        </w:numPr>
        <w:tabs>
          <w:tab w:val="left" w:pos="0"/>
          <w:tab w:val="left" w:pos="709"/>
        </w:tabs>
        <w:spacing w:line="240" w:lineRule="atLeast"/>
        <w:ind w:left="0" w:firstLine="687"/>
        <w:jc w:val="both"/>
      </w:pPr>
      <w:r w:rsidRPr="002B7F40">
        <w:rPr>
          <w:bCs/>
          <w:iCs/>
        </w:rPr>
        <w:t xml:space="preserve">В нарушение </w:t>
      </w:r>
      <w:r>
        <w:t xml:space="preserve">п. 1 ст. </w:t>
      </w:r>
      <w:r w:rsidRPr="00C55623">
        <w:t xml:space="preserve">13 </w:t>
      </w:r>
      <w:r w:rsidRPr="00831356">
        <w:t>Федеральн</w:t>
      </w:r>
      <w:r>
        <w:t>ого</w:t>
      </w:r>
      <w:r w:rsidRPr="00831356">
        <w:t xml:space="preserve"> закон</w:t>
      </w:r>
      <w:r>
        <w:t>а</w:t>
      </w:r>
      <w:r w:rsidRPr="00831356">
        <w:t xml:space="preserve"> от 06.12.2011 № 402-ФЗ «О бухгалтерском учёте»</w:t>
      </w:r>
      <w:r w:rsidR="002B7F40">
        <w:t xml:space="preserve"> установлено несоответствие данных отчетности данным бухгалтерских регистров, что привело к искажению строк 170 и 173 Справки в составе Баланса (ф.0503130) на 107,3 тыс. рублей.</w:t>
      </w:r>
      <w:r w:rsidR="00723227">
        <w:t xml:space="preserve"> Исправленная форма Справки в составе Баланса (ф.0503130) представлена в Облфин</w:t>
      </w:r>
      <w:r w:rsidR="000F39C3">
        <w:t xml:space="preserve"> до проведения им камеральной проверки бюджетной отчетности.</w:t>
      </w:r>
    </w:p>
    <w:p w14:paraId="7BEF8B51" w14:textId="77777777" w:rsidR="002B7F40" w:rsidRPr="00971B0B" w:rsidRDefault="002B7F40" w:rsidP="00723227">
      <w:pPr>
        <w:pStyle w:val="11"/>
        <w:numPr>
          <w:ilvl w:val="0"/>
          <w:numId w:val="11"/>
        </w:numPr>
        <w:ind w:left="0" w:firstLine="687"/>
        <w:jc w:val="both"/>
        <w:rPr>
          <w:rFonts w:eastAsia="MS Mincho"/>
          <w:lang w:eastAsia="ja-JP"/>
        </w:rPr>
      </w:pPr>
      <w:r>
        <w:rPr>
          <w:rFonts w:eastAsia="MS Mincho"/>
          <w:lang w:eastAsia="ja-JP"/>
        </w:rPr>
        <w:t>Кассовые расходы КСП за 2020</w:t>
      </w:r>
      <w:r w:rsidRPr="00CD3578">
        <w:rPr>
          <w:rFonts w:eastAsia="MS Mincho"/>
          <w:lang w:eastAsia="ja-JP"/>
        </w:rPr>
        <w:t xml:space="preserve"> год составили </w:t>
      </w:r>
      <w:r>
        <w:rPr>
          <w:rFonts w:eastAsia="MS Mincho"/>
          <w:lang w:eastAsia="ja-JP"/>
        </w:rPr>
        <w:t>82 627,7</w:t>
      </w:r>
      <w:r w:rsidRPr="008F18AF">
        <w:rPr>
          <w:rFonts w:eastAsia="MS Mincho"/>
          <w:lang w:eastAsia="ja-JP"/>
        </w:rPr>
        <w:t xml:space="preserve"> тыс. руб., или </w:t>
      </w:r>
      <w:r>
        <w:rPr>
          <w:rFonts w:eastAsia="MS Mincho"/>
          <w:lang w:eastAsia="ja-JP"/>
        </w:rPr>
        <w:t>96,5</w:t>
      </w:r>
      <w:r w:rsidRPr="008F18AF">
        <w:rPr>
          <w:rFonts w:eastAsia="MS Mincho"/>
          <w:lang w:eastAsia="ja-JP"/>
        </w:rPr>
        <w:t>% к бюджетным назначениям</w:t>
      </w:r>
      <w:r>
        <w:rPr>
          <w:rFonts w:eastAsia="MS Mincho"/>
          <w:lang w:eastAsia="ja-JP"/>
        </w:rPr>
        <w:t xml:space="preserve"> и 89,0</w:t>
      </w:r>
      <w:r w:rsidRPr="00CD3578">
        <w:rPr>
          <w:rFonts w:eastAsia="MS Mincho"/>
          <w:lang w:eastAsia="ja-JP"/>
        </w:rPr>
        <w:t>% к ассигнованиям</w:t>
      </w:r>
      <w:r>
        <w:rPr>
          <w:rFonts w:eastAsia="MS Mincho"/>
          <w:lang w:eastAsia="ja-JP"/>
        </w:rPr>
        <w:t>, предусмотренным</w:t>
      </w:r>
      <w:r w:rsidRPr="00CD3578">
        <w:rPr>
          <w:rFonts w:eastAsia="MS Mincho"/>
          <w:lang w:eastAsia="ja-JP"/>
        </w:rPr>
        <w:t xml:space="preserve"> </w:t>
      </w:r>
      <w:r w:rsidRPr="00CD3578">
        <w:t>Закон</w:t>
      </w:r>
      <w:r>
        <w:t>ом об областном бюджете на 2020</w:t>
      </w:r>
      <w:r w:rsidRPr="00CD3578">
        <w:t xml:space="preserve"> год</w:t>
      </w:r>
      <w:r w:rsidRPr="00CD3578">
        <w:rPr>
          <w:rFonts w:eastAsia="MS Mincho"/>
          <w:lang w:eastAsia="ja-JP"/>
        </w:rPr>
        <w:t xml:space="preserve">. </w:t>
      </w:r>
      <w:r>
        <w:rPr>
          <w:rFonts w:eastAsia="MS Mincho"/>
          <w:lang w:eastAsia="ja-JP"/>
        </w:rPr>
        <w:t>Н</w:t>
      </w:r>
      <w:r w:rsidRPr="00A96631">
        <w:rPr>
          <w:rFonts w:eastAsia="MS Mincho"/>
          <w:lang w:eastAsia="ja-JP"/>
        </w:rPr>
        <w:t>еисполненны</w:t>
      </w:r>
      <w:r>
        <w:rPr>
          <w:rFonts w:eastAsia="MS Mincho"/>
          <w:lang w:eastAsia="ja-JP"/>
        </w:rPr>
        <w:t xml:space="preserve">е </w:t>
      </w:r>
      <w:r w:rsidRPr="00A96631">
        <w:rPr>
          <w:rFonts w:eastAsia="MS Mincho"/>
          <w:lang w:eastAsia="ja-JP"/>
        </w:rPr>
        <w:t>бюджетны</w:t>
      </w:r>
      <w:r>
        <w:rPr>
          <w:rFonts w:eastAsia="MS Mincho"/>
          <w:lang w:eastAsia="ja-JP"/>
        </w:rPr>
        <w:t>е</w:t>
      </w:r>
      <w:r w:rsidRPr="00A96631">
        <w:rPr>
          <w:rFonts w:eastAsia="MS Mincho"/>
          <w:lang w:eastAsia="ja-JP"/>
        </w:rPr>
        <w:t xml:space="preserve"> назначени</w:t>
      </w:r>
      <w:r>
        <w:rPr>
          <w:rFonts w:eastAsia="MS Mincho"/>
          <w:lang w:eastAsia="ja-JP"/>
        </w:rPr>
        <w:t>я</w:t>
      </w:r>
      <w:r w:rsidRPr="00A96631">
        <w:rPr>
          <w:rFonts w:eastAsia="MS Mincho"/>
          <w:lang w:eastAsia="ja-JP"/>
        </w:rPr>
        <w:t xml:space="preserve"> составил</w:t>
      </w:r>
      <w:r>
        <w:rPr>
          <w:rFonts w:eastAsia="MS Mincho"/>
          <w:lang w:eastAsia="ja-JP"/>
        </w:rPr>
        <w:t>и</w:t>
      </w:r>
      <w:r w:rsidRPr="00A96631">
        <w:rPr>
          <w:rFonts w:eastAsia="MS Mincho"/>
          <w:lang w:eastAsia="ja-JP"/>
        </w:rPr>
        <w:t xml:space="preserve"> </w:t>
      </w:r>
      <w:r>
        <w:rPr>
          <w:rFonts w:eastAsia="MS Mincho"/>
          <w:lang w:eastAsia="ja-JP"/>
        </w:rPr>
        <w:t>3</w:t>
      </w:r>
      <w:r w:rsidRPr="00FE3FB3">
        <w:rPr>
          <w:rFonts w:eastAsia="MS Mincho"/>
          <w:lang w:eastAsia="ja-JP"/>
        </w:rPr>
        <w:t> </w:t>
      </w:r>
      <w:r>
        <w:rPr>
          <w:rFonts w:eastAsia="MS Mincho"/>
          <w:lang w:eastAsia="ja-JP"/>
        </w:rPr>
        <w:t>012</w:t>
      </w:r>
      <w:r w:rsidRPr="00FE3FB3">
        <w:rPr>
          <w:rFonts w:eastAsia="MS Mincho"/>
          <w:lang w:eastAsia="ja-JP"/>
        </w:rPr>
        <w:t>,</w:t>
      </w:r>
      <w:r>
        <w:rPr>
          <w:rFonts w:eastAsia="MS Mincho"/>
          <w:lang w:eastAsia="ja-JP"/>
        </w:rPr>
        <w:t>0</w:t>
      </w:r>
      <w:r w:rsidRPr="00FE3FB3">
        <w:rPr>
          <w:rFonts w:eastAsia="MS Mincho"/>
          <w:lang w:eastAsia="ja-JP"/>
        </w:rPr>
        <w:t xml:space="preserve"> тыс. руб.,</w:t>
      </w:r>
      <w:r w:rsidRPr="00082CC7">
        <w:rPr>
          <w:rFonts w:eastAsia="MS Mincho"/>
          <w:lang w:eastAsia="ja-JP"/>
        </w:rPr>
        <w:t xml:space="preserve"> или </w:t>
      </w:r>
      <w:r>
        <w:rPr>
          <w:rFonts w:eastAsia="MS Mincho"/>
          <w:lang w:eastAsia="ja-JP"/>
        </w:rPr>
        <w:t xml:space="preserve">3,5 процента. Основной причиной неисполнения </w:t>
      </w:r>
      <w:r w:rsidRPr="006E16CF">
        <w:t>бюджетных назначений</w:t>
      </w:r>
      <w:r w:rsidRPr="00796627">
        <w:t xml:space="preserve"> </w:t>
      </w:r>
      <w:r>
        <w:t>явилась экономия</w:t>
      </w:r>
      <w:r w:rsidRPr="00936ACD">
        <w:t xml:space="preserve"> заработной платы</w:t>
      </w:r>
      <w:r w:rsidRPr="00C4378B">
        <w:t>, применения регрессивной шкалы при исчислении страховых взносов на оплату труда сотрудников</w:t>
      </w:r>
      <w:r>
        <w:t>,</w:t>
      </w:r>
      <w:r w:rsidRPr="00C4378B">
        <w:t xml:space="preserve"> </w:t>
      </w:r>
      <w:r>
        <w:t>экономия по результатам конкурсных процедур, отмена обучения сотрудников, отмена уплаты членских взносов, сокращением командировочных расходов.</w:t>
      </w:r>
    </w:p>
    <w:p w14:paraId="079DB5A7" w14:textId="1B8B7783" w:rsidR="003E6197" w:rsidRPr="004C192A" w:rsidRDefault="002B7F40" w:rsidP="004C192A">
      <w:pPr>
        <w:pStyle w:val="a6"/>
        <w:numPr>
          <w:ilvl w:val="0"/>
          <w:numId w:val="11"/>
        </w:numPr>
        <w:ind w:left="0" w:firstLine="687"/>
        <w:jc w:val="both"/>
        <w:rPr>
          <w:rFonts w:eastAsia="MS Mincho"/>
          <w:lang w:eastAsia="ja-JP"/>
        </w:rPr>
      </w:pPr>
      <w:r w:rsidRPr="004C192A">
        <w:rPr>
          <w:bCs/>
          <w:iCs/>
        </w:rPr>
        <w:t>Дебиторская задолженность уменьшилась на 361,8 тыс. руб. (-59,7%)</w:t>
      </w:r>
      <w:r w:rsidR="004C192A" w:rsidRPr="004C192A">
        <w:rPr>
          <w:bCs/>
          <w:iCs/>
        </w:rPr>
        <w:t xml:space="preserve">, что обусловлено </w:t>
      </w:r>
      <w:r w:rsidR="004C192A" w:rsidRPr="004C192A">
        <w:rPr>
          <w:rFonts w:eastAsiaTheme="minorHAnsi"/>
          <w:lang w:eastAsia="en-US"/>
        </w:rPr>
        <w:t xml:space="preserve">возвратом страховых взносов ФСС в 2020 году и зачетом переплаты в счет текущих платежей на сумму 331,5 тыс. руб., а также погашением и списанием задолженности в части «Расчетов по доходам» на общую сумму 35,0 тыс. рублей. </w:t>
      </w:r>
    </w:p>
    <w:p w14:paraId="14148C4F" w14:textId="7FDA572C" w:rsidR="00056541" w:rsidRDefault="00056541" w:rsidP="00056541">
      <w:pPr>
        <w:ind w:firstLine="709"/>
        <w:jc w:val="both"/>
      </w:pPr>
      <w:r w:rsidRPr="00237A9A">
        <w:t>Кредиторская задолженность</w:t>
      </w:r>
      <w:r>
        <w:t xml:space="preserve"> </w:t>
      </w:r>
      <w:r w:rsidRPr="00237A9A">
        <w:t>увеличилась на 35,1 тыс. руб. (в 2,1 раза) и сложилась в основном по причине предоставлени</w:t>
      </w:r>
      <w:r w:rsidR="00FA2591">
        <w:t>я</w:t>
      </w:r>
      <w:r w:rsidRPr="00237A9A">
        <w:t xml:space="preserve"> поставщиками актов выполненных работ по услугам связи, коммунальным услугам </w:t>
      </w:r>
      <w:r w:rsidR="0017562B">
        <w:t>за декабрь 2020 года в январе 2021 года.</w:t>
      </w:r>
    </w:p>
    <w:p w14:paraId="2AA498E3" w14:textId="77777777" w:rsidR="00017E35" w:rsidRDefault="00017E35" w:rsidP="00744E79">
      <w:pPr>
        <w:widowControl w:val="0"/>
        <w:tabs>
          <w:tab w:val="left" w:pos="993"/>
        </w:tabs>
        <w:autoSpaceDE w:val="0"/>
        <w:autoSpaceDN w:val="0"/>
        <w:adjustRightInd w:val="0"/>
        <w:spacing w:line="240" w:lineRule="exact"/>
        <w:ind w:firstLine="709"/>
        <w:jc w:val="both"/>
      </w:pPr>
    </w:p>
    <w:p w14:paraId="0789FC4F" w14:textId="77777777" w:rsidR="00C91D3D" w:rsidRDefault="00C91D3D" w:rsidP="00744E79">
      <w:pPr>
        <w:widowControl w:val="0"/>
        <w:tabs>
          <w:tab w:val="left" w:pos="993"/>
        </w:tabs>
        <w:autoSpaceDE w:val="0"/>
        <w:autoSpaceDN w:val="0"/>
        <w:adjustRightInd w:val="0"/>
        <w:spacing w:line="240" w:lineRule="exact"/>
        <w:ind w:firstLine="709"/>
        <w:jc w:val="both"/>
      </w:pPr>
    </w:p>
    <w:p w14:paraId="53A10CE2" w14:textId="77777777" w:rsidR="00C91D3D" w:rsidRDefault="00C91D3D" w:rsidP="00744E79">
      <w:pPr>
        <w:widowControl w:val="0"/>
        <w:tabs>
          <w:tab w:val="left" w:pos="993"/>
        </w:tabs>
        <w:autoSpaceDE w:val="0"/>
        <w:autoSpaceDN w:val="0"/>
        <w:adjustRightInd w:val="0"/>
        <w:spacing w:line="240" w:lineRule="exact"/>
        <w:ind w:firstLine="709"/>
        <w:jc w:val="both"/>
      </w:pPr>
    </w:p>
    <w:p w14:paraId="64781E0E" w14:textId="77777777" w:rsidR="00C91D3D" w:rsidRDefault="00C91D3D" w:rsidP="00744E79">
      <w:pPr>
        <w:widowControl w:val="0"/>
        <w:tabs>
          <w:tab w:val="left" w:pos="993"/>
        </w:tabs>
        <w:autoSpaceDE w:val="0"/>
        <w:autoSpaceDN w:val="0"/>
        <w:adjustRightInd w:val="0"/>
        <w:spacing w:line="240" w:lineRule="exact"/>
        <w:ind w:firstLine="709"/>
        <w:jc w:val="both"/>
      </w:pPr>
    </w:p>
    <w:p w14:paraId="6F25E4C3" w14:textId="77777777" w:rsidR="00C91D3D" w:rsidRDefault="00C91D3D" w:rsidP="00744E79">
      <w:pPr>
        <w:widowControl w:val="0"/>
        <w:tabs>
          <w:tab w:val="left" w:pos="993"/>
        </w:tabs>
        <w:autoSpaceDE w:val="0"/>
        <w:autoSpaceDN w:val="0"/>
        <w:adjustRightInd w:val="0"/>
        <w:spacing w:line="240" w:lineRule="exact"/>
        <w:ind w:firstLine="709"/>
        <w:jc w:val="both"/>
      </w:pPr>
    </w:p>
    <w:p w14:paraId="1BC5F957" w14:textId="77777777" w:rsidR="002B05DE" w:rsidRDefault="002B05DE" w:rsidP="00744E79">
      <w:pPr>
        <w:widowControl w:val="0"/>
        <w:tabs>
          <w:tab w:val="left" w:pos="993"/>
        </w:tabs>
        <w:autoSpaceDE w:val="0"/>
        <w:autoSpaceDN w:val="0"/>
        <w:adjustRightInd w:val="0"/>
        <w:spacing w:line="240" w:lineRule="exact"/>
        <w:ind w:firstLine="709"/>
        <w:jc w:val="both"/>
      </w:pPr>
    </w:p>
    <w:p w14:paraId="14FB32AF" w14:textId="77777777" w:rsidR="00A96D7A" w:rsidRDefault="00A96D7A" w:rsidP="00515EC9">
      <w:pPr>
        <w:widowControl w:val="0"/>
        <w:autoSpaceDE w:val="0"/>
        <w:autoSpaceDN w:val="0"/>
        <w:adjustRightInd w:val="0"/>
        <w:spacing w:line="240" w:lineRule="exact"/>
        <w:ind w:firstLine="708"/>
        <w:jc w:val="both"/>
        <w:rPr>
          <w:b/>
          <w:bCs/>
          <w:i/>
        </w:rPr>
      </w:pPr>
      <w:r>
        <w:rPr>
          <w:b/>
          <w:bCs/>
          <w:i/>
        </w:rPr>
        <w:t>Ауди</w:t>
      </w:r>
      <w:r w:rsidRPr="00BB0207">
        <w:rPr>
          <w:b/>
          <w:bCs/>
          <w:i/>
        </w:rPr>
        <w:t>тор</w:t>
      </w:r>
      <w:r w:rsidRPr="00BB0207">
        <w:rPr>
          <w:b/>
          <w:bCs/>
          <w:i/>
        </w:rPr>
        <w:tab/>
      </w:r>
      <w:r w:rsidRPr="00BB0207">
        <w:rPr>
          <w:b/>
          <w:bCs/>
          <w:i/>
        </w:rPr>
        <w:tab/>
      </w:r>
      <w:r w:rsidRPr="00BB0207">
        <w:rPr>
          <w:b/>
          <w:bCs/>
          <w:i/>
        </w:rPr>
        <w:tab/>
      </w:r>
      <w:r w:rsidRPr="00BB0207">
        <w:rPr>
          <w:b/>
          <w:bCs/>
          <w:i/>
        </w:rPr>
        <w:tab/>
      </w:r>
      <w:r w:rsidRPr="00BB0207">
        <w:rPr>
          <w:b/>
          <w:bCs/>
          <w:i/>
        </w:rPr>
        <w:tab/>
      </w:r>
      <w:r w:rsidRPr="00BB0207">
        <w:rPr>
          <w:b/>
          <w:bCs/>
          <w:i/>
        </w:rPr>
        <w:tab/>
      </w:r>
      <w:r w:rsidRPr="00BB0207">
        <w:rPr>
          <w:b/>
          <w:bCs/>
          <w:i/>
        </w:rPr>
        <w:tab/>
      </w:r>
      <w:r w:rsidRPr="00BB0207">
        <w:rPr>
          <w:b/>
          <w:bCs/>
          <w:i/>
        </w:rPr>
        <w:tab/>
        <w:t xml:space="preserve">Н.Л. </w:t>
      </w:r>
      <w:proofErr w:type="spellStart"/>
      <w:r w:rsidRPr="00BB0207">
        <w:rPr>
          <w:b/>
          <w:bCs/>
          <w:i/>
        </w:rPr>
        <w:t>Ноздрюхина</w:t>
      </w:r>
      <w:proofErr w:type="spellEnd"/>
    </w:p>
    <w:p w14:paraId="03D42045" w14:textId="77777777" w:rsidR="00A96D7A" w:rsidRDefault="00A96D7A" w:rsidP="00A96D7A"/>
    <w:p w14:paraId="7BE6AF7C" w14:textId="77777777" w:rsidR="00A96D7A" w:rsidRDefault="00A96D7A" w:rsidP="00F77B4D">
      <w:pPr>
        <w:pStyle w:val="a9"/>
        <w:tabs>
          <w:tab w:val="left" w:pos="8007"/>
        </w:tabs>
        <w:rPr>
          <w:szCs w:val="24"/>
        </w:rPr>
      </w:pPr>
    </w:p>
    <w:sectPr w:rsidR="00A96D7A" w:rsidSect="00C91D3D">
      <w:headerReference w:type="even" r:id="rId14"/>
      <w:headerReference w:type="default" r:id="rId15"/>
      <w:footerReference w:type="even" r:id="rId16"/>
      <w:footerReference w:type="default" r:id="rId17"/>
      <w:headerReference w:type="first" r:id="rId18"/>
      <w:footerReference w:type="first" r:id="rId19"/>
      <w:pgSz w:w="11906" w:h="16838" w:code="9"/>
      <w:pgMar w:top="1276" w:right="566"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384A4" w14:textId="77777777" w:rsidR="000F6B35" w:rsidRDefault="000F6B35" w:rsidP="00676B6A">
      <w:r>
        <w:separator/>
      </w:r>
    </w:p>
  </w:endnote>
  <w:endnote w:type="continuationSeparator" w:id="0">
    <w:p w14:paraId="5E5BB209" w14:textId="77777777" w:rsidR="000F6B35" w:rsidRDefault="000F6B35" w:rsidP="0067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AF46" w14:textId="77777777" w:rsidR="003D177D" w:rsidRDefault="003D177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013E" w14:textId="77777777" w:rsidR="003D177D" w:rsidRDefault="003D177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093E" w14:textId="77777777" w:rsidR="003D177D" w:rsidRDefault="003D177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E27F5" w14:textId="77777777" w:rsidR="000F6B35" w:rsidRDefault="000F6B35" w:rsidP="00676B6A">
      <w:r>
        <w:separator/>
      </w:r>
    </w:p>
  </w:footnote>
  <w:footnote w:type="continuationSeparator" w:id="0">
    <w:p w14:paraId="0590B22C" w14:textId="77777777" w:rsidR="000F6B35" w:rsidRDefault="000F6B35" w:rsidP="0067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5D9ED" w14:textId="77777777" w:rsidR="00465D07" w:rsidRDefault="00C9166B" w:rsidP="00675AF1">
    <w:pPr>
      <w:pStyle w:val="ab"/>
      <w:framePr w:wrap="around" w:vAnchor="text" w:hAnchor="margin" w:xAlign="center" w:y="1"/>
      <w:rPr>
        <w:rStyle w:val="ad"/>
        <w:rFonts w:eastAsiaTheme="majorEastAsia"/>
      </w:rPr>
    </w:pPr>
    <w:r>
      <w:rPr>
        <w:rStyle w:val="ad"/>
        <w:rFonts w:eastAsiaTheme="majorEastAsia"/>
      </w:rPr>
      <w:fldChar w:fldCharType="begin"/>
    </w:r>
    <w:r w:rsidR="00465D07">
      <w:rPr>
        <w:rStyle w:val="ad"/>
        <w:rFonts w:eastAsiaTheme="majorEastAsia"/>
      </w:rPr>
      <w:instrText xml:space="preserve">PAGE  </w:instrText>
    </w:r>
    <w:r>
      <w:rPr>
        <w:rStyle w:val="ad"/>
        <w:rFonts w:eastAsiaTheme="majorEastAsia"/>
      </w:rPr>
      <w:fldChar w:fldCharType="end"/>
    </w:r>
  </w:p>
  <w:p w14:paraId="5CE62141" w14:textId="77777777" w:rsidR="00465D07" w:rsidRDefault="00465D0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41D1D" w14:textId="77777777" w:rsidR="00465D07" w:rsidRDefault="00C9166B" w:rsidP="00675AF1">
    <w:pPr>
      <w:pStyle w:val="ab"/>
      <w:framePr w:wrap="around" w:vAnchor="text" w:hAnchor="margin" w:xAlign="center" w:y="1"/>
      <w:rPr>
        <w:rStyle w:val="ad"/>
        <w:rFonts w:eastAsiaTheme="majorEastAsia"/>
      </w:rPr>
    </w:pPr>
    <w:r>
      <w:rPr>
        <w:rStyle w:val="ad"/>
        <w:rFonts w:eastAsiaTheme="majorEastAsia"/>
      </w:rPr>
      <w:fldChar w:fldCharType="begin"/>
    </w:r>
    <w:r w:rsidR="00465D07">
      <w:rPr>
        <w:rStyle w:val="ad"/>
        <w:rFonts w:eastAsiaTheme="majorEastAsia"/>
      </w:rPr>
      <w:instrText xml:space="preserve">PAGE  </w:instrText>
    </w:r>
    <w:r>
      <w:rPr>
        <w:rStyle w:val="ad"/>
        <w:rFonts w:eastAsiaTheme="majorEastAsia"/>
      </w:rPr>
      <w:fldChar w:fldCharType="separate"/>
    </w:r>
    <w:r w:rsidR="00F3335A">
      <w:rPr>
        <w:rStyle w:val="ad"/>
        <w:rFonts w:eastAsiaTheme="majorEastAsia"/>
        <w:noProof/>
      </w:rPr>
      <w:t>3</w:t>
    </w:r>
    <w:r>
      <w:rPr>
        <w:rStyle w:val="ad"/>
        <w:rFonts w:eastAsiaTheme="majorEastAsia"/>
      </w:rPr>
      <w:fldChar w:fldCharType="end"/>
    </w:r>
  </w:p>
  <w:p w14:paraId="2FEDCA70" w14:textId="77777777" w:rsidR="00465D07" w:rsidRDefault="00465D0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333AA" w14:textId="77777777" w:rsidR="003D177D" w:rsidRDefault="003D177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BF2"/>
    <w:multiLevelType w:val="hybridMultilevel"/>
    <w:tmpl w:val="5BAAFCFE"/>
    <w:lvl w:ilvl="0" w:tplc="773A7726">
      <w:start w:val="1"/>
      <w:numFmt w:val="decimal"/>
      <w:lvlText w:val="%1."/>
      <w:lvlJc w:val="left"/>
      <w:pPr>
        <w:tabs>
          <w:tab w:val="num" w:pos="567"/>
        </w:tabs>
        <w:ind w:left="397"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9A4F4E"/>
    <w:multiLevelType w:val="hybridMultilevel"/>
    <w:tmpl w:val="5A0AAF54"/>
    <w:lvl w:ilvl="0" w:tplc="8078EE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2254414"/>
    <w:multiLevelType w:val="hybridMultilevel"/>
    <w:tmpl w:val="285CCEB6"/>
    <w:lvl w:ilvl="0" w:tplc="B9F8E2A4">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601" w:hanging="360"/>
      </w:pPr>
      <w:rPr>
        <w:rFonts w:ascii="Courier New" w:hAnsi="Courier New" w:hint="default"/>
      </w:rPr>
    </w:lvl>
    <w:lvl w:ilvl="2" w:tplc="04190005" w:tentative="1">
      <w:start w:val="1"/>
      <w:numFmt w:val="bullet"/>
      <w:lvlText w:val=""/>
      <w:lvlJc w:val="left"/>
      <w:pPr>
        <w:ind w:left="1321" w:hanging="360"/>
      </w:pPr>
      <w:rPr>
        <w:rFonts w:ascii="Wingdings" w:hAnsi="Wingdings" w:hint="default"/>
      </w:rPr>
    </w:lvl>
    <w:lvl w:ilvl="3" w:tplc="04190001" w:tentative="1">
      <w:start w:val="1"/>
      <w:numFmt w:val="bullet"/>
      <w:lvlText w:val=""/>
      <w:lvlJc w:val="left"/>
      <w:pPr>
        <w:ind w:left="2041" w:hanging="360"/>
      </w:pPr>
      <w:rPr>
        <w:rFonts w:ascii="Symbol" w:hAnsi="Symbol" w:hint="default"/>
      </w:rPr>
    </w:lvl>
    <w:lvl w:ilvl="4" w:tplc="04190003" w:tentative="1">
      <w:start w:val="1"/>
      <w:numFmt w:val="bullet"/>
      <w:lvlText w:val="o"/>
      <w:lvlJc w:val="left"/>
      <w:pPr>
        <w:ind w:left="2761" w:hanging="360"/>
      </w:pPr>
      <w:rPr>
        <w:rFonts w:ascii="Courier New" w:hAnsi="Courier New" w:hint="default"/>
      </w:rPr>
    </w:lvl>
    <w:lvl w:ilvl="5" w:tplc="04190005" w:tentative="1">
      <w:start w:val="1"/>
      <w:numFmt w:val="bullet"/>
      <w:lvlText w:val=""/>
      <w:lvlJc w:val="left"/>
      <w:pPr>
        <w:ind w:left="3481" w:hanging="360"/>
      </w:pPr>
      <w:rPr>
        <w:rFonts w:ascii="Wingdings" w:hAnsi="Wingdings" w:hint="default"/>
      </w:rPr>
    </w:lvl>
    <w:lvl w:ilvl="6" w:tplc="04190001" w:tentative="1">
      <w:start w:val="1"/>
      <w:numFmt w:val="bullet"/>
      <w:lvlText w:val=""/>
      <w:lvlJc w:val="left"/>
      <w:pPr>
        <w:ind w:left="4201" w:hanging="360"/>
      </w:pPr>
      <w:rPr>
        <w:rFonts w:ascii="Symbol" w:hAnsi="Symbol" w:hint="default"/>
      </w:rPr>
    </w:lvl>
    <w:lvl w:ilvl="7" w:tplc="04190003" w:tentative="1">
      <w:start w:val="1"/>
      <w:numFmt w:val="bullet"/>
      <w:lvlText w:val="o"/>
      <w:lvlJc w:val="left"/>
      <w:pPr>
        <w:ind w:left="4921" w:hanging="360"/>
      </w:pPr>
      <w:rPr>
        <w:rFonts w:ascii="Courier New" w:hAnsi="Courier New" w:hint="default"/>
      </w:rPr>
    </w:lvl>
    <w:lvl w:ilvl="8" w:tplc="04190005" w:tentative="1">
      <w:start w:val="1"/>
      <w:numFmt w:val="bullet"/>
      <w:lvlText w:val=""/>
      <w:lvlJc w:val="left"/>
      <w:pPr>
        <w:ind w:left="5641" w:hanging="360"/>
      </w:pPr>
      <w:rPr>
        <w:rFonts w:ascii="Wingdings" w:hAnsi="Wingdings" w:hint="default"/>
      </w:rPr>
    </w:lvl>
  </w:abstractNum>
  <w:abstractNum w:abstractNumId="3" w15:restartNumberingAfterBreak="0">
    <w:nsid w:val="152D0658"/>
    <w:multiLevelType w:val="hybridMultilevel"/>
    <w:tmpl w:val="5A4C82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657328D"/>
    <w:multiLevelType w:val="hybridMultilevel"/>
    <w:tmpl w:val="72C675A2"/>
    <w:lvl w:ilvl="0" w:tplc="BF76CA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DF73114"/>
    <w:multiLevelType w:val="hybridMultilevel"/>
    <w:tmpl w:val="4ECC5A0A"/>
    <w:lvl w:ilvl="0" w:tplc="42D8A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EB63E9E"/>
    <w:multiLevelType w:val="hybridMultilevel"/>
    <w:tmpl w:val="E95887D6"/>
    <w:lvl w:ilvl="0" w:tplc="F006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195516"/>
    <w:multiLevelType w:val="hybridMultilevel"/>
    <w:tmpl w:val="99585BCA"/>
    <w:lvl w:ilvl="0" w:tplc="E1BA4D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658059A"/>
    <w:multiLevelType w:val="hybridMultilevel"/>
    <w:tmpl w:val="9F445F14"/>
    <w:lvl w:ilvl="0" w:tplc="59B88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4B1B08"/>
    <w:multiLevelType w:val="hybridMultilevel"/>
    <w:tmpl w:val="2D86C108"/>
    <w:lvl w:ilvl="0" w:tplc="0419000F">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64FA28FE"/>
    <w:multiLevelType w:val="multilevel"/>
    <w:tmpl w:val="568EE83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15:restartNumberingAfterBreak="0">
    <w:nsid w:val="7D2415C3"/>
    <w:multiLevelType w:val="hybridMultilevel"/>
    <w:tmpl w:val="03EA837A"/>
    <w:lvl w:ilvl="0" w:tplc="6A8CD7A2">
      <w:start w:val="1"/>
      <w:numFmt w:val="decimal"/>
      <w:lvlText w:val="%1."/>
      <w:lvlJc w:val="left"/>
      <w:pPr>
        <w:ind w:left="1047" w:hanging="360"/>
      </w:pPr>
      <w:rPr>
        <w:rFonts w:hint="default"/>
      </w:rPr>
    </w:lvl>
    <w:lvl w:ilvl="1" w:tplc="04190019">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num w:numId="1">
    <w:abstractNumId w:val="0"/>
  </w:num>
  <w:num w:numId="2">
    <w:abstractNumId w:val="3"/>
  </w:num>
  <w:num w:numId="3">
    <w:abstractNumId w:val="2"/>
  </w:num>
  <w:num w:numId="4">
    <w:abstractNumId w:val="7"/>
  </w:num>
  <w:num w:numId="5">
    <w:abstractNumId w:val="10"/>
  </w:num>
  <w:num w:numId="6">
    <w:abstractNumId w:val="4"/>
  </w:num>
  <w:num w:numId="7">
    <w:abstractNumId w:val="9"/>
  </w:num>
  <w:num w:numId="8">
    <w:abstractNumId w:val="1"/>
  </w:num>
  <w:num w:numId="9">
    <w:abstractNumId w:val="5"/>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4D"/>
    <w:rsid w:val="00014624"/>
    <w:rsid w:val="00017E35"/>
    <w:rsid w:val="0004112B"/>
    <w:rsid w:val="00056541"/>
    <w:rsid w:val="00057F3D"/>
    <w:rsid w:val="00075779"/>
    <w:rsid w:val="00094D73"/>
    <w:rsid w:val="00096D61"/>
    <w:rsid w:val="00097B45"/>
    <w:rsid w:val="000A5F4E"/>
    <w:rsid w:val="000C2AA8"/>
    <w:rsid w:val="000E432B"/>
    <w:rsid w:val="000E620C"/>
    <w:rsid w:val="000F39C3"/>
    <w:rsid w:val="000F6B35"/>
    <w:rsid w:val="00115AD0"/>
    <w:rsid w:val="00153063"/>
    <w:rsid w:val="001705D3"/>
    <w:rsid w:val="0017562B"/>
    <w:rsid w:val="00197F8E"/>
    <w:rsid w:val="001A0E17"/>
    <w:rsid w:val="001B75D6"/>
    <w:rsid w:val="001D0829"/>
    <w:rsid w:val="001F313D"/>
    <w:rsid w:val="00204BC0"/>
    <w:rsid w:val="00213E79"/>
    <w:rsid w:val="002211F8"/>
    <w:rsid w:val="002266A1"/>
    <w:rsid w:val="00237C09"/>
    <w:rsid w:val="00244E6C"/>
    <w:rsid w:val="00256CEC"/>
    <w:rsid w:val="0026777C"/>
    <w:rsid w:val="0027429B"/>
    <w:rsid w:val="002B05DE"/>
    <w:rsid w:val="002B5F42"/>
    <w:rsid w:val="002B7F40"/>
    <w:rsid w:val="002C510B"/>
    <w:rsid w:val="002C7060"/>
    <w:rsid w:val="002D74D8"/>
    <w:rsid w:val="002F3430"/>
    <w:rsid w:val="002F636F"/>
    <w:rsid w:val="002F6EC0"/>
    <w:rsid w:val="002F77BD"/>
    <w:rsid w:val="00312645"/>
    <w:rsid w:val="00316252"/>
    <w:rsid w:val="00317F9D"/>
    <w:rsid w:val="0032150E"/>
    <w:rsid w:val="00330700"/>
    <w:rsid w:val="003364BD"/>
    <w:rsid w:val="0037257A"/>
    <w:rsid w:val="003757FA"/>
    <w:rsid w:val="003A0768"/>
    <w:rsid w:val="003A2301"/>
    <w:rsid w:val="003B6E85"/>
    <w:rsid w:val="003B75DF"/>
    <w:rsid w:val="003D177D"/>
    <w:rsid w:val="003E6197"/>
    <w:rsid w:val="003F36A7"/>
    <w:rsid w:val="00402FBB"/>
    <w:rsid w:val="00416877"/>
    <w:rsid w:val="00433BBA"/>
    <w:rsid w:val="00454D2C"/>
    <w:rsid w:val="004621CB"/>
    <w:rsid w:val="004631AD"/>
    <w:rsid w:val="00465D07"/>
    <w:rsid w:val="00471D1D"/>
    <w:rsid w:val="004803AC"/>
    <w:rsid w:val="00482B47"/>
    <w:rsid w:val="004A3DF0"/>
    <w:rsid w:val="004B336F"/>
    <w:rsid w:val="004C192A"/>
    <w:rsid w:val="004D0171"/>
    <w:rsid w:val="005112BE"/>
    <w:rsid w:val="00512420"/>
    <w:rsid w:val="00515EC9"/>
    <w:rsid w:val="005300E0"/>
    <w:rsid w:val="00554D4C"/>
    <w:rsid w:val="0056727B"/>
    <w:rsid w:val="00571220"/>
    <w:rsid w:val="005839D9"/>
    <w:rsid w:val="0059572E"/>
    <w:rsid w:val="005B6D7B"/>
    <w:rsid w:val="005C61FA"/>
    <w:rsid w:val="005C648D"/>
    <w:rsid w:val="00606C69"/>
    <w:rsid w:val="00610DD0"/>
    <w:rsid w:val="0062789E"/>
    <w:rsid w:val="00632611"/>
    <w:rsid w:val="00633B3B"/>
    <w:rsid w:val="00635700"/>
    <w:rsid w:val="00635824"/>
    <w:rsid w:val="00637651"/>
    <w:rsid w:val="006414C5"/>
    <w:rsid w:val="006540B3"/>
    <w:rsid w:val="00666409"/>
    <w:rsid w:val="0067150A"/>
    <w:rsid w:val="00675AF1"/>
    <w:rsid w:val="00676B6A"/>
    <w:rsid w:val="006A31C8"/>
    <w:rsid w:val="006A3604"/>
    <w:rsid w:val="00712AEB"/>
    <w:rsid w:val="00720735"/>
    <w:rsid w:val="00723227"/>
    <w:rsid w:val="00724645"/>
    <w:rsid w:val="007267CA"/>
    <w:rsid w:val="00731B88"/>
    <w:rsid w:val="00744E79"/>
    <w:rsid w:val="00745A2A"/>
    <w:rsid w:val="007662D0"/>
    <w:rsid w:val="0077750E"/>
    <w:rsid w:val="007A32A3"/>
    <w:rsid w:val="007C0857"/>
    <w:rsid w:val="007C2055"/>
    <w:rsid w:val="007E3239"/>
    <w:rsid w:val="007E4ABD"/>
    <w:rsid w:val="007F71AD"/>
    <w:rsid w:val="0080523E"/>
    <w:rsid w:val="00817A4C"/>
    <w:rsid w:val="00830B03"/>
    <w:rsid w:val="00844E5A"/>
    <w:rsid w:val="00846C53"/>
    <w:rsid w:val="00862FD0"/>
    <w:rsid w:val="00887F5B"/>
    <w:rsid w:val="008922AF"/>
    <w:rsid w:val="008947F4"/>
    <w:rsid w:val="00894E4F"/>
    <w:rsid w:val="0089712D"/>
    <w:rsid w:val="008A7B0F"/>
    <w:rsid w:val="008B54B5"/>
    <w:rsid w:val="008C367A"/>
    <w:rsid w:val="008C58DF"/>
    <w:rsid w:val="00912E89"/>
    <w:rsid w:val="00913FDA"/>
    <w:rsid w:val="0091462B"/>
    <w:rsid w:val="00923A4F"/>
    <w:rsid w:val="009241C0"/>
    <w:rsid w:val="009354EA"/>
    <w:rsid w:val="009458B9"/>
    <w:rsid w:val="00953968"/>
    <w:rsid w:val="00962023"/>
    <w:rsid w:val="00971B0B"/>
    <w:rsid w:val="00993387"/>
    <w:rsid w:val="0099566E"/>
    <w:rsid w:val="009E10DB"/>
    <w:rsid w:val="009E7E4D"/>
    <w:rsid w:val="009F0E1A"/>
    <w:rsid w:val="00A04D9D"/>
    <w:rsid w:val="00A14FE7"/>
    <w:rsid w:val="00A839A4"/>
    <w:rsid w:val="00A96D7A"/>
    <w:rsid w:val="00AB4B98"/>
    <w:rsid w:val="00AE594C"/>
    <w:rsid w:val="00B01F3C"/>
    <w:rsid w:val="00B05445"/>
    <w:rsid w:val="00B14C87"/>
    <w:rsid w:val="00B16EAB"/>
    <w:rsid w:val="00B21344"/>
    <w:rsid w:val="00B308D0"/>
    <w:rsid w:val="00B32B40"/>
    <w:rsid w:val="00B51670"/>
    <w:rsid w:val="00B5483D"/>
    <w:rsid w:val="00B55632"/>
    <w:rsid w:val="00B633B1"/>
    <w:rsid w:val="00B92448"/>
    <w:rsid w:val="00B965B3"/>
    <w:rsid w:val="00BC03D2"/>
    <w:rsid w:val="00BD066E"/>
    <w:rsid w:val="00BF26CF"/>
    <w:rsid w:val="00BF5F82"/>
    <w:rsid w:val="00C0749F"/>
    <w:rsid w:val="00C14D6D"/>
    <w:rsid w:val="00C16AE2"/>
    <w:rsid w:val="00C9166B"/>
    <w:rsid w:val="00C91D3D"/>
    <w:rsid w:val="00CA5BA3"/>
    <w:rsid w:val="00D01270"/>
    <w:rsid w:val="00D014E5"/>
    <w:rsid w:val="00D058DF"/>
    <w:rsid w:val="00D11D5F"/>
    <w:rsid w:val="00D209FA"/>
    <w:rsid w:val="00D27C00"/>
    <w:rsid w:val="00D7776A"/>
    <w:rsid w:val="00D9217F"/>
    <w:rsid w:val="00DA0AD9"/>
    <w:rsid w:val="00DA0DEE"/>
    <w:rsid w:val="00E038F1"/>
    <w:rsid w:val="00E13862"/>
    <w:rsid w:val="00E14BA2"/>
    <w:rsid w:val="00E20713"/>
    <w:rsid w:val="00E23BD6"/>
    <w:rsid w:val="00E2728B"/>
    <w:rsid w:val="00E30234"/>
    <w:rsid w:val="00E309DD"/>
    <w:rsid w:val="00E31329"/>
    <w:rsid w:val="00E4726E"/>
    <w:rsid w:val="00E51B7C"/>
    <w:rsid w:val="00E65A62"/>
    <w:rsid w:val="00E73CEE"/>
    <w:rsid w:val="00EA5A23"/>
    <w:rsid w:val="00EC7F76"/>
    <w:rsid w:val="00ED00B3"/>
    <w:rsid w:val="00ED2756"/>
    <w:rsid w:val="00EE6F06"/>
    <w:rsid w:val="00EE7BA9"/>
    <w:rsid w:val="00EE7E21"/>
    <w:rsid w:val="00EF075E"/>
    <w:rsid w:val="00EF5291"/>
    <w:rsid w:val="00EF742E"/>
    <w:rsid w:val="00F1387B"/>
    <w:rsid w:val="00F3233E"/>
    <w:rsid w:val="00F3335A"/>
    <w:rsid w:val="00F371D4"/>
    <w:rsid w:val="00F50F7B"/>
    <w:rsid w:val="00F6240B"/>
    <w:rsid w:val="00F77B4D"/>
    <w:rsid w:val="00F86AE2"/>
    <w:rsid w:val="00F917E8"/>
    <w:rsid w:val="00FA2591"/>
    <w:rsid w:val="00FB0CA6"/>
    <w:rsid w:val="00FB75E1"/>
    <w:rsid w:val="00FC06E8"/>
    <w:rsid w:val="00FC3702"/>
    <w:rsid w:val="00FD07D2"/>
    <w:rsid w:val="00FD5D59"/>
    <w:rsid w:val="00FD79AB"/>
    <w:rsid w:val="00FE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8D03"/>
  <w15:docId w15:val="{E996755E-D890-45CD-955B-CE666E14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B4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A5F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A5F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A5F4E"/>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F77B4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F4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A5F4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0A5F4E"/>
    <w:rPr>
      <w:rFonts w:asciiTheme="majorHAnsi" w:eastAsiaTheme="majorEastAsia" w:hAnsiTheme="majorHAnsi" w:cstheme="majorBidi"/>
      <w:color w:val="1F4D78" w:themeColor="accent1" w:themeShade="7F"/>
      <w:sz w:val="24"/>
      <w:szCs w:val="24"/>
    </w:rPr>
  </w:style>
  <w:style w:type="character" w:styleId="a3">
    <w:name w:val="Strong"/>
    <w:basedOn w:val="a0"/>
    <w:uiPriority w:val="22"/>
    <w:qFormat/>
    <w:rsid w:val="000A5F4E"/>
    <w:rPr>
      <w:b/>
      <w:bCs/>
    </w:rPr>
  </w:style>
  <w:style w:type="character" w:styleId="a4">
    <w:name w:val="Emphasis"/>
    <w:basedOn w:val="a0"/>
    <w:uiPriority w:val="20"/>
    <w:qFormat/>
    <w:rsid w:val="000A5F4E"/>
    <w:rPr>
      <w:i/>
      <w:iCs/>
    </w:rPr>
  </w:style>
  <w:style w:type="paragraph" w:styleId="a5">
    <w:name w:val="No Spacing"/>
    <w:uiPriority w:val="1"/>
    <w:qFormat/>
    <w:rsid w:val="000A5F4E"/>
    <w:pPr>
      <w:spacing w:after="0" w:line="240" w:lineRule="auto"/>
    </w:pPr>
  </w:style>
  <w:style w:type="paragraph" w:styleId="a6">
    <w:name w:val="List Paragraph"/>
    <w:basedOn w:val="a"/>
    <w:uiPriority w:val="34"/>
    <w:qFormat/>
    <w:rsid w:val="000A5F4E"/>
    <w:pPr>
      <w:ind w:left="720"/>
      <w:contextualSpacing/>
    </w:pPr>
  </w:style>
  <w:style w:type="character" w:customStyle="1" w:styleId="50">
    <w:name w:val="Заголовок 5 Знак"/>
    <w:basedOn w:val="a0"/>
    <w:link w:val="5"/>
    <w:uiPriority w:val="9"/>
    <w:semiHidden/>
    <w:rsid w:val="00F77B4D"/>
    <w:rPr>
      <w:rFonts w:asciiTheme="majorHAnsi" w:eastAsiaTheme="majorEastAsia" w:hAnsiTheme="majorHAnsi" w:cstheme="majorBidi"/>
      <w:color w:val="1F4D78" w:themeColor="accent1" w:themeShade="7F"/>
      <w:sz w:val="24"/>
      <w:szCs w:val="24"/>
      <w:lang w:val="ru-RU" w:eastAsia="ru-RU"/>
    </w:rPr>
  </w:style>
  <w:style w:type="paragraph" w:styleId="a7">
    <w:name w:val="Body Text"/>
    <w:basedOn w:val="a"/>
    <w:link w:val="a8"/>
    <w:uiPriority w:val="99"/>
    <w:rsid w:val="00F77B4D"/>
    <w:pPr>
      <w:spacing w:after="120"/>
    </w:pPr>
  </w:style>
  <w:style w:type="character" w:customStyle="1" w:styleId="a8">
    <w:name w:val="Основной текст Знак"/>
    <w:basedOn w:val="a0"/>
    <w:link w:val="a7"/>
    <w:uiPriority w:val="99"/>
    <w:rsid w:val="00F77B4D"/>
    <w:rPr>
      <w:rFonts w:ascii="Times New Roman" w:eastAsia="Times New Roman" w:hAnsi="Times New Roman" w:cs="Times New Roman"/>
      <w:sz w:val="24"/>
      <w:szCs w:val="24"/>
      <w:lang w:val="ru-RU" w:eastAsia="ru-RU"/>
    </w:rPr>
  </w:style>
  <w:style w:type="paragraph" w:styleId="a9">
    <w:name w:val="Title"/>
    <w:basedOn w:val="a"/>
    <w:link w:val="aa"/>
    <w:qFormat/>
    <w:rsid w:val="00F77B4D"/>
    <w:pPr>
      <w:jc w:val="center"/>
    </w:pPr>
    <w:rPr>
      <w:b/>
      <w:szCs w:val="20"/>
    </w:rPr>
  </w:style>
  <w:style w:type="character" w:customStyle="1" w:styleId="aa">
    <w:name w:val="Заголовок Знак"/>
    <w:basedOn w:val="a0"/>
    <w:link w:val="a9"/>
    <w:rsid w:val="00F77B4D"/>
    <w:rPr>
      <w:rFonts w:ascii="Times New Roman" w:eastAsia="Times New Roman" w:hAnsi="Times New Roman" w:cs="Times New Roman"/>
      <w:b/>
      <w:sz w:val="24"/>
      <w:szCs w:val="20"/>
      <w:lang w:val="ru-RU" w:eastAsia="ru-RU"/>
    </w:rPr>
  </w:style>
  <w:style w:type="paragraph" w:styleId="ab">
    <w:name w:val="header"/>
    <w:basedOn w:val="a"/>
    <w:link w:val="ac"/>
    <w:uiPriority w:val="99"/>
    <w:rsid w:val="00F77B4D"/>
    <w:pPr>
      <w:tabs>
        <w:tab w:val="center" w:pos="4677"/>
        <w:tab w:val="right" w:pos="9355"/>
      </w:tabs>
    </w:pPr>
  </w:style>
  <w:style w:type="character" w:customStyle="1" w:styleId="ac">
    <w:name w:val="Верхний колонтитул Знак"/>
    <w:basedOn w:val="a0"/>
    <w:link w:val="ab"/>
    <w:uiPriority w:val="99"/>
    <w:rsid w:val="00F77B4D"/>
    <w:rPr>
      <w:rFonts w:ascii="Times New Roman" w:eastAsia="Times New Roman" w:hAnsi="Times New Roman" w:cs="Times New Roman"/>
      <w:sz w:val="24"/>
      <w:szCs w:val="24"/>
      <w:lang w:val="ru-RU" w:eastAsia="ru-RU"/>
    </w:rPr>
  </w:style>
  <w:style w:type="character" w:styleId="ad">
    <w:name w:val="page number"/>
    <w:basedOn w:val="a0"/>
    <w:uiPriority w:val="99"/>
    <w:rsid w:val="00F77B4D"/>
    <w:rPr>
      <w:rFonts w:cs="Times New Roman"/>
    </w:rPr>
  </w:style>
  <w:style w:type="paragraph" w:customStyle="1" w:styleId="ae">
    <w:name w:val="Заголовок статьи"/>
    <w:basedOn w:val="a"/>
    <w:next w:val="a"/>
    <w:uiPriority w:val="99"/>
    <w:rsid w:val="00F77B4D"/>
    <w:pPr>
      <w:autoSpaceDE w:val="0"/>
      <w:autoSpaceDN w:val="0"/>
      <w:adjustRightInd w:val="0"/>
      <w:ind w:left="1612" w:hanging="892"/>
      <w:jc w:val="both"/>
    </w:pPr>
    <w:rPr>
      <w:rFonts w:ascii="Arial" w:eastAsia="Calibri" w:hAnsi="Arial" w:cs="Arial"/>
      <w:sz w:val="20"/>
      <w:szCs w:val="20"/>
      <w:lang w:eastAsia="en-US"/>
    </w:rPr>
  </w:style>
  <w:style w:type="paragraph" w:styleId="af">
    <w:name w:val="Body Text Indent"/>
    <w:basedOn w:val="a"/>
    <w:link w:val="af0"/>
    <w:uiPriority w:val="99"/>
    <w:unhideWhenUsed/>
    <w:rsid w:val="00F77B4D"/>
    <w:pPr>
      <w:spacing w:after="120"/>
      <w:ind w:left="283"/>
    </w:pPr>
  </w:style>
  <w:style w:type="character" w:customStyle="1" w:styleId="af0">
    <w:name w:val="Основной текст с отступом Знак"/>
    <w:basedOn w:val="a0"/>
    <w:link w:val="af"/>
    <w:uiPriority w:val="99"/>
    <w:rsid w:val="00F77B4D"/>
    <w:rPr>
      <w:rFonts w:ascii="Times New Roman" w:eastAsia="Times New Roman" w:hAnsi="Times New Roman" w:cs="Times New Roman"/>
      <w:sz w:val="24"/>
      <w:szCs w:val="24"/>
      <w:lang w:val="ru-RU" w:eastAsia="ru-RU"/>
    </w:rPr>
  </w:style>
  <w:style w:type="character" w:customStyle="1" w:styleId="iceouttxt51">
    <w:name w:val="iceouttxt51"/>
    <w:basedOn w:val="a0"/>
    <w:rsid w:val="00F77B4D"/>
    <w:rPr>
      <w:rFonts w:ascii="Arial" w:hAnsi="Arial" w:cs="Arial" w:hint="default"/>
      <w:color w:val="666666"/>
      <w:sz w:val="14"/>
      <w:szCs w:val="14"/>
    </w:rPr>
  </w:style>
  <w:style w:type="paragraph" w:styleId="af1">
    <w:name w:val="footer"/>
    <w:basedOn w:val="a"/>
    <w:link w:val="af2"/>
    <w:uiPriority w:val="99"/>
    <w:semiHidden/>
    <w:unhideWhenUsed/>
    <w:rsid w:val="00F77B4D"/>
    <w:pPr>
      <w:tabs>
        <w:tab w:val="center" w:pos="4677"/>
        <w:tab w:val="right" w:pos="9355"/>
      </w:tabs>
    </w:pPr>
  </w:style>
  <w:style w:type="character" w:customStyle="1" w:styleId="af2">
    <w:name w:val="Нижний колонтитул Знак"/>
    <w:basedOn w:val="a0"/>
    <w:link w:val="af1"/>
    <w:uiPriority w:val="99"/>
    <w:semiHidden/>
    <w:rsid w:val="00F77B4D"/>
    <w:rPr>
      <w:rFonts w:ascii="Times New Roman" w:eastAsia="Times New Roman" w:hAnsi="Times New Roman" w:cs="Times New Roman"/>
      <w:sz w:val="24"/>
      <w:szCs w:val="24"/>
      <w:lang w:val="ru-RU" w:eastAsia="ru-RU"/>
    </w:rPr>
  </w:style>
  <w:style w:type="paragraph" w:customStyle="1" w:styleId="ConsPlusNormal">
    <w:name w:val="ConsPlusNormal"/>
    <w:rsid w:val="00F77B4D"/>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f3">
    <w:name w:val="Normal (Web)"/>
    <w:basedOn w:val="a"/>
    <w:uiPriority w:val="99"/>
    <w:unhideWhenUsed/>
    <w:rsid w:val="00F77B4D"/>
    <w:pPr>
      <w:spacing w:before="100" w:beforeAutospacing="1" w:after="100" w:afterAutospacing="1"/>
    </w:pPr>
  </w:style>
  <w:style w:type="paragraph" w:customStyle="1" w:styleId="af4">
    <w:name w:val="Прижатый влево"/>
    <w:basedOn w:val="a"/>
    <w:next w:val="a"/>
    <w:uiPriority w:val="99"/>
    <w:rsid w:val="00F77B4D"/>
    <w:pPr>
      <w:autoSpaceDE w:val="0"/>
      <w:autoSpaceDN w:val="0"/>
      <w:adjustRightInd w:val="0"/>
    </w:pPr>
    <w:rPr>
      <w:rFonts w:ascii="Arial" w:eastAsiaTheme="minorHAnsi" w:hAnsi="Arial" w:cs="Arial"/>
      <w:lang w:eastAsia="en-US"/>
    </w:rPr>
  </w:style>
  <w:style w:type="paragraph" w:customStyle="1" w:styleId="p2">
    <w:name w:val="p2"/>
    <w:basedOn w:val="a"/>
    <w:rsid w:val="00F77B4D"/>
    <w:pPr>
      <w:spacing w:before="100" w:beforeAutospacing="1" w:after="100" w:afterAutospacing="1"/>
    </w:pPr>
  </w:style>
  <w:style w:type="character" w:styleId="af5">
    <w:name w:val="Hyperlink"/>
    <w:basedOn w:val="a0"/>
    <w:uiPriority w:val="99"/>
    <w:unhideWhenUsed/>
    <w:rsid w:val="00F77B4D"/>
    <w:rPr>
      <w:color w:val="0000FF"/>
      <w:u w:val="single"/>
    </w:rPr>
  </w:style>
  <w:style w:type="table" w:styleId="af6">
    <w:name w:val="Table Grid"/>
    <w:basedOn w:val="a1"/>
    <w:uiPriority w:val="59"/>
    <w:rsid w:val="00F77B4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rsid w:val="00F77B4D"/>
    <w:rPr>
      <w:rFonts w:eastAsia="Calibri"/>
      <w:sz w:val="20"/>
      <w:szCs w:val="20"/>
    </w:rPr>
  </w:style>
  <w:style w:type="character" w:customStyle="1" w:styleId="af8">
    <w:name w:val="Текст концевой сноски Знак"/>
    <w:basedOn w:val="a0"/>
    <w:link w:val="af7"/>
    <w:rsid w:val="00F77B4D"/>
    <w:rPr>
      <w:rFonts w:ascii="Times New Roman" w:eastAsia="Calibri" w:hAnsi="Times New Roman" w:cs="Times New Roman"/>
      <w:sz w:val="20"/>
      <w:szCs w:val="20"/>
      <w:lang w:val="ru-RU" w:eastAsia="ru-RU"/>
    </w:rPr>
  </w:style>
  <w:style w:type="paragraph" w:customStyle="1" w:styleId="11">
    <w:name w:val="1"/>
    <w:rsid w:val="00FE3FB3"/>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08891">
      <w:bodyDiv w:val="1"/>
      <w:marLeft w:val="0"/>
      <w:marRight w:val="0"/>
      <w:marTop w:val="0"/>
      <w:marBottom w:val="0"/>
      <w:divBdr>
        <w:top w:val="none" w:sz="0" w:space="0" w:color="auto"/>
        <w:left w:val="none" w:sz="0" w:space="0" w:color="auto"/>
        <w:bottom w:val="none" w:sz="0" w:space="0" w:color="auto"/>
        <w:right w:val="none" w:sz="0" w:space="0" w:color="auto"/>
      </w:divBdr>
    </w:div>
    <w:div w:id="6317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EA91BF4E44FFC2774F55973AB912F9F73A92DAB576EF20D7B78AA50ABA10293D80B5FEA2A8B4494EB86546B95127B6A6E48DF624Dq6oBK" TargetMode="External"/><Relationship Id="rId13" Type="http://schemas.openxmlformats.org/officeDocument/2006/relationships/hyperlink" Target="consultantplus://offline/ref=96E72A00988DB04512679F457BAA022163B28FB0A0480D5E41AAFD1AE19C0808C17DD710D2A398D70AA1678E8217D17A1A11C6C064DDB6D649p8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6E72A00988DB04512679F457BAA022163B28FB0A04B0D5E41AAFD1AE19C0808C17DD710D2A398D70AA1678E8217D17A1A11C6C064DDB6D649p8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E72A00988DB04512679F457BAA022163B483B4AE4C0D5E41AAFD1AE19C0808C17DD710D2A398D70BA1678E8217D17A1A11C6C064DDB6D649p8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6E72A00988DB04512679F457BAA022163B787B6A04A0D5E41AAFD1AE19C0808C17DD710D2A398D70BA1678E8217D17A1A11C6C064DDB6D649p8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6E72A00988DB04512679F457BAA022163B786B4AA4F0D5E41AAFD1AE19C0808C17DD710D2A398D602A1678E8217D17A1A11C6C064DDB6D649p8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C331-5158-404E-9022-AD7E9E9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Зубрева</dc:creator>
  <cp:lastModifiedBy>Горина Людмила Алексеевна</cp:lastModifiedBy>
  <cp:revision>8</cp:revision>
  <cp:lastPrinted>2021-02-26T08:03:00Z</cp:lastPrinted>
  <dcterms:created xsi:type="dcterms:W3CDTF">2021-02-19T12:23:00Z</dcterms:created>
  <dcterms:modified xsi:type="dcterms:W3CDTF">2021-03-01T06:11:00Z</dcterms:modified>
</cp:coreProperties>
</file>