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3D1B" w14:textId="77777777" w:rsidR="0092691B" w:rsidRPr="00FF6B81" w:rsidRDefault="0092691B" w:rsidP="006D34E8">
      <w:pPr>
        <w:pStyle w:val="ab"/>
        <w:tabs>
          <w:tab w:val="left" w:pos="180"/>
          <w:tab w:val="left" w:pos="360"/>
        </w:tabs>
        <w:spacing w:after="0"/>
        <w:ind w:left="5529"/>
        <w:jc w:val="center"/>
        <w:rPr>
          <w:b/>
        </w:rPr>
      </w:pPr>
      <w:r w:rsidRPr="00FF6B81">
        <w:rPr>
          <w:b/>
        </w:rPr>
        <w:t>УТВЕРЖДАЮ</w:t>
      </w:r>
    </w:p>
    <w:p w14:paraId="60420EDF" w14:textId="22A85DA7" w:rsidR="0092691B" w:rsidRPr="00FF6B81" w:rsidRDefault="00475C59" w:rsidP="006D34E8">
      <w:pPr>
        <w:pStyle w:val="ab"/>
        <w:tabs>
          <w:tab w:val="left" w:pos="5670"/>
        </w:tabs>
        <w:spacing w:after="0"/>
        <w:ind w:left="5529"/>
        <w:jc w:val="center"/>
      </w:pPr>
      <w:r>
        <w:t>П</w:t>
      </w:r>
      <w:r w:rsidR="0092691B" w:rsidRPr="00FF6B81">
        <w:t>редседател</w:t>
      </w:r>
      <w:r>
        <w:t>ь</w:t>
      </w:r>
      <w:r w:rsidR="0092691B" w:rsidRPr="00FF6B81">
        <w:t xml:space="preserve"> контрольно-счетной</w:t>
      </w:r>
    </w:p>
    <w:p w14:paraId="61416796" w14:textId="77777777" w:rsidR="0092691B" w:rsidRPr="00FF6B81" w:rsidRDefault="0092691B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палаты Волгоградской области</w:t>
      </w:r>
    </w:p>
    <w:p w14:paraId="252FD8E2" w14:textId="4317078A"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_______</w:t>
      </w:r>
      <w:r w:rsidR="006F0A5F">
        <w:t>_</w:t>
      </w:r>
      <w:r w:rsidRPr="00FF6B81">
        <w:t xml:space="preserve">_______ </w:t>
      </w:r>
      <w:r w:rsidR="00475C59">
        <w:t>И.А</w:t>
      </w:r>
      <w:r w:rsidR="00C34B0B">
        <w:t>.</w:t>
      </w:r>
      <w:r w:rsidR="00475C59">
        <w:t xml:space="preserve"> Дьячен</w:t>
      </w:r>
      <w:r w:rsidR="00D969F4">
        <w:t>к</w:t>
      </w:r>
      <w:r w:rsidR="00475C59">
        <w:t>о</w:t>
      </w:r>
    </w:p>
    <w:p w14:paraId="37A02574" w14:textId="24ABDAE1" w:rsidR="0092691B" w:rsidRPr="00FF6B81" w:rsidRDefault="00FF6B81" w:rsidP="006D34E8">
      <w:pPr>
        <w:pStyle w:val="ab"/>
        <w:tabs>
          <w:tab w:val="left" w:pos="5670"/>
        </w:tabs>
        <w:spacing w:after="0"/>
        <w:ind w:left="5529"/>
        <w:jc w:val="center"/>
      </w:pPr>
      <w:r w:rsidRPr="00FF6B81">
        <w:t>«</w:t>
      </w:r>
      <w:r w:rsidR="006F0A5F">
        <w:t>_</w:t>
      </w:r>
      <w:r w:rsidR="007548FF">
        <w:t>__»</w:t>
      </w:r>
      <w:r w:rsidR="000F34FC">
        <w:t xml:space="preserve"> </w:t>
      </w:r>
      <w:r w:rsidR="001D31DC">
        <w:t>августа</w:t>
      </w:r>
      <w:r w:rsidRPr="00FF6B81">
        <w:t xml:space="preserve"> </w:t>
      </w:r>
      <w:r w:rsidR="0092691B" w:rsidRPr="00FF6B81">
        <w:t>20</w:t>
      </w:r>
      <w:r w:rsidR="00CA44E1">
        <w:t>2</w:t>
      </w:r>
      <w:r w:rsidR="00475C59">
        <w:t>1</w:t>
      </w:r>
      <w:r w:rsidR="0092691B" w:rsidRPr="00FF6B81">
        <w:t xml:space="preserve"> года</w:t>
      </w:r>
    </w:p>
    <w:p w14:paraId="15C99455" w14:textId="77777777" w:rsidR="0092691B" w:rsidRPr="00FF6B81" w:rsidRDefault="0092691B" w:rsidP="00320949">
      <w:pPr>
        <w:autoSpaceDE w:val="0"/>
        <w:autoSpaceDN w:val="0"/>
        <w:adjustRightInd w:val="0"/>
        <w:jc w:val="center"/>
        <w:rPr>
          <w:b/>
        </w:rPr>
      </w:pPr>
    </w:p>
    <w:p w14:paraId="714C3567" w14:textId="77777777"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ОТЧЁТ</w:t>
      </w:r>
    </w:p>
    <w:p w14:paraId="13A996EC" w14:textId="77777777" w:rsidR="00320949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>о результатах мониторинга использования средств</w:t>
      </w:r>
    </w:p>
    <w:p w14:paraId="6C0FA1CA" w14:textId="77777777" w:rsidR="00FF6B81" w:rsidRPr="006F0A5F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6F0A5F">
        <w:rPr>
          <w:b/>
        </w:rPr>
        <w:t xml:space="preserve"> дорожного фонда Волгоградской области </w:t>
      </w:r>
    </w:p>
    <w:p w14:paraId="2EBEBC38" w14:textId="77777777" w:rsidR="00320949" w:rsidRPr="000747AE" w:rsidRDefault="00320949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>и</w:t>
      </w:r>
      <w:r w:rsidR="00FF6B81" w:rsidRPr="000747AE">
        <w:rPr>
          <w:b/>
        </w:rPr>
        <w:t xml:space="preserve"> </w:t>
      </w:r>
      <w:r w:rsidRPr="000747AE">
        <w:rPr>
          <w:b/>
        </w:rPr>
        <w:t>муниципальных дорожных фондов</w:t>
      </w:r>
    </w:p>
    <w:p w14:paraId="6647714E" w14:textId="548C8995" w:rsidR="00320949" w:rsidRPr="000747AE" w:rsidRDefault="001D31DC" w:rsidP="00320949">
      <w:pPr>
        <w:autoSpaceDE w:val="0"/>
        <w:autoSpaceDN w:val="0"/>
        <w:adjustRightInd w:val="0"/>
        <w:jc w:val="center"/>
        <w:rPr>
          <w:b/>
        </w:rPr>
      </w:pPr>
      <w:r w:rsidRPr="000747AE">
        <w:rPr>
          <w:b/>
        </w:rPr>
        <w:t xml:space="preserve">за </w:t>
      </w:r>
      <w:r w:rsidR="00B7162F" w:rsidRPr="000747AE">
        <w:rPr>
          <w:b/>
          <w:lang w:val="en-US"/>
        </w:rPr>
        <w:t>I</w:t>
      </w:r>
      <w:r w:rsidRPr="000747AE">
        <w:rPr>
          <w:b/>
        </w:rPr>
        <w:t xml:space="preserve"> полугодие 20</w:t>
      </w:r>
      <w:r w:rsidR="00CA44E1">
        <w:rPr>
          <w:b/>
        </w:rPr>
        <w:t>2</w:t>
      </w:r>
      <w:r w:rsidR="00475C59">
        <w:rPr>
          <w:b/>
        </w:rPr>
        <w:t>1</w:t>
      </w:r>
      <w:r w:rsidRPr="000747AE">
        <w:rPr>
          <w:b/>
        </w:rPr>
        <w:t xml:space="preserve"> года</w:t>
      </w:r>
    </w:p>
    <w:p w14:paraId="5DD2A9AE" w14:textId="77777777" w:rsidR="007F5A94" w:rsidRPr="000747AE" w:rsidRDefault="007F5A94" w:rsidP="0020791A">
      <w:pPr>
        <w:autoSpaceDE w:val="0"/>
        <w:autoSpaceDN w:val="0"/>
        <w:adjustRightInd w:val="0"/>
        <w:ind w:firstLine="720"/>
        <w:jc w:val="center"/>
        <w:rPr>
          <w:bCs/>
          <w:iCs/>
        </w:rPr>
      </w:pPr>
    </w:p>
    <w:p w14:paraId="75C46B13" w14:textId="636A3095" w:rsidR="00113688" w:rsidRPr="000747AE" w:rsidRDefault="00113688" w:rsidP="00FC4ABD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</w:t>
      </w:r>
      <w:r w:rsidR="00FC4ABD" w:rsidRPr="000747AE">
        <w:t xml:space="preserve">использования средств дорожного фонда Волгоградской области и муниципальных дорожных фондов </w:t>
      </w:r>
      <w:r w:rsidR="001D31DC" w:rsidRPr="000747AE">
        <w:t xml:space="preserve">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</w:t>
      </w:r>
      <w:r w:rsidR="00CA44E1">
        <w:t>2</w:t>
      </w:r>
      <w:r w:rsidR="00475C59">
        <w:t>1</w:t>
      </w:r>
      <w:r w:rsidR="001D31DC" w:rsidRPr="000747AE">
        <w:t xml:space="preserve"> года</w:t>
      </w:r>
      <w:r w:rsidR="00FC4ABD" w:rsidRPr="000747AE">
        <w:t xml:space="preserve"> (далее – </w:t>
      </w:r>
      <w:r w:rsidR="00AC034D">
        <w:t>М</w:t>
      </w:r>
      <w:r w:rsidR="00FC4ABD" w:rsidRPr="000747AE">
        <w:t xml:space="preserve">ониторинг) </w:t>
      </w:r>
      <w:r w:rsidRPr="000747AE">
        <w:t>провед</w:t>
      </w:r>
      <w:r w:rsidR="00FF6B81" w:rsidRPr="000747AE">
        <w:t>е</w:t>
      </w:r>
      <w:r w:rsidRPr="000747AE">
        <w:t xml:space="preserve">н в соответствии с п. </w:t>
      </w:r>
      <w:r w:rsidR="00EF16E6">
        <w:t>4.</w:t>
      </w:r>
      <w:r w:rsidR="006F0A5F" w:rsidRPr="000747AE">
        <w:t>3</w:t>
      </w:r>
      <w:r w:rsidRPr="000747AE">
        <w:t xml:space="preserve"> плана работы контрольно-сч</w:t>
      </w:r>
      <w:r w:rsidR="00EF16E6">
        <w:t>ё</w:t>
      </w:r>
      <w:r w:rsidRPr="000747AE">
        <w:t>тной палаты Волгоградской области</w:t>
      </w:r>
      <w:r w:rsidR="006F0A5F" w:rsidRPr="000747AE">
        <w:t xml:space="preserve"> </w:t>
      </w:r>
      <w:r w:rsidR="0063342F">
        <w:t xml:space="preserve"> (далее – КСП) </w:t>
      </w:r>
      <w:r w:rsidR="006F0A5F" w:rsidRPr="000747AE">
        <w:t>на 20</w:t>
      </w:r>
      <w:r w:rsidR="00AC034D" w:rsidRPr="00AC034D">
        <w:t>2</w:t>
      </w:r>
      <w:r w:rsidR="00475C59">
        <w:t>1</w:t>
      </w:r>
      <w:r w:rsidR="00FF6B81" w:rsidRPr="000747AE">
        <w:t xml:space="preserve"> год</w:t>
      </w:r>
      <w:r w:rsidRPr="000747AE">
        <w:t xml:space="preserve">, утвержденного постановлением коллегии </w:t>
      </w:r>
      <w:r w:rsidR="0063342F">
        <w:t>КСП</w:t>
      </w:r>
      <w:r w:rsidRPr="000747AE">
        <w:t xml:space="preserve"> от </w:t>
      </w:r>
      <w:r w:rsidR="00475C59">
        <w:t>0</w:t>
      </w:r>
      <w:r w:rsidR="00475C59" w:rsidRPr="00475C59">
        <w:t>3.12.2020 № 13/3</w:t>
      </w:r>
      <w:r w:rsidRPr="000747AE">
        <w:t>.</w:t>
      </w:r>
      <w:r w:rsidR="00B17150" w:rsidRPr="00B17150">
        <w:rPr>
          <w:b/>
          <w:sz w:val="28"/>
          <w:szCs w:val="28"/>
        </w:rPr>
        <w:t xml:space="preserve"> </w:t>
      </w:r>
    </w:p>
    <w:p w14:paraId="0B4CA334" w14:textId="758DACB5" w:rsidR="005F5B33" w:rsidRPr="000747AE" w:rsidRDefault="00460890" w:rsidP="0020791A">
      <w:pPr>
        <w:autoSpaceDE w:val="0"/>
        <w:autoSpaceDN w:val="0"/>
        <w:adjustRightInd w:val="0"/>
        <w:ind w:firstLine="720"/>
        <w:jc w:val="both"/>
      </w:pPr>
      <w:r w:rsidRPr="000747AE">
        <w:t xml:space="preserve">Мониторинг проведён на основе </w:t>
      </w:r>
      <w:r w:rsidR="005F5B33" w:rsidRPr="000747AE">
        <w:t>данны</w:t>
      </w:r>
      <w:r w:rsidRPr="000747AE">
        <w:t>х бюджетной, статистической и иной отчётности</w:t>
      </w:r>
      <w:r w:rsidR="00D753CC" w:rsidRPr="000747AE">
        <w:t xml:space="preserve"> за </w:t>
      </w:r>
      <w:r w:rsidR="00B7162F" w:rsidRPr="000747AE">
        <w:rPr>
          <w:lang w:val="en-US"/>
        </w:rPr>
        <w:t>I</w:t>
      </w:r>
      <w:r w:rsidR="001D31DC" w:rsidRPr="000747AE">
        <w:t xml:space="preserve"> полугодие 20</w:t>
      </w:r>
      <w:r w:rsidR="00EF16E6">
        <w:t>2</w:t>
      </w:r>
      <w:r w:rsidR="00475C59">
        <w:t>1</w:t>
      </w:r>
      <w:r w:rsidR="001D31DC" w:rsidRPr="000747AE">
        <w:t xml:space="preserve"> года</w:t>
      </w:r>
      <w:r w:rsidR="005F5B33" w:rsidRPr="000747AE">
        <w:t>, а именно:</w:t>
      </w:r>
    </w:p>
    <w:p w14:paraId="161DB991" w14:textId="77777777" w:rsidR="00457A51" w:rsidRPr="006C4A17" w:rsidRDefault="00457A51" w:rsidP="0020791A">
      <w:pPr>
        <w:autoSpaceDE w:val="0"/>
        <w:autoSpaceDN w:val="0"/>
        <w:adjustRightInd w:val="0"/>
        <w:ind w:firstLine="720"/>
        <w:jc w:val="both"/>
      </w:pPr>
      <w:r w:rsidRPr="006C4A17">
        <w:t>-</w:t>
      </w:r>
      <w:r w:rsidR="00A403CA" w:rsidRPr="006C4A17">
        <w:t>отчет</w:t>
      </w:r>
      <w:r w:rsidR="002A77A5" w:rsidRPr="006C4A17">
        <w:t>ов</w:t>
      </w:r>
      <w:r w:rsidR="00A403CA" w:rsidRPr="006C4A17">
        <w:t xml:space="preserve"> об исполнении </w:t>
      </w:r>
      <w:r w:rsidR="004C23ED" w:rsidRPr="006C4A17">
        <w:t xml:space="preserve">бюджета </w:t>
      </w:r>
      <w:r w:rsidR="000927D7" w:rsidRPr="006C4A17">
        <w:t>комитет</w:t>
      </w:r>
      <w:r w:rsidR="00320949" w:rsidRPr="006C4A17">
        <w:t>ом</w:t>
      </w:r>
      <w:r w:rsidR="000927D7" w:rsidRPr="006C4A17">
        <w:t xml:space="preserve"> транспорта и дорожного хозяйства Волгоградской области</w:t>
      </w:r>
      <w:r w:rsidR="00B62B47" w:rsidRPr="006C4A17">
        <w:t xml:space="preserve"> (далее – </w:t>
      </w:r>
      <w:proofErr w:type="spellStart"/>
      <w:r w:rsidR="00B62B47" w:rsidRPr="006C4A17">
        <w:t>Облкомдортранс</w:t>
      </w:r>
      <w:proofErr w:type="spellEnd"/>
      <w:r w:rsidR="00B62B47" w:rsidRPr="006C4A17">
        <w:t>)</w:t>
      </w:r>
      <w:r w:rsidR="00A1351E" w:rsidRPr="006C4A17">
        <w:t>,</w:t>
      </w:r>
      <w:r w:rsidR="000927D7" w:rsidRPr="006C4A17">
        <w:t xml:space="preserve"> </w:t>
      </w:r>
      <w:r w:rsidR="00A1351E" w:rsidRPr="006C4A17">
        <w:t xml:space="preserve">комитетом информационных технологий Волгоградской области (далее – </w:t>
      </w:r>
      <w:proofErr w:type="spellStart"/>
      <w:r w:rsidR="00A1351E" w:rsidRPr="006C4A17">
        <w:t>Облкоминформтехнологии</w:t>
      </w:r>
      <w:proofErr w:type="spellEnd"/>
      <w:r w:rsidR="00A1351E" w:rsidRPr="006C4A17">
        <w:t xml:space="preserve">), комитетом финансов Волгоградской области (далее – </w:t>
      </w:r>
      <w:proofErr w:type="spellStart"/>
      <w:r w:rsidR="00A1351E" w:rsidRPr="006C4A17">
        <w:t>Облфин</w:t>
      </w:r>
      <w:proofErr w:type="spellEnd"/>
      <w:r w:rsidR="00A1351E" w:rsidRPr="006C4A17">
        <w:t xml:space="preserve">) </w:t>
      </w:r>
      <w:r w:rsidR="000927D7" w:rsidRPr="006C4A17">
        <w:t>(ф.</w:t>
      </w:r>
      <w:r w:rsidR="001B1F16" w:rsidRPr="006C4A17">
        <w:t xml:space="preserve"> №</w:t>
      </w:r>
      <w:r w:rsidR="000927D7" w:rsidRPr="006C4A17">
        <w:t xml:space="preserve"> 0503127);</w:t>
      </w:r>
    </w:p>
    <w:p w14:paraId="0D64A195" w14:textId="77777777" w:rsidR="00C508CD" w:rsidRPr="00254E19" w:rsidRDefault="00C508CD" w:rsidP="00C508CD">
      <w:pPr>
        <w:autoSpaceDE w:val="0"/>
        <w:autoSpaceDN w:val="0"/>
        <w:adjustRightInd w:val="0"/>
        <w:ind w:firstLine="720"/>
        <w:jc w:val="both"/>
      </w:pPr>
      <w:r w:rsidRPr="00254E19">
        <w:t>-сводк</w:t>
      </w:r>
      <w:r w:rsidR="002A77A5" w:rsidRPr="00254E19">
        <w:t>и</w:t>
      </w:r>
      <w:r w:rsidRPr="00254E19">
        <w:t xml:space="preserve"> </w:t>
      </w:r>
      <w:proofErr w:type="spellStart"/>
      <w:r w:rsidR="00A1351E" w:rsidRPr="00254E19">
        <w:t>Облфина</w:t>
      </w:r>
      <w:proofErr w:type="spellEnd"/>
      <w:r w:rsidRPr="00254E19">
        <w:t xml:space="preserve"> об исполнении бюджетов муниципальных образований Вол</w:t>
      </w:r>
      <w:r w:rsidR="00D753CC" w:rsidRPr="00254E19">
        <w:t>гоградской области</w:t>
      </w:r>
      <w:r w:rsidRPr="00254E19">
        <w:t>;</w:t>
      </w:r>
    </w:p>
    <w:p w14:paraId="6897838E" w14:textId="77777777" w:rsidR="000927D7" w:rsidRPr="00CC1C9C" w:rsidRDefault="000927D7" w:rsidP="0020791A">
      <w:pPr>
        <w:autoSpaceDE w:val="0"/>
        <w:autoSpaceDN w:val="0"/>
        <w:adjustRightInd w:val="0"/>
        <w:ind w:firstLine="720"/>
        <w:jc w:val="both"/>
      </w:pPr>
      <w:r w:rsidRPr="00CC1C9C">
        <w:t>-</w:t>
      </w:r>
      <w:r w:rsidR="001B1F16" w:rsidRPr="00CC1C9C">
        <w:t>сведени</w:t>
      </w:r>
      <w:r w:rsidR="002A77A5" w:rsidRPr="00CC1C9C">
        <w:t>й</w:t>
      </w:r>
      <w:r w:rsidR="001B1F16" w:rsidRPr="00CC1C9C">
        <w:t xml:space="preserve"> об использовании средств федерального дорожного фонда, дорожных фондов субъектов РФ, муниципальных дорожных фондов (ф. № 1-ФД);</w:t>
      </w:r>
    </w:p>
    <w:p w14:paraId="407D4F1B" w14:textId="3A414639" w:rsidR="00FE2274" w:rsidRPr="00A07C74" w:rsidRDefault="00FE2274" w:rsidP="0020791A">
      <w:pPr>
        <w:autoSpaceDE w:val="0"/>
        <w:autoSpaceDN w:val="0"/>
        <w:adjustRightInd w:val="0"/>
        <w:ind w:firstLine="720"/>
        <w:jc w:val="both"/>
      </w:pPr>
      <w:r w:rsidRPr="00E64072">
        <w:t>-отчет</w:t>
      </w:r>
      <w:r w:rsidR="004D4CF0">
        <w:t>ов</w:t>
      </w:r>
      <w:r w:rsidR="00475C59">
        <w:t xml:space="preserve"> </w:t>
      </w:r>
      <w:r w:rsidRPr="00E64072">
        <w:t>о ходе реализации регионального проекта «</w:t>
      </w:r>
      <w:r w:rsidR="00475C59">
        <w:rPr>
          <w:rFonts w:eastAsia="Calibri"/>
        </w:rPr>
        <w:t>Региональная и местная дорожная сеть</w:t>
      </w:r>
      <w:r w:rsidRPr="00E64072">
        <w:t xml:space="preserve">» </w:t>
      </w:r>
      <w:r w:rsidR="00475C59">
        <w:t>(далее – РП «Дорожная сеть»), регионального проекта «</w:t>
      </w:r>
      <w:r w:rsidR="00475C59">
        <w:rPr>
          <w:rFonts w:eastAsia="Calibri"/>
        </w:rPr>
        <w:t>Общесистемные меры развития дорожного хозяйства» (далее – РП «Общесистемные меры»), регионального проекта «</w:t>
      </w:r>
      <w:r w:rsidR="00475C59" w:rsidRPr="00A07C74">
        <w:rPr>
          <w:rFonts w:eastAsia="Calibri"/>
        </w:rPr>
        <w:t xml:space="preserve">Безопасность дорожного движения» (далее – РП «БДД») </w:t>
      </w:r>
      <w:r w:rsidRPr="00A07C74">
        <w:t>на 30.06.20</w:t>
      </w:r>
      <w:r w:rsidR="006B1729" w:rsidRPr="00A07C74">
        <w:t>2</w:t>
      </w:r>
      <w:r w:rsidR="00176399" w:rsidRPr="00A07C74">
        <w:t>1</w:t>
      </w:r>
      <w:r w:rsidRPr="00A07C74">
        <w:t>;</w:t>
      </w:r>
    </w:p>
    <w:p w14:paraId="225087CA" w14:textId="3549D804" w:rsidR="001B1F16" w:rsidRPr="00072022" w:rsidRDefault="002D71A8" w:rsidP="0020791A">
      <w:pPr>
        <w:autoSpaceDE w:val="0"/>
        <w:autoSpaceDN w:val="0"/>
        <w:adjustRightInd w:val="0"/>
        <w:ind w:firstLine="720"/>
        <w:jc w:val="both"/>
      </w:pPr>
      <w:r w:rsidRPr="00A07C74">
        <w:t>-</w:t>
      </w:r>
      <w:r w:rsidR="00A07C74" w:rsidRPr="00A07C74">
        <w:t>информации</w:t>
      </w:r>
      <w:r w:rsidRPr="00A07C74">
        <w:t xml:space="preserve"> государственной интегрированной информационной системы управления общественными финансами «Электронный бюджет» (далее – ГИИС «Электронный бюджет»</w:t>
      </w:r>
      <w:r w:rsidR="002D75F7" w:rsidRPr="00A07C74">
        <w:t>, отчет ЭБ о РП</w:t>
      </w:r>
      <w:r w:rsidRPr="00A07C74">
        <w:t>).</w:t>
      </w:r>
    </w:p>
    <w:p w14:paraId="06762714" w14:textId="77777777" w:rsidR="002A1E63" w:rsidRPr="006A3E5B" w:rsidRDefault="002A1E63" w:rsidP="00D753CC">
      <w:pPr>
        <w:autoSpaceDE w:val="0"/>
        <w:autoSpaceDN w:val="0"/>
        <w:adjustRightInd w:val="0"/>
        <w:ind w:firstLine="720"/>
        <w:jc w:val="both"/>
      </w:pPr>
    </w:p>
    <w:p w14:paraId="7DC5E3CF" w14:textId="77777777"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Далее по тексту использованы следующие сокращения:</w:t>
      </w:r>
    </w:p>
    <w:p w14:paraId="2BC16939" w14:textId="77777777" w:rsidR="00D753CC" w:rsidRPr="00890930" w:rsidRDefault="00D753CC" w:rsidP="00D753CC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регионального или межмуниципального значения – областные дороги;</w:t>
      </w:r>
    </w:p>
    <w:p w14:paraId="35EE6E46" w14:textId="77777777" w:rsidR="00BF5C4D" w:rsidRDefault="00D753CC" w:rsidP="00BF5C4D">
      <w:pPr>
        <w:autoSpaceDE w:val="0"/>
        <w:autoSpaceDN w:val="0"/>
        <w:adjustRightInd w:val="0"/>
        <w:ind w:firstLine="720"/>
        <w:jc w:val="both"/>
      </w:pPr>
      <w:r w:rsidRPr="00890930">
        <w:t>-автомобильные дороги общего пользования местного значения – местные дороги.</w:t>
      </w:r>
    </w:p>
    <w:p w14:paraId="1709409C" w14:textId="77777777" w:rsidR="00890930" w:rsidRPr="00890930" w:rsidRDefault="00890930" w:rsidP="00BF5C4D">
      <w:pPr>
        <w:autoSpaceDE w:val="0"/>
        <w:autoSpaceDN w:val="0"/>
        <w:adjustRightInd w:val="0"/>
        <w:ind w:firstLine="720"/>
        <w:jc w:val="both"/>
      </w:pPr>
    </w:p>
    <w:p w14:paraId="1E51C1AA" w14:textId="77777777" w:rsidR="00A07C74" w:rsidRDefault="00961210" w:rsidP="00961210">
      <w:pPr>
        <w:autoSpaceDE w:val="0"/>
        <w:autoSpaceDN w:val="0"/>
        <w:adjustRightInd w:val="0"/>
        <w:jc w:val="center"/>
        <w:rPr>
          <w:b/>
        </w:rPr>
      </w:pPr>
      <w:r w:rsidRPr="002E3865">
        <w:rPr>
          <w:b/>
        </w:rPr>
        <w:t>Объём дорожного фонда Волгоградской области и</w:t>
      </w:r>
    </w:p>
    <w:p w14:paraId="59005798" w14:textId="417F56BF" w:rsidR="00961210" w:rsidRPr="002E3865" w:rsidRDefault="00961210" w:rsidP="00961210">
      <w:pPr>
        <w:autoSpaceDE w:val="0"/>
        <w:autoSpaceDN w:val="0"/>
        <w:adjustRightInd w:val="0"/>
        <w:jc w:val="center"/>
        <w:rPr>
          <w:b/>
        </w:rPr>
      </w:pPr>
      <w:r w:rsidRPr="002E3865">
        <w:rPr>
          <w:b/>
        </w:rPr>
        <w:t>источники его формирования</w:t>
      </w:r>
    </w:p>
    <w:p w14:paraId="7D2D4186" w14:textId="77777777" w:rsidR="00961210" w:rsidRDefault="00961210" w:rsidP="00961210">
      <w:pPr>
        <w:autoSpaceDE w:val="0"/>
        <w:autoSpaceDN w:val="0"/>
        <w:adjustRightInd w:val="0"/>
        <w:ind w:firstLine="709"/>
        <w:jc w:val="both"/>
      </w:pPr>
      <w:r>
        <w:t>Источники формирования дорожного фонда субъекта РФ установлены ст. 179.4 БК РФ и принятым в соответствии с ней Законом Волгоградской области от 07.11.2011 № 2246-ОД «О дорожном фонде Волгоградской области» (п. 4 ст. 1) (далее – Закон № 2246-ОД).</w:t>
      </w:r>
      <w:r w:rsidRPr="008C4563">
        <w:t xml:space="preserve"> </w:t>
      </w:r>
      <w:r>
        <w:t xml:space="preserve">Объем бюджетных ассигнований дорожного фонда субъекта РФ утверждается законом субъекта РФ о бюджете субъекта РФ на очередной финансовый год и плановый период </w:t>
      </w:r>
      <w:r w:rsidRPr="000F6E6D">
        <w:rPr>
          <w:u w:val="single"/>
        </w:rPr>
        <w:t xml:space="preserve">в размере не менее прогнозируемого объема установленных </w:t>
      </w:r>
      <w:r>
        <w:rPr>
          <w:u w:val="single"/>
        </w:rPr>
        <w:t>наименований доходов.</w:t>
      </w:r>
    </w:p>
    <w:p w14:paraId="4C37B3AE" w14:textId="61D02B8C" w:rsidR="00961210" w:rsidRDefault="00961210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05FAB">
        <w:t xml:space="preserve">Законом Волгоградской области от </w:t>
      </w:r>
      <w:r w:rsidR="00446CE3" w:rsidRPr="00446CE3">
        <w:rPr>
          <w:rFonts w:eastAsia="Calibri"/>
        </w:rPr>
        <w:t xml:space="preserve">11.12.2020 </w:t>
      </w:r>
      <w:r w:rsidR="00446CE3">
        <w:rPr>
          <w:rFonts w:eastAsia="Calibri"/>
        </w:rPr>
        <w:t>№</w:t>
      </w:r>
      <w:r w:rsidR="00446CE3" w:rsidRPr="00446CE3">
        <w:rPr>
          <w:rFonts w:eastAsia="Calibri"/>
        </w:rPr>
        <w:t xml:space="preserve"> 113-ОД </w:t>
      </w:r>
      <w:r>
        <w:rPr>
          <w:rFonts w:eastAsiaTheme="minorHAnsi"/>
          <w:lang w:eastAsia="en-US"/>
        </w:rPr>
        <w:t xml:space="preserve">«Об областном </w:t>
      </w:r>
      <w:r w:rsidR="00237469">
        <w:rPr>
          <w:rFonts w:eastAsia="Calibri"/>
        </w:rPr>
        <w:t>бюджете на 202</w:t>
      </w:r>
      <w:r w:rsidR="00446CE3">
        <w:rPr>
          <w:rFonts w:eastAsia="Calibri"/>
        </w:rPr>
        <w:t>1</w:t>
      </w:r>
      <w:r w:rsidR="00237469">
        <w:rPr>
          <w:rFonts w:eastAsia="Calibri"/>
        </w:rPr>
        <w:t xml:space="preserve"> год и на плановый период 202</w:t>
      </w:r>
      <w:r w:rsidR="00446CE3">
        <w:rPr>
          <w:rFonts w:eastAsia="Calibri"/>
        </w:rPr>
        <w:t>2</w:t>
      </w:r>
      <w:r w:rsidR="00237469">
        <w:rPr>
          <w:rFonts w:eastAsia="Calibri"/>
        </w:rPr>
        <w:t xml:space="preserve"> и 202</w:t>
      </w:r>
      <w:r w:rsidR="00446CE3">
        <w:rPr>
          <w:rFonts w:eastAsia="Calibri"/>
        </w:rPr>
        <w:t>3</w:t>
      </w:r>
      <w:r w:rsidR="00237469">
        <w:rPr>
          <w:rFonts w:eastAsia="Calibri"/>
        </w:rPr>
        <w:t xml:space="preserve"> годов</w:t>
      </w:r>
      <w:r w:rsidRPr="00605FAB">
        <w:rPr>
          <w:rFonts w:eastAsiaTheme="minorHAnsi"/>
          <w:lang w:eastAsia="en-US"/>
        </w:rPr>
        <w:t>» (далее – Закон об областном бюджете на 20</w:t>
      </w:r>
      <w:r w:rsidR="00237469">
        <w:rPr>
          <w:rFonts w:eastAsiaTheme="minorHAnsi"/>
          <w:lang w:eastAsia="en-US"/>
        </w:rPr>
        <w:t>2</w:t>
      </w:r>
      <w:r w:rsidR="00446CE3">
        <w:rPr>
          <w:rFonts w:eastAsiaTheme="minorHAnsi"/>
          <w:lang w:eastAsia="en-US"/>
        </w:rPr>
        <w:t>1</w:t>
      </w:r>
      <w:r w:rsidRPr="00605FAB">
        <w:rPr>
          <w:rFonts w:eastAsiaTheme="minorHAnsi"/>
          <w:lang w:eastAsia="en-US"/>
        </w:rPr>
        <w:t xml:space="preserve"> год)</w:t>
      </w:r>
      <w:r>
        <w:rPr>
          <w:rFonts w:eastAsiaTheme="minorHAnsi"/>
          <w:lang w:eastAsia="en-US"/>
        </w:rPr>
        <w:t xml:space="preserve"> утвержден Прогноз поступления по налогам, сборам, платежам и поступлений из других бюджетов бюджетной системы РФ в областной бюджет на 20</w:t>
      </w:r>
      <w:r w:rsidR="00237469">
        <w:rPr>
          <w:rFonts w:eastAsiaTheme="minorHAnsi"/>
          <w:lang w:eastAsia="en-US"/>
        </w:rPr>
        <w:t>2</w:t>
      </w:r>
      <w:r w:rsidR="00446CE3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год и плановый </w:t>
      </w:r>
      <w:r>
        <w:rPr>
          <w:rFonts w:eastAsiaTheme="minorHAnsi"/>
          <w:lang w:eastAsia="en-US"/>
        </w:rPr>
        <w:lastRenderedPageBreak/>
        <w:t>период 20</w:t>
      </w:r>
      <w:r w:rsidRPr="00961210">
        <w:rPr>
          <w:rFonts w:eastAsiaTheme="minorHAnsi"/>
          <w:lang w:eastAsia="en-US"/>
        </w:rPr>
        <w:t>2</w:t>
      </w:r>
      <w:r w:rsidR="00446CE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и 202</w:t>
      </w:r>
      <w:r w:rsidR="00446CE3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годов. </w:t>
      </w:r>
      <w:r>
        <w:rPr>
          <w:rFonts w:eastAsia="Calibri"/>
        </w:rPr>
        <w:t>Информация об источниках формирования дорожного фонда на 20</w:t>
      </w:r>
      <w:r w:rsidR="00340717">
        <w:rPr>
          <w:rFonts w:eastAsia="Calibri"/>
        </w:rPr>
        <w:t>2</w:t>
      </w:r>
      <w:r w:rsidR="00446CE3">
        <w:rPr>
          <w:rFonts w:eastAsia="Calibri"/>
        </w:rPr>
        <w:t>1</w:t>
      </w:r>
      <w:r>
        <w:rPr>
          <w:rFonts w:eastAsia="Calibri"/>
        </w:rPr>
        <w:t xml:space="preserve"> год представлена в </w:t>
      </w:r>
      <w:r w:rsidRPr="005B393F">
        <w:rPr>
          <w:rFonts w:eastAsia="Calibri"/>
        </w:rPr>
        <w:t>таблице.</w:t>
      </w:r>
    </w:p>
    <w:p w14:paraId="48F033C5" w14:textId="0C3C279F" w:rsidR="00961210" w:rsidRPr="005B393F" w:rsidRDefault="00961210" w:rsidP="00961210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5B393F">
        <w:rPr>
          <w:i/>
          <w:sz w:val="22"/>
          <w:szCs w:val="22"/>
        </w:rPr>
        <w:t>млн. руб.</w:t>
      </w:r>
    </w:p>
    <w:tbl>
      <w:tblPr>
        <w:tblW w:w="9665" w:type="dxa"/>
        <w:tblInd w:w="-1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1430"/>
      </w:tblGrid>
      <w:tr w:rsidR="00961210" w:rsidRPr="003963EB" w14:paraId="328D4DEE" w14:textId="77777777" w:rsidTr="000E5D32">
        <w:trPr>
          <w:trHeight w:val="276"/>
        </w:trPr>
        <w:tc>
          <w:tcPr>
            <w:tcW w:w="8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1FEF744" w14:textId="77777777" w:rsidR="00961210" w:rsidRPr="003963E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3963EB">
              <w:rPr>
                <w:b/>
                <w:bCs/>
                <w:sz w:val="20"/>
                <w:szCs w:val="20"/>
              </w:rPr>
              <w:t>Источники формирования дорожного фонда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60B85A" w14:textId="77777777" w:rsidR="00961210" w:rsidRPr="003963EB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3963EB">
              <w:rPr>
                <w:b/>
                <w:bCs/>
                <w:sz w:val="20"/>
                <w:szCs w:val="20"/>
              </w:rPr>
              <w:t>Прогноз поступлений</w:t>
            </w:r>
          </w:p>
        </w:tc>
      </w:tr>
      <w:tr w:rsidR="00961210" w:rsidRPr="003963EB" w14:paraId="28A9452B" w14:textId="77777777" w:rsidTr="000E5D32">
        <w:trPr>
          <w:trHeight w:val="276"/>
        </w:trPr>
        <w:tc>
          <w:tcPr>
            <w:tcW w:w="823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1F37967" w14:textId="77777777" w:rsidR="00961210" w:rsidRPr="003963E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854B5F" w14:textId="77777777" w:rsidR="00961210" w:rsidRPr="003963EB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7B1" w:rsidRPr="003963EB" w14:paraId="34F48A90" w14:textId="77777777" w:rsidTr="000E5D32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0CF4B4E" w14:textId="77777777" w:rsidR="00A907B1" w:rsidRPr="003963EB" w:rsidRDefault="00A907B1" w:rsidP="00A907B1">
            <w:pPr>
              <w:rPr>
                <w:b/>
                <w:bCs/>
                <w:sz w:val="20"/>
                <w:szCs w:val="20"/>
              </w:rPr>
            </w:pPr>
            <w:r w:rsidRPr="003963E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8AA28" w14:textId="2C87FC5D" w:rsidR="00A907B1" w:rsidRPr="003963EB" w:rsidRDefault="00921383" w:rsidP="00A907B1">
            <w:pPr>
              <w:jc w:val="right"/>
              <w:rPr>
                <w:b/>
                <w:bCs/>
                <w:sz w:val="20"/>
                <w:szCs w:val="20"/>
              </w:rPr>
            </w:pPr>
            <w:r w:rsidRPr="00921383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21383">
              <w:rPr>
                <w:b/>
                <w:bCs/>
                <w:color w:val="000000"/>
                <w:sz w:val="20"/>
                <w:szCs w:val="20"/>
              </w:rPr>
              <w:t>784,2</w:t>
            </w:r>
          </w:p>
        </w:tc>
      </w:tr>
      <w:tr w:rsidR="00A907B1" w:rsidRPr="003963EB" w14:paraId="0F2DDAE4" w14:textId="77777777" w:rsidTr="000E5D32">
        <w:trPr>
          <w:trHeight w:val="20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47486FA" w14:textId="77777777" w:rsidR="00A907B1" w:rsidRPr="003963EB" w:rsidRDefault="00A907B1" w:rsidP="00A907B1">
            <w:pPr>
              <w:rPr>
                <w:b/>
                <w:bCs/>
                <w:sz w:val="20"/>
                <w:szCs w:val="20"/>
              </w:rPr>
            </w:pPr>
            <w:r w:rsidRPr="003963EB">
              <w:rPr>
                <w:b/>
                <w:bCs/>
                <w:sz w:val="20"/>
                <w:szCs w:val="20"/>
              </w:rPr>
              <w:t>За счёт средств областного бюджета, в том числе: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AD9AF" w14:textId="5C1716C6" w:rsidR="00A907B1" w:rsidRPr="003963EB" w:rsidRDefault="00921383" w:rsidP="00A907B1">
            <w:pPr>
              <w:jc w:val="right"/>
              <w:rPr>
                <w:b/>
                <w:bCs/>
                <w:sz w:val="20"/>
                <w:szCs w:val="20"/>
              </w:rPr>
            </w:pPr>
            <w:r w:rsidRPr="00921383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21383">
              <w:rPr>
                <w:b/>
                <w:bCs/>
                <w:color w:val="000000"/>
                <w:sz w:val="20"/>
                <w:szCs w:val="20"/>
              </w:rPr>
              <w:t>141,8</w:t>
            </w:r>
          </w:p>
        </w:tc>
      </w:tr>
      <w:tr w:rsidR="00961210" w:rsidRPr="003963EB" w14:paraId="280D96C4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32E28F1" w14:textId="77777777" w:rsidR="00961210" w:rsidRPr="003963E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3963EB">
              <w:rPr>
                <w:i/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56983" w14:textId="13377478" w:rsidR="00961210" w:rsidRPr="003963EB" w:rsidRDefault="007A3494" w:rsidP="00AE4964">
            <w:pPr>
              <w:jc w:val="right"/>
              <w:rPr>
                <w:i/>
                <w:iCs/>
                <w:sz w:val="20"/>
                <w:szCs w:val="20"/>
              </w:rPr>
            </w:pPr>
            <w:r w:rsidRPr="007A3494">
              <w:rPr>
                <w:i/>
                <w:iCs/>
                <w:sz w:val="20"/>
                <w:szCs w:val="20"/>
              </w:rPr>
              <w:t>12 027,1</w:t>
            </w:r>
          </w:p>
        </w:tc>
      </w:tr>
      <w:tr w:rsidR="00961210" w:rsidRPr="003963EB" w14:paraId="6C3B52CB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2017C5A" w14:textId="77777777" w:rsidR="00961210" w:rsidRPr="003963EB" w:rsidRDefault="00961210" w:rsidP="00AE4964">
            <w:pPr>
              <w:rPr>
                <w:i/>
                <w:iCs/>
                <w:sz w:val="20"/>
                <w:szCs w:val="20"/>
              </w:rPr>
            </w:pPr>
            <w:r w:rsidRPr="003963EB"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C62E8" w14:textId="3AB61F42" w:rsidR="00961210" w:rsidRPr="003963EB" w:rsidRDefault="007A3494" w:rsidP="003F7A21">
            <w:pPr>
              <w:jc w:val="right"/>
              <w:rPr>
                <w:i/>
                <w:iCs/>
                <w:sz w:val="20"/>
                <w:szCs w:val="20"/>
              </w:rPr>
            </w:pPr>
            <w:r w:rsidRPr="007A3494">
              <w:rPr>
                <w:i/>
                <w:iCs/>
                <w:sz w:val="20"/>
                <w:szCs w:val="20"/>
              </w:rPr>
              <w:t>2</w:t>
            </w:r>
            <w:r w:rsidR="004D4CF0">
              <w:rPr>
                <w:i/>
                <w:iCs/>
                <w:sz w:val="20"/>
                <w:szCs w:val="20"/>
              </w:rPr>
              <w:t xml:space="preserve"> </w:t>
            </w:r>
            <w:r w:rsidRPr="007A3494">
              <w:rPr>
                <w:i/>
                <w:iCs/>
                <w:sz w:val="20"/>
                <w:szCs w:val="20"/>
              </w:rPr>
              <w:t>151,8</w:t>
            </w:r>
          </w:p>
        </w:tc>
      </w:tr>
      <w:tr w:rsidR="00491862" w:rsidRPr="00A40D66" w14:paraId="71235E26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AE420F8" w14:textId="77777777" w:rsidR="00491862" w:rsidRPr="003963EB" w:rsidRDefault="00491862" w:rsidP="00AE4964">
            <w:pPr>
              <w:rPr>
                <w:iCs/>
                <w:sz w:val="20"/>
                <w:szCs w:val="20"/>
              </w:rPr>
            </w:pPr>
            <w:r w:rsidRPr="003963EB">
              <w:rPr>
                <w:i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1A13C" w14:textId="657618A6" w:rsidR="00491862" w:rsidRPr="00A907B1" w:rsidRDefault="00A907B1" w:rsidP="00491862">
            <w:pPr>
              <w:jc w:val="right"/>
              <w:rPr>
                <w:iCs/>
                <w:sz w:val="20"/>
                <w:szCs w:val="20"/>
                <w:lang w:val="en-US"/>
              </w:rPr>
            </w:pPr>
            <w:r w:rsidRPr="00A907B1">
              <w:rPr>
                <w:iCs/>
                <w:sz w:val="20"/>
                <w:szCs w:val="20"/>
              </w:rPr>
              <w:t>962,9</w:t>
            </w:r>
          </w:p>
        </w:tc>
      </w:tr>
      <w:tr w:rsidR="00961210" w:rsidRPr="003963EB" w14:paraId="62F23759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B2E1E66" w14:textId="77777777" w:rsidR="00961210" w:rsidRPr="003963EB" w:rsidRDefault="00961210" w:rsidP="00AE4964">
            <w:pPr>
              <w:rPr>
                <w:b/>
                <w:bCs/>
                <w:sz w:val="20"/>
                <w:szCs w:val="20"/>
              </w:rPr>
            </w:pPr>
            <w:r w:rsidRPr="003963EB">
              <w:rPr>
                <w:b/>
                <w:bCs/>
                <w:sz w:val="20"/>
                <w:szCs w:val="20"/>
              </w:rPr>
              <w:t>Межбюджетные трансферты из федерального бюджета, в т.ч.: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50EF1E" w14:textId="6B1854C7" w:rsidR="00961210" w:rsidRPr="003963EB" w:rsidRDefault="0012295C" w:rsidP="00AE4964">
            <w:pPr>
              <w:jc w:val="right"/>
              <w:rPr>
                <w:b/>
                <w:bCs/>
                <w:sz w:val="20"/>
                <w:szCs w:val="20"/>
              </w:rPr>
            </w:pPr>
            <w:r w:rsidRPr="0012295C">
              <w:rPr>
                <w:b/>
                <w:bCs/>
                <w:sz w:val="20"/>
                <w:szCs w:val="20"/>
              </w:rPr>
              <w:t>642,4</w:t>
            </w:r>
          </w:p>
        </w:tc>
      </w:tr>
      <w:tr w:rsidR="00961210" w:rsidRPr="003963EB" w14:paraId="5F0F4DB8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1424F4A" w14:textId="0904B55E" w:rsidR="00961210" w:rsidRPr="003963EB" w:rsidRDefault="00961210" w:rsidP="00AE4964">
            <w:pPr>
              <w:rPr>
                <w:i/>
                <w:sz w:val="20"/>
                <w:szCs w:val="20"/>
              </w:rPr>
            </w:pPr>
            <w:r w:rsidRPr="003963EB">
              <w:rPr>
                <w:i/>
                <w:sz w:val="20"/>
                <w:szCs w:val="20"/>
              </w:rPr>
              <w:t xml:space="preserve">Субсидии </w:t>
            </w:r>
            <w:r w:rsidR="00FA7F89" w:rsidRPr="003963EB">
              <w:rPr>
                <w:rFonts w:eastAsia="Calibri"/>
                <w:i/>
                <w:sz w:val="20"/>
                <w:szCs w:val="20"/>
              </w:rPr>
              <w:t>на развитие транспортной инфраструктуры на сельских территориях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88A52" w14:textId="6D96C4AE" w:rsidR="00961210" w:rsidRPr="0012295C" w:rsidRDefault="0012295C" w:rsidP="00AE4964">
            <w:pPr>
              <w:jc w:val="right"/>
              <w:rPr>
                <w:i/>
                <w:sz w:val="20"/>
                <w:szCs w:val="20"/>
                <w:lang w:val="en-US"/>
              </w:rPr>
            </w:pPr>
            <w:r w:rsidRPr="0012295C">
              <w:rPr>
                <w:i/>
                <w:sz w:val="20"/>
                <w:szCs w:val="20"/>
              </w:rPr>
              <w:t>334</w:t>
            </w:r>
            <w:r>
              <w:rPr>
                <w:i/>
                <w:sz w:val="20"/>
                <w:szCs w:val="20"/>
              </w:rPr>
              <w:t>,4</w:t>
            </w:r>
          </w:p>
        </w:tc>
      </w:tr>
      <w:tr w:rsidR="0012295C" w:rsidRPr="003963EB" w14:paraId="7E140A51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AC5FBD" w14:textId="6C473D29" w:rsidR="0012295C" w:rsidRPr="003963EB" w:rsidRDefault="0012295C" w:rsidP="0012295C">
            <w:pPr>
              <w:rPr>
                <w:i/>
                <w:sz w:val="20"/>
                <w:szCs w:val="20"/>
              </w:rPr>
            </w:pPr>
            <w:r w:rsidRPr="003963EB">
              <w:rPr>
                <w:i/>
                <w:sz w:val="20"/>
                <w:szCs w:val="20"/>
              </w:rPr>
              <w:t>Иной межбюджетный трансферт на финансовое обеспечение дорожной деятельности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1A217" w14:textId="040246C2" w:rsidR="0012295C" w:rsidRPr="0012295C" w:rsidRDefault="0012295C" w:rsidP="0012295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8,0</w:t>
            </w:r>
          </w:p>
        </w:tc>
      </w:tr>
      <w:tr w:rsidR="0012295C" w:rsidRPr="00913A1B" w14:paraId="5BD97EEA" w14:textId="77777777" w:rsidTr="000E5D32">
        <w:trPr>
          <w:trHeight w:val="20"/>
        </w:trPr>
        <w:tc>
          <w:tcPr>
            <w:tcW w:w="8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2580A8" w14:textId="0DFBD4AC" w:rsidR="0012295C" w:rsidRPr="003963EB" w:rsidRDefault="0012295C" w:rsidP="0012295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3963EB">
              <w:rPr>
                <w:i/>
                <w:sz w:val="20"/>
                <w:szCs w:val="20"/>
              </w:rPr>
              <w:t>Иной межбюджетный трансферт 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>внедрение интеллектуальных транспортных систем</w:t>
            </w:r>
          </w:p>
        </w:tc>
        <w:tc>
          <w:tcPr>
            <w:tcW w:w="14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58DB0" w14:textId="518EBDCF" w:rsidR="0012295C" w:rsidRPr="00E56D07" w:rsidRDefault="0012295C" w:rsidP="0012295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300,0</w:t>
            </w:r>
          </w:p>
        </w:tc>
      </w:tr>
    </w:tbl>
    <w:p w14:paraId="41E6B904" w14:textId="6C9AD235" w:rsidR="00961210" w:rsidRDefault="00961210" w:rsidP="00961210">
      <w:pPr>
        <w:autoSpaceDE w:val="0"/>
        <w:autoSpaceDN w:val="0"/>
        <w:adjustRightInd w:val="0"/>
        <w:ind w:firstLine="709"/>
        <w:jc w:val="both"/>
      </w:pPr>
    </w:p>
    <w:p w14:paraId="4B549868" w14:textId="5F5318E5" w:rsidR="00430383" w:rsidRDefault="00D67D57" w:rsidP="00961210">
      <w:pPr>
        <w:autoSpaceDE w:val="0"/>
        <w:autoSpaceDN w:val="0"/>
        <w:adjustRightInd w:val="0"/>
        <w:ind w:firstLine="709"/>
        <w:jc w:val="both"/>
      </w:pPr>
      <w:r>
        <w:t>Статьей 4</w:t>
      </w:r>
      <w:r w:rsidR="003963EB">
        <w:t>4</w:t>
      </w:r>
      <w:r>
        <w:t xml:space="preserve"> </w:t>
      </w:r>
      <w:r w:rsidR="00961210" w:rsidRPr="00E34626">
        <w:t>Закон</w:t>
      </w:r>
      <w:r>
        <w:t>а</w:t>
      </w:r>
      <w:r w:rsidR="00961210" w:rsidRPr="00E34626">
        <w:t xml:space="preserve"> об областном бюджете на 20</w:t>
      </w:r>
      <w:r w:rsidR="00FB2D98">
        <w:t>2</w:t>
      </w:r>
      <w:r w:rsidR="003963EB">
        <w:t>1</w:t>
      </w:r>
      <w:r w:rsidR="00961210" w:rsidRPr="00E34626">
        <w:t xml:space="preserve"> год объем бюджетных ассигнований дорожного фонда утвержден в </w:t>
      </w:r>
      <w:r w:rsidR="00961210" w:rsidRPr="00B7026E">
        <w:t xml:space="preserve">сумме </w:t>
      </w:r>
      <w:r w:rsidR="003963EB" w:rsidRPr="003963EB">
        <w:t>12</w:t>
      </w:r>
      <w:r w:rsidR="003963EB">
        <w:t> </w:t>
      </w:r>
      <w:r w:rsidR="003963EB" w:rsidRPr="003963EB">
        <w:t>270</w:t>
      </w:r>
      <w:r w:rsidR="003963EB">
        <w:t xml:space="preserve">,5 </w:t>
      </w:r>
      <w:r w:rsidR="00E34626" w:rsidRPr="00B7026E">
        <w:t>млн</w:t>
      </w:r>
      <w:r w:rsidR="00E34626" w:rsidRPr="00E34626">
        <w:t>. руб</w:t>
      </w:r>
      <w:r w:rsidR="00430383">
        <w:t>лей</w:t>
      </w:r>
      <w:r w:rsidR="00E34626" w:rsidRPr="00E34626">
        <w:t>.</w:t>
      </w:r>
      <w:r w:rsidR="00430383">
        <w:t xml:space="preserve"> </w:t>
      </w:r>
    </w:p>
    <w:p w14:paraId="0767B257" w14:textId="663563ED" w:rsidR="00E17936" w:rsidRDefault="00E34626" w:rsidP="00961210">
      <w:pPr>
        <w:autoSpaceDE w:val="0"/>
        <w:autoSpaceDN w:val="0"/>
        <w:adjustRightInd w:val="0"/>
        <w:ind w:firstLine="709"/>
        <w:jc w:val="both"/>
      </w:pPr>
      <w:r w:rsidRPr="00E34626">
        <w:t xml:space="preserve">В нарушение </w:t>
      </w:r>
      <w:r w:rsidR="00A07C74">
        <w:t xml:space="preserve">п. 4 </w:t>
      </w:r>
      <w:r w:rsidRPr="00E34626">
        <w:t xml:space="preserve">ст. 179.4 БК РФ и п. 4 ст. 1 Закона № 2246-ОД объем бюджетных ассигнований дорожного фонда Волгоградской области </w:t>
      </w:r>
      <w:r w:rsidR="00D00AAF">
        <w:t>на 20</w:t>
      </w:r>
      <w:r w:rsidR="00A148CA">
        <w:t>2</w:t>
      </w:r>
      <w:r w:rsidR="0012295C">
        <w:t>1</w:t>
      </w:r>
      <w:r w:rsidR="00D00AAF">
        <w:t xml:space="preserve"> год </w:t>
      </w:r>
      <w:r w:rsidRPr="00E34626">
        <w:t xml:space="preserve">утвержден в размере, </w:t>
      </w:r>
      <w:r w:rsidRPr="00D00AAF">
        <w:t xml:space="preserve">меньшем прогнозируемого объема установленных источников формирования фонда на </w:t>
      </w:r>
      <w:r w:rsidR="00404724" w:rsidRPr="00404724">
        <w:t xml:space="preserve">3 513,7 </w:t>
      </w:r>
      <w:r w:rsidRPr="00D00AAF">
        <w:t>млн. рублей.</w:t>
      </w:r>
    </w:p>
    <w:p w14:paraId="6F047333" w14:textId="375BA0CF" w:rsidR="00057EF3" w:rsidRDefault="00446CE1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b/>
          <w:bCs/>
          <w:i/>
          <w:iCs/>
        </w:rPr>
        <w:t xml:space="preserve">С учётом </w:t>
      </w:r>
      <w:r w:rsidR="00282E12">
        <w:rPr>
          <w:b/>
          <w:bCs/>
          <w:i/>
          <w:iCs/>
        </w:rPr>
        <w:t>изменений (август 2021)</w:t>
      </w:r>
      <w:r>
        <w:rPr>
          <w:b/>
          <w:bCs/>
          <w:i/>
          <w:iCs/>
        </w:rPr>
        <w:t>, внесённых в Закон о бюджете</w:t>
      </w:r>
      <w:r w:rsidR="00057EF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на 2021 год</w:t>
      </w:r>
      <w:r w:rsidR="00A14311">
        <w:t xml:space="preserve">, </w:t>
      </w:r>
      <w:r w:rsidR="00057EF3" w:rsidRPr="00B6743F">
        <w:rPr>
          <w:b/>
          <w:bCs/>
          <w:i/>
          <w:iCs/>
        </w:rPr>
        <w:t>объем ассигнований дорожного фонда Волгоградской области на 2021 год</w:t>
      </w:r>
      <w:r w:rsidRPr="00B6743F">
        <w:rPr>
          <w:b/>
          <w:bCs/>
          <w:i/>
          <w:iCs/>
        </w:rPr>
        <w:t xml:space="preserve"> увеличен</w:t>
      </w:r>
      <w:r w:rsidR="00057EF3" w:rsidRPr="00B6743F">
        <w:rPr>
          <w:b/>
          <w:bCs/>
          <w:i/>
          <w:iCs/>
        </w:rPr>
        <w:t xml:space="preserve"> </w:t>
      </w:r>
      <w:r w:rsidR="00057EF3" w:rsidRPr="00741D64">
        <w:t>с 12</w:t>
      </w:r>
      <w:r w:rsidR="00057EF3">
        <w:t> </w:t>
      </w:r>
      <w:r w:rsidR="00057EF3" w:rsidRPr="00741D64">
        <w:t>2</w:t>
      </w:r>
      <w:r w:rsidR="00057EF3">
        <w:t>70,5</w:t>
      </w:r>
      <w:r w:rsidR="00057EF3" w:rsidRPr="00741D64">
        <w:t xml:space="preserve"> млн. руб.  до 17 49</w:t>
      </w:r>
      <w:r w:rsidR="00057EF3">
        <w:t>6</w:t>
      </w:r>
      <w:r w:rsidR="00057EF3" w:rsidRPr="00741D64">
        <w:t>,2 млн. руб</w:t>
      </w:r>
      <w:r w:rsidR="00057EF3">
        <w:t>. (на 5 225,7 млн. руб.), или на 42,6 процента.</w:t>
      </w:r>
    </w:p>
    <w:p w14:paraId="08B57B45" w14:textId="77777777" w:rsidR="00057EF3" w:rsidRPr="00B84877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B84877">
        <w:t xml:space="preserve">Увеличение </w:t>
      </w:r>
      <w:r w:rsidRPr="00B84877">
        <w:rPr>
          <w:rFonts w:eastAsiaTheme="minorEastAsia"/>
        </w:rPr>
        <w:t>объема ассигнований дорожного фонда Волгоградской области обусловлено:</w:t>
      </w:r>
    </w:p>
    <w:p w14:paraId="3546CE86" w14:textId="7611204C" w:rsidR="00057EF3" w:rsidRPr="00B84877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84877">
        <w:t>-434,8 млн. руб. - увеличение</w:t>
      </w:r>
      <w:r w:rsidR="004D7AD4">
        <w:t>м</w:t>
      </w:r>
      <w:r w:rsidRPr="00B84877">
        <w:t xml:space="preserve"> прогноза поступления налоговых доходов областного бюджета, являющихся источниками формирования дорожного фонда;</w:t>
      </w:r>
    </w:p>
    <w:p w14:paraId="786DB6F4" w14:textId="0A1109F6" w:rsidR="00057EF3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84877">
        <w:t>-4 582,3 млн. руб. - увеличение</w:t>
      </w:r>
      <w:r w:rsidR="004D7AD4">
        <w:t>м</w:t>
      </w:r>
      <w:r w:rsidRPr="00B84877">
        <w:t xml:space="preserve"> объёма межбюджетных трансфертов из федерального бюджета, в том числе 2 281,0 млн. руб. на строительство третьего пускового комплекса мостового перехода</w:t>
      </w:r>
      <w:r w:rsidRPr="001E5BD7">
        <w:t xml:space="preserve"> через реку Волга в городе Волгограде</w:t>
      </w:r>
      <w:r>
        <w:t>;</w:t>
      </w:r>
    </w:p>
    <w:p w14:paraId="2410AB66" w14:textId="4AB7C9B4" w:rsidR="00057EF3" w:rsidRDefault="00057EF3" w:rsidP="00057E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-208,6 млн. руб. - увеличение</w:t>
      </w:r>
      <w:r w:rsidR="004D7AD4">
        <w:t>м</w:t>
      </w:r>
      <w:r>
        <w:t xml:space="preserve"> за счёт иных источников, что можно считать частичным устранением ранее указанного нарушения</w:t>
      </w:r>
      <w:r w:rsidRPr="00AA561A">
        <w:rPr>
          <w:rFonts w:eastAsiaTheme="minorEastAsia"/>
        </w:rPr>
        <w:t xml:space="preserve"> </w:t>
      </w:r>
      <w:r w:rsidRPr="00253704">
        <w:rPr>
          <w:rFonts w:eastAsiaTheme="minorEastAsia"/>
        </w:rPr>
        <w:t>п. 4 ст. 179.4 БК РФ</w:t>
      </w:r>
      <w:r>
        <w:rPr>
          <w:rFonts w:eastAsiaTheme="minorEastAsia"/>
        </w:rPr>
        <w:t xml:space="preserve">, допущенного при формировании и утверждении закона об областном бюджете, - </w:t>
      </w:r>
      <w:r>
        <w:rPr>
          <w:rFonts w:eastAsiaTheme="minorHAnsi"/>
          <w:lang w:eastAsia="en-US"/>
        </w:rPr>
        <w:t>объем бюджетных ассигнований дорожного фонда Волгоградской области был утверждён в размере менее прогнозируемого объема установленных законом доходов на 3 513,7 млн. рублей</w:t>
      </w:r>
    </w:p>
    <w:p w14:paraId="365EF0CA" w14:textId="77777777" w:rsidR="00057EF3" w:rsidRPr="0069199B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right"/>
        <w:rPr>
          <w:i/>
          <w:iCs/>
        </w:rPr>
      </w:pPr>
      <w:r w:rsidRPr="0069199B">
        <w:rPr>
          <w:i/>
          <w:iCs/>
        </w:rPr>
        <w:t>млн. руб.</w:t>
      </w:r>
    </w:p>
    <w:tbl>
      <w:tblPr>
        <w:tblW w:w="1004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379"/>
        <w:gridCol w:w="992"/>
        <w:gridCol w:w="992"/>
        <w:gridCol w:w="992"/>
      </w:tblGrid>
      <w:tr w:rsidR="00057EF3" w:rsidRPr="007A22DF" w14:paraId="0120340D" w14:textId="77777777" w:rsidTr="000E5D32">
        <w:trPr>
          <w:trHeight w:val="20"/>
        </w:trPr>
        <w:tc>
          <w:tcPr>
            <w:tcW w:w="7073" w:type="dxa"/>
            <w:gridSpan w:val="2"/>
            <w:vMerge w:val="restart"/>
            <w:vAlign w:val="center"/>
          </w:tcPr>
          <w:p w14:paraId="73483392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14:paraId="33EF5F1A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Ассигнования/</w:t>
            </w:r>
            <w:r w:rsidRPr="007A22DF">
              <w:rPr>
                <w:b/>
                <w:bCs/>
                <w:color w:val="000000"/>
                <w:sz w:val="20"/>
                <w:szCs w:val="20"/>
              </w:rPr>
              <w:t>Прогноз поступлений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доходов</w:t>
            </w:r>
          </w:p>
        </w:tc>
      </w:tr>
      <w:tr w:rsidR="00057EF3" w:rsidRPr="007A22DF" w14:paraId="5BB48FA2" w14:textId="77777777" w:rsidTr="000E5D32">
        <w:trPr>
          <w:trHeight w:val="20"/>
        </w:trPr>
        <w:tc>
          <w:tcPr>
            <w:tcW w:w="7073" w:type="dxa"/>
            <w:gridSpan w:val="2"/>
            <w:vMerge/>
            <w:tcBorders>
              <w:bottom w:val="double" w:sz="4" w:space="0" w:color="auto"/>
            </w:tcBorders>
          </w:tcPr>
          <w:p w14:paraId="4B7994C3" w14:textId="77777777" w:rsidR="00057EF3" w:rsidRPr="007A22DF" w:rsidRDefault="00057EF3" w:rsidP="009C2B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24CE5F8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 xml:space="preserve">Закон </w:t>
            </w:r>
            <w:r>
              <w:rPr>
                <w:b/>
                <w:bCs/>
                <w:color w:val="000000"/>
                <w:sz w:val="20"/>
                <w:szCs w:val="20"/>
              </w:rPr>
              <w:t>о бюджете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1F13F7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22DF">
              <w:rPr>
                <w:b/>
                <w:bCs/>
                <w:color w:val="000000"/>
                <w:sz w:val="20"/>
                <w:szCs w:val="20"/>
              </w:rPr>
              <w:t>Законо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A22DF">
              <w:rPr>
                <w:b/>
                <w:bCs/>
                <w:color w:val="000000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24DBF66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Увели-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чение</w:t>
            </w:r>
            <w:proofErr w:type="spellEnd"/>
            <w:proofErr w:type="gramEnd"/>
          </w:p>
        </w:tc>
      </w:tr>
      <w:tr w:rsidR="00057EF3" w:rsidRPr="007A22DF" w14:paraId="4069CFAA" w14:textId="77777777" w:rsidTr="000E5D32">
        <w:trPr>
          <w:trHeight w:val="20"/>
        </w:trPr>
        <w:tc>
          <w:tcPr>
            <w:tcW w:w="7073" w:type="dxa"/>
            <w:gridSpan w:val="2"/>
            <w:tcBorders>
              <w:top w:val="double" w:sz="4" w:space="0" w:color="auto"/>
            </w:tcBorders>
          </w:tcPr>
          <w:p w14:paraId="38F7230D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Дорожный фонд Волгоградской области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88475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12 270,5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DCE7B6E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17 496,2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5621FC7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5 225,7</w:t>
            </w:r>
          </w:p>
        </w:tc>
      </w:tr>
      <w:tr w:rsidR="00057EF3" w:rsidRPr="007A22DF" w14:paraId="2E618AC7" w14:textId="77777777" w:rsidTr="000E5D32">
        <w:trPr>
          <w:trHeight w:val="20"/>
        </w:trPr>
        <w:tc>
          <w:tcPr>
            <w:tcW w:w="70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6507357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65AE7E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-3 513,7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E3E21B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-3 305,1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65E07B" w14:textId="77777777" w:rsidR="00057EF3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7EF3" w:rsidRPr="007A22DF" w14:paraId="02B96004" w14:textId="77777777" w:rsidTr="000E5D32">
        <w:trPr>
          <w:trHeight w:val="20"/>
        </w:trPr>
        <w:tc>
          <w:tcPr>
            <w:tcW w:w="694" w:type="dxa"/>
            <w:vMerge w:val="restart"/>
            <w:tcBorders>
              <w:top w:val="double" w:sz="4" w:space="0" w:color="auto"/>
            </w:tcBorders>
            <w:textDirection w:val="btLr"/>
          </w:tcPr>
          <w:p w14:paraId="6F15C1B1" w14:textId="77777777" w:rsidR="00057EF3" w:rsidRPr="007A22DF" w:rsidRDefault="00057EF3" w:rsidP="009C2B7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формирования дорожного фонда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B4957E" w14:textId="77777777" w:rsidR="00057EF3" w:rsidRPr="007A22DF" w:rsidRDefault="00057EF3" w:rsidP="009C2B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D7D5B9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15 784,2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52ED09A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b/>
                <w:bCs/>
                <w:color w:val="000000"/>
                <w:sz w:val="20"/>
                <w:szCs w:val="20"/>
              </w:rPr>
              <w:t>801</w:t>
            </w:r>
            <w:r w:rsidRPr="007A22D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0059F34" w14:textId="77777777" w:rsidR="00057EF3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5 017,1</w:t>
            </w:r>
          </w:p>
        </w:tc>
      </w:tr>
      <w:tr w:rsidR="00057EF3" w:rsidRPr="007A22DF" w14:paraId="6B87F7D8" w14:textId="77777777" w:rsidTr="000E5D32">
        <w:trPr>
          <w:trHeight w:val="20"/>
        </w:trPr>
        <w:tc>
          <w:tcPr>
            <w:tcW w:w="694" w:type="dxa"/>
            <w:vMerge/>
          </w:tcPr>
          <w:p w14:paraId="1CA52FEE" w14:textId="77777777" w:rsidR="00057EF3" w:rsidRPr="007A22DF" w:rsidRDefault="00057EF3" w:rsidP="009C2B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82C72F7" w14:textId="77777777" w:rsidR="00057EF3" w:rsidRPr="009513A8" w:rsidRDefault="00057EF3" w:rsidP="009C2B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13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32C5F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15 141,8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A0CA8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15 576,6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46233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434,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7EF3" w:rsidRPr="007A22DF" w14:paraId="27920665" w14:textId="77777777" w:rsidTr="000E5D32">
        <w:trPr>
          <w:trHeight w:val="20"/>
        </w:trPr>
        <w:tc>
          <w:tcPr>
            <w:tcW w:w="694" w:type="dxa"/>
            <w:vMerge/>
          </w:tcPr>
          <w:p w14:paraId="5A3C17F2" w14:textId="77777777" w:rsidR="00057EF3" w:rsidRPr="007A22DF" w:rsidRDefault="00057EF3" w:rsidP="009C2B7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E6F9021" w14:textId="77777777" w:rsidR="00057EF3" w:rsidRPr="009513A8" w:rsidRDefault="00057EF3" w:rsidP="009C2B7D">
            <w:pPr>
              <w:rPr>
                <w:color w:val="000000"/>
                <w:sz w:val="20"/>
                <w:szCs w:val="20"/>
              </w:rPr>
            </w:pPr>
            <w:r w:rsidRPr="009513A8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92D70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22DF">
              <w:rPr>
                <w:i/>
                <w:iCs/>
                <w:color w:val="000000"/>
                <w:sz w:val="20"/>
                <w:szCs w:val="20"/>
              </w:rPr>
              <w:t>12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A22DF">
              <w:rPr>
                <w:i/>
                <w:iCs/>
                <w:color w:val="000000"/>
                <w:sz w:val="20"/>
                <w:szCs w:val="20"/>
              </w:rPr>
              <w:t>027,1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0E74B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12 318,9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61EA3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057EF3" w:rsidRPr="007A22DF" w14:paraId="482A5EC9" w14:textId="77777777" w:rsidTr="000E5D32">
        <w:trPr>
          <w:trHeight w:val="20"/>
        </w:trPr>
        <w:tc>
          <w:tcPr>
            <w:tcW w:w="694" w:type="dxa"/>
            <w:vMerge/>
          </w:tcPr>
          <w:p w14:paraId="280C067E" w14:textId="77777777" w:rsidR="00057EF3" w:rsidRPr="007A22DF" w:rsidRDefault="00057EF3" w:rsidP="009C2B7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61D348" w14:textId="77777777" w:rsidR="00057EF3" w:rsidRPr="009513A8" w:rsidRDefault="00057EF3" w:rsidP="009C2B7D">
            <w:pPr>
              <w:rPr>
                <w:color w:val="000000"/>
                <w:sz w:val="20"/>
                <w:szCs w:val="20"/>
              </w:rPr>
            </w:pPr>
            <w:r w:rsidRPr="009513A8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F3643E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22DF">
              <w:rPr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A22DF">
              <w:rPr>
                <w:i/>
                <w:i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99EB9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2 262,1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B1752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110,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57EF3" w:rsidRPr="007A22DF" w14:paraId="6D549E36" w14:textId="77777777" w:rsidTr="000E5D32">
        <w:trPr>
          <w:trHeight w:val="20"/>
        </w:trPr>
        <w:tc>
          <w:tcPr>
            <w:tcW w:w="694" w:type="dxa"/>
            <w:vMerge/>
          </w:tcPr>
          <w:p w14:paraId="1C830F20" w14:textId="77777777" w:rsidR="00057EF3" w:rsidRPr="007A22DF" w:rsidRDefault="00057EF3" w:rsidP="009C2B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E80AC0" w14:textId="4493289E" w:rsidR="00057EF3" w:rsidRPr="009513A8" w:rsidRDefault="00057EF3" w:rsidP="009C2B7D">
            <w:pPr>
              <w:rPr>
                <w:color w:val="000000"/>
                <w:sz w:val="20"/>
                <w:szCs w:val="20"/>
              </w:rPr>
            </w:pPr>
            <w:r w:rsidRPr="009513A8">
              <w:rPr>
                <w:color w:val="000000"/>
                <w:sz w:val="20"/>
                <w:szCs w:val="20"/>
              </w:rPr>
              <w:t xml:space="preserve">Денежные взыскания (штрафы) за правонарушения в области </w:t>
            </w:r>
            <w:r w:rsidR="00E52D41">
              <w:rPr>
                <w:color w:val="000000"/>
                <w:sz w:val="20"/>
                <w:szCs w:val="20"/>
              </w:rPr>
              <w:t>ДД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15691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962,9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2EB64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D38B1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32,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57EF3" w:rsidRPr="007A22DF" w14:paraId="2F5E8E52" w14:textId="77777777" w:rsidTr="000E5D32">
        <w:trPr>
          <w:trHeight w:val="20"/>
        </w:trPr>
        <w:tc>
          <w:tcPr>
            <w:tcW w:w="694" w:type="dxa"/>
            <w:vMerge/>
          </w:tcPr>
          <w:p w14:paraId="62467B7F" w14:textId="77777777" w:rsidR="00057EF3" w:rsidRPr="007A22DF" w:rsidRDefault="00057EF3" w:rsidP="009C2B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FC96F8" w14:textId="77777777" w:rsidR="00057EF3" w:rsidRPr="009513A8" w:rsidRDefault="00057EF3" w:rsidP="009C2B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13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88E26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20A6A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5 224,7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670B4" w14:textId="77777777" w:rsidR="00057EF3" w:rsidRPr="007A22DF" w:rsidRDefault="00057EF3" w:rsidP="009C2B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2DF">
              <w:rPr>
                <w:b/>
                <w:bCs/>
                <w:color w:val="000000"/>
                <w:sz w:val="20"/>
                <w:szCs w:val="20"/>
              </w:rPr>
              <w:t>4 582,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7EF3" w:rsidRPr="007A22DF" w14:paraId="7056BFBC" w14:textId="77777777" w:rsidTr="000E5D32">
        <w:trPr>
          <w:trHeight w:val="20"/>
        </w:trPr>
        <w:tc>
          <w:tcPr>
            <w:tcW w:w="694" w:type="dxa"/>
            <w:vMerge/>
          </w:tcPr>
          <w:p w14:paraId="5986ACF7" w14:textId="77777777" w:rsidR="00057EF3" w:rsidRPr="007A22DF" w:rsidRDefault="00057EF3" w:rsidP="009C2B7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EA65D05" w14:textId="44EEEAE1" w:rsidR="00057EF3" w:rsidRPr="009513A8" w:rsidRDefault="00057EF3" w:rsidP="009C2B7D">
            <w:pPr>
              <w:rPr>
                <w:color w:val="000000"/>
                <w:sz w:val="20"/>
                <w:szCs w:val="20"/>
              </w:rPr>
            </w:pPr>
            <w:r w:rsidRPr="009513A8">
              <w:rPr>
                <w:color w:val="000000"/>
                <w:sz w:val="20"/>
                <w:szCs w:val="20"/>
              </w:rPr>
              <w:t>Субсидии на развитие трансп</w:t>
            </w:r>
            <w:r w:rsidR="000E5D32">
              <w:rPr>
                <w:color w:val="000000"/>
                <w:sz w:val="20"/>
                <w:szCs w:val="20"/>
              </w:rPr>
              <w:t>.</w:t>
            </w:r>
            <w:r w:rsidRPr="009513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5D32">
              <w:rPr>
                <w:color w:val="000000"/>
                <w:sz w:val="20"/>
                <w:szCs w:val="20"/>
              </w:rPr>
              <w:t>и</w:t>
            </w:r>
            <w:r w:rsidRPr="009513A8">
              <w:rPr>
                <w:color w:val="000000"/>
                <w:sz w:val="20"/>
                <w:szCs w:val="20"/>
              </w:rPr>
              <w:t>нфр</w:t>
            </w:r>
            <w:r w:rsidR="000E5D32">
              <w:rPr>
                <w:color w:val="000000"/>
                <w:sz w:val="20"/>
                <w:szCs w:val="20"/>
              </w:rPr>
              <w:t>-</w:t>
            </w:r>
            <w:r w:rsidRPr="009513A8">
              <w:rPr>
                <w:color w:val="000000"/>
                <w:sz w:val="20"/>
                <w:szCs w:val="20"/>
              </w:rPr>
              <w:t>ры</w:t>
            </w:r>
            <w:proofErr w:type="spellEnd"/>
            <w:r w:rsidRPr="009513A8">
              <w:rPr>
                <w:color w:val="000000"/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4B41C2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22DF">
              <w:rPr>
                <w:i/>
                <w:iCs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6B17A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374DB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7EF3" w:rsidRPr="007A22DF" w14:paraId="3F7E2072" w14:textId="77777777" w:rsidTr="000E5D32">
        <w:trPr>
          <w:trHeight w:val="20"/>
        </w:trPr>
        <w:tc>
          <w:tcPr>
            <w:tcW w:w="694" w:type="dxa"/>
            <w:vMerge/>
          </w:tcPr>
          <w:p w14:paraId="4B0688C1" w14:textId="77777777" w:rsidR="00057EF3" w:rsidRDefault="00057EF3" w:rsidP="009C2B7D">
            <w:pPr>
              <w:ind w:right="-92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4B93EE3" w14:textId="4C916C67" w:rsidR="00057EF3" w:rsidRPr="009513A8" w:rsidRDefault="000E5D32" w:rsidP="009C2B7D">
            <w:pPr>
              <w:ind w:right="-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МБТ</w:t>
            </w:r>
            <w:r w:rsidR="00057EF3" w:rsidRPr="009513A8">
              <w:rPr>
                <w:color w:val="000000"/>
                <w:sz w:val="20"/>
                <w:szCs w:val="20"/>
              </w:rPr>
              <w:t xml:space="preserve"> на фин</w:t>
            </w:r>
            <w:r>
              <w:rPr>
                <w:color w:val="000000"/>
                <w:sz w:val="20"/>
                <w:szCs w:val="20"/>
              </w:rPr>
              <w:t>.</w:t>
            </w:r>
            <w:r w:rsidR="00057EF3" w:rsidRPr="009513A8">
              <w:rPr>
                <w:color w:val="000000"/>
                <w:sz w:val="20"/>
                <w:szCs w:val="20"/>
              </w:rPr>
              <w:t xml:space="preserve"> обеспечение дорожной деятельности в рамках НП «</w:t>
            </w:r>
            <w:r>
              <w:rPr>
                <w:color w:val="000000"/>
                <w:sz w:val="20"/>
                <w:szCs w:val="20"/>
              </w:rPr>
              <w:t>БКАД</w:t>
            </w:r>
            <w:r w:rsidR="00057EF3" w:rsidRPr="009513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E5E15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22DF">
              <w:rPr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C40BD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C8F30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1 860,0</w:t>
            </w:r>
          </w:p>
        </w:tc>
      </w:tr>
      <w:tr w:rsidR="00057EF3" w:rsidRPr="007A22DF" w14:paraId="2993D39D" w14:textId="77777777" w:rsidTr="000E5D32">
        <w:trPr>
          <w:trHeight w:val="20"/>
        </w:trPr>
        <w:tc>
          <w:tcPr>
            <w:tcW w:w="694" w:type="dxa"/>
            <w:vMerge/>
          </w:tcPr>
          <w:p w14:paraId="64AF807E" w14:textId="77777777" w:rsidR="00057EF3" w:rsidRPr="007A22DF" w:rsidRDefault="00057EF3" w:rsidP="009C2B7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BE13BC3" w14:textId="6E81759F" w:rsidR="00057EF3" w:rsidRPr="009513A8" w:rsidRDefault="000E5D32" w:rsidP="009C2B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МБТ</w:t>
            </w:r>
            <w:r w:rsidR="00057EF3" w:rsidRPr="009513A8">
              <w:rPr>
                <w:color w:val="000000"/>
                <w:sz w:val="20"/>
                <w:szCs w:val="20"/>
              </w:rPr>
              <w:t xml:space="preserve"> на фин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057EF3" w:rsidRPr="009513A8">
              <w:rPr>
                <w:color w:val="000000"/>
                <w:sz w:val="20"/>
                <w:szCs w:val="20"/>
              </w:rPr>
              <w:t>обеспечение дорожной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E8773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F17EE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2 722,3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5AE12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2 722,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57EF3" w:rsidRPr="007A22DF" w14:paraId="6E9FBA26" w14:textId="77777777" w:rsidTr="000E5D32">
        <w:trPr>
          <w:trHeight w:val="20"/>
        </w:trPr>
        <w:tc>
          <w:tcPr>
            <w:tcW w:w="694" w:type="dxa"/>
            <w:vMerge/>
          </w:tcPr>
          <w:p w14:paraId="2729F73E" w14:textId="77777777" w:rsidR="00057EF3" w:rsidRDefault="00057EF3" w:rsidP="009C2B7D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FFECAC3" w14:textId="4FD6622F" w:rsidR="00057EF3" w:rsidRPr="009513A8" w:rsidRDefault="000E5D32" w:rsidP="009C2B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МБТ</w:t>
            </w:r>
            <w:r w:rsidR="00057EF3" w:rsidRPr="009513A8">
              <w:rPr>
                <w:color w:val="000000"/>
                <w:sz w:val="20"/>
                <w:szCs w:val="20"/>
              </w:rPr>
              <w:t xml:space="preserve"> на внедрение интеллектуальных транспортных систем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54806" w14:textId="77777777" w:rsidR="00057EF3" w:rsidRPr="007A22DF" w:rsidRDefault="00057EF3" w:rsidP="009C2B7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22DF">
              <w:rPr>
                <w:i/>
                <w:iCs/>
                <w:color w:val="000000"/>
                <w:sz w:val="20"/>
                <w:szCs w:val="20"/>
              </w:rPr>
              <w:t>300</w:t>
            </w:r>
            <w:r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8D5F7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518A8" w14:textId="77777777" w:rsidR="00057EF3" w:rsidRPr="007A22DF" w:rsidRDefault="00057EF3" w:rsidP="009C2B7D">
            <w:pPr>
              <w:jc w:val="right"/>
              <w:rPr>
                <w:color w:val="000000"/>
                <w:sz w:val="20"/>
                <w:szCs w:val="20"/>
              </w:rPr>
            </w:pPr>
            <w:r w:rsidRPr="007A22DF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00B52AD6" w14:textId="77777777" w:rsidR="00057EF3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14:paraId="4138FDED" w14:textId="07C1E618" w:rsidR="00057EF3" w:rsidRPr="004E308F" w:rsidRDefault="00057EF3" w:rsidP="00057EF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Несмотря на частичное устранение указанного нарушения</w:t>
      </w:r>
      <w:r w:rsidR="004D7AD4">
        <w:t>,</w:t>
      </w:r>
      <w:r>
        <w:t xml:space="preserve"> законопроектом предлагается в нарушение </w:t>
      </w:r>
      <w:r w:rsidRPr="00741D64">
        <w:t>п. 4 ст. 179.4</w:t>
      </w:r>
      <w:r w:rsidRPr="00F72A24">
        <w:t xml:space="preserve"> </w:t>
      </w:r>
      <w:r>
        <w:t xml:space="preserve">БК РФ утвердить </w:t>
      </w:r>
      <w:r w:rsidRPr="00F72A24">
        <w:t xml:space="preserve">объем бюджетных ассигнований </w:t>
      </w:r>
      <w:r w:rsidRPr="00F72A24">
        <w:lastRenderedPageBreak/>
        <w:t>дорожного фонда</w:t>
      </w:r>
      <w:r>
        <w:t xml:space="preserve"> (17 496,2 млн. руб.)</w:t>
      </w:r>
      <w:r w:rsidRPr="00F72A24">
        <w:t xml:space="preserve"> </w:t>
      </w:r>
      <w:r w:rsidRPr="00417976">
        <w:t>менее прогнозируемого объема установленных законом доходов</w:t>
      </w:r>
      <w:r>
        <w:t xml:space="preserve"> (20 </w:t>
      </w:r>
      <w:r w:rsidRPr="004E308F">
        <w:t>801,3 млн. руб.) на 3 305,1 млн. руб., или на 15,9 процента.</w:t>
      </w:r>
    </w:p>
    <w:p w14:paraId="4272510E" w14:textId="77777777" w:rsidR="00057EF3" w:rsidRDefault="00057EF3" w:rsidP="00057EF3">
      <w:pPr>
        <w:autoSpaceDE w:val="0"/>
        <w:autoSpaceDN w:val="0"/>
        <w:adjustRightInd w:val="0"/>
        <w:ind w:firstLine="709"/>
        <w:jc w:val="both"/>
      </w:pPr>
      <w:r w:rsidRPr="004E308F">
        <w:t>Мониторинг использования средств дорожного фонда Волгоградской области и муниципальных дорожных фондов в 2020 году, проведённый КСП, показал что в нарушение п. 4 ст. 179.4 БК РФ, п. 6. ст. 1 Закона Волгоградской области от 07.11.2011 № 2246-ОД «О дорожном фонде Волгоградской области» объем бюджетных ассигнований дорожного фонда Волгоградской</w:t>
      </w:r>
      <w:r w:rsidRPr="008D4694">
        <w:t xml:space="preserve"> области </w:t>
      </w:r>
      <w:r>
        <w:t>на</w:t>
      </w:r>
      <w:r w:rsidRPr="008D4694">
        <w:t xml:space="preserve"> 202</w:t>
      </w:r>
      <w:r>
        <w:t>1</w:t>
      </w:r>
      <w:r w:rsidRPr="008D4694">
        <w:t xml:space="preserve"> год</w:t>
      </w:r>
      <w:r>
        <w:t xml:space="preserve"> не увеличен на 1 476,2 млн. руб., в том числе:</w:t>
      </w:r>
    </w:p>
    <w:p w14:paraId="369C50DE" w14:textId="77777777" w:rsidR="00057EF3" w:rsidRDefault="00057EF3" w:rsidP="00057EF3">
      <w:pPr>
        <w:autoSpaceDE w:val="0"/>
        <w:autoSpaceDN w:val="0"/>
        <w:adjustRightInd w:val="0"/>
        <w:ind w:firstLine="709"/>
        <w:jc w:val="both"/>
      </w:pPr>
      <w:r>
        <w:t>-</w:t>
      </w:r>
      <w:r w:rsidRPr="008D4694">
        <w:t>1 333,1 млн. руб</w:t>
      </w:r>
      <w:r>
        <w:t xml:space="preserve">. – часть </w:t>
      </w:r>
      <w:r w:rsidRPr="008D4694">
        <w:t>положительн</w:t>
      </w:r>
      <w:r>
        <w:t>ой</w:t>
      </w:r>
      <w:r w:rsidRPr="008D4694">
        <w:t xml:space="preserve"> разниц</w:t>
      </w:r>
      <w:r>
        <w:t>ы</w:t>
      </w:r>
      <w:r w:rsidRPr="008D4694">
        <w:t xml:space="preserve"> между фактически поступившим и </w:t>
      </w:r>
      <w:proofErr w:type="spellStart"/>
      <w:r w:rsidRPr="008D4694">
        <w:t>прогнозировавшимся</w:t>
      </w:r>
      <w:proofErr w:type="spellEnd"/>
      <w:r w:rsidRPr="008D4694">
        <w:t xml:space="preserve"> объемом доходов областного бюджета, учитываемых при формировании дорожного фонда</w:t>
      </w:r>
      <w:r>
        <w:t xml:space="preserve"> в 2020 году, на которую не увеличен </w:t>
      </w:r>
      <w:r w:rsidRPr="008D4694">
        <w:t>объем бюджетных ассигнований дорожного фонда Волгоградской области в 2020 году</w:t>
      </w:r>
      <w:r>
        <w:t>;</w:t>
      </w:r>
    </w:p>
    <w:p w14:paraId="25D712C4" w14:textId="77777777" w:rsidR="00057EF3" w:rsidRDefault="00057EF3" w:rsidP="00057EF3">
      <w:pPr>
        <w:autoSpaceDE w:val="0"/>
        <w:autoSpaceDN w:val="0"/>
        <w:adjustRightInd w:val="0"/>
        <w:ind w:firstLine="709"/>
        <w:jc w:val="both"/>
      </w:pPr>
      <w:r>
        <w:t>-</w:t>
      </w:r>
      <w:r w:rsidRPr="008D4694">
        <w:t xml:space="preserve">143,1 млн. руб. </w:t>
      </w:r>
      <w:r>
        <w:t>- о</w:t>
      </w:r>
      <w:r w:rsidRPr="008D4694">
        <w:t>бъём неиспользованных бюджетных ассигнований дорожного фонда Волгоградской области в 2020 году</w:t>
      </w:r>
      <w:r>
        <w:t>.</w:t>
      </w:r>
    </w:p>
    <w:p w14:paraId="46F7B2EF" w14:textId="77777777" w:rsidR="00057EF3" w:rsidRDefault="00057EF3" w:rsidP="00057EF3">
      <w:pPr>
        <w:autoSpaceDE w:val="0"/>
        <w:autoSpaceDN w:val="0"/>
        <w:adjustRightInd w:val="0"/>
        <w:ind w:firstLine="709"/>
        <w:jc w:val="both"/>
      </w:pPr>
      <w:r>
        <w:t xml:space="preserve">Таким образом, предлагаемый законопроектом </w:t>
      </w:r>
      <w:r w:rsidRPr="00F72A24">
        <w:t>объем бюджетных ассигнований дорожного фонда</w:t>
      </w:r>
      <w:r>
        <w:t xml:space="preserve"> Волгоградской области на 2021 год (17 496,2 млн. руб.) меньше объёма, отвечающего требованиям бюджетного законодательства (20 801,3+</w:t>
      </w:r>
      <w:r w:rsidRPr="008D4694">
        <w:t>1 333,1</w:t>
      </w:r>
      <w:r>
        <w:t>+</w:t>
      </w:r>
      <w:r w:rsidRPr="008D4694">
        <w:t>143,1</w:t>
      </w:r>
      <w:r>
        <w:t>=22 277,5), на 4 781,3 млн. рублей.</w:t>
      </w:r>
    </w:p>
    <w:p w14:paraId="35758BE1" w14:textId="71A1C0C4" w:rsidR="00961210" w:rsidRDefault="00961210" w:rsidP="00A07C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7968">
        <w:rPr>
          <w:rFonts w:eastAsia="Calibri"/>
        </w:rPr>
        <w:t xml:space="preserve">За </w:t>
      </w:r>
      <w:r w:rsidRPr="002B7968">
        <w:rPr>
          <w:rFonts w:eastAsia="Calibri"/>
          <w:lang w:val="en-US"/>
        </w:rPr>
        <w:t>I</w:t>
      </w:r>
      <w:r w:rsidRPr="002B7968">
        <w:rPr>
          <w:rFonts w:eastAsia="Calibri"/>
        </w:rPr>
        <w:t xml:space="preserve"> </w:t>
      </w:r>
      <w:r w:rsidR="000C71A6" w:rsidRPr="002B7968">
        <w:rPr>
          <w:rFonts w:eastAsia="Calibri"/>
        </w:rPr>
        <w:t>полугодие 20</w:t>
      </w:r>
      <w:r w:rsidR="00691659" w:rsidRPr="002B7968">
        <w:rPr>
          <w:rFonts w:eastAsia="Calibri"/>
        </w:rPr>
        <w:t>2</w:t>
      </w:r>
      <w:r w:rsidR="002431B4">
        <w:rPr>
          <w:rFonts w:eastAsia="Calibri"/>
        </w:rPr>
        <w:t>1</w:t>
      </w:r>
      <w:r w:rsidRPr="002B7968">
        <w:rPr>
          <w:rFonts w:eastAsia="Calibri"/>
        </w:rPr>
        <w:t xml:space="preserve"> года по </w:t>
      </w:r>
      <w:r w:rsidR="00A86414">
        <w:rPr>
          <w:rFonts w:eastAsia="Calibri"/>
        </w:rPr>
        <w:t xml:space="preserve">всем </w:t>
      </w:r>
      <w:r w:rsidRPr="002B7968">
        <w:rPr>
          <w:rFonts w:eastAsia="Calibri"/>
        </w:rPr>
        <w:t xml:space="preserve">источникам формирования дорожного фонда Волгоградской области поступило </w:t>
      </w:r>
      <w:r w:rsidR="00BE7B07">
        <w:rPr>
          <w:rFonts w:eastAsia="Calibri"/>
        </w:rPr>
        <w:t>6 6</w:t>
      </w:r>
      <w:r w:rsidR="00A40737">
        <w:rPr>
          <w:rFonts w:eastAsia="Calibri"/>
        </w:rPr>
        <w:t>1</w:t>
      </w:r>
      <w:r w:rsidR="00BE7B07">
        <w:rPr>
          <w:rFonts w:eastAsia="Calibri"/>
        </w:rPr>
        <w:t>9,9</w:t>
      </w:r>
      <w:r w:rsidR="003C6194" w:rsidRPr="002B7968">
        <w:rPr>
          <w:rFonts w:eastAsia="Calibri"/>
        </w:rPr>
        <w:t xml:space="preserve"> </w:t>
      </w:r>
      <w:r w:rsidRPr="002B7968">
        <w:rPr>
          <w:rFonts w:eastAsia="Calibri"/>
        </w:rPr>
        <w:t xml:space="preserve">млн. руб., что составляет </w:t>
      </w:r>
      <w:r w:rsidR="00BE7B07">
        <w:rPr>
          <w:rFonts w:eastAsia="Calibri"/>
        </w:rPr>
        <w:t>4</w:t>
      </w:r>
      <w:r w:rsidR="00A40737">
        <w:rPr>
          <w:rFonts w:eastAsia="Calibri"/>
        </w:rPr>
        <w:t>1</w:t>
      </w:r>
      <w:r w:rsidR="00BE7B07">
        <w:rPr>
          <w:rFonts w:eastAsia="Calibri"/>
        </w:rPr>
        <w:t>,</w:t>
      </w:r>
      <w:r w:rsidR="00A40737">
        <w:rPr>
          <w:rFonts w:eastAsia="Calibri"/>
        </w:rPr>
        <w:t>9</w:t>
      </w:r>
      <w:r w:rsidRPr="002B7968">
        <w:rPr>
          <w:rFonts w:eastAsia="Calibri"/>
        </w:rPr>
        <w:t>% прогнозного объема поступлений, учитываемых при формировании дорожного фонда. Информация</w:t>
      </w:r>
      <w:r w:rsidRPr="007C2A38">
        <w:rPr>
          <w:rFonts w:eastAsia="Calibri"/>
        </w:rPr>
        <w:t xml:space="preserve"> об источниках формирования дорожного фонда представлена в таблице.</w:t>
      </w:r>
    </w:p>
    <w:p w14:paraId="5A6E7015" w14:textId="77777777" w:rsidR="00D00AAF" w:rsidRDefault="00D00AAF" w:rsidP="0096121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923" w:type="dxa"/>
        <w:tblInd w:w="-4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852"/>
        <w:gridCol w:w="992"/>
        <w:gridCol w:w="1275"/>
        <w:gridCol w:w="992"/>
        <w:gridCol w:w="851"/>
      </w:tblGrid>
      <w:tr w:rsidR="00961210" w:rsidRPr="00491862" w14:paraId="0D493322" w14:textId="77777777" w:rsidTr="00E72BAF">
        <w:trPr>
          <w:trHeight w:val="20"/>
          <w:tblHeader/>
        </w:trPr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CEC3B3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Источники формирования</w:t>
            </w:r>
            <w:r w:rsidRPr="000C71A6">
              <w:rPr>
                <w:b/>
                <w:bCs/>
                <w:sz w:val="20"/>
                <w:szCs w:val="20"/>
              </w:rPr>
              <w:br/>
              <w:t>дорожного фонда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C367D58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39893" w14:textId="67787B89" w:rsidR="00961210" w:rsidRPr="00615685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Поступило</w:t>
            </w:r>
            <w:r w:rsidRPr="000C71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15685">
              <w:rPr>
                <w:b/>
                <w:bCs/>
                <w:sz w:val="20"/>
                <w:szCs w:val="20"/>
              </w:rPr>
              <w:t xml:space="preserve">за </w:t>
            </w:r>
          </w:p>
          <w:p w14:paraId="4AB0FFC4" w14:textId="75EB381D" w:rsidR="00961210" w:rsidRPr="00B508C5" w:rsidRDefault="00961210" w:rsidP="000C71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1A6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0C71A6">
              <w:rPr>
                <w:b/>
                <w:bCs/>
                <w:sz w:val="20"/>
                <w:szCs w:val="20"/>
              </w:rPr>
              <w:t xml:space="preserve"> </w:t>
            </w:r>
            <w:r w:rsidR="000C71A6" w:rsidRPr="000C71A6">
              <w:rPr>
                <w:b/>
                <w:bCs/>
                <w:sz w:val="20"/>
                <w:szCs w:val="20"/>
              </w:rPr>
              <w:t>полугодие</w:t>
            </w:r>
            <w:r w:rsidRPr="000C71A6">
              <w:rPr>
                <w:b/>
                <w:bCs/>
                <w:sz w:val="20"/>
                <w:szCs w:val="20"/>
              </w:rPr>
              <w:t xml:space="preserve"> 20</w:t>
            </w:r>
            <w:r w:rsidR="00B508C5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0DD2C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18D31" w14:textId="61E3AD64" w:rsidR="000C71A6" w:rsidRPr="000C71A6" w:rsidRDefault="000C71A6" w:rsidP="000C71A6">
            <w:pPr>
              <w:jc w:val="center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 xml:space="preserve">Поступило </w:t>
            </w:r>
            <w:r w:rsidR="00615685">
              <w:rPr>
                <w:b/>
                <w:bCs/>
                <w:sz w:val="20"/>
                <w:szCs w:val="20"/>
              </w:rPr>
              <w:t>за</w:t>
            </w:r>
          </w:p>
          <w:p w14:paraId="7DD27115" w14:textId="07372F4F" w:rsidR="00961210" w:rsidRPr="00B508C5" w:rsidRDefault="000C71A6" w:rsidP="000C71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71A6">
              <w:rPr>
                <w:b/>
                <w:bCs/>
                <w:sz w:val="20"/>
                <w:szCs w:val="20"/>
              </w:rPr>
              <w:t>I полугодие 20</w:t>
            </w:r>
            <w:r w:rsidR="00615685">
              <w:rPr>
                <w:b/>
                <w:bCs/>
                <w:sz w:val="20"/>
                <w:szCs w:val="20"/>
              </w:rPr>
              <w:t>2</w:t>
            </w:r>
            <w:r w:rsidR="00B508C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61210" w:rsidRPr="00491862" w14:paraId="2F87B87F" w14:textId="77777777" w:rsidTr="00E72BAF">
        <w:trPr>
          <w:trHeight w:val="20"/>
          <w:tblHeader/>
        </w:trPr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3B669C" w14:textId="77777777" w:rsidR="00961210" w:rsidRPr="000C71A6" w:rsidRDefault="00961210" w:rsidP="00AE4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DDC3E8C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5584C77" w14:textId="77777777" w:rsidR="00961210" w:rsidRPr="000C71A6" w:rsidRDefault="00961210" w:rsidP="00AE49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77A2F45" w14:textId="77777777"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45331" w14:textId="77777777" w:rsidR="00961210" w:rsidRPr="000C71A6" w:rsidRDefault="00961210" w:rsidP="00AE4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AA85292" w14:textId="77777777" w:rsidR="00961210" w:rsidRPr="000C71A6" w:rsidRDefault="00961210" w:rsidP="00AE4964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7487BA" w14:textId="77777777" w:rsidR="00961210" w:rsidRPr="000C71A6" w:rsidRDefault="00961210" w:rsidP="00AE496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71A6">
              <w:rPr>
                <w:b/>
                <w:sz w:val="20"/>
                <w:szCs w:val="20"/>
              </w:rPr>
              <w:t>%</w:t>
            </w:r>
          </w:p>
        </w:tc>
      </w:tr>
      <w:tr w:rsidR="00E72BAF" w:rsidRPr="00491862" w14:paraId="02BA490E" w14:textId="77777777" w:rsidTr="00E72BAF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BDB662" w14:textId="77777777" w:rsidR="00E72BAF" w:rsidRPr="000C71A6" w:rsidRDefault="00E72BAF" w:rsidP="00E72BAF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15E9228" w14:textId="77777777" w:rsidR="00E72BAF" w:rsidRDefault="00E72BAF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13 505,2</w:t>
            </w:r>
          </w:p>
          <w:p w14:paraId="176B496A" w14:textId="074D606B" w:rsidR="00E72BAF" w:rsidRPr="005615C0" w:rsidRDefault="00E72BAF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(12 505,2*)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EC23D4" w14:textId="35266123" w:rsidR="00E72BAF" w:rsidRPr="005615C0" w:rsidRDefault="00E72BAF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4 846,3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9A97D5" w14:textId="3E78AEA1" w:rsidR="00E72BAF" w:rsidRPr="005615C0" w:rsidRDefault="00E72BAF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 (38,8*)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6142C" w14:textId="77777777" w:rsidR="00921383" w:rsidRDefault="00921383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 w:rsidRPr="00921383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21383">
              <w:rPr>
                <w:b/>
                <w:bCs/>
                <w:color w:val="000000"/>
                <w:sz w:val="20"/>
                <w:szCs w:val="20"/>
              </w:rPr>
              <w:t>784,2</w:t>
            </w:r>
          </w:p>
          <w:p w14:paraId="4494FFF9" w14:textId="2D0508F9" w:rsidR="00E72BAF" w:rsidRPr="005615C0" w:rsidRDefault="00E72BAF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003F6" w:rsidRPr="007003F6">
              <w:rPr>
                <w:b/>
                <w:bCs/>
                <w:sz w:val="20"/>
                <w:szCs w:val="20"/>
              </w:rPr>
              <w:t>12 270,5</w:t>
            </w:r>
            <w:r>
              <w:rPr>
                <w:b/>
                <w:bCs/>
                <w:sz w:val="20"/>
                <w:szCs w:val="20"/>
              </w:rPr>
              <w:t>**)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2CD743" w14:textId="28AAEF5A" w:rsidR="00E72BAF" w:rsidRPr="005615C0" w:rsidRDefault="00A907B1" w:rsidP="00E72BAF">
            <w:pPr>
              <w:jc w:val="center"/>
              <w:rPr>
                <w:b/>
                <w:bCs/>
                <w:sz w:val="20"/>
                <w:szCs w:val="20"/>
              </w:rPr>
            </w:pPr>
            <w:r w:rsidRPr="00A907B1">
              <w:rPr>
                <w:b/>
                <w:bCs/>
                <w:sz w:val="20"/>
                <w:szCs w:val="20"/>
              </w:rPr>
              <w:t>6 6</w:t>
            </w:r>
            <w:r w:rsidR="00957FFC">
              <w:rPr>
                <w:b/>
                <w:bCs/>
                <w:sz w:val="20"/>
                <w:szCs w:val="20"/>
              </w:rPr>
              <w:t>1</w:t>
            </w:r>
            <w:r w:rsidRPr="00A907B1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BDD00" w14:textId="32F0A1E8" w:rsidR="00E72BAF" w:rsidRPr="005615C0" w:rsidRDefault="00921383" w:rsidP="00E72BAF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407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40737">
              <w:rPr>
                <w:b/>
                <w:bCs/>
                <w:sz w:val="20"/>
                <w:szCs w:val="20"/>
              </w:rPr>
              <w:t>9</w:t>
            </w:r>
            <w:r w:rsidR="00E72BAF">
              <w:rPr>
                <w:b/>
                <w:bCs/>
                <w:sz w:val="20"/>
                <w:szCs w:val="20"/>
              </w:rPr>
              <w:t xml:space="preserve"> (</w:t>
            </w:r>
            <w:r w:rsidR="00AA5B11">
              <w:rPr>
                <w:b/>
                <w:bCs/>
                <w:sz w:val="20"/>
                <w:szCs w:val="20"/>
              </w:rPr>
              <w:t>5</w:t>
            </w:r>
            <w:r w:rsidR="00A40737">
              <w:rPr>
                <w:b/>
                <w:bCs/>
                <w:sz w:val="20"/>
                <w:szCs w:val="20"/>
              </w:rPr>
              <w:t>3</w:t>
            </w:r>
            <w:r w:rsidR="00AA5B11">
              <w:rPr>
                <w:b/>
                <w:bCs/>
                <w:sz w:val="20"/>
                <w:szCs w:val="20"/>
              </w:rPr>
              <w:t>,</w:t>
            </w:r>
            <w:r w:rsidR="00A40737">
              <w:rPr>
                <w:b/>
                <w:bCs/>
                <w:sz w:val="20"/>
                <w:szCs w:val="20"/>
              </w:rPr>
              <w:t>9</w:t>
            </w:r>
            <w:r w:rsidR="00E72BAF">
              <w:rPr>
                <w:b/>
                <w:bCs/>
                <w:sz w:val="20"/>
                <w:szCs w:val="20"/>
              </w:rPr>
              <w:t>**)</w:t>
            </w:r>
          </w:p>
        </w:tc>
      </w:tr>
      <w:tr w:rsidR="00AA5B11" w:rsidRPr="00491862" w14:paraId="294EAF55" w14:textId="77777777" w:rsidTr="00AA5B11">
        <w:trPr>
          <w:trHeight w:val="2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9161E5" w14:textId="77777777" w:rsidR="00AA5B11" w:rsidRPr="000C71A6" w:rsidRDefault="00AA5B11" w:rsidP="00AA5B11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За счёт средств областного бюджета,</w:t>
            </w:r>
          </w:p>
          <w:p w14:paraId="476576CB" w14:textId="77777777" w:rsidR="00AA5B11" w:rsidRPr="000C71A6" w:rsidRDefault="00AA5B11" w:rsidP="00AA5B11">
            <w:pPr>
              <w:ind w:right="-57"/>
              <w:rPr>
                <w:b/>
                <w:bCs/>
                <w:sz w:val="20"/>
                <w:szCs w:val="20"/>
              </w:rPr>
            </w:pPr>
            <w:r w:rsidRPr="000C71A6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A8B2A1B" w14:textId="66E26FB4" w:rsidR="00AA5B11" w:rsidRPr="005615C0" w:rsidRDefault="00AA5B11" w:rsidP="00AA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11 780,4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7DB17E9" w14:textId="2A27CE3D" w:rsidR="00AA5B11" w:rsidRPr="005615C0" w:rsidRDefault="00AA5B11" w:rsidP="00AA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4 312,5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313822" w14:textId="3092E0A4" w:rsidR="00AA5B11" w:rsidRPr="005615C0" w:rsidRDefault="00AA5B11" w:rsidP="00AA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</w:t>
            </w:r>
            <w:r w:rsidR="009158E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435F2D" w14:textId="6EC8BF22" w:rsidR="00AA5B11" w:rsidRPr="005615C0" w:rsidRDefault="00921383" w:rsidP="00AA5B11">
            <w:pPr>
              <w:jc w:val="center"/>
              <w:rPr>
                <w:b/>
                <w:bCs/>
                <w:sz w:val="20"/>
                <w:szCs w:val="20"/>
              </w:rPr>
            </w:pPr>
            <w:r w:rsidRPr="00921383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21383">
              <w:rPr>
                <w:b/>
                <w:bCs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A6E743" w14:textId="12F1F57B" w:rsidR="00AA5B11" w:rsidRPr="00A907B1" w:rsidRDefault="00A907B1" w:rsidP="00A907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0016C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2CBBB" w14:textId="73B84758" w:rsidR="00AA5B11" w:rsidRPr="002A6537" w:rsidRDefault="00921383" w:rsidP="00AA5B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</w:t>
            </w:r>
            <w:r>
              <w:rPr>
                <w:b/>
                <w:bCs/>
                <w:sz w:val="20"/>
                <w:szCs w:val="20"/>
              </w:rPr>
              <w:t>,3</w:t>
            </w:r>
            <w:r w:rsidR="00AA5B11" w:rsidRPr="00AA5B1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A5B11" w:rsidRPr="00491862" w14:paraId="052DE8B8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1D09C7" w14:textId="77777777" w:rsidR="00AA5B11" w:rsidRPr="000C71A6" w:rsidRDefault="00AA5B11" w:rsidP="00AA5B11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10CCE11" w14:textId="46B5B4E5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 w:rsidRPr="00054010">
              <w:rPr>
                <w:sz w:val="20"/>
                <w:szCs w:val="20"/>
              </w:rPr>
              <w:t>8 638,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34A338D" w14:textId="748DDBA4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3 513,0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A865BD" w14:textId="340EE7AA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40,7</w:t>
            </w:r>
            <w:r w:rsidR="009158E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3E25F" w14:textId="49250F50" w:rsidR="00AA5B11" w:rsidRPr="0054342D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 w:rsidRPr="0054342D">
              <w:rPr>
                <w:sz w:val="20"/>
                <w:szCs w:val="20"/>
              </w:rPr>
              <w:t>12 027,1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037C5" w14:textId="64E0842E" w:rsidR="00AA5B11" w:rsidRPr="005615C0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 w:rsidRPr="00022D54">
              <w:rPr>
                <w:bCs/>
                <w:sz w:val="20"/>
                <w:szCs w:val="20"/>
              </w:rPr>
              <w:t>5</w:t>
            </w:r>
            <w:r w:rsidR="000016C6">
              <w:rPr>
                <w:bCs/>
                <w:sz w:val="20"/>
                <w:szCs w:val="20"/>
              </w:rPr>
              <w:t xml:space="preserve"> </w:t>
            </w:r>
            <w:r w:rsidRPr="00022D54">
              <w:rPr>
                <w:bCs/>
                <w:sz w:val="20"/>
                <w:szCs w:val="20"/>
              </w:rPr>
              <w:t>658,1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085191" w14:textId="74A867F4" w:rsidR="00AA5B11" w:rsidRPr="00AA5B11" w:rsidRDefault="00AA5B11" w:rsidP="00AA5B11">
            <w:pPr>
              <w:jc w:val="center"/>
              <w:rPr>
                <w:sz w:val="20"/>
                <w:szCs w:val="20"/>
              </w:rPr>
            </w:pPr>
            <w:r w:rsidRPr="00AA5B11">
              <w:rPr>
                <w:sz w:val="20"/>
                <w:szCs w:val="20"/>
              </w:rPr>
              <w:t>47,0%</w:t>
            </w:r>
          </w:p>
        </w:tc>
      </w:tr>
      <w:tr w:rsidR="00AA5B11" w:rsidRPr="00491862" w14:paraId="12B12B0C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F7C302" w14:textId="77777777" w:rsidR="00AA5B11" w:rsidRPr="000C71A6" w:rsidRDefault="00AA5B11" w:rsidP="00AA5B11">
            <w:pPr>
              <w:ind w:right="-57"/>
              <w:rPr>
                <w:iCs/>
                <w:sz w:val="20"/>
                <w:szCs w:val="20"/>
              </w:rPr>
            </w:pPr>
            <w:r w:rsidRPr="000C71A6">
              <w:rPr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D00DE40" w14:textId="51DEDB93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 w:rsidRPr="00C17EFB">
              <w:rPr>
                <w:sz w:val="20"/>
                <w:szCs w:val="20"/>
              </w:rPr>
              <w:t>1 87</w:t>
            </w:r>
            <w:r>
              <w:rPr>
                <w:sz w:val="20"/>
                <w:szCs w:val="20"/>
              </w:rPr>
              <w:t>6</w:t>
            </w:r>
            <w:r w:rsidRPr="00C17EFB">
              <w:rPr>
                <w:sz w:val="20"/>
                <w:szCs w:val="20"/>
              </w:rPr>
              <w:t>,6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55AEB67" w14:textId="59C52134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05CA6D" w14:textId="657A8972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21,9</w:t>
            </w:r>
            <w:r w:rsidR="009158E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382C0" w14:textId="4F45D7D7" w:rsidR="00AA5B11" w:rsidRPr="0054342D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 w:rsidRPr="0054342D">
              <w:rPr>
                <w:sz w:val="20"/>
                <w:szCs w:val="20"/>
              </w:rPr>
              <w:t>2151,8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BE0B5" w14:textId="5390CFAA" w:rsidR="00AA5B11" w:rsidRPr="0054342D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455,7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585B3F" w14:textId="3DCE8F37" w:rsidR="00AA5B11" w:rsidRPr="00AA5B11" w:rsidRDefault="00AA5B11" w:rsidP="00AA5B11">
            <w:pPr>
              <w:jc w:val="center"/>
              <w:rPr>
                <w:sz w:val="20"/>
                <w:szCs w:val="20"/>
              </w:rPr>
            </w:pPr>
            <w:r w:rsidRPr="00AA5B11">
              <w:rPr>
                <w:sz w:val="20"/>
                <w:szCs w:val="20"/>
              </w:rPr>
              <w:t>21,2%</w:t>
            </w:r>
          </w:p>
        </w:tc>
      </w:tr>
      <w:tr w:rsidR="00AA5B11" w:rsidRPr="00491862" w14:paraId="5E0EA5F9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CD36D1" w14:textId="77777777" w:rsidR="00AA5B11" w:rsidRPr="000C71A6" w:rsidRDefault="00AA5B11" w:rsidP="00AA5B11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8BCB709" w14:textId="552DAD65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1 265,3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AC69634" w14:textId="4871D244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243,4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F7D4319" w14:textId="28F7D42D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19,2</w:t>
            </w:r>
            <w:r w:rsidR="009158E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83F9CF" w14:textId="4D6F7D4A" w:rsidR="00AA5B11" w:rsidRPr="00A907B1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 w:rsidRPr="00A907B1">
              <w:rPr>
                <w:iCs/>
                <w:sz w:val="20"/>
                <w:szCs w:val="20"/>
              </w:rPr>
              <w:t>962,9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37156" w14:textId="1A62E964" w:rsidR="00AA5B11" w:rsidRPr="00A907B1" w:rsidRDefault="00A907B1" w:rsidP="00AA5B11">
            <w:pPr>
              <w:jc w:val="center"/>
              <w:rPr>
                <w:bCs/>
                <w:sz w:val="20"/>
                <w:szCs w:val="20"/>
              </w:rPr>
            </w:pPr>
            <w:r w:rsidRPr="00A907B1">
              <w:rPr>
                <w:bCs/>
                <w:sz w:val="20"/>
                <w:szCs w:val="20"/>
              </w:rPr>
              <w:t>439,1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FC2BD" w14:textId="4529ED85" w:rsidR="00AA5B11" w:rsidRPr="00A907B1" w:rsidRDefault="00A907B1" w:rsidP="00AA5B11">
            <w:pPr>
              <w:jc w:val="center"/>
              <w:rPr>
                <w:sz w:val="20"/>
                <w:szCs w:val="20"/>
              </w:rPr>
            </w:pPr>
            <w:r w:rsidRPr="00A907B1">
              <w:rPr>
                <w:sz w:val="20"/>
                <w:szCs w:val="20"/>
              </w:rPr>
              <w:t>45,6</w:t>
            </w:r>
            <w:r w:rsidR="00AA5B11" w:rsidRPr="00A907B1">
              <w:rPr>
                <w:sz w:val="20"/>
                <w:szCs w:val="20"/>
              </w:rPr>
              <w:t>%</w:t>
            </w:r>
          </w:p>
        </w:tc>
      </w:tr>
      <w:tr w:rsidR="00AA5B11" w:rsidRPr="00491862" w14:paraId="6AE8DF91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22D65" w14:textId="0FFB1BCA" w:rsidR="00AA5B11" w:rsidRDefault="00AA5B11" w:rsidP="00AA5B11">
            <w:pPr>
              <w:ind w:right="-57"/>
              <w:rPr>
                <w:sz w:val="20"/>
                <w:szCs w:val="20"/>
              </w:rPr>
            </w:pPr>
            <w:r w:rsidRPr="00F9342A">
              <w:rPr>
                <w:sz w:val="20"/>
                <w:szCs w:val="20"/>
              </w:rPr>
              <w:t>Доходы от денежных взысканий (штрафов)</w:t>
            </w:r>
            <w:r>
              <w:rPr>
                <w:sz w:val="20"/>
                <w:szCs w:val="20"/>
              </w:rPr>
              <w:t xml:space="preserve"> … </w:t>
            </w:r>
            <w:r w:rsidRPr="00F9342A">
              <w:rPr>
                <w:sz w:val="20"/>
                <w:szCs w:val="20"/>
              </w:rPr>
              <w:t>по нормативам, действовавшим в 2019 году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46C4F" w14:textId="74C62CAC" w:rsidR="00AA5B11" w:rsidRPr="005615C0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CBECD8" w14:textId="0C006853" w:rsidR="00AA5B11" w:rsidRPr="005615C0" w:rsidRDefault="00AA5B11" w:rsidP="00AA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49BB4B" w14:textId="01BFF813" w:rsidR="00AA5B11" w:rsidRDefault="00AA5B11" w:rsidP="00AA5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A2CECB" w14:textId="24D994E6" w:rsidR="00AA5B11" w:rsidRPr="00A907B1" w:rsidRDefault="00A907B1" w:rsidP="00AA5B11">
            <w:pPr>
              <w:jc w:val="center"/>
              <w:rPr>
                <w:sz w:val="20"/>
                <w:szCs w:val="20"/>
              </w:rPr>
            </w:pPr>
            <w:r w:rsidRPr="00A907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4021A" w14:textId="0D2A6FFA" w:rsidR="00AA5B11" w:rsidRPr="00A907B1" w:rsidRDefault="00A907B1" w:rsidP="00AA5B11">
            <w:pPr>
              <w:jc w:val="center"/>
              <w:rPr>
                <w:sz w:val="20"/>
                <w:szCs w:val="20"/>
              </w:rPr>
            </w:pPr>
            <w:r w:rsidRPr="00A907B1">
              <w:rPr>
                <w:sz w:val="20"/>
                <w:szCs w:val="20"/>
              </w:rPr>
              <w:t>-0,8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6B2A" w14:textId="752CD6C2" w:rsidR="00AA5B11" w:rsidRPr="00A907B1" w:rsidRDefault="00A907B1" w:rsidP="00AA5B11">
            <w:pPr>
              <w:jc w:val="center"/>
              <w:rPr>
                <w:sz w:val="20"/>
                <w:szCs w:val="20"/>
              </w:rPr>
            </w:pPr>
            <w:r w:rsidRPr="00A907B1">
              <w:rPr>
                <w:sz w:val="20"/>
                <w:szCs w:val="20"/>
              </w:rPr>
              <w:t>-100</w:t>
            </w:r>
            <w:r w:rsidR="00AA5B11" w:rsidRPr="00A907B1">
              <w:rPr>
                <w:sz w:val="20"/>
                <w:szCs w:val="20"/>
              </w:rPr>
              <w:t>%</w:t>
            </w:r>
          </w:p>
        </w:tc>
      </w:tr>
      <w:tr w:rsidR="00BE7B07" w:rsidRPr="00491862" w14:paraId="3B0330FF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CB6A07" w14:textId="1AA1244D" w:rsidR="00BE7B07" w:rsidRPr="000C71A6" w:rsidRDefault="00BE7B07" w:rsidP="00BE7B07">
            <w:pPr>
              <w:ind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0C71A6">
              <w:rPr>
                <w:b/>
                <w:bCs/>
                <w:sz w:val="20"/>
                <w:szCs w:val="20"/>
              </w:rPr>
              <w:t xml:space="preserve"> из федерального бюджета, в т.ч.: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6AF6A08" w14:textId="61356515" w:rsidR="00BE7B07" w:rsidRPr="005615C0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1 724,8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283866E" w14:textId="6BB58133" w:rsidR="00BE7B07" w:rsidRPr="005615C0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533,8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C8F569" w14:textId="469387A8" w:rsidR="00BE7B07" w:rsidRPr="005615C0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30,9%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BB9FB" w14:textId="619A7BE4" w:rsidR="00BE7B07" w:rsidRPr="005615C0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5C">
              <w:rPr>
                <w:b/>
                <w:bCs/>
                <w:sz w:val="20"/>
                <w:szCs w:val="20"/>
              </w:rPr>
              <w:t>642,4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A76F9" w14:textId="56EBB657" w:rsidR="00BE7B07" w:rsidRPr="005615C0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D30F6B" w14:textId="71A2660D" w:rsidR="00BE7B07" w:rsidRPr="002A6537" w:rsidRDefault="00BE7B07" w:rsidP="00BE7B07">
            <w:pPr>
              <w:jc w:val="center"/>
              <w:rPr>
                <w:b/>
                <w:bCs/>
                <w:sz w:val="20"/>
                <w:szCs w:val="20"/>
              </w:rPr>
            </w:pPr>
            <w:r w:rsidRPr="00AA5B11">
              <w:rPr>
                <w:b/>
                <w:bCs/>
                <w:sz w:val="20"/>
                <w:szCs w:val="20"/>
              </w:rPr>
              <w:t>10,6%</w:t>
            </w:r>
          </w:p>
        </w:tc>
      </w:tr>
      <w:tr w:rsidR="00BE7B07" w:rsidRPr="00491862" w14:paraId="1337B328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7B782A" w14:textId="77777777" w:rsidR="00BE7B07" w:rsidRPr="000C71A6" w:rsidRDefault="00BE7B07" w:rsidP="00BE7B07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FBD885A" w14:textId="5AD9FE93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 w:rsidRPr="00C17EFB">
              <w:rPr>
                <w:iCs/>
                <w:sz w:val="20"/>
                <w:szCs w:val="20"/>
              </w:rPr>
              <w:t>196,8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52494CC" w14:textId="706DF24C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6D477B" w14:textId="24C8128C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29,4%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BE66A" w14:textId="6D9E2E3E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334,4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5B35" w14:textId="21C1FFA8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67,8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ECCE7" w14:textId="7E31ED71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20,3%</w:t>
            </w:r>
          </w:p>
        </w:tc>
      </w:tr>
      <w:tr w:rsidR="00BE7B07" w:rsidRPr="00491862" w14:paraId="41E8AFF1" w14:textId="77777777" w:rsidTr="00AA5B11">
        <w:trPr>
          <w:trHeight w:val="20"/>
        </w:trPr>
        <w:tc>
          <w:tcPr>
            <w:tcW w:w="36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E0B51C" w14:textId="77777777" w:rsidR="00BE7B07" w:rsidRPr="000C71A6" w:rsidRDefault="00BE7B07" w:rsidP="00BE7B07">
            <w:pPr>
              <w:ind w:right="-57"/>
              <w:rPr>
                <w:sz w:val="20"/>
                <w:szCs w:val="20"/>
              </w:rPr>
            </w:pPr>
            <w:r w:rsidRPr="000C71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90DA1F" w14:textId="00D1703C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 w:rsidRPr="00C17EFB">
              <w:rPr>
                <w:iCs/>
                <w:sz w:val="20"/>
                <w:szCs w:val="20"/>
              </w:rPr>
              <w:t>1 528,0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50CC721" w14:textId="7EC9E750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475,9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401E2C" w14:textId="2A7C4885" w:rsidR="00BE7B07" w:rsidRPr="005615C0" w:rsidRDefault="00BE7B07" w:rsidP="00BE7B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31,1%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24804" w14:textId="168F94A1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308,0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21869E" w14:textId="71994916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6019C" w14:textId="5C6EF778" w:rsidR="00BE7B07" w:rsidRPr="00AA5B11" w:rsidRDefault="00BE7B07" w:rsidP="00BE7B07">
            <w:pPr>
              <w:jc w:val="center"/>
              <w:rPr>
                <w:iCs/>
                <w:sz w:val="20"/>
                <w:szCs w:val="20"/>
              </w:rPr>
            </w:pPr>
            <w:r w:rsidRPr="00AA5B11">
              <w:rPr>
                <w:iCs/>
                <w:sz w:val="20"/>
                <w:szCs w:val="20"/>
              </w:rPr>
              <w:t>0,0%</w:t>
            </w:r>
          </w:p>
        </w:tc>
      </w:tr>
    </w:tbl>
    <w:p w14:paraId="16B27B1B" w14:textId="76C542CF" w:rsidR="00961210" w:rsidRPr="00B7722C" w:rsidRDefault="00961210" w:rsidP="00961210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B7722C">
        <w:rPr>
          <w:rFonts w:eastAsia="Calibri"/>
          <w:i/>
          <w:sz w:val="20"/>
          <w:szCs w:val="20"/>
        </w:rPr>
        <w:t>*</w:t>
      </w:r>
      <w:r w:rsidRPr="00B7722C">
        <w:rPr>
          <w:bCs/>
          <w:i/>
          <w:sz w:val="20"/>
          <w:szCs w:val="20"/>
        </w:rPr>
        <w:t xml:space="preserve"> </w:t>
      </w:r>
      <w:r w:rsidRPr="00B7722C">
        <w:rPr>
          <w:rFonts w:eastAsia="Calibri"/>
          <w:i/>
          <w:sz w:val="20"/>
          <w:szCs w:val="20"/>
        </w:rPr>
        <w:t>объем бюджетных ассигнований дорожного фонда Волгоградской области, утверждённый</w:t>
      </w:r>
      <w:r w:rsidRPr="00B7722C">
        <w:rPr>
          <w:bCs/>
          <w:i/>
          <w:sz w:val="20"/>
          <w:szCs w:val="20"/>
        </w:rPr>
        <w:t xml:space="preserve"> Законом об областном бюджете на 20</w:t>
      </w:r>
      <w:r w:rsidR="00E72BAF">
        <w:rPr>
          <w:bCs/>
          <w:i/>
          <w:sz w:val="20"/>
          <w:szCs w:val="20"/>
        </w:rPr>
        <w:t>20</w:t>
      </w:r>
      <w:r w:rsidRPr="00B7722C">
        <w:rPr>
          <w:bCs/>
          <w:i/>
          <w:sz w:val="20"/>
          <w:szCs w:val="20"/>
        </w:rPr>
        <w:t xml:space="preserve"> год</w:t>
      </w:r>
      <w:r w:rsidR="000C71A6" w:rsidRPr="00B7722C">
        <w:rPr>
          <w:bCs/>
          <w:i/>
          <w:sz w:val="20"/>
          <w:szCs w:val="20"/>
        </w:rPr>
        <w:t>;</w:t>
      </w:r>
    </w:p>
    <w:p w14:paraId="58298A62" w14:textId="24CBD4A6" w:rsidR="000C71A6" w:rsidRPr="00B7722C" w:rsidRDefault="000C71A6" w:rsidP="00961210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</w:rPr>
      </w:pPr>
      <w:r w:rsidRPr="00B7722C">
        <w:rPr>
          <w:rFonts w:eastAsia="Calibri"/>
          <w:i/>
          <w:sz w:val="20"/>
          <w:szCs w:val="20"/>
        </w:rPr>
        <w:t xml:space="preserve">** объем бюджетных ассигнований дорожного фонда Волгоградской области, утверждённый Законом об </w:t>
      </w:r>
      <w:r w:rsidR="0080184A" w:rsidRPr="00B7722C">
        <w:rPr>
          <w:rFonts w:eastAsia="Calibri"/>
          <w:i/>
          <w:sz w:val="20"/>
          <w:szCs w:val="20"/>
        </w:rPr>
        <w:t>областном бюджете на 20</w:t>
      </w:r>
      <w:r w:rsidR="00B7722C" w:rsidRPr="00B7722C">
        <w:rPr>
          <w:rFonts w:eastAsia="Calibri"/>
          <w:i/>
          <w:sz w:val="20"/>
          <w:szCs w:val="20"/>
        </w:rPr>
        <w:t>2</w:t>
      </w:r>
      <w:r w:rsidR="00E72BAF">
        <w:rPr>
          <w:rFonts w:eastAsia="Calibri"/>
          <w:i/>
          <w:sz w:val="20"/>
          <w:szCs w:val="20"/>
        </w:rPr>
        <w:t>1</w:t>
      </w:r>
      <w:r w:rsidR="0080184A" w:rsidRPr="00B7722C">
        <w:rPr>
          <w:rFonts w:eastAsia="Calibri"/>
          <w:i/>
          <w:sz w:val="20"/>
          <w:szCs w:val="20"/>
        </w:rPr>
        <w:t xml:space="preserve"> год;</w:t>
      </w:r>
    </w:p>
    <w:p w14:paraId="289BA141" w14:textId="77777777" w:rsidR="000E5D32" w:rsidRDefault="000E5D32" w:rsidP="008D4CB2">
      <w:pPr>
        <w:autoSpaceDE w:val="0"/>
        <w:autoSpaceDN w:val="0"/>
        <w:adjustRightInd w:val="0"/>
        <w:ind w:firstLine="709"/>
        <w:jc w:val="both"/>
      </w:pPr>
    </w:p>
    <w:p w14:paraId="5350A2E6" w14:textId="2FA3DAFE" w:rsidR="00D51825" w:rsidRPr="00680A41" w:rsidRDefault="00961210" w:rsidP="008D4CB2">
      <w:pPr>
        <w:autoSpaceDE w:val="0"/>
        <w:autoSpaceDN w:val="0"/>
        <w:adjustRightInd w:val="0"/>
        <w:ind w:firstLine="709"/>
        <w:jc w:val="both"/>
      </w:pPr>
      <w:r w:rsidRPr="00680A41">
        <w:t xml:space="preserve">В </w:t>
      </w:r>
      <w:r w:rsidRPr="00680A41">
        <w:rPr>
          <w:lang w:val="en-US"/>
        </w:rPr>
        <w:t>I</w:t>
      </w:r>
      <w:r w:rsidRPr="00680A41">
        <w:t xml:space="preserve"> </w:t>
      </w:r>
      <w:r w:rsidR="003C6194" w:rsidRPr="00680A41">
        <w:t>полугодии</w:t>
      </w:r>
      <w:r w:rsidRPr="00680A41">
        <w:t xml:space="preserve"> 20</w:t>
      </w:r>
      <w:r w:rsidR="00B37458" w:rsidRPr="00680A41">
        <w:t>2</w:t>
      </w:r>
      <w:r w:rsidR="00757634" w:rsidRPr="00680A41">
        <w:t>1</w:t>
      </w:r>
      <w:r w:rsidRPr="00680A41">
        <w:t xml:space="preserve"> года в дорожный фонд Волгоградской области поступило на </w:t>
      </w:r>
      <w:r w:rsidR="00757634" w:rsidRPr="00680A41">
        <w:t>1</w:t>
      </w:r>
      <w:r w:rsidR="00A40737">
        <w:t> 773,6</w:t>
      </w:r>
      <w:r w:rsidR="00757634" w:rsidRPr="00680A41">
        <w:t xml:space="preserve"> </w:t>
      </w:r>
      <w:r w:rsidRPr="00680A41">
        <w:t>млн. руб. (</w:t>
      </w:r>
      <w:r w:rsidR="00B8374F" w:rsidRPr="00680A41">
        <w:t xml:space="preserve">на </w:t>
      </w:r>
      <w:r w:rsidR="00757634" w:rsidRPr="00680A41">
        <w:t>3</w:t>
      </w:r>
      <w:r w:rsidR="00A40737">
        <w:t>6</w:t>
      </w:r>
      <w:r w:rsidR="00757634" w:rsidRPr="00680A41">
        <w:t>,</w:t>
      </w:r>
      <w:r w:rsidR="00A40737">
        <w:t>6</w:t>
      </w:r>
      <w:r w:rsidRPr="00680A41">
        <w:t>%) больше, чем за аналогичный период 20</w:t>
      </w:r>
      <w:r w:rsidR="00757634" w:rsidRPr="00680A41">
        <w:t>20</w:t>
      </w:r>
      <w:r w:rsidR="0080184A" w:rsidRPr="00680A41">
        <w:t xml:space="preserve"> года, </w:t>
      </w:r>
      <w:r w:rsidR="00327671" w:rsidRPr="00680A41">
        <w:t xml:space="preserve">в основном </w:t>
      </w:r>
      <w:r w:rsidR="0080184A" w:rsidRPr="00680A41">
        <w:t>за счёт</w:t>
      </w:r>
      <w:r w:rsidR="00D51825" w:rsidRPr="00680A41">
        <w:t>:</w:t>
      </w:r>
    </w:p>
    <w:p w14:paraId="1419E711" w14:textId="30F914B4" w:rsidR="00961210" w:rsidRPr="00680A41" w:rsidRDefault="00D51825" w:rsidP="00A407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0A41">
        <w:t>-</w:t>
      </w:r>
      <w:r w:rsidR="0080184A" w:rsidRPr="00680A41">
        <w:t>увеличения</w:t>
      </w:r>
      <w:r w:rsidR="00A40737">
        <w:t xml:space="preserve"> на </w:t>
      </w:r>
      <w:r w:rsidR="00A40737" w:rsidRPr="00680A41">
        <w:t>2 145,1 млн. руб.</w:t>
      </w:r>
      <w:r w:rsidR="00A40737">
        <w:t xml:space="preserve"> поступлений </w:t>
      </w:r>
      <w:r w:rsidR="00057EF3" w:rsidRPr="00680A41">
        <w:t>п</w:t>
      </w:r>
      <w:r w:rsidR="0080184A" w:rsidRPr="00680A41">
        <w:t xml:space="preserve">о </w:t>
      </w:r>
      <w:r w:rsidR="00E90B45" w:rsidRPr="00680A41">
        <w:t>а</w:t>
      </w:r>
      <w:r w:rsidR="00E90B45" w:rsidRPr="00680A41">
        <w:rPr>
          <w:iCs/>
        </w:rPr>
        <w:t>кцизам на нефтепродукты</w:t>
      </w:r>
      <w:r w:rsidR="00680A41" w:rsidRPr="00680A41">
        <w:rPr>
          <w:iCs/>
        </w:rPr>
        <w:t xml:space="preserve"> </w:t>
      </w:r>
      <w:r w:rsidR="005D5AD4" w:rsidRPr="00680A41">
        <w:rPr>
          <w:iCs/>
        </w:rPr>
        <w:t xml:space="preserve">в связи с </w:t>
      </w:r>
      <w:r w:rsidR="00C80CF9" w:rsidRPr="00680A41">
        <w:rPr>
          <w:iCs/>
        </w:rPr>
        <w:t>пере</w:t>
      </w:r>
      <w:r w:rsidR="005D5AD4" w:rsidRPr="00680A41">
        <w:rPr>
          <w:iCs/>
        </w:rPr>
        <w:t>распределением нормативов зачисления между федеральным бюджетом и бюджетами субъектов РФ</w:t>
      </w:r>
      <w:r w:rsidR="00B8374F" w:rsidRPr="00680A41">
        <w:rPr>
          <w:iCs/>
        </w:rPr>
        <w:t xml:space="preserve"> (</w:t>
      </w:r>
      <w:r w:rsidR="00B8374F" w:rsidRPr="00680A41">
        <w:rPr>
          <w:rFonts w:eastAsia="Calibri"/>
        </w:rPr>
        <w:t>в 2020 году - 33,4 % в федеральный бюджет, 66,6 % - в бюджеты субъектов РФ</w:t>
      </w:r>
      <w:r w:rsidR="001F6B9C" w:rsidRPr="00680A41">
        <w:rPr>
          <w:rFonts w:eastAsia="Calibri"/>
        </w:rPr>
        <w:t>, в 2021 году – 25,1% в федеральный бюджет, 74,9% - в бюджеты субъектов РФ</w:t>
      </w:r>
      <w:r w:rsidR="00B8374F" w:rsidRPr="00680A41">
        <w:rPr>
          <w:rFonts w:eastAsia="Calibri"/>
        </w:rPr>
        <w:t>)</w:t>
      </w:r>
      <w:r w:rsidR="00EC4835">
        <w:rPr>
          <w:rFonts w:eastAsia="Calibri"/>
        </w:rPr>
        <w:t xml:space="preserve"> и ежегодным повышением ставок акцизов на нефтепродукты</w:t>
      </w:r>
      <w:r w:rsidRPr="00680A41">
        <w:rPr>
          <w:rFonts w:eastAsia="Calibri"/>
        </w:rPr>
        <w:t>;</w:t>
      </w:r>
    </w:p>
    <w:p w14:paraId="0DE03BA5" w14:textId="2C4A2314" w:rsidR="00D51825" w:rsidRDefault="00A40737" w:rsidP="00A407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="00D51825" w:rsidRPr="00680A41">
        <w:rPr>
          <w:rFonts w:eastAsia="Calibri"/>
        </w:rPr>
        <w:t>уменьшения</w:t>
      </w:r>
      <w:r>
        <w:rPr>
          <w:rFonts w:eastAsia="Calibri"/>
        </w:rPr>
        <w:t xml:space="preserve"> на 466,0</w:t>
      </w:r>
      <w:r w:rsidR="00D51825" w:rsidRPr="00680A41">
        <w:rPr>
          <w:rFonts w:eastAsia="Calibri"/>
        </w:rPr>
        <w:t xml:space="preserve"> млн. руб. межбюджетных трансфертов</w:t>
      </w:r>
      <w:r w:rsidR="00680A41" w:rsidRPr="00680A41">
        <w:rPr>
          <w:rFonts w:eastAsia="Calibri"/>
        </w:rPr>
        <w:t xml:space="preserve"> из федерального бюджета</w:t>
      </w:r>
      <w:r w:rsidR="00D51825" w:rsidRPr="00680A41">
        <w:rPr>
          <w:rFonts w:eastAsia="Calibri"/>
        </w:rPr>
        <w:t>.</w:t>
      </w:r>
    </w:p>
    <w:p w14:paraId="3D93527E" w14:textId="77777777" w:rsidR="00E64072" w:rsidRDefault="00E64072" w:rsidP="00AE4964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51EAC80" w14:textId="0FD01A72"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Использование средств </w:t>
      </w:r>
    </w:p>
    <w:p w14:paraId="34CC974C" w14:textId="1CDD077B" w:rsidR="00AE4964" w:rsidRPr="00CE77DA" w:rsidRDefault="00AE4964" w:rsidP="00AE496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E77DA">
        <w:rPr>
          <w:b/>
        </w:rPr>
        <w:t xml:space="preserve">дорожного фонда Волгоградской области </w:t>
      </w:r>
      <w:r>
        <w:rPr>
          <w:b/>
        </w:rPr>
        <w:t>в</w:t>
      </w:r>
      <w:r w:rsidRPr="00CE77DA"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полугодии 20</w:t>
      </w:r>
      <w:r w:rsidR="00EA5ECA">
        <w:rPr>
          <w:b/>
        </w:rPr>
        <w:t>2</w:t>
      </w:r>
      <w:r w:rsidR="00954405">
        <w:rPr>
          <w:b/>
        </w:rPr>
        <w:t>1</w:t>
      </w:r>
      <w:r>
        <w:rPr>
          <w:b/>
        </w:rPr>
        <w:t xml:space="preserve"> года</w:t>
      </w:r>
    </w:p>
    <w:p w14:paraId="27D50E8F" w14:textId="17C936C0" w:rsidR="00AE4964" w:rsidRPr="001721C9" w:rsidRDefault="00AE4964" w:rsidP="00AE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4964">
        <w:rPr>
          <w:rFonts w:eastAsiaTheme="minorHAnsi"/>
          <w:lang w:eastAsia="en-US"/>
        </w:rPr>
        <w:t xml:space="preserve">В </w:t>
      </w:r>
      <w:r w:rsidRPr="00AE4964">
        <w:rPr>
          <w:rFonts w:eastAsiaTheme="minorHAnsi"/>
          <w:lang w:val="en-US" w:eastAsia="en-US"/>
        </w:rPr>
        <w:t>I</w:t>
      </w:r>
      <w:r w:rsidRPr="00AE4964">
        <w:rPr>
          <w:rFonts w:eastAsiaTheme="minorHAnsi"/>
          <w:lang w:eastAsia="en-US"/>
        </w:rPr>
        <w:t xml:space="preserve"> полугодии 20</w:t>
      </w:r>
      <w:r w:rsidR="00EA5ECA">
        <w:rPr>
          <w:rFonts w:eastAsiaTheme="minorHAnsi"/>
          <w:lang w:eastAsia="en-US"/>
        </w:rPr>
        <w:t>2</w:t>
      </w:r>
      <w:r w:rsidR="00954405">
        <w:rPr>
          <w:rFonts w:eastAsiaTheme="minorHAnsi"/>
          <w:lang w:eastAsia="en-US"/>
        </w:rPr>
        <w:t>1</w:t>
      </w:r>
      <w:r w:rsidRPr="00AE4964">
        <w:rPr>
          <w:rFonts w:eastAsiaTheme="minorHAnsi"/>
          <w:lang w:eastAsia="en-US"/>
        </w:rPr>
        <w:t xml:space="preserve"> года ассигнования дорожного фонда Волгоградской области </w:t>
      </w:r>
      <w:r w:rsidRPr="001721C9">
        <w:rPr>
          <w:rFonts w:eastAsiaTheme="minorHAnsi"/>
          <w:lang w:eastAsia="en-US"/>
        </w:rPr>
        <w:t xml:space="preserve">использованы в сумме </w:t>
      </w:r>
      <w:r w:rsidR="00954405">
        <w:rPr>
          <w:rFonts w:eastAsiaTheme="minorHAnsi"/>
          <w:lang w:eastAsia="en-US"/>
        </w:rPr>
        <w:t>5</w:t>
      </w:r>
      <w:r w:rsidR="001E03A0">
        <w:rPr>
          <w:rFonts w:eastAsiaTheme="minorHAnsi"/>
          <w:lang w:eastAsia="en-US"/>
        </w:rPr>
        <w:t> 656,4</w:t>
      </w:r>
      <w:r w:rsidRPr="001721C9">
        <w:rPr>
          <w:rFonts w:eastAsiaTheme="minorHAnsi"/>
          <w:lang w:eastAsia="en-US"/>
        </w:rPr>
        <w:t xml:space="preserve"> млн. рублей. Объем расходов составил </w:t>
      </w:r>
      <w:r w:rsidR="001E03A0">
        <w:rPr>
          <w:rFonts w:eastAsiaTheme="minorHAnsi"/>
          <w:lang w:eastAsia="en-US"/>
        </w:rPr>
        <w:t>8</w:t>
      </w:r>
      <w:r w:rsidR="003957F9">
        <w:rPr>
          <w:rFonts w:eastAsiaTheme="minorHAnsi"/>
          <w:lang w:eastAsia="en-US"/>
        </w:rPr>
        <w:t>5,1</w:t>
      </w:r>
      <w:r w:rsidRPr="001721C9">
        <w:rPr>
          <w:rFonts w:eastAsiaTheme="minorHAnsi"/>
          <w:lang w:eastAsia="en-US"/>
        </w:rPr>
        <w:t>% от объема фактически поступивших доходов, учитываемых при формировании дорожного фонда (</w:t>
      </w:r>
      <w:r w:rsidR="003957F9" w:rsidRPr="003957F9">
        <w:rPr>
          <w:rFonts w:eastAsiaTheme="minorHAnsi"/>
          <w:lang w:eastAsia="en-US"/>
        </w:rPr>
        <w:t>6</w:t>
      </w:r>
      <w:r w:rsidR="003957F9">
        <w:rPr>
          <w:rFonts w:eastAsiaTheme="minorHAnsi"/>
          <w:lang w:eastAsia="en-US"/>
        </w:rPr>
        <w:t> </w:t>
      </w:r>
      <w:r w:rsidR="003957F9" w:rsidRPr="003957F9">
        <w:rPr>
          <w:rFonts w:eastAsiaTheme="minorHAnsi"/>
          <w:lang w:eastAsia="en-US"/>
        </w:rPr>
        <w:t>649,9</w:t>
      </w:r>
      <w:r w:rsidR="003957F9">
        <w:rPr>
          <w:rFonts w:eastAsiaTheme="minorHAnsi"/>
          <w:lang w:eastAsia="en-US"/>
        </w:rPr>
        <w:t xml:space="preserve"> млн</w:t>
      </w:r>
      <w:r w:rsidRPr="001721C9">
        <w:rPr>
          <w:rFonts w:eastAsiaTheme="minorHAnsi"/>
          <w:lang w:eastAsia="en-US"/>
        </w:rPr>
        <w:t>. руб.).</w:t>
      </w:r>
    </w:p>
    <w:p w14:paraId="339C5685" w14:textId="03D81731" w:rsidR="0097636D" w:rsidRPr="004C3DAA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721C9">
        <w:rPr>
          <w:rFonts w:eastAsiaTheme="minorHAnsi"/>
          <w:lang w:eastAsia="en-US"/>
        </w:rPr>
        <w:t>Использование средств дорожного фонда (подраздел 0409 «Дорожное хозяйство</w:t>
      </w:r>
      <w:r w:rsidRPr="004C3DAA">
        <w:rPr>
          <w:rFonts w:eastAsiaTheme="minorHAnsi"/>
          <w:lang w:eastAsia="en-US"/>
        </w:rPr>
        <w:t xml:space="preserve"> (дорожные фонды)») осуществлено в рамках реализации тр</w:t>
      </w:r>
      <w:r w:rsidR="00AF0FBF">
        <w:rPr>
          <w:rFonts w:eastAsiaTheme="minorHAnsi"/>
          <w:lang w:eastAsia="en-US"/>
        </w:rPr>
        <w:t>ё</w:t>
      </w:r>
      <w:r w:rsidRPr="004C3DAA">
        <w:rPr>
          <w:rFonts w:eastAsiaTheme="minorHAnsi"/>
          <w:lang w:eastAsia="en-US"/>
        </w:rPr>
        <w:t>х государственных программ Волгоградской области и в виде непрограммных расходов:</w:t>
      </w:r>
    </w:p>
    <w:p w14:paraId="0FB00C9A" w14:textId="2C06659C" w:rsidR="0097636D" w:rsidRPr="00C721AF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721AF">
        <w:rPr>
          <w:rFonts w:eastAsiaTheme="minorHAnsi"/>
          <w:lang w:eastAsia="en-US"/>
        </w:rPr>
        <w:t>-государственной программы «</w:t>
      </w:r>
      <w:r w:rsidR="003B6D53" w:rsidRPr="00C721AF">
        <w:rPr>
          <w:rFonts w:eastAsia="Calibri"/>
        </w:rPr>
        <w:t>Комплексное</w:t>
      </w:r>
      <w:r w:rsidRPr="00C721AF">
        <w:rPr>
          <w:rFonts w:eastAsiaTheme="minorHAnsi"/>
          <w:lang w:eastAsia="en-US"/>
        </w:rPr>
        <w:t xml:space="preserve"> развитие сельских территорий», утвержденной постановлением Правительства Волгоградской области от 29.11.2013 № 681-п (далее – ГП «</w:t>
      </w:r>
      <w:r w:rsidR="00B76203">
        <w:rPr>
          <w:rFonts w:eastAsia="Calibri"/>
        </w:rPr>
        <w:t>Р</w:t>
      </w:r>
      <w:r w:rsidR="00C721AF" w:rsidRPr="00C721AF">
        <w:rPr>
          <w:rFonts w:eastAsiaTheme="minorHAnsi"/>
          <w:lang w:eastAsia="en-US"/>
        </w:rPr>
        <w:t xml:space="preserve">азвитие </w:t>
      </w:r>
      <w:r w:rsidRPr="00C721AF">
        <w:rPr>
          <w:rFonts w:eastAsiaTheme="minorHAnsi"/>
          <w:lang w:eastAsia="en-US"/>
        </w:rPr>
        <w:t>сельских территорий»);</w:t>
      </w:r>
    </w:p>
    <w:p w14:paraId="6FE03314" w14:textId="412CBAD2" w:rsidR="0097636D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07198">
        <w:rPr>
          <w:rFonts w:eastAsiaTheme="minorHAnsi"/>
          <w:lang w:eastAsia="en-US"/>
        </w:rPr>
        <w:t>-государственной программы «Развитие транспортной системы и обеспечение безопасности дорожного движения в Волгоградской области», утвержденной постановлением Администрации Волгоградской области от 23.01.2017 № 16-п (далее – ГП «Развитие транспортной системы»);</w:t>
      </w:r>
    </w:p>
    <w:p w14:paraId="07147CE2" w14:textId="4D74B402" w:rsidR="003924C8" w:rsidRPr="003375D9" w:rsidRDefault="0097636D" w:rsidP="003924C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75D9">
        <w:rPr>
          <w:rFonts w:eastAsiaTheme="minorHAnsi"/>
          <w:lang w:eastAsia="en-US"/>
        </w:rPr>
        <w:t>-государственной программы «</w:t>
      </w:r>
      <w:r w:rsidR="003375D9" w:rsidRPr="003375D9">
        <w:rPr>
          <w:rFonts w:eastAsia="Calibri"/>
        </w:rPr>
        <w:t>Энергосбережение и повышение энергетической эффективности в Волгоградской области</w:t>
      </w:r>
      <w:r w:rsidRPr="003375D9">
        <w:rPr>
          <w:rFonts w:eastAsiaTheme="minorHAnsi"/>
          <w:lang w:eastAsia="en-US"/>
        </w:rPr>
        <w:t xml:space="preserve">», утвержденной постановлением Администрации Волгоградской области </w:t>
      </w:r>
      <w:r w:rsidR="003375D9" w:rsidRPr="003375D9">
        <w:rPr>
          <w:rFonts w:eastAsia="Calibri"/>
        </w:rPr>
        <w:t>от 31.12.2014 № 136-п</w:t>
      </w:r>
      <w:r w:rsidR="003375D9" w:rsidRPr="003375D9">
        <w:rPr>
          <w:rFonts w:eastAsiaTheme="minorHAnsi"/>
          <w:lang w:eastAsia="en-US"/>
        </w:rPr>
        <w:t xml:space="preserve"> </w:t>
      </w:r>
      <w:r w:rsidRPr="003375D9">
        <w:rPr>
          <w:rFonts w:eastAsiaTheme="minorHAnsi"/>
          <w:lang w:eastAsia="en-US"/>
        </w:rPr>
        <w:t>(далее – ГП «</w:t>
      </w:r>
      <w:r w:rsidR="003375D9" w:rsidRPr="003375D9">
        <w:rPr>
          <w:rFonts w:eastAsia="Calibri"/>
        </w:rPr>
        <w:t>Энергосбережение</w:t>
      </w:r>
      <w:r w:rsidRPr="003375D9">
        <w:rPr>
          <w:rFonts w:eastAsiaTheme="minorHAnsi"/>
          <w:lang w:eastAsia="en-US"/>
        </w:rPr>
        <w:t>»)</w:t>
      </w:r>
      <w:r w:rsidR="003924C8" w:rsidRPr="003375D9">
        <w:rPr>
          <w:rFonts w:eastAsiaTheme="minorHAnsi"/>
          <w:lang w:eastAsia="en-US"/>
        </w:rPr>
        <w:t>.</w:t>
      </w:r>
      <w:r w:rsidR="003924C8" w:rsidRPr="003375D9">
        <w:rPr>
          <w:rFonts w:eastAsia="Calibri"/>
          <w:color w:val="FF0000"/>
        </w:rPr>
        <w:t xml:space="preserve"> </w:t>
      </w:r>
    </w:p>
    <w:p w14:paraId="38078BE5" w14:textId="77777777" w:rsidR="0097636D" w:rsidRPr="007C2A38" w:rsidRDefault="0097636D" w:rsidP="0097636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20B2">
        <w:rPr>
          <w:rFonts w:eastAsiaTheme="minorHAnsi"/>
          <w:lang w:eastAsia="en-US"/>
        </w:rPr>
        <w:t>-субсидии бюджетам муниципальных образований Волгоградской области на реализацию мероприятий в сфере дорожной деятельности.</w:t>
      </w:r>
      <w:r w:rsidR="002B3D9A" w:rsidRPr="002D20B2">
        <w:rPr>
          <w:rFonts w:eastAsiaTheme="minorHAnsi"/>
          <w:lang w:eastAsia="en-US"/>
        </w:rPr>
        <w:t xml:space="preserve"> Главным распорядителем средств областного бюджета определён </w:t>
      </w:r>
      <w:proofErr w:type="spellStart"/>
      <w:r w:rsidR="002B3D9A" w:rsidRPr="002D20B2">
        <w:rPr>
          <w:rFonts w:eastAsiaTheme="minorHAnsi"/>
          <w:lang w:eastAsia="en-US"/>
        </w:rPr>
        <w:t>Облфин</w:t>
      </w:r>
      <w:proofErr w:type="spellEnd"/>
      <w:r w:rsidR="002A77A5" w:rsidRPr="002D20B2">
        <w:rPr>
          <w:rFonts w:eastAsiaTheme="minorHAnsi"/>
          <w:lang w:eastAsia="en-US"/>
        </w:rPr>
        <w:t>.</w:t>
      </w:r>
    </w:p>
    <w:p w14:paraId="148EA6F6" w14:textId="4A386748" w:rsidR="00AE4964" w:rsidRPr="00055A5F" w:rsidRDefault="00AE4964" w:rsidP="00AE4964">
      <w:pPr>
        <w:autoSpaceDE w:val="0"/>
        <w:autoSpaceDN w:val="0"/>
        <w:adjustRightInd w:val="0"/>
        <w:ind w:firstLine="709"/>
        <w:jc w:val="both"/>
      </w:pPr>
      <w:r w:rsidRPr="00055A5F">
        <w:t xml:space="preserve">Расходы на обслуживание долговых обязательств, связанных с использованием бюджетных кредитов, полученных Волгоградской областью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 в сумме 2,0 млн. руб., в </w:t>
      </w:r>
      <w:r w:rsidRPr="00055A5F">
        <w:rPr>
          <w:lang w:val="en-US"/>
        </w:rPr>
        <w:t>I</w:t>
      </w:r>
      <w:r w:rsidRPr="00055A5F">
        <w:t xml:space="preserve"> </w:t>
      </w:r>
      <w:r w:rsidR="003924C8" w:rsidRPr="00055A5F">
        <w:t>полугодии</w:t>
      </w:r>
      <w:r w:rsidRPr="00055A5F">
        <w:t xml:space="preserve"> 20</w:t>
      </w:r>
      <w:r w:rsidR="00B76203" w:rsidRPr="00055A5F">
        <w:t>2</w:t>
      </w:r>
      <w:r w:rsidR="004B3D98">
        <w:t>1</w:t>
      </w:r>
      <w:r w:rsidRPr="00055A5F">
        <w:t xml:space="preserve"> года не осуществлялись.</w:t>
      </w:r>
    </w:p>
    <w:p w14:paraId="3FA7EBE1" w14:textId="3FA41ABE" w:rsidR="00AE4964" w:rsidRDefault="00AE4964" w:rsidP="00AE4964">
      <w:pPr>
        <w:autoSpaceDE w:val="0"/>
        <w:autoSpaceDN w:val="0"/>
        <w:adjustRightInd w:val="0"/>
        <w:ind w:firstLine="709"/>
        <w:jc w:val="both"/>
      </w:pPr>
      <w:r w:rsidRPr="008D6555">
        <w:t xml:space="preserve">Информация о фактическом использовании бюджетных ассигнований дорожного фонда в </w:t>
      </w:r>
      <w:r w:rsidRPr="008D6555">
        <w:rPr>
          <w:lang w:val="en-US"/>
        </w:rPr>
        <w:t>I</w:t>
      </w:r>
      <w:r w:rsidRPr="008D6555">
        <w:t xml:space="preserve"> </w:t>
      </w:r>
      <w:r w:rsidR="003924C8" w:rsidRPr="008D6555">
        <w:t>полугодии 20</w:t>
      </w:r>
      <w:r w:rsidR="008D6555" w:rsidRPr="008D6555">
        <w:t>2</w:t>
      </w:r>
      <w:r w:rsidR="001E03A0">
        <w:t>1</w:t>
      </w:r>
      <w:r w:rsidRPr="008D6555">
        <w:t xml:space="preserve"> года согласно данным бюджетной отчетности </w:t>
      </w:r>
      <w:proofErr w:type="spellStart"/>
      <w:r w:rsidRPr="008D6555">
        <w:t>Облкомдортранса</w:t>
      </w:r>
      <w:proofErr w:type="spellEnd"/>
      <w:r w:rsidR="00AC4D97">
        <w:t xml:space="preserve">, </w:t>
      </w:r>
      <w:proofErr w:type="spellStart"/>
      <w:r w:rsidR="00AC4D97">
        <w:t>Облкоминформтехнологии</w:t>
      </w:r>
      <w:proofErr w:type="spellEnd"/>
      <w:r w:rsidR="008D6555" w:rsidRPr="008D6555">
        <w:t xml:space="preserve"> </w:t>
      </w:r>
      <w:r w:rsidR="003924C8" w:rsidRPr="008D6555">
        <w:t xml:space="preserve">и </w:t>
      </w:r>
      <w:proofErr w:type="spellStart"/>
      <w:r w:rsidR="003924C8" w:rsidRPr="008D6555">
        <w:t>Облфина</w:t>
      </w:r>
      <w:proofErr w:type="spellEnd"/>
      <w:r w:rsidR="003924C8" w:rsidRPr="008D6555">
        <w:t xml:space="preserve"> </w:t>
      </w:r>
      <w:r w:rsidRPr="008D6555">
        <w:t>(ф.0503127) представлена в следующей таблице.</w:t>
      </w:r>
    </w:p>
    <w:p w14:paraId="2810FFA4" w14:textId="7BEB9873" w:rsidR="00AE4964" w:rsidRPr="003924C8" w:rsidRDefault="00AE4964" w:rsidP="00AE4964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3924C8">
        <w:rPr>
          <w:i/>
          <w:sz w:val="22"/>
          <w:szCs w:val="22"/>
        </w:rPr>
        <w:t>млн. руб.</w:t>
      </w:r>
    </w:p>
    <w:tbl>
      <w:tblPr>
        <w:tblW w:w="1022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228"/>
        <w:gridCol w:w="993"/>
        <w:gridCol w:w="775"/>
      </w:tblGrid>
      <w:tr w:rsidR="00AE4964" w:rsidRPr="00AE4964" w14:paraId="1C135EDE" w14:textId="77777777" w:rsidTr="000E5D32">
        <w:trPr>
          <w:trHeight w:val="720"/>
          <w:tblHeader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2BF572" w14:textId="77777777"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473D91A" w14:textId="77777777" w:rsidR="00AE4964" w:rsidRPr="00BA5598" w:rsidRDefault="00AE4964" w:rsidP="00AE4964">
            <w:pPr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5C8740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Бюджетная роспись (ф.0503127)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7BD5CB2" w14:textId="77777777" w:rsidR="00AE4964" w:rsidRPr="00BA5598" w:rsidRDefault="00AE4964" w:rsidP="00AE49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>Исполнено</w:t>
            </w:r>
          </w:p>
          <w:p w14:paraId="5699E637" w14:textId="4E0ECF66" w:rsidR="00AE4964" w:rsidRPr="00BA5598" w:rsidRDefault="00AE4964" w:rsidP="00F60CD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  <w:lang w:val="en-US"/>
              </w:rPr>
              <w:t>I</w:t>
            </w:r>
            <w:r w:rsidRPr="00BA5598">
              <w:rPr>
                <w:sz w:val="20"/>
                <w:szCs w:val="20"/>
              </w:rPr>
              <w:t xml:space="preserve"> </w:t>
            </w:r>
            <w:r w:rsidR="00F60CDE" w:rsidRPr="00BA5598">
              <w:rPr>
                <w:sz w:val="20"/>
                <w:szCs w:val="20"/>
              </w:rPr>
              <w:t>полугодие</w:t>
            </w:r>
            <w:r w:rsidRPr="00BA5598">
              <w:rPr>
                <w:sz w:val="20"/>
                <w:szCs w:val="20"/>
              </w:rPr>
              <w:t xml:space="preserve"> 20</w:t>
            </w:r>
            <w:r w:rsidR="00BC5321">
              <w:rPr>
                <w:sz w:val="20"/>
                <w:szCs w:val="20"/>
              </w:rPr>
              <w:t>21</w:t>
            </w:r>
            <w:r w:rsidRPr="00BA5598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921A5BE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BA5598">
              <w:rPr>
                <w:sz w:val="20"/>
                <w:szCs w:val="20"/>
              </w:rPr>
              <w:t>Отклоне-ние</w:t>
            </w:r>
            <w:proofErr w:type="spellEnd"/>
            <w:r w:rsidRPr="00BA5598">
              <w:rPr>
                <w:sz w:val="20"/>
                <w:szCs w:val="20"/>
              </w:rPr>
              <w:t xml:space="preserve"> от росписи</w:t>
            </w: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05B17" w14:textId="77777777" w:rsidR="00AE4964" w:rsidRPr="00BA5598" w:rsidRDefault="00AE4964" w:rsidP="00AE4964">
            <w:pPr>
              <w:ind w:left="-57" w:right="-57"/>
              <w:jc w:val="center"/>
              <w:rPr>
                <w:sz w:val="20"/>
                <w:szCs w:val="20"/>
              </w:rPr>
            </w:pPr>
            <w:r w:rsidRPr="00BA5598">
              <w:rPr>
                <w:sz w:val="20"/>
                <w:szCs w:val="20"/>
              </w:rPr>
              <w:t xml:space="preserve">% </w:t>
            </w:r>
            <w:proofErr w:type="spellStart"/>
            <w:r w:rsidRPr="00BA5598">
              <w:rPr>
                <w:sz w:val="20"/>
                <w:szCs w:val="20"/>
              </w:rPr>
              <w:t>испол</w:t>
            </w:r>
            <w:proofErr w:type="spellEnd"/>
            <w:r w:rsidRPr="00BA5598">
              <w:rPr>
                <w:sz w:val="20"/>
                <w:szCs w:val="20"/>
              </w:rPr>
              <w:t>.</w:t>
            </w:r>
          </w:p>
        </w:tc>
      </w:tr>
      <w:tr w:rsidR="004B3D98" w:rsidRPr="00AE4964" w14:paraId="19AB2FBE" w14:textId="77777777" w:rsidTr="000E5D32">
        <w:trPr>
          <w:trHeight w:val="2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E2B3880" w14:textId="41280073" w:rsidR="004B3D98" w:rsidRPr="00BA5598" w:rsidRDefault="004B3D98" w:rsidP="004B3D9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ВСЕГО</w:t>
            </w:r>
            <w:r w:rsidRPr="00BA5598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B2355C6" w14:textId="7E353F5F" w:rsidR="004B3D98" w:rsidRPr="004B3D98" w:rsidRDefault="004B3D98" w:rsidP="004B3D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12 270,5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59E6D84" w14:textId="5BCD2016" w:rsidR="004B3D98" w:rsidRPr="004B3D98" w:rsidRDefault="004B3D98" w:rsidP="004B3D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18 480,9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9DC1999" w14:textId="6754E081" w:rsidR="004B3D98" w:rsidRPr="004B3D98" w:rsidRDefault="004B3D98" w:rsidP="004B3D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5 656,4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EE8B6" w14:textId="7F0A956B" w:rsidR="004B3D98" w:rsidRPr="004B3D98" w:rsidRDefault="004B3D98" w:rsidP="004B3D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-12 824,5</w:t>
            </w:r>
          </w:p>
        </w:tc>
        <w:tc>
          <w:tcPr>
            <w:tcW w:w="7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257B2" w14:textId="54132DAB" w:rsidR="004B3D98" w:rsidRPr="004B3D98" w:rsidRDefault="004B3D98" w:rsidP="004B3D9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30,6%</w:t>
            </w:r>
          </w:p>
        </w:tc>
      </w:tr>
      <w:tr w:rsidR="004B3D98" w:rsidRPr="00F60CDE" w14:paraId="5E87D388" w14:textId="77777777" w:rsidTr="000E5D32">
        <w:trPr>
          <w:trHeight w:val="2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7534B09" w14:textId="3EB86F8D" w:rsidR="004B3D98" w:rsidRPr="00F60CDE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Облкомдортранс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72A24">
              <w:rPr>
                <w:sz w:val="20"/>
                <w:szCs w:val="20"/>
              </w:rPr>
              <w:t>Строительство дорог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728F42" w14:textId="6C35104B" w:rsidR="004B3D98" w:rsidRPr="00D629FD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370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EE9B8A" w14:textId="72FBC918" w:rsidR="004B3D98" w:rsidRPr="00B67355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354,3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D1B853" w14:textId="3475D3CD" w:rsidR="004B3D98" w:rsidRPr="00B67355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93507" w14:textId="7ECBE670" w:rsidR="004B3D98" w:rsidRPr="00B67355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-285,1</w:t>
            </w:r>
          </w:p>
        </w:tc>
        <w:tc>
          <w:tcPr>
            <w:tcW w:w="7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3FE1A" w14:textId="6F545769" w:rsidR="004B3D98" w:rsidRPr="00B67355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19,5%</w:t>
            </w:r>
          </w:p>
        </w:tc>
      </w:tr>
      <w:tr w:rsidR="004B3D98" w:rsidRPr="00AE4964" w14:paraId="59C8708C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F05795B" w14:textId="72F741F0" w:rsidR="004B3D98" w:rsidRPr="0046605E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Облкомдортранс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D860E" w14:textId="0EFE725D" w:rsidR="004B3D98" w:rsidRPr="004C3DAA" w:rsidRDefault="004B3D98" w:rsidP="004B3D9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629F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629FD">
              <w:rPr>
                <w:b/>
                <w:bCs/>
                <w:sz w:val="20"/>
                <w:szCs w:val="20"/>
              </w:rPr>
              <w:t>700,8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C936F" w14:textId="62C548C7" w:rsidR="004B3D98" w:rsidRPr="004C3DAA" w:rsidRDefault="004B3D98" w:rsidP="004B3D98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F154D4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154D4">
              <w:rPr>
                <w:b/>
                <w:bCs/>
                <w:sz w:val="20"/>
                <w:szCs w:val="20"/>
              </w:rPr>
              <w:t>927,2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6110D0D" w14:textId="0C657E9D" w:rsidR="004B3D98" w:rsidRPr="005B14B9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 w:rsidRPr="00F154D4">
              <w:rPr>
                <w:b/>
                <w:bCs/>
                <w:sz w:val="20"/>
                <w:szCs w:val="20"/>
              </w:rPr>
              <w:t>4</w:t>
            </w:r>
            <w:r w:rsidR="00977C37">
              <w:rPr>
                <w:b/>
                <w:bCs/>
                <w:sz w:val="20"/>
                <w:szCs w:val="20"/>
              </w:rPr>
              <w:t xml:space="preserve"> </w:t>
            </w:r>
            <w:r w:rsidRPr="00F154D4">
              <w:rPr>
                <w:b/>
                <w:bCs/>
                <w:sz w:val="20"/>
                <w:szCs w:val="20"/>
              </w:rPr>
              <w:t>153,1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E6BC9" w14:textId="11AA59BF" w:rsidR="004B3D98" w:rsidRPr="005B14B9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-10 774,1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E9E379" w14:textId="4F41BEF1" w:rsidR="004B3D98" w:rsidRPr="004B3D98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27,8%</w:t>
            </w:r>
          </w:p>
        </w:tc>
      </w:tr>
      <w:tr w:rsidR="004B3D98" w:rsidRPr="00AE4964" w14:paraId="3C25F3BF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99291A8" w14:textId="58BFD7CD" w:rsidR="004B3D98" w:rsidRPr="0046605E" w:rsidRDefault="004B3D98" w:rsidP="004B3D98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ремонт, ремонт автомобильных дорог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EAE254" w14:textId="2DD149D6" w:rsidR="004B3D98" w:rsidRPr="00E67C3A" w:rsidRDefault="004B3D98" w:rsidP="004B3D98">
            <w:pPr>
              <w:jc w:val="right"/>
              <w:rPr>
                <w:sz w:val="20"/>
                <w:szCs w:val="20"/>
                <w:highlight w:val="yellow"/>
              </w:rPr>
            </w:pPr>
            <w:r w:rsidRPr="00D629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629FD">
              <w:rPr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97393" w14:textId="76B25348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D3BE0C" w14:textId="23A34EAD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E9EB5" w14:textId="2846F320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-356,6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B897B" w14:textId="44E9E8B8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10,2%</w:t>
            </w:r>
          </w:p>
        </w:tc>
      </w:tr>
      <w:tr w:rsidR="004B3D98" w:rsidRPr="00AE4964" w14:paraId="632B45EC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704CBD8" w14:textId="52C6BE9F" w:rsidR="004B3D98" w:rsidRPr="0046605E" w:rsidRDefault="004B3D98" w:rsidP="004B3D98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0CCEB3" w14:textId="15612341" w:rsidR="004B3D98" w:rsidRPr="004C3DAA" w:rsidRDefault="004B3D98" w:rsidP="004B3D9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26977" w14:textId="6FA98664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674DC2A" w14:textId="2CB70A8E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EFA3E" w14:textId="5C91A95E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-1 417,0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30532" w14:textId="5B1B62C6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52,4%</w:t>
            </w:r>
          </w:p>
        </w:tc>
      </w:tr>
      <w:tr w:rsidR="004B3D98" w:rsidRPr="00AE4964" w14:paraId="2BDD3636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E266B1E" w14:textId="2ADD790B" w:rsidR="004B3D98" w:rsidRPr="0046605E" w:rsidRDefault="004B3D98" w:rsidP="004B3D98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Строительство и реконструкция автодорог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E82574" w14:textId="4A92265E" w:rsidR="004B3D98" w:rsidRPr="004C3DAA" w:rsidRDefault="004B3D98" w:rsidP="004B3D9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1BEE3" w14:textId="5595A4D6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34EC19" w14:textId="6104DF64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2488F" w14:textId="44A927C9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-2 940,5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668BE" w14:textId="28682C67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3,3%</w:t>
            </w:r>
          </w:p>
        </w:tc>
      </w:tr>
      <w:tr w:rsidR="004B3D98" w:rsidRPr="00AE4964" w14:paraId="0737219F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07592C0" w14:textId="49921262" w:rsidR="004B3D98" w:rsidRPr="00D2222B" w:rsidRDefault="004B3D98" w:rsidP="004B3D98">
            <w:pPr>
              <w:rPr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 xml:space="preserve">Осуществление дорожной деятельности на местных дорогах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BC77D" w14:textId="63D6AF00" w:rsidR="004B3D98" w:rsidRPr="004C3DAA" w:rsidRDefault="004B3D98" w:rsidP="004B3D9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70C3EE" w14:textId="4C665A75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1939CE" w14:textId="70841CB8" w:rsidR="004B3D98" w:rsidRPr="00DF455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B8473" w14:textId="3F7C31DA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-337,2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A53035" w14:textId="1A914825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58,0%</w:t>
            </w:r>
          </w:p>
        </w:tc>
      </w:tr>
      <w:tr w:rsidR="004B3D98" w:rsidRPr="0046605E" w14:paraId="20DABB79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80E15" w14:textId="3D302072" w:rsidR="004B3D98" w:rsidRPr="00D2222B" w:rsidRDefault="004B3D98" w:rsidP="004B3D98">
            <w:pPr>
              <w:rPr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 xml:space="preserve">Региональный проект </w:t>
            </w:r>
            <w:r>
              <w:rPr>
                <w:sz w:val="20"/>
                <w:szCs w:val="20"/>
              </w:rPr>
              <w:t>«</w:t>
            </w:r>
            <w:r w:rsidRPr="00D2222B">
              <w:rPr>
                <w:sz w:val="20"/>
                <w:szCs w:val="20"/>
              </w:rPr>
              <w:t>Дорожная сеть</w:t>
            </w:r>
            <w:r>
              <w:rPr>
                <w:sz w:val="20"/>
                <w:szCs w:val="20"/>
              </w:rPr>
              <w:t>»</w:t>
            </w:r>
            <w:r w:rsidRPr="00D22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0FE8A" w14:textId="76A5DAAC" w:rsidR="004B3D98" w:rsidRPr="004A43A2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1D5D7" w14:textId="17AD9FE4" w:rsidR="004B3D98" w:rsidRPr="0078092C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7 597,1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9C56D8C" w14:textId="051CA1F0" w:rsidR="004B3D98" w:rsidRPr="0078092C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888E6" w14:textId="52898603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-5 615,2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78AEE8" w14:textId="00E70160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26,1%</w:t>
            </w:r>
          </w:p>
        </w:tc>
      </w:tr>
      <w:tr w:rsidR="004B3D98" w:rsidRPr="0046605E" w14:paraId="2FE2C485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911855C" w14:textId="43187CA1" w:rsidR="004B3D98" w:rsidRPr="00D2222B" w:rsidRDefault="004B3D98" w:rsidP="004B3D98">
            <w:pPr>
              <w:rPr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607E4" w14:textId="1E703A9A" w:rsidR="004B3D98" w:rsidRPr="00CE32E3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99E22" w14:textId="32B42E03" w:rsidR="004B3D98" w:rsidRPr="00E52B2A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E942BD6" w14:textId="77F8FB18" w:rsidR="004B3D98" w:rsidRPr="00E52B2A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26E09" w14:textId="392C8303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-62,7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41914" w14:textId="7BAADA56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6,4%</w:t>
            </w:r>
          </w:p>
        </w:tc>
      </w:tr>
      <w:tr w:rsidR="004B3D98" w:rsidRPr="003F1D19" w14:paraId="14804408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DFD71" w14:textId="5361D7E0" w:rsidR="004B3D98" w:rsidRPr="001831A7" w:rsidRDefault="004B3D98" w:rsidP="004B3D98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</w:rPr>
              <w:t>ДД»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A514" w14:textId="0638E04B" w:rsidR="004B3D98" w:rsidRPr="00CE32E3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9BF9D" w14:textId="153CF9BE" w:rsidR="004B3D98" w:rsidRPr="009F44F8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38D195" w14:textId="73760F2D" w:rsidR="004B3D98" w:rsidRPr="009F44F8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D4260" w14:textId="64870F26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-44,9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7869D1" w14:textId="2C5D1307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0,0%</w:t>
            </w:r>
          </w:p>
        </w:tc>
      </w:tr>
      <w:tr w:rsidR="004B3D98" w:rsidRPr="003F1D19" w14:paraId="0730907D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71012" w14:textId="6B0393CB" w:rsidR="004B3D98" w:rsidRPr="001831A7" w:rsidRDefault="004B3D98" w:rsidP="004B3D98">
            <w:pPr>
              <w:rPr>
                <w:rFonts w:eastAsia="Calibri"/>
                <w:sz w:val="20"/>
                <w:szCs w:val="20"/>
              </w:rPr>
            </w:pPr>
            <w:r w:rsidRPr="0046605E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Облком</w:t>
            </w:r>
            <w:r>
              <w:rPr>
                <w:b/>
                <w:bCs/>
                <w:i/>
                <w:iCs/>
                <w:sz w:val="20"/>
                <w:szCs w:val="20"/>
              </w:rPr>
              <w:t>тнформтехнологии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4FF0" w14:textId="6E51CD29" w:rsidR="004B3D98" w:rsidRPr="00E065C3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79C62" w14:textId="510A6ABC" w:rsidR="004B3D98" w:rsidRPr="00E065C3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1 229,0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9170830" w14:textId="1DE7586F" w:rsidR="004B3D98" w:rsidRPr="00E065C3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 w:rsidRPr="005A44AB">
              <w:rPr>
                <w:b/>
                <w:bCs/>
                <w:sz w:val="20"/>
                <w:szCs w:val="20"/>
              </w:rPr>
              <w:t>291,5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1CFD7" w14:textId="09AFAE71" w:rsidR="004B3D98" w:rsidRPr="00E065C3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-937,5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AF2524" w14:textId="33C3CFB0" w:rsidR="004B3D98" w:rsidRPr="00E065C3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23,7%</w:t>
            </w:r>
          </w:p>
        </w:tc>
      </w:tr>
      <w:tr w:rsidR="004B3D98" w:rsidRPr="003F1D19" w14:paraId="64C0E73E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38C79" w14:textId="7B3029D6" w:rsidR="004B3D98" w:rsidRPr="001831A7" w:rsidRDefault="004B3D98" w:rsidP="004B3D98">
            <w:pPr>
              <w:rPr>
                <w:rFonts w:eastAsia="Calibri"/>
                <w:sz w:val="20"/>
                <w:szCs w:val="20"/>
              </w:rPr>
            </w:pPr>
            <w:r w:rsidRPr="00D2222B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0AECF" w14:textId="3345E0AF" w:rsidR="004B3D98" w:rsidRPr="00CE32E3" w:rsidRDefault="004B3D98" w:rsidP="004B3D98">
            <w:pPr>
              <w:jc w:val="right"/>
              <w:rPr>
                <w:sz w:val="20"/>
                <w:szCs w:val="20"/>
              </w:rPr>
            </w:pPr>
            <w:r w:rsidRPr="00D629FD">
              <w:rPr>
                <w:sz w:val="20"/>
                <w:szCs w:val="20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2586" w14:textId="25380D41" w:rsidR="004B3D98" w:rsidRPr="005A44AB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7F55EE" w14:textId="58D4F249" w:rsidR="004B3D98" w:rsidRPr="009F44F8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0538B" w14:textId="7A0353F9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-62,3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61CB4C" w14:textId="6CB96AC5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23,7%</w:t>
            </w:r>
          </w:p>
        </w:tc>
      </w:tr>
      <w:tr w:rsidR="004B3D98" w:rsidRPr="003F1D19" w14:paraId="52D8AF20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23C24B" w14:textId="01C1E1AB" w:rsidR="004B3D98" w:rsidRPr="001831A7" w:rsidRDefault="004B3D98" w:rsidP="004B3D98">
            <w:pPr>
              <w:rPr>
                <w:rFonts w:eastAsia="Calibri"/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Общесистемные меры</w:t>
            </w:r>
            <w:r>
              <w:rPr>
                <w:rFonts w:eastAsia="Calibri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1A641" w14:textId="53C2ED99" w:rsidR="004B3D98" w:rsidRPr="00CE32E3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3D62A" w14:textId="7ADBAF63" w:rsidR="004B3D98" w:rsidRPr="005A44AB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147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42BFF32" w14:textId="6A57556A" w:rsidR="004B3D98" w:rsidRPr="009F44F8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9F742" w14:textId="2041F663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-875,2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F6D81" w14:textId="1D960052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23,7%</w:t>
            </w:r>
          </w:p>
        </w:tc>
      </w:tr>
      <w:tr w:rsidR="004B3D98" w:rsidRPr="003F1D19" w14:paraId="748C31CC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999FB42" w14:textId="5AE288B9" w:rsidR="004B3D98" w:rsidRPr="003F1D19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8D6555">
              <w:rPr>
                <w:b/>
                <w:bCs/>
                <w:sz w:val="20"/>
                <w:szCs w:val="20"/>
              </w:rPr>
              <w:t>ГП «</w:t>
            </w:r>
            <w:r w:rsidRPr="008D6555">
              <w:rPr>
                <w:rFonts w:eastAsia="Calibri"/>
                <w:b/>
                <w:bCs/>
                <w:sz w:val="20"/>
                <w:szCs w:val="20"/>
              </w:rPr>
              <w:t>Энергосбережение</w:t>
            </w:r>
            <w:r w:rsidRPr="008D6555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6677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46677">
              <w:rPr>
                <w:b/>
                <w:bCs/>
                <w:i/>
                <w:iCs/>
                <w:sz w:val="20"/>
                <w:szCs w:val="20"/>
              </w:rPr>
              <w:t>Облфин</w:t>
            </w:r>
            <w:proofErr w:type="spellEnd"/>
            <w:r w:rsidRPr="00746677"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5AD4">
              <w:rPr>
                <w:bCs/>
                <w:sz w:val="20"/>
                <w:szCs w:val="20"/>
              </w:rPr>
              <w:t>с</w:t>
            </w:r>
            <w:r w:rsidRPr="00995A95">
              <w:rPr>
                <w:sz w:val="20"/>
                <w:szCs w:val="20"/>
              </w:rPr>
              <w:t>убсидии МО на освещени</w:t>
            </w:r>
            <w:r w:rsidR="00977C37">
              <w:rPr>
                <w:sz w:val="20"/>
                <w:szCs w:val="20"/>
              </w:rPr>
              <w:t>е</w:t>
            </w:r>
            <w:r w:rsidRPr="00995A95">
              <w:rPr>
                <w:sz w:val="20"/>
                <w:szCs w:val="20"/>
              </w:rPr>
              <w:t xml:space="preserve"> улично-дор</w:t>
            </w:r>
            <w:r>
              <w:rPr>
                <w:sz w:val="20"/>
                <w:szCs w:val="20"/>
              </w:rPr>
              <w:t xml:space="preserve">ожной </w:t>
            </w:r>
            <w:r w:rsidRPr="00995A95">
              <w:rPr>
                <w:sz w:val="20"/>
                <w:szCs w:val="20"/>
              </w:rPr>
              <w:t>сети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8DDC2" w14:textId="0F7E2B74" w:rsidR="004B3D98" w:rsidRPr="00D629FD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 w:rsidRPr="00D629FD">
              <w:rPr>
                <w:b/>
                <w:bCs/>
                <w:sz w:val="20"/>
                <w:szCs w:val="20"/>
              </w:rPr>
              <w:t>264,0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01997" w14:textId="6814BFCE" w:rsidR="004B3D98" w:rsidRPr="00BC5321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264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092A5F4" w14:textId="2001FD99" w:rsidR="004B3D98" w:rsidRPr="00B415DD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52AEE" w14:textId="1E9700CA" w:rsidR="004B3D98" w:rsidRPr="00B415DD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-254,5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7CA32A" w14:textId="2206054C" w:rsidR="004B3D98" w:rsidRPr="00B415DD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3,6%</w:t>
            </w:r>
          </w:p>
        </w:tc>
      </w:tr>
      <w:tr w:rsidR="004B3D98" w:rsidRPr="003F1D19" w14:paraId="4871D4EB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19908" w14:textId="10F63A68" w:rsidR="004B3D98" w:rsidRPr="00096B86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  <w:r w:rsidRPr="00F72A24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72A24">
              <w:rPr>
                <w:b/>
                <w:bCs/>
                <w:i/>
                <w:iCs/>
                <w:sz w:val="20"/>
                <w:szCs w:val="20"/>
              </w:rPr>
              <w:t>Облфин</w:t>
            </w:r>
            <w:proofErr w:type="spellEnd"/>
            <w:r w:rsidRPr="00F72A24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87E3B" w14:textId="59D6F7FC" w:rsidR="004B3D98" w:rsidRPr="00096B86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6B5B" w14:textId="58E466B1" w:rsidR="004B3D98" w:rsidRPr="00096B86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 w:rsidRPr="0043277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2775">
              <w:rPr>
                <w:b/>
                <w:bCs/>
                <w:sz w:val="20"/>
                <w:szCs w:val="20"/>
              </w:rPr>
              <w:t>706,4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EB67EA9" w14:textId="367D1814" w:rsidR="004B3D98" w:rsidRPr="00096B86" w:rsidRDefault="004B3D98" w:rsidP="004B3D98">
            <w:pPr>
              <w:jc w:val="right"/>
              <w:rPr>
                <w:b/>
                <w:bCs/>
                <w:sz w:val="20"/>
                <w:szCs w:val="20"/>
              </w:rPr>
            </w:pPr>
            <w:r w:rsidRPr="00432775">
              <w:rPr>
                <w:b/>
                <w:bCs/>
                <w:sz w:val="20"/>
                <w:szCs w:val="20"/>
              </w:rPr>
              <w:t>1</w:t>
            </w:r>
            <w:r w:rsidR="00977C37">
              <w:rPr>
                <w:b/>
                <w:bCs/>
                <w:sz w:val="20"/>
                <w:szCs w:val="20"/>
              </w:rPr>
              <w:t xml:space="preserve"> </w:t>
            </w:r>
            <w:r w:rsidRPr="00432775">
              <w:rPr>
                <w:b/>
                <w:bCs/>
                <w:sz w:val="20"/>
                <w:szCs w:val="20"/>
              </w:rPr>
              <w:t>133,1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61C38" w14:textId="5C060C20" w:rsidR="004B3D98" w:rsidRPr="00096B86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-573,3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156FE0" w14:textId="6F0C0775" w:rsidR="004B3D98" w:rsidRPr="00096B86" w:rsidRDefault="004B3D98" w:rsidP="004B3D9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sz w:val="20"/>
                <w:szCs w:val="20"/>
              </w:rPr>
              <w:t>66,4%</w:t>
            </w:r>
          </w:p>
        </w:tc>
      </w:tr>
      <w:tr w:rsidR="004B3D98" w:rsidRPr="003F1D19" w14:paraId="27084C7E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020E77" w14:textId="512B66A5" w:rsidR="004B3D98" w:rsidRPr="00096B86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Предоставление МБТ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1D5EE" w14:textId="26F45E88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 w:rsidRPr="00BC53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C5321">
              <w:rPr>
                <w:sz w:val="20"/>
                <w:szCs w:val="20"/>
              </w:rPr>
              <w:t>673,6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8D81C" w14:textId="4D448CB6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 w:rsidRPr="00BC53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C5321">
              <w:rPr>
                <w:sz w:val="20"/>
                <w:szCs w:val="20"/>
              </w:rPr>
              <w:t>673,6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77A367" w14:textId="78119154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4A292" w14:textId="3B86F98F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-540,5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DBA7D" w14:textId="4420A5B6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67,7%</w:t>
            </w:r>
          </w:p>
        </w:tc>
      </w:tr>
      <w:tr w:rsidR="004B3D98" w:rsidRPr="003F1D19" w14:paraId="15F7B715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F0285" w14:textId="58EE720C" w:rsidR="004B3D98" w:rsidRPr="00096B86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Расходы на обслуживание долговых обязательств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04B9C" w14:textId="367E3179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 w:rsidRPr="00BC532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685B" w14:textId="10B64060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C1D3444" w14:textId="05A01F3E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AD9F0" w14:textId="1EE88327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-2,0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379FBB" w14:textId="58FC3D18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0,0%</w:t>
            </w:r>
          </w:p>
        </w:tc>
      </w:tr>
      <w:tr w:rsidR="004B3D98" w:rsidRPr="003F1D19" w14:paraId="24601704" w14:textId="77777777" w:rsidTr="000E5D32">
        <w:trPr>
          <w:trHeight w:val="20"/>
        </w:trPr>
        <w:tc>
          <w:tcPr>
            <w:tcW w:w="49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37548E" w14:textId="6D4BCD13" w:rsidR="004B3D98" w:rsidRPr="00096B86" w:rsidRDefault="004B3D98" w:rsidP="004B3D98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3A0B4" w14:textId="5F66CE12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 w:rsidRPr="00BC5321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9006B" w14:textId="6646AE84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01D96C" w14:textId="277AE210" w:rsidR="004B3D98" w:rsidRPr="00BC5321" w:rsidRDefault="004B3D98" w:rsidP="004B3D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FEC1D4" w14:textId="5FC097F6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-30,8</w:t>
            </w:r>
          </w:p>
        </w:tc>
        <w:tc>
          <w:tcPr>
            <w:tcW w:w="7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EA156" w14:textId="7A9294D3" w:rsidR="004B3D98" w:rsidRPr="004B3D98" w:rsidRDefault="004B3D98" w:rsidP="004B3D98">
            <w:pPr>
              <w:jc w:val="center"/>
              <w:rPr>
                <w:sz w:val="20"/>
                <w:szCs w:val="20"/>
              </w:rPr>
            </w:pPr>
            <w:r w:rsidRPr="004B3D98">
              <w:rPr>
                <w:sz w:val="20"/>
                <w:szCs w:val="20"/>
              </w:rPr>
              <w:t>0,0%</w:t>
            </w:r>
          </w:p>
        </w:tc>
      </w:tr>
    </w:tbl>
    <w:p w14:paraId="2158D8B6" w14:textId="77777777" w:rsidR="002458AC" w:rsidRDefault="002458AC" w:rsidP="00AE4964">
      <w:pPr>
        <w:autoSpaceDE w:val="0"/>
        <w:autoSpaceDN w:val="0"/>
        <w:adjustRightInd w:val="0"/>
        <w:ind w:firstLine="709"/>
        <w:jc w:val="both"/>
      </w:pPr>
    </w:p>
    <w:p w14:paraId="445C2692" w14:textId="14191575" w:rsidR="00AE4964" w:rsidRDefault="00AE4964" w:rsidP="00AE4964">
      <w:pPr>
        <w:autoSpaceDE w:val="0"/>
        <w:autoSpaceDN w:val="0"/>
        <w:adjustRightInd w:val="0"/>
        <w:ind w:firstLine="709"/>
        <w:jc w:val="both"/>
      </w:pPr>
      <w:r w:rsidRPr="00A434A8">
        <w:t xml:space="preserve">Отклонение объема расходов, </w:t>
      </w:r>
      <w:r w:rsidRPr="008C03E5">
        <w:t>утвержденных Зако</w:t>
      </w:r>
      <w:r w:rsidR="00BA5598" w:rsidRPr="008C03E5">
        <w:t>ном об областном бюджете на 20</w:t>
      </w:r>
      <w:r w:rsidR="00A434A8" w:rsidRPr="008C03E5">
        <w:t>2</w:t>
      </w:r>
      <w:r w:rsidR="00954405">
        <w:t>1</w:t>
      </w:r>
      <w:r w:rsidRPr="008C03E5">
        <w:t xml:space="preserve"> год, от показателя бюджетной росписи на </w:t>
      </w:r>
      <w:r w:rsidR="00954405" w:rsidRPr="00954405">
        <w:t>6</w:t>
      </w:r>
      <w:r w:rsidR="00954405">
        <w:t> </w:t>
      </w:r>
      <w:r w:rsidR="00954405" w:rsidRPr="00954405">
        <w:t>210,4</w:t>
      </w:r>
      <w:r w:rsidR="00954405">
        <w:t xml:space="preserve"> </w:t>
      </w:r>
      <w:r w:rsidRPr="008C03E5">
        <w:t xml:space="preserve">млн. руб. обусловлено </w:t>
      </w:r>
      <w:r w:rsidR="002F162C" w:rsidRPr="008C03E5">
        <w:t xml:space="preserve">запланированным </w:t>
      </w:r>
      <w:r w:rsidRPr="008C03E5">
        <w:t>предоставлением бюджету Волгоградской области дополнительн</w:t>
      </w:r>
      <w:r w:rsidR="00F22710">
        <w:t>ых</w:t>
      </w:r>
      <w:r w:rsidRPr="008C03E5">
        <w:t xml:space="preserve"> межбюджетн</w:t>
      </w:r>
      <w:r w:rsidR="00F22710">
        <w:t>ых</w:t>
      </w:r>
      <w:r w:rsidRPr="008C03E5">
        <w:t xml:space="preserve"> трансферт</w:t>
      </w:r>
      <w:r w:rsidR="00F22710">
        <w:t>ов</w:t>
      </w:r>
      <w:r w:rsidRPr="008C03E5">
        <w:t xml:space="preserve"> из федерального бюджета. На дату осуществления мониторинга </w:t>
      </w:r>
      <w:r w:rsidR="00F22710">
        <w:t xml:space="preserve">рассматриваются </w:t>
      </w:r>
      <w:r w:rsidRPr="008C03E5">
        <w:t>соответствующие изменения в За</w:t>
      </w:r>
      <w:r w:rsidR="00BA5598" w:rsidRPr="008C03E5">
        <w:t>кон об областном бюджете на 20</w:t>
      </w:r>
      <w:r w:rsidR="008C03E5" w:rsidRPr="008C03E5">
        <w:t>2</w:t>
      </w:r>
      <w:r w:rsidR="00954405">
        <w:t>1</w:t>
      </w:r>
      <w:r w:rsidRPr="008C03E5">
        <w:t xml:space="preserve"> год.</w:t>
      </w:r>
    </w:p>
    <w:p w14:paraId="46C6F33C" w14:textId="1BE4E615" w:rsidR="00F22710" w:rsidRDefault="00F22710" w:rsidP="00AE4964">
      <w:pPr>
        <w:autoSpaceDE w:val="0"/>
        <w:autoSpaceDN w:val="0"/>
        <w:adjustRightInd w:val="0"/>
        <w:ind w:firstLine="709"/>
        <w:jc w:val="both"/>
      </w:pPr>
      <w:r>
        <w:t>Объём ассигнований дорожного фонда Волгоградской области на 2021 год, предусмотренный сводной бюджетной росписью, больше объёма ассигнований, предложенного законопроектом, на 984,7 млн. руб.</w:t>
      </w:r>
      <w:r w:rsidR="00BB5CE4">
        <w:t xml:space="preserve">, что позволяет надеяться на сокращение суммового значения допущенного нарушения </w:t>
      </w:r>
      <w:r w:rsidR="00BB5CE4" w:rsidRPr="00253704">
        <w:rPr>
          <w:rFonts w:eastAsiaTheme="minorEastAsia"/>
        </w:rPr>
        <w:t>п. 4 ст. 179.4 БК РФ</w:t>
      </w:r>
      <w:r w:rsidR="00BB5CE4">
        <w:rPr>
          <w:rFonts w:eastAsiaTheme="minorEastAsia"/>
        </w:rPr>
        <w:t xml:space="preserve"> - </w:t>
      </w:r>
      <w:r w:rsidR="00BB5CE4">
        <w:rPr>
          <w:rFonts w:eastAsiaTheme="minorHAnsi"/>
          <w:lang w:eastAsia="en-US"/>
        </w:rPr>
        <w:t>объем бюджетных ассигнований дорожного фонда Волгоградской области утверждён в размере менее прогнозируемого объема установленных законом доходов.</w:t>
      </w:r>
    </w:p>
    <w:p w14:paraId="2B8DFFE5" w14:textId="687E823A" w:rsid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4647E9">
        <w:t>Расходы дорожного фонда Волгоградской области за I полугоди</w:t>
      </w:r>
      <w:r w:rsidR="002A77A5" w:rsidRPr="004647E9">
        <w:t>е</w:t>
      </w:r>
      <w:r w:rsidRPr="004647E9">
        <w:t xml:space="preserve"> 20</w:t>
      </w:r>
      <w:r w:rsidR="004647E9">
        <w:t>2</w:t>
      </w:r>
      <w:r w:rsidR="00DF6536">
        <w:t>1</w:t>
      </w:r>
      <w:r w:rsidRPr="004647E9">
        <w:t xml:space="preserve"> года в сумме </w:t>
      </w:r>
      <w:r w:rsidR="00DF6536" w:rsidRPr="00DF6536">
        <w:t>5</w:t>
      </w:r>
      <w:r w:rsidR="00DF6536">
        <w:t> </w:t>
      </w:r>
      <w:r w:rsidR="00DF6536" w:rsidRPr="00DF6536">
        <w:t>656,4</w:t>
      </w:r>
      <w:r w:rsidR="00DF6536">
        <w:t xml:space="preserve"> </w:t>
      </w:r>
      <w:r w:rsidRPr="00F640A0">
        <w:t>млн</w:t>
      </w:r>
      <w:r w:rsidRPr="004647E9">
        <w:t xml:space="preserve">. руб. </w:t>
      </w:r>
      <w:r w:rsidRPr="00F640A0">
        <w:t xml:space="preserve">составили </w:t>
      </w:r>
      <w:r w:rsidR="00DF6536">
        <w:t>30,6</w:t>
      </w:r>
      <w:r w:rsidRPr="00F640A0">
        <w:t xml:space="preserve">% </w:t>
      </w:r>
      <w:r w:rsidRPr="004647E9">
        <w:t>от объема ассигнований, утвержденных сводной бюджетной росписью, что больше аналогичного показателя за I полугоди</w:t>
      </w:r>
      <w:r w:rsidR="002A77A5" w:rsidRPr="004647E9">
        <w:t>е</w:t>
      </w:r>
      <w:r w:rsidRPr="004647E9">
        <w:t xml:space="preserve"> 20</w:t>
      </w:r>
      <w:r w:rsidR="00DF6536">
        <w:t>20</w:t>
      </w:r>
      <w:r w:rsidRPr="004647E9">
        <w:t xml:space="preserve"> года в абсолютной величине </w:t>
      </w:r>
      <w:r w:rsidRPr="005351B0">
        <w:t xml:space="preserve">на </w:t>
      </w:r>
      <w:r w:rsidR="009158E5">
        <w:t>1</w:t>
      </w:r>
      <w:r w:rsidR="00977C37">
        <w:t xml:space="preserve"> </w:t>
      </w:r>
      <w:r w:rsidR="009158E5">
        <w:t>062,5</w:t>
      </w:r>
      <w:r w:rsidRPr="005351B0">
        <w:t xml:space="preserve"> млн. руб</w:t>
      </w:r>
      <w:r w:rsidR="00D969F4">
        <w:t>. в связи с увеличением доходной части бюджета.</w:t>
      </w:r>
    </w:p>
    <w:p w14:paraId="5856C92E" w14:textId="77777777" w:rsidR="002458AC" w:rsidRDefault="002458AC" w:rsidP="000D2939">
      <w:pPr>
        <w:autoSpaceDE w:val="0"/>
        <w:autoSpaceDN w:val="0"/>
        <w:adjustRightInd w:val="0"/>
        <w:ind w:firstLine="709"/>
        <w:jc w:val="both"/>
      </w:pPr>
    </w:p>
    <w:p w14:paraId="08585C11" w14:textId="0D3E2512" w:rsidR="000D2939" w:rsidRPr="000D2939" w:rsidRDefault="000D2939" w:rsidP="000D2939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0D2939">
        <w:rPr>
          <w:i/>
          <w:sz w:val="22"/>
          <w:szCs w:val="22"/>
        </w:rPr>
        <w:t>млн. руб.</w:t>
      </w:r>
    </w:p>
    <w:tbl>
      <w:tblPr>
        <w:tblW w:w="10207" w:type="dxa"/>
        <w:tblInd w:w="-5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981"/>
        <w:gridCol w:w="1146"/>
      </w:tblGrid>
      <w:tr w:rsidR="000D2939" w:rsidRPr="00700174" w14:paraId="42480E1F" w14:textId="77777777" w:rsidTr="004C2463">
        <w:trPr>
          <w:trHeight w:val="276"/>
          <w:tblHeader/>
        </w:trPr>
        <w:tc>
          <w:tcPr>
            <w:tcW w:w="55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0DFF122" w14:textId="15A2B654" w:rsidR="000D2939" w:rsidRPr="00700174" w:rsidRDefault="000D2939" w:rsidP="000E5D32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A3278BF" w14:textId="3E83635E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</w:t>
            </w:r>
            <w:r w:rsidR="00B508C5">
              <w:rPr>
                <w:sz w:val="20"/>
                <w:szCs w:val="20"/>
                <w:lang w:val="en-US"/>
              </w:rPr>
              <w:t>20</w:t>
            </w:r>
            <w:r w:rsidRPr="007001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D4F1799" w14:textId="653F6EE2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полугодие 20</w:t>
            </w:r>
            <w:r w:rsidR="004C3DAA">
              <w:rPr>
                <w:sz w:val="20"/>
                <w:szCs w:val="20"/>
              </w:rPr>
              <w:t>2</w:t>
            </w:r>
            <w:r w:rsidR="00B508C5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4904C0" w14:textId="74E4609E" w:rsidR="000D2939" w:rsidRPr="00B508C5" w:rsidRDefault="000D2939" w:rsidP="000D2939">
            <w:pPr>
              <w:jc w:val="center"/>
              <w:rPr>
                <w:sz w:val="20"/>
                <w:szCs w:val="20"/>
                <w:lang w:val="en-US"/>
              </w:rPr>
            </w:pPr>
            <w:r w:rsidRPr="00700174">
              <w:rPr>
                <w:sz w:val="20"/>
                <w:szCs w:val="20"/>
              </w:rPr>
              <w:t>Отклонение 20</w:t>
            </w:r>
            <w:r w:rsidR="002502E4">
              <w:rPr>
                <w:sz w:val="20"/>
                <w:szCs w:val="20"/>
              </w:rPr>
              <w:t>2</w:t>
            </w:r>
            <w:r w:rsidR="00B508C5">
              <w:rPr>
                <w:sz w:val="20"/>
                <w:szCs w:val="20"/>
                <w:lang w:val="en-US"/>
              </w:rPr>
              <w:t>1</w:t>
            </w:r>
            <w:r w:rsidRPr="00700174">
              <w:rPr>
                <w:sz w:val="20"/>
                <w:szCs w:val="20"/>
              </w:rPr>
              <w:t>/20</w:t>
            </w:r>
            <w:r w:rsidR="00B508C5">
              <w:rPr>
                <w:sz w:val="20"/>
                <w:szCs w:val="20"/>
                <w:lang w:val="en-US"/>
              </w:rPr>
              <w:t>20</w:t>
            </w:r>
          </w:p>
        </w:tc>
      </w:tr>
      <w:tr w:rsidR="000D2939" w:rsidRPr="00700174" w14:paraId="2AF1E7A1" w14:textId="77777777" w:rsidTr="004C2463">
        <w:trPr>
          <w:trHeight w:val="276"/>
          <w:tblHeader/>
        </w:trPr>
        <w:tc>
          <w:tcPr>
            <w:tcW w:w="5529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615282F7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577376A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95B6C0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14:paraId="3F90A40A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</w:tr>
      <w:tr w:rsidR="000D2939" w:rsidRPr="00700174" w14:paraId="39EFFD04" w14:textId="77777777" w:rsidTr="004C2463">
        <w:trPr>
          <w:trHeight w:val="20"/>
          <w:tblHeader/>
        </w:trPr>
        <w:tc>
          <w:tcPr>
            <w:tcW w:w="552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D4FD6B8" w14:textId="77777777" w:rsidR="000D2939" w:rsidRPr="00700174" w:rsidRDefault="000D2939" w:rsidP="000640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AED1269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3E7F727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факт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5013EB4" w14:textId="77777777" w:rsidR="000D2939" w:rsidRPr="00700174" w:rsidRDefault="000D2939" w:rsidP="000640F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млн. руб.</w:t>
            </w:r>
          </w:p>
        </w:tc>
        <w:tc>
          <w:tcPr>
            <w:tcW w:w="11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CF4752" w14:textId="77777777" w:rsidR="000D2939" w:rsidRPr="00700174" w:rsidRDefault="000D2939" w:rsidP="000640F8">
            <w:pPr>
              <w:jc w:val="center"/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%</w:t>
            </w:r>
          </w:p>
        </w:tc>
      </w:tr>
      <w:tr w:rsidR="009158E5" w:rsidRPr="00700174" w14:paraId="5B59439F" w14:textId="77777777" w:rsidTr="009158E5">
        <w:trPr>
          <w:trHeight w:val="20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CA4F54" w14:textId="77777777" w:rsidR="009158E5" w:rsidRPr="00700174" w:rsidRDefault="009158E5" w:rsidP="009158E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00174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A52314A" w14:textId="77AC05A5" w:rsidR="009158E5" w:rsidRPr="00700174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4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D624E"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D624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E39D3AE" w14:textId="182D7A39" w:rsidR="009158E5" w:rsidRPr="000D624E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4B3D98">
              <w:rPr>
                <w:b/>
                <w:bCs/>
                <w:i/>
                <w:iCs/>
                <w:sz w:val="20"/>
                <w:szCs w:val="20"/>
              </w:rPr>
              <w:t>5 656,4</w:t>
            </w:r>
          </w:p>
        </w:tc>
        <w:tc>
          <w:tcPr>
            <w:tcW w:w="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7A6DFD" w14:textId="334F97D8" w:rsidR="009158E5" w:rsidRPr="009158E5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58E5">
              <w:rPr>
                <w:b/>
                <w:bCs/>
                <w:i/>
                <w:iCs/>
                <w:sz w:val="20"/>
                <w:szCs w:val="20"/>
              </w:rPr>
              <w:t>1 062,5</w:t>
            </w:r>
          </w:p>
        </w:tc>
        <w:tc>
          <w:tcPr>
            <w:tcW w:w="11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A4A18" w14:textId="0F80FF15" w:rsidR="009158E5" w:rsidRPr="009158E5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58E5">
              <w:rPr>
                <w:b/>
                <w:bCs/>
                <w:i/>
                <w:iCs/>
                <w:sz w:val="20"/>
                <w:szCs w:val="20"/>
              </w:rPr>
              <w:t>23,1%</w:t>
            </w:r>
          </w:p>
        </w:tc>
      </w:tr>
      <w:tr w:rsidR="009158E5" w:rsidRPr="00700174" w14:paraId="6639D74D" w14:textId="77777777" w:rsidTr="009158E5">
        <w:trPr>
          <w:trHeight w:val="20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4FDA750" w14:textId="77777777" w:rsidR="009158E5" w:rsidRDefault="009158E5" w:rsidP="009158E5">
            <w:pPr>
              <w:rPr>
                <w:b/>
                <w:bCs/>
                <w:sz w:val="20"/>
                <w:szCs w:val="20"/>
              </w:rPr>
            </w:pPr>
            <w:r w:rsidRPr="00F60CDE">
              <w:rPr>
                <w:b/>
                <w:bCs/>
                <w:sz w:val="20"/>
                <w:szCs w:val="20"/>
              </w:rPr>
              <w:t>ГП «Развитие сельских территорий»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8420DA" w14:textId="27E77198" w:rsidR="009158E5" w:rsidRPr="00700174" w:rsidRDefault="009158E5" w:rsidP="009158E5">
            <w:pPr>
              <w:rPr>
                <w:b/>
                <w:bCs/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>Строительство дорог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9ED08DD" w14:textId="534E809C" w:rsidR="009158E5" w:rsidRPr="00700174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79CC91" w14:textId="23B69A60" w:rsidR="009158E5" w:rsidRPr="00700174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9BF0E" w14:textId="62C6724A" w:rsidR="009158E5" w:rsidRPr="00EF367E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-14,5</w:t>
            </w:r>
          </w:p>
        </w:tc>
        <w:tc>
          <w:tcPr>
            <w:tcW w:w="11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33089" w14:textId="721B5A6B" w:rsidR="009158E5" w:rsidRPr="00EF367E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-17,3%</w:t>
            </w:r>
          </w:p>
        </w:tc>
      </w:tr>
      <w:tr w:rsidR="009158E5" w:rsidRPr="00700174" w14:paraId="21CB16DB" w14:textId="77777777" w:rsidTr="009158E5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70A991A" w14:textId="77777777" w:rsidR="009158E5" w:rsidRPr="00700174" w:rsidRDefault="009158E5" w:rsidP="009158E5">
            <w:pPr>
              <w:rPr>
                <w:b/>
                <w:bCs/>
                <w:sz w:val="20"/>
                <w:szCs w:val="20"/>
              </w:rPr>
            </w:pPr>
            <w:r w:rsidRPr="00700174">
              <w:rPr>
                <w:b/>
                <w:bCs/>
                <w:sz w:val="20"/>
                <w:szCs w:val="20"/>
              </w:rPr>
              <w:t>ГП «Развитие транспортной системы»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A043F3" w14:textId="45585F19" w:rsidR="009158E5" w:rsidRPr="00700174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5B14B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14B9">
              <w:rPr>
                <w:b/>
                <w:bCs/>
                <w:sz w:val="20"/>
                <w:szCs w:val="20"/>
              </w:rPr>
              <w:t>577,9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BA263" w14:textId="029353D9" w:rsidR="009158E5" w:rsidRPr="00700174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DF65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6536">
              <w:rPr>
                <w:b/>
                <w:bCs/>
                <w:sz w:val="20"/>
                <w:szCs w:val="20"/>
              </w:rPr>
              <w:t>444,6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17306" w14:textId="1E68BD66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866,7</w:t>
            </w:r>
          </w:p>
        </w:tc>
        <w:tc>
          <w:tcPr>
            <w:tcW w:w="11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69CD2" w14:textId="3336B5B7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24,2%</w:t>
            </w:r>
          </w:p>
        </w:tc>
      </w:tr>
      <w:tr w:rsidR="009158E5" w:rsidRPr="00700174" w14:paraId="2B6B9F59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7389F10" w14:textId="0C9C614B" w:rsidR="009158E5" w:rsidRPr="00700174" w:rsidRDefault="009158E5" w:rsidP="009158E5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ремонт, ремонт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3AD193" w14:textId="0D92E660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6C70C" w14:textId="09BBB572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E8EFE9C" w14:textId="54E60825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7,9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CA8C0D" w14:textId="17D3450B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24,2%</w:t>
            </w:r>
          </w:p>
        </w:tc>
      </w:tr>
      <w:tr w:rsidR="009158E5" w:rsidRPr="00700174" w14:paraId="6427D62F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B2A5B" w14:textId="1DAD6F27" w:rsidR="009158E5" w:rsidRPr="00305AB5" w:rsidRDefault="009158E5" w:rsidP="009158E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4E1AB" w14:textId="52649DAA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2134C" w14:textId="69046766" w:rsidR="009158E5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1 561,7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DB0A9A" w14:textId="1F0C630E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426,6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328512" w14:textId="3940E26F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37,6%</w:t>
            </w:r>
          </w:p>
        </w:tc>
      </w:tr>
      <w:tr w:rsidR="009158E5" w:rsidRPr="00700174" w14:paraId="794C7DA7" w14:textId="77777777" w:rsidTr="009158E5">
        <w:trPr>
          <w:trHeight w:val="218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F10C6D6" w14:textId="3B9A8FF7" w:rsidR="009158E5" w:rsidRPr="00700174" w:rsidRDefault="009158E5" w:rsidP="009158E5">
            <w:pPr>
              <w:rPr>
                <w:sz w:val="20"/>
                <w:szCs w:val="20"/>
              </w:rPr>
            </w:pPr>
            <w:r w:rsidRPr="00305AB5">
              <w:rPr>
                <w:rFonts w:eastAsiaTheme="minorHAnsi"/>
                <w:sz w:val="20"/>
                <w:szCs w:val="20"/>
                <w:lang w:eastAsia="en-US"/>
              </w:rPr>
              <w:t xml:space="preserve">Строительство и реконструкция автомобильных дорог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A8C486" w14:textId="4EF58CB2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83F25" w14:textId="2702E6DC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FEB2896" w14:textId="093B87B5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51,9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80DA88" w14:textId="4615A0A6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2,1 раза</w:t>
            </w:r>
          </w:p>
        </w:tc>
      </w:tr>
      <w:tr w:rsidR="009158E5" w:rsidRPr="00700174" w14:paraId="64291C97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67D5F3D" w14:textId="78CAE770" w:rsidR="009158E5" w:rsidRPr="00700174" w:rsidRDefault="009158E5" w:rsidP="009158E5">
            <w:pPr>
              <w:rPr>
                <w:sz w:val="20"/>
                <w:szCs w:val="20"/>
              </w:rPr>
            </w:pPr>
            <w:r w:rsidRPr="00F72A24">
              <w:rPr>
                <w:sz w:val="20"/>
                <w:szCs w:val="20"/>
              </w:rPr>
              <w:t xml:space="preserve">Осуществление дорожной деятельности на местных дорогах при поддержке областного бюджета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BB6C79" w14:textId="100E317B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D121C" w14:textId="355F5A5E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0EC7FD5" w14:textId="4BBAA0F4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129,9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F0E90A" w14:textId="51BD8349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38,8%</w:t>
            </w:r>
          </w:p>
        </w:tc>
      </w:tr>
      <w:tr w:rsidR="009158E5" w:rsidRPr="00700174" w14:paraId="7231CE89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7F87B" w14:textId="2703C6DD" w:rsidR="009158E5" w:rsidRPr="00D2222B" w:rsidRDefault="009158E5" w:rsidP="009158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2222B">
              <w:rPr>
                <w:sz w:val="20"/>
                <w:szCs w:val="20"/>
              </w:rPr>
              <w:t xml:space="preserve">Региональный проект </w:t>
            </w:r>
            <w:r>
              <w:rPr>
                <w:sz w:val="20"/>
                <w:szCs w:val="20"/>
              </w:rPr>
              <w:t>«</w:t>
            </w:r>
            <w:r w:rsidRPr="00D2222B">
              <w:rPr>
                <w:sz w:val="20"/>
                <w:szCs w:val="20"/>
              </w:rPr>
              <w:t>Дорожная сеть</w:t>
            </w:r>
            <w:r>
              <w:rPr>
                <w:sz w:val="20"/>
                <w:szCs w:val="20"/>
              </w:rPr>
              <w:t>»</w:t>
            </w:r>
            <w:r w:rsidRPr="00D222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42C38" w14:textId="22EABF7B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1609F" w14:textId="68FF9D67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1 981,9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C48C68" w14:textId="6E626EC5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222,5</w:t>
            </w:r>
          </w:p>
        </w:tc>
        <w:tc>
          <w:tcPr>
            <w:tcW w:w="114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B20B0" w14:textId="514060F2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12,6%</w:t>
            </w:r>
          </w:p>
        </w:tc>
      </w:tr>
      <w:tr w:rsidR="009158E5" w:rsidRPr="00700174" w14:paraId="726F330F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3AC5B8" w14:textId="77777777" w:rsidR="009158E5" w:rsidRPr="00700174" w:rsidRDefault="009158E5" w:rsidP="009158E5">
            <w:pPr>
              <w:rPr>
                <w:sz w:val="20"/>
                <w:szCs w:val="20"/>
              </w:rPr>
            </w:pPr>
            <w:r w:rsidRPr="00700174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FD6CC" w14:textId="1BCEA5B0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0175D" w14:textId="79A49FAD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D4106" w14:textId="2DD3F49D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-6,3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44EC9" w14:textId="375BF690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-21,0%</w:t>
            </w:r>
          </w:p>
        </w:tc>
      </w:tr>
      <w:tr w:rsidR="009158E5" w:rsidRPr="00700174" w14:paraId="72C29376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8D455" w14:textId="21479750" w:rsidR="009158E5" w:rsidRPr="00700174" w:rsidRDefault="009158E5" w:rsidP="009158E5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Общесистемные</w:t>
            </w:r>
            <w:r>
              <w:rPr>
                <w:rFonts w:eastAsia="Calibri"/>
                <w:sz w:val="20"/>
                <w:szCs w:val="20"/>
              </w:rPr>
              <w:t xml:space="preserve"> меры»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AB48" w14:textId="49B79410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599F0" w14:textId="05BF5D47" w:rsidR="009158E5" w:rsidRPr="00700174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F492D" w14:textId="5E0ECFBF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34,3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73E01" w14:textId="7944BFA1" w:rsidR="009158E5" w:rsidRPr="009158E5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14,4%</w:t>
            </w:r>
          </w:p>
        </w:tc>
      </w:tr>
      <w:tr w:rsidR="009158E5" w:rsidRPr="00700174" w14:paraId="1366E9D1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013AC" w14:textId="39901B57" w:rsidR="009158E5" w:rsidRPr="00700174" w:rsidRDefault="009158E5" w:rsidP="009158E5">
            <w:pPr>
              <w:rPr>
                <w:sz w:val="20"/>
                <w:szCs w:val="20"/>
              </w:rPr>
            </w:pPr>
            <w:r w:rsidRPr="001831A7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1831A7"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</w:rPr>
              <w:t>ДД»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866C" w14:textId="06B36364" w:rsidR="009158E5" w:rsidRPr="00D4534F" w:rsidRDefault="009158E5" w:rsidP="009158E5">
            <w:pPr>
              <w:jc w:val="center"/>
              <w:rPr>
                <w:sz w:val="20"/>
                <w:szCs w:val="20"/>
              </w:rPr>
            </w:pPr>
            <w:r w:rsidRPr="00D4534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CE60" w14:textId="6341F94C" w:rsidR="009158E5" w:rsidRPr="00D4534F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1D81" w14:textId="5D787D3F" w:rsidR="009158E5" w:rsidRPr="00D4534F" w:rsidRDefault="009158E5" w:rsidP="009158E5">
            <w:pPr>
              <w:jc w:val="center"/>
              <w:rPr>
                <w:sz w:val="20"/>
                <w:szCs w:val="20"/>
              </w:rPr>
            </w:pPr>
            <w:r w:rsidRPr="009158E5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EB587" w14:textId="5C25C8BD" w:rsidR="009158E5" w:rsidRPr="00D4534F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9158E5" w:rsidRPr="00700174" w14:paraId="2CF2A9E1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60DAF" w14:textId="3B8B8F1D" w:rsidR="009158E5" w:rsidRPr="00700174" w:rsidRDefault="009158E5" w:rsidP="009158E5">
            <w:pPr>
              <w:rPr>
                <w:i/>
                <w:iCs/>
                <w:sz w:val="20"/>
                <w:szCs w:val="20"/>
              </w:rPr>
            </w:pPr>
            <w:r w:rsidRPr="008D6555">
              <w:rPr>
                <w:b/>
                <w:bCs/>
                <w:sz w:val="20"/>
                <w:szCs w:val="20"/>
              </w:rPr>
              <w:t>ГП «</w:t>
            </w:r>
            <w:r w:rsidRPr="008D6555">
              <w:rPr>
                <w:rFonts w:eastAsia="Calibri"/>
                <w:b/>
                <w:bCs/>
                <w:sz w:val="20"/>
                <w:szCs w:val="20"/>
              </w:rPr>
              <w:t>Энергосбережение</w:t>
            </w:r>
            <w:r w:rsidRPr="008D6555">
              <w:rPr>
                <w:b/>
                <w:bCs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A587B">
              <w:rPr>
                <w:bCs/>
                <w:sz w:val="20"/>
                <w:szCs w:val="20"/>
              </w:rPr>
              <w:t>с</w:t>
            </w:r>
            <w:r w:rsidRPr="00995A95">
              <w:rPr>
                <w:sz w:val="20"/>
                <w:szCs w:val="20"/>
              </w:rPr>
              <w:t>убсидии бюджетам МО на освещения улично-дор</w:t>
            </w:r>
            <w:r>
              <w:rPr>
                <w:sz w:val="20"/>
                <w:szCs w:val="20"/>
              </w:rPr>
              <w:t xml:space="preserve">ожной </w:t>
            </w:r>
            <w:r w:rsidRPr="00995A95">
              <w:rPr>
                <w:sz w:val="20"/>
                <w:szCs w:val="20"/>
              </w:rPr>
              <w:t>сети населенных пунктов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7BFC0" w14:textId="45C7C7BC" w:rsidR="009158E5" w:rsidRPr="00700174" w:rsidRDefault="009158E5" w:rsidP="009158E5">
            <w:pPr>
              <w:jc w:val="center"/>
              <w:rPr>
                <w:i/>
                <w:sz w:val="20"/>
                <w:szCs w:val="20"/>
              </w:rPr>
            </w:pPr>
            <w:r w:rsidRPr="00DB6D6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060A" w14:textId="15AD25AE" w:rsidR="009158E5" w:rsidRPr="00DB6D67" w:rsidRDefault="009158E5" w:rsidP="009158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86695" w14:textId="7269BA2B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41768" w14:textId="737B4C29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9158E5" w:rsidRPr="00700174" w14:paraId="2303CA31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5460F" w14:textId="6BC6546D" w:rsidR="009158E5" w:rsidRPr="00700174" w:rsidRDefault="009158E5" w:rsidP="009158E5">
            <w:pPr>
              <w:rPr>
                <w:b/>
                <w:i/>
                <w:iCs/>
                <w:sz w:val="20"/>
                <w:szCs w:val="20"/>
              </w:rPr>
            </w:pPr>
            <w:r w:rsidRPr="00700174">
              <w:rPr>
                <w:b/>
                <w:i/>
                <w:iCs/>
                <w:sz w:val="20"/>
                <w:szCs w:val="20"/>
              </w:rPr>
              <w:t xml:space="preserve">Непрограммные расходы МБТ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D9453" w14:textId="4E7B9637" w:rsidR="009158E5" w:rsidRPr="00700174" w:rsidRDefault="009158E5" w:rsidP="009158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932,3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01D0D" w14:textId="31467819" w:rsidR="009158E5" w:rsidRPr="00DB6D67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277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2775">
              <w:rPr>
                <w:b/>
                <w:bCs/>
                <w:sz w:val="20"/>
                <w:szCs w:val="20"/>
              </w:rPr>
              <w:t>133,1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760F3" w14:textId="5D17ED1E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200,8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F3368" w14:textId="79F08E82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21,5%</w:t>
            </w:r>
          </w:p>
        </w:tc>
      </w:tr>
      <w:tr w:rsidR="009158E5" w:rsidRPr="00700174" w14:paraId="20859E12" w14:textId="77777777" w:rsidTr="009158E5">
        <w:trPr>
          <w:trHeight w:val="20"/>
        </w:trPr>
        <w:tc>
          <w:tcPr>
            <w:tcW w:w="55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9FE80" w14:textId="4E9A2314" w:rsidR="009158E5" w:rsidRPr="007750EF" w:rsidRDefault="009158E5" w:rsidP="009158E5">
            <w:pPr>
              <w:rPr>
                <w:b/>
                <w:i/>
                <w:iCs/>
                <w:sz w:val="20"/>
                <w:szCs w:val="20"/>
              </w:rPr>
            </w:pPr>
            <w:r w:rsidRPr="007750EF">
              <w:rPr>
                <w:b/>
                <w:bCs/>
                <w:i/>
                <w:iCs/>
                <w:sz w:val="20"/>
                <w:szCs w:val="20"/>
              </w:rPr>
              <w:t>Непрограммные расходы (исполнение судебных актов)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7621" w14:textId="6A22985E" w:rsidR="009158E5" w:rsidRPr="00700174" w:rsidRDefault="009158E5" w:rsidP="009158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6D67">
              <w:rPr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18CC1" w14:textId="131BCF3E" w:rsidR="009158E5" w:rsidRPr="00DB6D67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ADDD" w14:textId="1C97FFAC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11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7EAC0" w14:textId="0E383970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-100,0%</w:t>
            </w:r>
          </w:p>
        </w:tc>
      </w:tr>
      <w:tr w:rsidR="009158E5" w:rsidRPr="00700174" w14:paraId="77679C38" w14:textId="77777777" w:rsidTr="009158E5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370701F" w14:textId="5833630F" w:rsidR="009158E5" w:rsidRPr="00700174" w:rsidRDefault="009158E5" w:rsidP="009158E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700174">
              <w:rPr>
                <w:b/>
                <w:bCs/>
                <w:i/>
                <w:iCs/>
                <w:sz w:val="20"/>
                <w:szCs w:val="20"/>
              </w:rPr>
              <w:t>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B8A498C" w14:textId="3F7CF10B" w:rsidR="009158E5" w:rsidRPr="00055A5F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5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347C77" w14:textId="5858A5C3" w:rsidR="009158E5" w:rsidRPr="00055A5F" w:rsidRDefault="009158E5" w:rsidP="009158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7BDC3" w14:textId="1E0029E6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  <w:r w:rsidRPr="009158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7EE8D" w14:textId="07C82978" w:rsidR="009158E5" w:rsidRPr="009158E5" w:rsidRDefault="009158E5" w:rsidP="009158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CE0FA11" w14:textId="1B7C0B9A" w:rsidR="000D2939" w:rsidRDefault="000D2939" w:rsidP="000D2939">
      <w:pPr>
        <w:autoSpaceDE w:val="0"/>
        <w:autoSpaceDN w:val="0"/>
        <w:adjustRightInd w:val="0"/>
        <w:ind w:firstLine="709"/>
        <w:jc w:val="both"/>
      </w:pPr>
    </w:p>
    <w:p w14:paraId="3DE64368" w14:textId="373E95B7" w:rsidR="000D2939" w:rsidRPr="000D2939" w:rsidRDefault="000D2939" w:rsidP="000D2939">
      <w:pPr>
        <w:autoSpaceDE w:val="0"/>
        <w:autoSpaceDN w:val="0"/>
        <w:adjustRightInd w:val="0"/>
        <w:ind w:firstLine="709"/>
        <w:jc w:val="both"/>
      </w:pPr>
      <w:r w:rsidRPr="004647E9">
        <w:t>В разрезе направлений расходов информация об использовании дорожного фонда Волгоградской области в I полугодии 20</w:t>
      </w:r>
      <w:r w:rsidR="002502E4" w:rsidRPr="004647E9">
        <w:t>2</w:t>
      </w:r>
      <w:r w:rsidR="009158E5">
        <w:t>1</w:t>
      </w:r>
      <w:r w:rsidRPr="004647E9">
        <w:t xml:space="preserve"> года представлена диаграммой.</w:t>
      </w:r>
    </w:p>
    <w:p w14:paraId="380B1280" w14:textId="77777777" w:rsidR="00CD6C53" w:rsidRPr="007C6852" w:rsidRDefault="00CD6C53" w:rsidP="00AE4964">
      <w:pPr>
        <w:autoSpaceDE w:val="0"/>
        <w:autoSpaceDN w:val="0"/>
        <w:adjustRightInd w:val="0"/>
        <w:jc w:val="both"/>
      </w:pPr>
      <w:r w:rsidRPr="007C6852">
        <w:rPr>
          <w:noProof/>
        </w:rPr>
        <w:lastRenderedPageBreak/>
        <w:drawing>
          <wp:inline distT="0" distB="0" distL="0" distR="0" wp14:anchorId="3BEE70B9" wp14:editId="0809C071">
            <wp:extent cx="6132830" cy="3589362"/>
            <wp:effectExtent l="0" t="0" r="12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D1860E" w14:textId="77777777" w:rsidR="00CD6C53" w:rsidRPr="007C6852" w:rsidRDefault="00CD6C53" w:rsidP="00AE4964">
      <w:pPr>
        <w:autoSpaceDE w:val="0"/>
        <w:autoSpaceDN w:val="0"/>
        <w:adjustRightInd w:val="0"/>
        <w:jc w:val="both"/>
      </w:pPr>
    </w:p>
    <w:p w14:paraId="2337D81E" w14:textId="4C2FBEB5" w:rsidR="00AE4964" w:rsidRPr="003B01FE" w:rsidRDefault="00AE4964" w:rsidP="00AE4964">
      <w:pPr>
        <w:autoSpaceDE w:val="0"/>
        <w:autoSpaceDN w:val="0"/>
        <w:adjustRightInd w:val="0"/>
        <w:ind w:firstLine="709"/>
        <w:jc w:val="both"/>
      </w:pPr>
      <w:r w:rsidRPr="003B01FE">
        <w:t>В 20</w:t>
      </w:r>
      <w:r w:rsidR="00FF3F01" w:rsidRPr="003B01FE">
        <w:t>2</w:t>
      </w:r>
      <w:r w:rsidR="003B01FE" w:rsidRPr="003B01FE">
        <w:t>1</w:t>
      </w:r>
      <w:r w:rsidRPr="003B01FE">
        <w:t xml:space="preserve"> году запланировано строительство и реконструкция </w:t>
      </w:r>
      <w:r w:rsidR="007C6852" w:rsidRPr="003B01FE">
        <w:t>2</w:t>
      </w:r>
      <w:r w:rsidR="008B75D9" w:rsidRPr="003B01FE">
        <w:t>4</w:t>
      </w:r>
      <w:r w:rsidRPr="003B01FE">
        <w:t xml:space="preserve"> объект</w:t>
      </w:r>
      <w:r w:rsidR="008B75D9" w:rsidRPr="003B01FE">
        <w:t>ов</w:t>
      </w:r>
      <w:r w:rsidRPr="003B01FE">
        <w:t xml:space="preserve"> областных и местных дорог, из которых </w:t>
      </w:r>
      <w:r w:rsidR="003B01FE">
        <w:t>14</w:t>
      </w:r>
      <w:r w:rsidRPr="003B01FE">
        <w:t xml:space="preserve"> объектов протяжённостью </w:t>
      </w:r>
      <w:r w:rsidR="003B01FE">
        <w:t>40,9</w:t>
      </w:r>
      <w:r w:rsidRPr="003B01FE">
        <w:t xml:space="preserve"> км планируется ввести в эксплуатацию в текущем году (ф. №1-ФД разд. 5 и 6). Также в 20</w:t>
      </w:r>
      <w:r w:rsidR="00BA0566" w:rsidRPr="003B01FE">
        <w:t>2</w:t>
      </w:r>
      <w:r w:rsidR="003B01FE" w:rsidRPr="003B01FE">
        <w:t>1</w:t>
      </w:r>
      <w:r w:rsidRPr="003B01FE">
        <w:t xml:space="preserve"> году запланированы проектно-изыскательские работы на </w:t>
      </w:r>
      <w:r w:rsidR="003B01FE" w:rsidRPr="003B01FE">
        <w:t>94,6</w:t>
      </w:r>
      <w:r w:rsidRPr="003B01FE">
        <w:t xml:space="preserve"> млн. руб.</w:t>
      </w:r>
      <w:r w:rsidR="003B01FE" w:rsidRPr="003B01FE">
        <w:t xml:space="preserve"> и реконструкция (строительство), устройство и капитальный ремонт лини</w:t>
      </w:r>
      <w:r w:rsidR="00BB5CE4">
        <w:t>й</w:t>
      </w:r>
      <w:r w:rsidR="003B01FE" w:rsidRPr="003B01FE">
        <w:t xml:space="preserve"> наружного освещения на 1,2 млн. рублей.</w:t>
      </w:r>
    </w:p>
    <w:p w14:paraId="306AAE0C" w14:textId="6112F421" w:rsidR="00E043FD" w:rsidRDefault="00AE4964" w:rsidP="00AE4964">
      <w:pPr>
        <w:autoSpaceDE w:val="0"/>
        <w:autoSpaceDN w:val="0"/>
        <w:adjustRightInd w:val="0"/>
        <w:ind w:firstLine="709"/>
        <w:jc w:val="both"/>
      </w:pPr>
      <w:r w:rsidRPr="003B01FE">
        <w:t xml:space="preserve">В </w:t>
      </w:r>
      <w:r w:rsidR="007C6852" w:rsidRPr="003B01FE">
        <w:rPr>
          <w:lang w:val="en-US"/>
        </w:rPr>
        <w:t>I</w:t>
      </w:r>
      <w:r w:rsidR="007C6852" w:rsidRPr="003B01FE">
        <w:t xml:space="preserve"> полугодии</w:t>
      </w:r>
      <w:r w:rsidRPr="003B01FE">
        <w:t xml:space="preserve"> 20</w:t>
      </w:r>
      <w:r w:rsidR="00601D47" w:rsidRPr="003B01FE">
        <w:t>2</w:t>
      </w:r>
      <w:r w:rsidR="003B01FE" w:rsidRPr="003B01FE">
        <w:t>1</w:t>
      </w:r>
      <w:r w:rsidRPr="003B01FE">
        <w:t xml:space="preserve"> года </w:t>
      </w:r>
      <w:r w:rsidR="00E043FD" w:rsidRPr="003B01FE">
        <w:t xml:space="preserve">за счет бюджетных ассигнований дорожного фонда осуществлены расходы на строительство и реконструкцию </w:t>
      </w:r>
      <w:r w:rsidR="003B01FE" w:rsidRPr="003B01FE">
        <w:t>9</w:t>
      </w:r>
      <w:r w:rsidR="00E043FD" w:rsidRPr="003B01FE">
        <w:t xml:space="preserve"> объект</w:t>
      </w:r>
      <w:r w:rsidR="002A77A5" w:rsidRPr="003B01FE">
        <w:t>ов</w:t>
      </w:r>
      <w:r w:rsidR="00E043FD" w:rsidRPr="003B01FE">
        <w:t xml:space="preserve"> областных и местных дорог (разд.5 ф.№1-ФД) на общую сумму </w:t>
      </w:r>
      <w:r w:rsidR="003B01FE" w:rsidRPr="003B01FE">
        <w:t>146,2</w:t>
      </w:r>
      <w:r w:rsidR="00E043FD" w:rsidRPr="003B01FE">
        <w:t xml:space="preserve"> млн. рублей.</w:t>
      </w:r>
    </w:p>
    <w:p w14:paraId="0D7E85A3" w14:textId="77777777" w:rsidR="009158E5" w:rsidRPr="00E043FD" w:rsidRDefault="009158E5" w:rsidP="00AE4964">
      <w:pPr>
        <w:autoSpaceDE w:val="0"/>
        <w:autoSpaceDN w:val="0"/>
        <w:adjustRightInd w:val="0"/>
        <w:ind w:firstLine="709"/>
        <w:jc w:val="both"/>
      </w:pPr>
    </w:p>
    <w:p w14:paraId="1CD840F4" w14:textId="77777777" w:rsidR="009158E5" w:rsidRPr="00175691" w:rsidRDefault="009158E5" w:rsidP="009158E5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175691">
        <w:rPr>
          <w:b/>
          <w:i/>
        </w:rPr>
        <w:t>Использование муниципальных дорожных фондов</w:t>
      </w:r>
    </w:p>
    <w:p w14:paraId="2F4089BD" w14:textId="6BD807C5" w:rsidR="009158E5" w:rsidRPr="00175691" w:rsidRDefault="009158E5" w:rsidP="009158E5">
      <w:pPr>
        <w:autoSpaceDE w:val="0"/>
        <w:autoSpaceDN w:val="0"/>
        <w:adjustRightInd w:val="0"/>
        <w:ind w:firstLine="709"/>
        <w:jc w:val="both"/>
      </w:pPr>
      <w:bookmarkStart w:id="0" w:name="_Hlk78270016"/>
      <w:r w:rsidRPr="000A7988">
        <w:t>Совокупный объем ассигнований муниципальных дорожных фондов, утверждённый по подразделу 0409 «Дорожное хозяйство (дорожные фонды)», в 2021 году увеличился по сравнению с показателем 2020 года с 6 176,3 млн. руб. до 6</w:t>
      </w:r>
      <w:r w:rsidR="00BB5CE4">
        <w:t> </w:t>
      </w:r>
      <w:r w:rsidRPr="000A7988">
        <w:t>850,2млн. руб., или на 673,9 млн. руб. (10,9%).</w:t>
      </w:r>
      <w:r w:rsidRPr="00674493">
        <w:t xml:space="preserve"> Расходы местных бюджетов в </w:t>
      </w:r>
      <w:r w:rsidRPr="00674493">
        <w:rPr>
          <w:lang w:val="en-US"/>
        </w:rPr>
        <w:t>I</w:t>
      </w:r>
      <w:r w:rsidRPr="00674493">
        <w:t xml:space="preserve"> полугодии 20</w:t>
      </w:r>
      <w:r>
        <w:t>21</w:t>
      </w:r>
      <w:r w:rsidRPr="00674493">
        <w:t xml:space="preserve"> года исполнены в сумме </w:t>
      </w:r>
      <w:r w:rsidRPr="000A7988">
        <w:t>2</w:t>
      </w:r>
      <w:r>
        <w:t> </w:t>
      </w:r>
      <w:r w:rsidRPr="000A7988">
        <w:t>186,7</w:t>
      </w:r>
      <w:r w:rsidR="00957FFC">
        <w:t> </w:t>
      </w:r>
      <w:r w:rsidRPr="00674493">
        <w:t xml:space="preserve">млн. руб., или на </w:t>
      </w:r>
      <w:r>
        <w:t>31,9</w:t>
      </w:r>
      <w:r w:rsidRPr="00674493">
        <w:t>% от объёма утверждённых ассигнований (ф. 0503317)</w:t>
      </w:r>
      <w:r>
        <w:t xml:space="preserve">, что больше показателей </w:t>
      </w:r>
      <w:r>
        <w:rPr>
          <w:lang w:val="en-US"/>
        </w:rPr>
        <w:t>I</w:t>
      </w:r>
      <w:r w:rsidRPr="00414A06">
        <w:t xml:space="preserve"> </w:t>
      </w:r>
      <w:r>
        <w:t xml:space="preserve">полугодия 2020 года – </w:t>
      </w:r>
      <w:r w:rsidRPr="000A7988">
        <w:t>1 837,3</w:t>
      </w:r>
      <w:r>
        <w:t xml:space="preserve"> млн. руб. и 29,7 % соответственно</w:t>
      </w:r>
      <w:r w:rsidRPr="00674493">
        <w:t xml:space="preserve">. </w:t>
      </w:r>
    </w:p>
    <w:p w14:paraId="59F0DADF" w14:textId="77777777" w:rsidR="009158E5" w:rsidRPr="00175691" w:rsidRDefault="009158E5" w:rsidP="009158E5">
      <w:pPr>
        <w:autoSpaceDE w:val="0"/>
        <w:autoSpaceDN w:val="0"/>
        <w:adjustRightInd w:val="0"/>
        <w:ind w:firstLine="709"/>
        <w:jc w:val="right"/>
        <w:rPr>
          <w:i/>
        </w:rPr>
      </w:pPr>
      <w:r w:rsidRPr="00175691">
        <w:rPr>
          <w:i/>
        </w:rPr>
        <w:t>млн. руб.</w:t>
      </w:r>
    </w:p>
    <w:tbl>
      <w:tblPr>
        <w:tblW w:w="9640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418"/>
        <w:gridCol w:w="992"/>
        <w:gridCol w:w="1011"/>
        <w:gridCol w:w="1399"/>
        <w:gridCol w:w="1011"/>
        <w:gridCol w:w="851"/>
      </w:tblGrid>
      <w:tr w:rsidR="009158E5" w:rsidRPr="00175691" w14:paraId="5A27A2C0" w14:textId="77777777" w:rsidTr="0038606D">
        <w:trPr>
          <w:trHeight w:val="20"/>
        </w:trPr>
        <w:tc>
          <w:tcPr>
            <w:tcW w:w="295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809743B" w14:textId="77777777" w:rsidR="009158E5" w:rsidRPr="00175691" w:rsidRDefault="009158E5" w:rsidP="0038606D">
            <w:pPr>
              <w:jc w:val="center"/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BCBF64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0755DC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Исполнено в I полугодии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75E6EA" w14:textId="77777777" w:rsidR="009158E5" w:rsidRPr="000A7988" w:rsidRDefault="009158E5" w:rsidP="0038606D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Утверждено на 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85A93" w14:textId="77777777" w:rsidR="009158E5" w:rsidRPr="000A7988" w:rsidRDefault="009158E5" w:rsidP="0038606D">
            <w:pPr>
              <w:jc w:val="center"/>
              <w:rPr>
                <w:sz w:val="20"/>
                <w:szCs w:val="20"/>
                <w:lang w:val="en-US"/>
              </w:rPr>
            </w:pPr>
            <w:r w:rsidRPr="00175691">
              <w:rPr>
                <w:b/>
                <w:bCs/>
                <w:sz w:val="20"/>
                <w:szCs w:val="20"/>
              </w:rPr>
              <w:t>Исполнено в I полугодии 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158E5" w:rsidRPr="00175691" w14:paraId="716F1EF8" w14:textId="77777777" w:rsidTr="0038606D">
        <w:trPr>
          <w:trHeight w:val="20"/>
        </w:trPr>
        <w:tc>
          <w:tcPr>
            <w:tcW w:w="29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3D9B886D" w14:textId="77777777" w:rsidR="009158E5" w:rsidRPr="00175691" w:rsidRDefault="009158E5" w:rsidP="00386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12CD8DED" w14:textId="77777777" w:rsidR="009158E5" w:rsidRPr="00175691" w:rsidRDefault="009158E5" w:rsidP="00386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2CA65C8" w14:textId="77777777" w:rsidR="009158E5" w:rsidRPr="00175691" w:rsidRDefault="009158E5" w:rsidP="003860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9AF9BB2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0F4E730" w14:textId="77777777" w:rsidR="009158E5" w:rsidRPr="00175691" w:rsidRDefault="009158E5" w:rsidP="003860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E55E904" w14:textId="77777777" w:rsidR="009158E5" w:rsidRPr="00175691" w:rsidRDefault="009158E5" w:rsidP="003860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D90A5C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%</w:t>
            </w:r>
          </w:p>
        </w:tc>
      </w:tr>
      <w:tr w:rsidR="009158E5" w:rsidRPr="00175691" w14:paraId="3266E907" w14:textId="77777777" w:rsidTr="0038606D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F040F19" w14:textId="77777777" w:rsidR="009158E5" w:rsidRPr="00175691" w:rsidRDefault="009158E5" w:rsidP="0038606D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округа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9C4076C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4 433,0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05DB62B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1 542,7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62253BB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F30B0C" w14:textId="77777777" w:rsidR="009158E5" w:rsidRPr="000A7988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606,5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FB843A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1 684,1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F0CA01A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0A7988">
              <w:rPr>
                <w:sz w:val="20"/>
                <w:szCs w:val="20"/>
              </w:rPr>
              <w:t>36,6%</w:t>
            </w:r>
          </w:p>
        </w:tc>
      </w:tr>
      <w:tr w:rsidR="009158E5" w:rsidRPr="00175691" w14:paraId="43B07B0D" w14:textId="77777777" w:rsidTr="0038606D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1067461" w14:textId="77777777" w:rsidR="009158E5" w:rsidRPr="00175691" w:rsidRDefault="009158E5" w:rsidP="0038606D">
            <w:pPr>
              <w:rPr>
                <w:i/>
                <w:iCs/>
                <w:sz w:val="20"/>
                <w:szCs w:val="20"/>
              </w:rPr>
            </w:pPr>
            <w:r w:rsidRPr="00175691">
              <w:rPr>
                <w:i/>
                <w:iCs/>
                <w:sz w:val="20"/>
                <w:szCs w:val="20"/>
              </w:rPr>
              <w:t>в том числе г. Волгоград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B87FA" w14:textId="77777777" w:rsidR="009158E5" w:rsidRPr="00175691" w:rsidRDefault="009158E5" w:rsidP="0038606D">
            <w:pPr>
              <w:jc w:val="center"/>
              <w:rPr>
                <w:i/>
                <w:iCs/>
                <w:sz w:val="20"/>
                <w:szCs w:val="20"/>
              </w:rPr>
            </w:pPr>
            <w:r w:rsidRPr="00374917">
              <w:rPr>
                <w:i/>
                <w:iCs/>
                <w:sz w:val="20"/>
                <w:szCs w:val="20"/>
                <w:lang w:val="en-US"/>
              </w:rPr>
              <w:t>2 864.3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C5A62" w14:textId="77777777" w:rsidR="009158E5" w:rsidRPr="00175691" w:rsidRDefault="009158E5" w:rsidP="0038606D">
            <w:pPr>
              <w:jc w:val="center"/>
              <w:rPr>
                <w:i/>
                <w:iCs/>
                <w:sz w:val="20"/>
                <w:szCs w:val="20"/>
              </w:rPr>
            </w:pPr>
            <w:r w:rsidRPr="00374917">
              <w:rPr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i/>
                <w:iCs/>
                <w:sz w:val="20"/>
                <w:szCs w:val="20"/>
                <w:lang w:val="en-US"/>
              </w:rPr>
              <w:t> </w:t>
            </w:r>
            <w:r w:rsidRPr="00374917">
              <w:rPr>
                <w:i/>
                <w:iCs/>
                <w:sz w:val="20"/>
                <w:szCs w:val="20"/>
                <w:lang w:val="en-US"/>
              </w:rPr>
              <w:t>082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74917">
              <w:rPr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6D745643" w14:textId="77777777" w:rsidR="009158E5" w:rsidRPr="009E4F6D" w:rsidRDefault="009158E5" w:rsidP="0038606D">
            <w:pPr>
              <w:jc w:val="center"/>
              <w:rPr>
                <w:i/>
                <w:iCs/>
                <w:sz w:val="20"/>
                <w:szCs w:val="20"/>
              </w:rPr>
            </w:pPr>
            <w:r w:rsidRPr="009E4F6D">
              <w:rPr>
                <w:i/>
                <w:iCs/>
                <w:sz w:val="20"/>
                <w:szCs w:val="20"/>
                <w:lang w:val="en-US"/>
              </w:rPr>
              <w:t>37</w:t>
            </w:r>
            <w:r w:rsidRPr="009E4F6D">
              <w:rPr>
                <w:i/>
                <w:iCs/>
                <w:sz w:val="20"/>
                <w:szCs w:val="20"/>
              </w:rPr>
              <w:t>,</w:t>
            </w:r>
            <w:r w:rsidRPr="009E4F6D">
              <w:rPr>
                <w:i/>
                <w:iCs/>
                <w:sz w:val="20"/>
                <w:szCs w:val="20"/>
                <w:lang w:val="en-US"/>
              </w:rPr>
              <w:t>8</w:t>
            </w:r>
            <w:r w:rsidRPr="009E4F6D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31E416D" w14:textId="77777777" w:rsidR="009158E5" w:rsidRPr="009E4F6D" w:rsidRDefault="009158E5" w:rsidP="0038606D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9E4F6D">
              <w:rPr>
                <w:i/>
                <w:iCs/>
                <w:sz w:val="20"/>
                <w:szCs w:val="20"/>
                <w:lang w:val="en-US"/>
              </w:rPr>
              <w:t>2 955</w:t>
            </w:r>
            <w:r w:rsidRPr="009E4F6D">
              <w:rPr>
                <w:i/>
                <w:iCs/>
                <w:sz w:val="20"/>
                <w:szCs w:val="20"/>
              </w:rPr>
              <w:t>,</w:t>
            </w:r>
            <w:r w:rsidRPr="009E4F6D"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AC0BA74" w14:textId="77777777" w:rsidR="009158E5" w:rsidRPr="009E4F6D" w:rsidRDefault="009158E5" w:rsidP="0038606D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9E4F6D">
              <w:rPr>
                <w:i/>
                <w:iCs/>
                <w:sz w:val="20"/>
                <w:szCs w:val="20"/>
                <w:lang w:val="en-US"/>
              </w:rPr>
              <w:t>1</w:t>
            </w:r>
            <w:r w:rsidRPr="009E4F6D">
              <w:rPr>
                <w:i/>
                <w:iCs/>
                <w:sz w:val="20"/>
                <w:szCs w:val="20"/>
              </w:rPr>
              <w:t xml:space="preserve"> </w:t>
            </w:r>
            <w:r w:rsidRPr="009E4F6D">
              <w:rPr>
                <w:i/>
                <w:iCs/>
                <w:sz w:val="20"/>
                <w:szCs w:val="20"/>
                <w:lang w:val="en-US"/>
              </w:rPr>
              <w:t>004</w:t>
            </w:r>
            <w:r w:rsidRPr="009E4F6D">
              <w:rPr>
                <w:i/>
                <w:iCs/>
                <w:sz w:val="20"/>
                <w:szCs w:val="20"/>
              </w:rPr>
              <w:t>,</w:t>
            </w:r>
            <w:r w:rsidRPr="009E4F6D">
              <w:rPr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EBDD566" w14:textId="77777777" w:rsidR="009158E5" w:rsidRPr="009E4F6D" w:rsidRDefault="009158E5" w:rsidP="0038606D">
            <w:pPr>
              <w:jc w:val="center"/>
              <w:rPr>
                <w:i/>
                <w:iCs/>
                <w:sz w:val="20"/>
                <w:szCs w:val="20"/>
              </w:rPr>
            </w:pPr>
            <w:r w:rsidRPr="009E4F6D">
              <w:rPr>
                <w:i/>
                <w:iCs/>
                <w:sz w:val="20"/>
                <w:szCs w:val="20"/>
              </w:rPr>
              <w:t>34,0%</w:t>
            </w:r>
          </w:p>
        </w:tc>
      </w:tr>
      <w:tr w:rsidR="009158E5" w:rsidRPr="00175691" w14:paraId="4D6E5394" w14:textId="77777777" w:rsidTr="0038606D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46D891F" w14:textId="77777777" w:rsidR="009158E5" w:rsidRPr="00175691" w:rsidRDefault="009158E5" w:rsidP="0038606D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муниципальные районы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325D93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CBF25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417DDA1D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4256520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9A54740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</w:tcPr>
          <w:p w14:paraId="54AB5F28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0A7988">
              <w:rPr>
                <w:sz w:val="20"/>
                <w:szCs w:val="20"/>
              </w:rPr>
              <w:t>22,3%</w:t>
            </w:r>
          </w:p>
        </w:tc>
      </w:tr>
      <w:tr w:rsidR="009158E5" w:rsidRPr="00175691" w14:paraId="20205867" w14:textId="77777777" w:rsidTr="0038606D">
        <w:trPr>
          <w:trHeight w:val="20"/>
        </w:trPr>
        <w:tc>
          <w:tcPr>
            <w:tcW w:w="295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C892AA3" w14:textId="77777777" w:rsidR="009158E5" w:rsidRPr="00175691" w:rsidRDefault="009158E5" w:rsidP="0038606D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городские поселения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568D5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03A75D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1038A1E2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7A721C2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1C6F455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</w:tcPr>
          <w:p w14:paraId="18982717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0A7988">
              <w:rPr>
                <w:sz w:val="20"/>
                <w:szCs w:val="20"/>
              </w:rPr>
              <w:t>28,1%</w:t>
            </w:r>
          </w:p>
        </w:tc>
      </w:tr>
      <w:tr w:rsidR="009158E5" w:rsidRPr="00175691" w14:paraId="568E45B9" w14:textId="77777777" w:rsidTr="0038606D">
        <w:trPr>
          <w:trHeight w:val="20"/>
        </w:trPr>
        <w:tc>
          <w:tcPr>
            <w:tcW w:w="29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3EC1FFE" w14:textId="77777777" w:rsidR="009158E5" w:rsidRPr="00175691" w:rsidRDefault="009158E5" w:rsidP="0038606D">
            <w:pPr>
              <w:rPr>
                <w:sz w:val="20"/>
                <w:szCs w:val="20"/>
              </w:rPr>
            </w:pPr>
            <w:r w:rsidRPr="00175691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4940C11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E9FDC3E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5D0F7DC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  <w:r w:rsidRPr="00175691">
              <w:rPr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C19BBF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827,1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0CCB8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164,9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AA30F" w14:textId="77777777" w:rsidR="009158E5" w:rsidRPr="00175691" w:rsidRDefault="009158E5" w:rsidP="0038606D">
            <w:pPr>
              <w:jc w:val="center"/>
              <w:rPr>
                <w:sz w:val="20"/>
                <w:szCs w:val="20"/>
              </w:rPr>
            </w:pPr>
            <w:r w:rsidRPr="000A7988">
              <w:rPr>
                <w:sz w:val="20"/>
                <w:szCs w:val="20"/>
              </w:rPr>
              <w:t>19,9%</w:t>
            </w:r>
          </w:p>
        </w:tc>
      </w:tr>
      <w:tr w:rsidR="009158E5" w:rsidRPr="00175691" w14:paraId="6C7CD8B5" w14:textId="77777777" w:rsidTr="0038606D">
        <w:trPr>
          <w:trHeight w:val="20"/>
        </w:trPr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B15AACB" w14:textId="77777777" w:rsidR="009158E5" w:rsidRPr="00175691" w:rsidRDefault="009158E5" w:rsidP="0038606D">
            <w:pPr>
              <w:rPr>
                <w:b/>
                <w:bCs/>
                <w:sz w:val="20"/>
                <w:szCs w:val="20"/>
              </w:rPr>
            </w:pPr>
            <w:r w:rsidRPr="0017569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45E664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6 176,3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A47076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1 837,3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47B022A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  <w:r w:rsidRPr="0017569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0EA792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 w:rsidRPr="000A7988">
              <w:rPr>
                <w:b/>
                <w:sz w:val="20"/>
                <w:szCs w:val="20"/>
              </w:rPr>
              <w:t>6 850,2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33F9396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 w:rsidRPr="000A7988">
              <w:rPr>
                <w:b/>
                <w:sz w:val="20"/>
                <w:szCs w:val="20"/>
              </w:rPr>
              <w:t>2 186,7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0DAB9A" w14:textId="77777777" w:rsidR="009158E5" w:rsidRPr="00175691" w:rsidRDefault="009158E5" w:rsidP="0038606D">
            <w:pPr>
              <w:jc w:val="center"/>
              <w:rPr>
                <w:b/>
                <w:sz w:val="20"/>
                <w:szCs w:val="20"/>
              </w:rPr>
            </w:pPr>
            <w:r w:rsidRPr="000A7988">
              <w:rPr>
                <w:b/>
                <w:sz w:val="20"/>
                <w:szCs w:val="20"/>
              </w:rPr>
              <w:t>31,9%</w:t>
            </w:r>
          </w:p>
        </w:tc>
      </w:tr>
      <w:bookmarkEnd w:id="0"/>
    </w:tbl>
    <w:p w14:paraId="0C928694" w14:textId="77777777" w:rsidR="009158E5" w:rsidRPr="00175691" w:rsidRDefault="009158E5" w:rsidP="009158E5">
      <w:pPr>
        <w:autoSpaceDE w:val="0"/>
        <w:autoSpaceDN w:val="0"/>
        <w:adjustRightInd w:val="0"/>
        <w:ind w:firstLine="709"/>
        <w:jc w:val="both"/>
      </w:pPr>
    </w:p>
    <w:p w14:paraId="6C4181C0" w14:textId="14FBB7D4" w:rsidR="009158E5" w:rsidRPr="00BB5CE4" w:rsidRDefault="009158E5" w:rsidP="009158E5">
      <w:pPr>
        <w:autoSpaceDE w:val="0"/>
        <w:autoSpaceDN w:val="0"/>
        <w:adjustRightInd w:val="0"/>
        <w:ind w:firstLine="709"/>
        <w:jc w:val="both"/>
      </w:pPr>
      <w:r w:rsidRPr="00BB5CE4">
        <w:t xml:space="preserve">Согласно данным ф. № 1-ФД в </w:t>
      </w:r>
      <w:r w:rsidRPr="00BB5CE4">
        <w:rPr>
          <w:lang w:val="en-US"/>
        </w:rPr>
        <w:t>I</w:t>
      </w:r>
      <w:r w:rsidRPr="00BB5CE4">
        <w:t xml:space="preserve"> полугодии 202</w:t>
      </w:r>
      <w:r w:rsidR="005E2A43" w:rsidRPr="00BB5CE4">
        <w:t>1</w:t>
      </w:r>
      <w:r w:rsidRPr="00BB5CE4">
        <w:t xml:space="preserve"> года средства муниципальных дорожных фондов израсходованы в сумме </w:t>
      </w:r>
      <w:r w:rsidR="005E2A43" w:rsidRPr="00BB5CE4">
        <w:t>1 905,9</w:t>
      </w:r>
      <w:r w:rsidRPr="00BB5CE4">
        <w:t xml:space="preserve"> млн. руб., что не соответствует данным отчета об исполнении консолидированного бюджета Волгоградской области (ф. 0503317).</w:t>
      </w:r>
      <w:r w:rsidRPr="00BB5CE4">
        <w:rPr>
          <w:color w:val="C00000"/>
        </w:rPr>
        <w:t xml:space="preserve"> </w:t>
      </w:r>
      <w:r w:rsidRPr="00BB5CE4">
        <w:t xml:space="preserve">Различия в показателях обусловлены тем, что имеющийся объём источников формирования муниципальных дорожных фондов не позволяет обеспечить требуемый объём расходов, и муниципалитеты утверждают и осуществляют расходы на дорожное хозяйство сверх </w:t>
      </w:r>
      <w:r w:rsidRPr="00BB5CE4">
        <w:lastRenderedPageBreak/>
        <w:t>утверждённых объёмов фондов. Указанное обстоятельство необходимо учитывать при рассмотрении результатов структурного анализа расходов муниципальных дорожных фондов, проведённого ниже на основе ф. № 1-ФД.</w:t>
      </w:r>
    </w:p>
    <w:p w14:paraId="281BA67A" w14:textId="79110050" w:rsidR="009158E5" w:rsidRPr="00BB5CE4" w:rsidRDefault="009158E5" w:rsidP="009158E5">
      <w:pPr>
        <w:autoSpaceDE w:val="0"/>
        <w:autoSpaceDN w:val="0"/>
        <w:adjustRightInd w:val="0"/>
        <w:ind w:firstLine="709"/>
        <w:jc w:val="both"/>
      </w:pPr>
      <w:r w:rsidRPr="00BB5CE4">
        <w:t xml:space="preserve">В разрезе направлений расходов информация об использовании дорожных фондов муниципальных образований Волгоградской области в </w:t>
      </w:r>
      <w:r w:rsidRPr="00BB5CE4">
        <w:rPr>
          <w:lang w:val="en-US"/>
        </w:rPr>
        <w:t>I</w:t>
      </w:r>
      <w:r w:rsidRPr="00BB5CE4">
        <w:t xml:space="preserve"> полугодии 20</w:t>
      </w:r>
      <w:r w:rsidR="00924820" w:rsidRPr="00BB5CE4">
        <w:t>20</w:t>
      </w:r>
      <w:r w:rsidRPr="00BB5CE4">
        <w:t xml:space="preserve"> года и </w:t>
      </w:r>
      <w:r w:rsidRPr="00BB5CE4">
        <w:rPr>
          <w:lang w:val="en-US"/>
        </w:rPr>
        <w:t>I</w:t>
      </w:r>
      <w:r w:rsidRPr="00BB5CE4">
        <w:t xml:space="preserve"> полугодии 202</w:t>
      </w:r>
      <w:r w:rsidR="00924820" w:rsidRPr="00BB5CE4">
        <w:t>1</w:t>
      </w:r>
      <w:r w:rsidRPr="00BB5CE4">
        <w:t xml:space="preserve"> года представлена таблицей и диаграммой.</w:t>
      </w:r>
    </w:p>
    <w:p w14:paraId="47CE5662" w14:textId="77777777" w:rsidR="009158E5" w:rsidRPr="00BB5CE4" w:rsidRDefault="009158E5" w:rsidP="009158E5">
      <w:pPr>
        <w:autoSpaceDE w:val="0"/>
        <w:autoSpaceDN w:val="0"/>
        <w:adjustRightInd w:val="0"/>
        <w:ind w:firstLine="709"/>
        <w:jc w:val="both"/>
      </w:pPr>
    </w:p>
    <w:tbl>
      <w:tblPr>
        <w:tblW w:w="953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11"/>
        <w:gridCol w:w="1134"/>
        <w:gridCol w:w="992"/>
        <w:gridCol w:w="992"/>
        <w:gridCol w:w="993"/>
        <w:gridCol w:w="1275"/>
        <w:gridCol w:w="1134"/>
      </w:tblGrid>
      <w:tr w:rsidR="009158E5" w:rsidRPr="00BB5CE4" w14:paraId="587CF83C" w14:textId="77777777" w:rsidTr="0038606D">
        <w:trPr>
          <w:trHeight w:val="20"/>
        </w:trPr>
        <w:tc>
          <w:tcPr>
            <w:tcW w:w="30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D4D30E" w14:textId="77777777" w:rsidR="009158E5" w:rsidRPr="00BB5CE4" w:rsidRDefault="009158E5" w:rsidP="0038606D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4111" w:type="dxa"/>
            <w:gridSpan w:val="4"/>
            <w:tcBorders>
              <w:top w:val="double" w:sz="6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CB197AD" w14:textId="77777777" w:rsidR="009158E5" w:rsidRPr="00BB5CE4" w:rsidRDefault="009158E5" w:rsidP="0038606D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Использование муниципальных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14AEA5" w14:textId="77777777" w:rsidR="009158E5" w:rsidRPr="00BB5CE4" w:rsidRDefault="009158E5" w:rsidP="0038606D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Отклонение</w:t>
            </w:r>
          </w:p>
        </w:tc>
      </w:tr>
      <w:tr w:rsidR="009158E5" w:rsidRPr="00BB5CE4" w14:paraId="013A6C0A" w14:textId="77777777" w:rsidTr="0038606D">
        <w:trPr>
          <w:trHeight w:val="20"/>
        </w:trPr>
        <w:tc>
          <w:tcPr>
            <w:tcW w:w="30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4D4BFF38" w14:textId="77777777" w:rsidR="009158E5" w:rsidRPr="00BB5CE4" w:rsidRDefault="009158E5" w:rsidP="0038606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78AF6FC" w14:textId="77777777" w:rsidR="009158E5" w:rsidRPr="00BB5CE4" w:rsidRDefault="009158E5" w:rsidP="0038606D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дорожных фондов</w:t>
            </w:r>
          </w:p>
        </w:tc>
        <w:tc>
          <w:tcPr>
            <w:tcW w:w="2409" w:type="dxa"/>
            <w:gridSpan w:val="2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000000"/>
            </w:tcBorders>
            <w:vAlign w:val="center"/>
            <w:hideMark/>
          </w:tcPr>
          <w:p w14:paraId="2932141D" w14:textId="77777777" w:rsidR="009158E5" w:rsidRPr="00BB5CE4" w:rsidRDefault="009158E5" w:rsidP="0038606D">
            <w:pPr>
              <w:jc w:val="center"/>
              <w:rPr>
                <w:sz w:val="20"/>
                <w:szCs w:val="20"/>
              </w:rPr>
            </w:pPr>
          </w:p>
        </w:tc>
      </w:tr>
      <w:tr w:rsidR="00924820" w:rsidRPr="00BB5CE4" w14:paraId="6A02F154" w14:textId="77777777" w:rsidTr="0038606D">
        <w:trPr>
          <w:trHeight w:val="20"/>
        </w:trPr>
        <w:tc>
          <w:tcPr>
            <w:tcW w:w="30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14:paraId="394F6465" w14:textId="77777777" w:rsidR="00924820" w:rsidRPr="00BB5CE4" w:rsidRDefault="00924820" w:rsidP="009248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CB4957" w14:textId="332CB2F8" w:rsidR="00924820" w:rsidRPr="00BB5CE4" w:rsidRDefault="00924820" w:rsidP="00924820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  <w:lang w:val="en-US"/>
              </w:rPr>
              <w:t>1</w:t>
            </w:r>
            <w:r w:rsidRPr="00BB5CE4">
              <w:rPr>
                <w:sz w:val="20"/>
                <w:szCs w:val="20"/>
              </w:rPr>
              <w:t xml:space="preserve"> полугодие 2020 г.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C95AF5" w14:textId="2B0E9C5A" w:rsidR="00924820" w:rsidRPr="00BB5CE4" w:rsidRDefault="00924820" w:rsidP="00924820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  <w:lang w:val="en-US"/>
              </w:rPr>
              <w:t>1</w:t>
            </w:r>
            <w:r w:rsidRPr="00BB5CE4">
              <w:rPr>
                <w:sz w:val="20"/>
                <w:szCs w:val="20"/>
              </w:rPr>
              <w:t xml:space="preserve"> полугодие 202</w:t>
            </w:r>
            <w:r w:rsidR="005C6BA5" w:rsidRPr="00BB5CE4">
              <w:rPr>
                <w:sz w:val="20"/>
                <w:szCs w:val="20"/>
              </w:rPr>
              <w:t>1</w:t>
            </w:r>
            <w:r w:rsidRPr="00BB5C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B3465E" w14:textId="77777777" w:rsidR="00924820" w:rsidRPr="00BB5CE4" w:rsidRDefault="00924820" w:rsidP="00924820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9F4410" w14:textId="77777777" w:rsidR="00924820" w:rsidRPr="00BB5CE4" w:rsidRDefault="00924820" w:rsidP="00924820">
            <w:pPr>
              <w:jc w:val="center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%</w:t>
            </w:r>
          </w:p>
        </w:tc>
      </w:tr>
      <w:tr w:rsidR="009667D1" w:rsidRPr="00BB5CE4" w14:paraId="0A80860E" w14:textId="77777777" w:rsidTr="0038606D">
        <w:trPr>
          <w:trHeight w:val="20"/>
        </w:trPr>
        <w:tc>
          <w:tcPr>
            <w:tcW w:w="30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1035A" w14:textId="77777777" w:rsidR="009667D1" w:rsidRPr="00BB5CE4" w:rsidRDefault="009667D1" w:rsidP="009667D1">
            <w:pPr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1A5362" w14:textId="6124DFF7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DBF93" w14:textId="40C99F43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0,4%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AB56AC" w14:textId="7D271744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28F074" w14:textId="490D2571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0,1%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9D889B" w14:textId="18624222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-4,1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8E5C87" w14:textId="0C8FE347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-75,9%</w:t>
            </w:r>
          </w:p>
        </w:tc>
      </w:tr>
      <w:tr w:rsidR="009667D1" w:rsidRPr="00BB5CE4" w14:paraId="32496250" w14:textId="77777777" w:rsidTr="0038606D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A386D9" w14:textId="77777777" w:rsidR="009667D1" w:rsidRPr="00BB5CE4" w:rsidRDefault="009667D1" w:rsidP="009667D1">
            <w:pPr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Ремонт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7922C6" w14:textId="44420017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37EE28" w14:textId="33772FAB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19,0%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B84168" w14:textId="3D07267B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1 020,2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B21A8E" w14:textId="070ED4DE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53,5%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B1A974" w14:textId="5F08F35B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739,7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BEA83F" w14:textId="43105ACF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в 3,6 раза</w:t>
            </w:r>
          </w:p>
        </w:tc>
      </w:tr>
      <w:tr w:rsidR="009667D1" w:rsidRPr="00BB5CE4" w14:paraId="0019715A" w14:textId="77777777" w:rsidTr="0038606D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4D6058" w14:textId="77777777" w:rsidR="009667D1" w:rsidRPr="00BB5CE4" w:rsidRDefault="009667D1" w:rsidP="009667D1">
            <w:pPr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75DC2B" w14:textId="2A56CBA7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826,6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8C5369" w14:textId="21385B48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55,9%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68AB4D" w14:textId="7A7A9C35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497,7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807FBE" w14:textId="6BB7BCCA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26,1%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B15C89" w14:textId="02D28081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-328,9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E37DCAB" w14:textId="609896B9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-39,8%</w:t>
            </w:r>
          </w:p>
        </w:tc>
      </w:tr>
      <w:tr w:rsidR="009667D1" w:rsidRPr="00BB5CE4" w14:paraId="60D3B948" w14:textId="77777777" w:rsidTr="0038606D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1E4C61" w14:textId="77777777" w:rsidR="009667D1" w:rsidRPr="00BB5CE4" w:rsidRDefault="009667D1" w:rsidP="009667D1">
            <w:pPr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Строительство и реконструкция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651869" w14:textId="5AC8B6B2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303,7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6615F0" w14:textId="050030A6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20,5%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46EF5" w14:textId="4886BA8C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273,4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016D85" w14:textId="58DB2A73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14,3%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1D349DA" w14:textId="6AF85631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-30,3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C5156C" w14:textId="540F7C87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-10,0%</w:t>
            </w:r>
          </w:p>
        </w:tc>
      </w:tr>
      <w:tr w:rsidR="009667D1" w:rsidRPr="00BB5CE4" w14:paraId="29EDFB56" w14:textId="77777777" w:rsidTr="0038606D">
        <w:trPr>
          <w:trHeight w:val="20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7F252" w14:textId="77777777" w:rsidR="009667D1" w:rsidRPr="00BB5CE4" w:rsidRDefault="009667D1" w:rsidP="009667D1">
            <w:pPr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981498" w14:textId="1790EC50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5AFF22" w14:textId="6ADFF0D8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4,2%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FA951E" w14:textId="68CD6F8A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376A9A" w14:textId="71292214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5,9%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017375" w14:textId="520D4DB4" w:rsidR="009667D1" w:rsidRPr="00BB5CE4" w:rsidRDefault="009667D1" w:rsidP="009667D1">
            <w:pPr>
              <w:jc w:val="right"/>
              <w:rPr>
                <w:sz w:val="20"/>
                <w:szCs w:val="20"/>
              </w:rPr>
            </w:pPr>
            <w:r w:rsidRPr="00BB5CE4">
              <w:rPr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B71D5B" w14:textId="636AD6B8" w:rsidR="009667D1" w:rsidRPr="00BB5CE4" w:rsidRDefault="009667D1" w:rsidP="009667D1">
            <w:pPr>
              <w:jc w:val="right"/>
              <w:rPr>
                <w:i/>
                <w:iCs/>
                <w:sz w:val="20"/>
                <w:szCs w:val="20"/>
              </w:rPr>
            </w:pPr>
            <w:r w:rsidRPr="00BB5CE4">
              <w:rPr>
                <w:i/>
                <w:iCs/>
                <w:sz w:val="20"/>
                <w:szCs w:val="20"/>
              </w:rPr>
              <w:t>83,3%</w:t>
            </w:r>
          </w:p>
        </w:tc>
      </w:tr>
      <w:tr w:rsidR="009667D1" w:rsidRPr="00A5312B" w14:paraId="241AAFFD" w14:textId="77777777" w:rsidTr="0038606D">
        <w:trPr>
          <w:trHeight w:val="20"/>
        </w:trPr>
        <w:tc>
          <w:tcPr>
            <w:tcW w:w="30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CFCC77" w14:textId="77777777" w:rsidR="009667D1" w:rsidRPr="00A5312B" w:rsidRDefault="009667D1" w:rsidP="009667D1">
            <w:pPr>
              <w:rPr>
                <w:b/>
                <w:bCs/>
                <w:sz w:val="20"/>
                <w:szCs w:val="20"/>
              </w:rPr>
            </w:pPr>
            <w:r w:rsidRPr="00A5312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E3A9E1" w14:textId="5912B06D" w:rsidR="009667D1" w:rsidRPr="00A5312B" w:rsidRDefault="009667D1" w:rsidP="009667D1">
            <w:pPr>
              <w:jc w:val="right"/>
              <w:rPr>
                <w:b/>
                <w:bCs/>
                <w:sz w:val="20"/>
                <w:szCs w:val="20"/>
              </w:rPr>
            </w:pPr>
            <w:r w:rsidRPr="00A5312B">
              <w:rPr>
                <w:b/>
                <w:bCs/>
                <w:sz w:val="20"/>
                <w:szCs w:val="20"/>
              </w:rPr>
              <w:t>1 478,0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F8DC80" w14:textId="03ECB5FF" w:rsidR="009667D1" w:rsidRPr="00A5312B" w:rsidRDefault="009667D1" w:rsidP="009667D1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312B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300A72" w14:textId="414B61A6" w:rsidR="009667D1" w:rsidRPr="00A5312B" w:rsidRDefault="009667D1" w:rsidP="009667D1">
            <w:pPr>
              <w:jc w:val="right"/>
              <w:rPr>
                <w:b/>
                <w:bCs/>
                <w:sz w:val="20"/>
                <w:szCs w:val="20"/>
              </w:rPr>
            </w:pPr>
            <w:r w:rsidRPr="00A5312B">
              <w:rPr>
                <w:b/>
                <w:bCs/>
                <w:sz w:val="20"/>
                <w:szCs w:val="20"/>
              </w:rPr>
              <w:t>1 905,9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0D7948" w14:textId="14BC3301" w:rsidR="009667D1" w:rsidRPr="00A5312B" w:rsidRDefault="009667D1" w:rsidP="009667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5312B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F265AC" w14:textId="12FD5EE5" w:rsidR="009667D1" w:rsidRPr="00A5312B" w:rsidRDefault="009667D1" w:rsidP="009667D1">
            <w:pPr>
              <w:jc w:val="right"/>
              <w:rPr>
                <w:b/>
                <w:bCs/>
                <w:sz w:val="20"/>
                <w:szCs w:val="20"/>
              </w:rPr>
            </w:pPr>
            <w:r w:rsidRPr="00A5312B">
              <w:rPr>
                <w:b/>
                <w:bCs/>
                <w:sz w:val="20"/>
                <w:szCs w:val="20"/>
              </w:rPr>
              <w:t>427,9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C3338E7" w14:textId="1D2E2D24" w:rsidR="009667D1" w:rsidRPr="00A5312B" w:rsidRDefault="009667D1" w:rsidP="009667D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5312B">
              <w:rPr>
                <w:b/>
                <w:bCs/>
                <w:i/>
                <w:iCs/>
                <w:sz w:val="20"/>
                <w:szCs w:val="20"/>
              </w:rPr>
              <w:t>29,0%</w:t>
            </w:r>
          </w:p>
        </w:tc>
      </w:tr>
    </w:tbl>
    <w:p w14:paraId="2EDE4DFC" w14:textId="1470C8F3" w:rsidR="009158E5" w:rsidRDefault="009158E5" w:rsidP="009158E5">
      <w:pPr>
        <w:autoSpaceDE w:val="0"/>
        <w:autoSpaceDN w:val="0"/>
        <w:adjustRightInd w:val="0"/>
        <w:ind w:firstLine="709"/>
        <w:jc w:val="both"/>
      </w:pPr>
    </w:p>
    <w:p w14:paraId="45D9C095" w14:textId="77777777" w:rsidR="002458AC" w:rsidRPr="00A5312B" w:rsidRDefault="002458AC" w:rsidP="009158E5">
      <w:pPr>
        <w:autoSpaceDE w:val="0"/>
        <w:autoSpaceDN w:val="0"/>
        <w:adjustRightInd w:val="0"/>
        <w:ind w:firstLine="709"/>
        <w:jc w:val="both"/>
      </w:pPr>
    </w:p>
    <w:p w14:paraId="2162848E" w14:textId="77777777" w:rsidR="009158E5" w:rsidRPr="00A5312B" w:rsidRDefault="009158E5" w:rsidP="009158E5">
      <w:pPr>
        <w:autoSpaceDE w:val="0"/>
        <w:autoSpaceDN w:val="0"/>
        <w:adjustRightInd w:val="0"/>
      </w:pPr>
      <w:r w:rsidRPr="00A5312B">
        <w:rPr>
          <w:noProof/>
        </w:rPr>
        <w:drawing>
          <wp:inline distT="0" distB="0" distL="114300" distR="114300" wp14:anchorId="135328FD" wp14:editId="5DF43E8D">
            <wp:extent cx="6120130" cy="2736761"/>
            <wp:effectExtent l="0" t="0" r="0" b="6985"/>
            <wp:docPr id="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84046A" w14:textId="4DBDF7B5" w:rsidR="009158E5" w:rsidRDefault="009158E5" w:rsidP="009158E5">
      <w:pPr>
        <w:autoSpaceDE w:val="0"/>
        <w:autoSpaceDN w:val="0"/>
        <w:adjustRightInd w:val="0"/>
        <w:ind w:firstLine="709"/>
        <w:jc w:val="both"/>
      </w:pPr>
    </w:p>
    <w:p w14:paraId="0BD4C3F5" w14:textId="77777777" w:rsidR="002458AC" w:rsidRPr="00A5312B" w:rsidRDefault="002458AC" w:rsidP="009158E5">
      <w:pPr>
        <w:autoSpaceDE w:val="0"/>
        <w:autoSpaceDN w:val="0"/>
        <w:adjustRightInd w:val="0"/>
        <w:ind w:firstLine="709"/>
        <w:jc w:val="both"/>
      </w:pPr>
    </w:p>
    <w:p w14:paraId="72AA45A0" w14:textId="53BD17F2" w:rsidR="009158E5" w:rsidRPr="004E3119" w:rsidRDefault="009158E5" w:rsidP="009158E5">
      <w:pPr>
        <w:autoSpaceDE w:val="0"/>
        <w:autoSpaceDN w:val="0"/>
        <w:adjustRightInd w:val="0"/>
        <w:ind w:firstLine="709"/>
        <w:jc w:val="both"/>
      </w:pPr>
      <w:r w:rsidRPr="00BB5CE4">
        <w:t xml:space="preserve">В </w:t>
      </w:r>
      <w:r w:rsidRPr="00BB5CE4">
        <w:rPr>
          <w:lang w:val="en-US"/>
        </w:rPr>
        <w:t>I</w:t>
      </w:r>
      <w:r w:rsidRPr="00BB5CE4">
        <w:t xml:space="preserve"> полугодии 202</w:t>
      </w:r>
      <w:r w:rsidR="00AB1E0D" w:rsidRPr="00BB5CE4">
        <w:t>1</w:t>
      </w:r>
      <w:r w:rsidRPr="00BB5CE4">
        <w:t xml:space="preserve"> года основная часть расходов направлена на </w:t>
      </w:r>
      <w:r w:rsidR="00AB1E0D" w:rsidRPr="00BB5CE4">
        <w:t>ремонт</w:t>
      </w:r>
      <w:r w:rsidRPr="00BB5CE4">
        <w:t xml:space="preserve"> автомобильных дорог (</w:t>
      </w:r>
      <w:r w:rsidR="00AB1E0D" w:rsidRPr="00BB5CE4">
        <w:t>53</w:t>
      </w:r>
      <w:r w:rsidRPr="00BB5CE4">
        <w:t>,</w:t>
      </w:r>
      <w:r w:rsidR="00AB1E0D" w:rsidRPr="00BB5CE4">
        <w:t>5</w:t>
      </w:r>
      <w:r w:rsidRPr="00BB5CE4">
        <w:t xml:space="preserve">%, </w:t>
      </w:r>
      <w:r w:rsidR="00AB1E0D" w:rsidRPr="00BB5CE4">
        <w:t>1 020,2</w:t>
      </w:r>
      <w:r w:rsidRPr="00BB5CE4">
        <w:t xml:space="preserve"> млн. руб.), на </w:t>
      </w:r>
      <w:r w:rsidR="00AB1E0D" w:rsidRPr="00BB5CE4">
        <w:t>содержание дорог</w:t>
      </w:r>
      <w:r w:rsidRPr="00BB5CE4">
        <w:t xml:space="preserve"> (</w:t>
      </w:r>
      <w:r w:rsidR="00AB1E0D" w:rsidRPr="00BB5CE4">
        <w:t>26</w:t>
      </w:r>
      <w:r w:rsidRPr="00BB5CE4">
        <w:t>,</w:t>
      </w:r>
      <w:r w:rsidR="00AB1E0D" w:rsidRPr="00BB5CE4">
        <w:t>1</w:t>
      </w:r>
      <w:r w:rsidRPr="00BB5CE4">
        <w:t xml:space="preserve">%, </w:t>
      </w:r>
      <w:r w:rsidR="00AB1E0D" w:rsidRPr="00BB5CE4">
        <w:t>497</w:t>
      </w:r>
      <w:r w:rsidRPr="00BB5CE4">
        <w:t xml:space="preserve">,7 млн. руб.), а также на </w:t>
      </w:r>
      <w:r w:rsidR="00AB1E0D" w:rsidRPr="00BB5CE4">
        <w:t xml:space="preserve">строительство и реконструкцию </w:t>
      </w:r>
      <w:r w:rsidRPr="00BB5CE4">
        <w:t>дорог (</w:t>
      </w:r>
      <w:r w:rsidR="00AB1E0D" w:rsidRPr="00BB5CE4">
        <w:t>14</w:t>
      </w:r>
      <w:r w:rsidRPr="00BB5CE4">
        <w:t>,</w:t>
      </w:r>
      <w:r w:rsidR="00AB1E0D" w:rsidRPr="00BB5CE4">
        <w:t>3</w:t>
      </w:r>
      <w:r w:rsidRPr="00BB5CE4">
        <w:t xml:space="preserve">%, </w:t>
      </w:r>
      <w:r w:rsidR="00AB1E0D" w:rsidRPr="00BB5CE4">
        <w:t>273,4</w:t>
      </w:r>
      <w:r w:rsidRPr="00BB5CE4">
        <w:t xml:space="preserve"> млн. руб.). Наименьшая доля расходов муниципальных дорожных фондов направлена на капитальный ремонт автодорог – 0,</w:t>
      </w:r>
      <w:r w:rsidR="00AB1E0D" w:rsidRPr="00BB5CE4">
        <w:t>1</w:t>
      </w:r>
      <w:r w:rsidRPr="00BB5CE4">
        <w:t>% (</w:t>
      </w:r>
      <w:r w:rsidR="00AB1E0D" w:rsidRPr="00BB5CE4">
        <w:t>1,3</w:t>
      </w:r>
      <w:r w:rsidRPr="00BB5CE4">
        <w:t xml:space="preserve"> млн. рублей).</w:t>
      </w:r>
    </w:p>
    <w:p w14:paraId="093DF347" w14:textId="77777777" w:rsidR="009158E5" w:rsidRDefault="009158E5" w:rsidP="009158E5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8AAB0DA" w14:textId="3240D378" w:rsidR="009158E5" w:rsidRPr="008F49EF" w:rsidRDefault="009158E5" w:rsidP="009158E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F49EF">
        <w:rPr>
          <w:b/>
        </w:rPr>
        <w:t>Региональны</w:t>
      </w:r>
      <w:r w:rsidR="003F36BA" w:rsidRPr="008F49EF">
        <w:rPr>
          <w:b/>
        </w:rPr>
        <w:t>е</w:t>
      </w:r>
      <w:r w:rsidRPr="008F49EF">
        <w:rPr>
          <w:b/>
        </w:rPr>
        <w:t xml:space="preserve"> проект</w:t>
      </w:r>
      <w:r w:rsidR="003F36BA" w:rsidRPr="008F49EF">
        <w:rPr>
          <w:b/>
        </w:rPr>
        <w:t>ы</w:t>
      </w:r>
    </w:p>
    <w:p w14:paraId="7D5556EE" w14:textId="77777777" w:rsidR="009158E5" w:rsidRPr="008F49EF" w:rsidRDefault="009158E5" w:rsidP="009158E5">
      <w:pPr>
        <w:ind w:firstLine="709"/>
        <w:jc w:val="both"/>
      </w:pPr>
      <w:r w:rsidRPr="008F49EF">
        <w:t>В связи с началом реализации с 2019 года национального проекта «Безопасные и качественные автомобильные дороги» (далее – НП «БКАД») в Волгоградской области реализуются три региональных проекта:</w:t>
      </w:r>
    </w:p>
    <w:p w14:paraId="4DF4ED3C" w14:textId="049CEE27" w:rsidR="009158E5" w:rsidRPr="008F49EF" w:rsidRDefault="009158E5" w:rsidP="003F36BA">
      <w:pPr>
        <w:autoSpaceDE w:val="0"/>
        <w:autoSpaceDN w:val="0"/>
        <w:adjustRightInd w:val="0"/>
        <w:ind w:firstLine="709"/>
        <w:jc w:val="both"/>
      </w:pPr>
      <w:r w:rsidRPr="008F49EF">
        <w:t>-региональный проект «</w:t>
      </w:r>
      <w:r w:rsidR="003F36BA" w:rsidRPr="008F49EF">
        <w:rPr>
          <w:rFonts w:eastAsia="Calibri"/>
        </w:rPr>
        <w:t>Региональная и местная дорожная сеть</w:t>
      </w:r>
      <w:r w:rsidR="008F49EF" w:rsidRPr="008F49EF">
        <w:rPr>
          <w:rFonts w:eastAsia="Calibri"/>
        </w:rPr>
        <w:t xml:space="preserve"> (Волгоградская область)</w:t>
      </w:r>
      <w:r w:rsidRPr="008F49EF">
        <w:t>» (далее – РП «Дорожная сеть»);</w:t>
      </w:r>
    </w:p>
    <w:p w14:paraId="483DEB8A" w14:textId="1368FDD3" w:rsidR="009158E5" w:rsidRPr="008F49EF" w:rsidRDefault="009158E5" w:rsidP="009158E5">
      <w:pPr>
        <w:ind w:firstLine="709"/>
        <w:jc w:val="both"/>
      </w:pPr>
      <w:r w:rsidRPr="008F49EF">
        <w:t>-региональный проект «</w:t>
      </w:r>
      <w:r w:rsidR="003F36BA" w:rsidRPr="008F49EF">
        <w:t>Общесистемные меры развития дорожного хозяйства</w:t>
      </w:r>
      <w:r w:rsidR="008F49EF" w:rsidRPr="008F49EF">
        <w:t xml:space="preserve"> </w:t>
      </w:r>
      <w:r w:rsidR="008F49EF" w:rsidRPr="008F49EF">
        <w:rPr>
          <w:rFonts w:eastAsia="Calibri"/>
        </w:rPr>
        <w:t>(Волгоградская область)</w:t>
      </w:r>
      <w:r w:rsidRPr="008F49EF">
        <w:t>» (далее – РП «Общесистемные меры»);</w:t>
      </w:r>
    </w:p>
    <w:p w14:paraId="0A81F7AF" w14:textId="7C6E4260" w:rsidR="009158E5" w:rsidRDefault="009158E5" w:rsidP="009158E5">
      <w:pPr>
        <w:ind w:firstLine="709"/>
        <w:jc w:val="both"/>
      </w:pPr>
      <w:r w:rsidRPr="008F49EF">
        <w:t xml:space="preserve">-региональный проект </w:t>
      </w:r>
      <w:r w:rsidRPr="008F49EF">
        <w:rPr>
          <w:rFonts w:eastAsia="Calibri"/>
          <w:i/>
          <w:iCs/>
        </w:rPr>
        <w:t>«</w:t>
      </w:r>
      <w:r w:rsidRPr="008F49EF">
        <w:rPr>
          <w:rFonts w:eastAsia="Calibri"/>
        </w:rPr>
        <w:t>Безопасность дорожного движения (Волгоградская область)»</w:t>
      </w:r>
      <w:r w:rsidRPr="008F49EF">
        <w:t xml:space="preserve"> (далее – РП «БДД»).</w:t>
      </w:r>
    </w:p>
    <w:p w14:paraId="2CF55BCE" w14:textId="5BCFBC49" w:rsidR="002458AC" w:rsidRDefault="002458AC" w:rsidP="009158E5">
      <w:pPr>
        <w:ind w:firstLine="709"/>
        <w:jc w:val="both"/>
      </w:pPr>
    </w:p>
    <w:p w14:paraId="4B771D2D" w14:textId="77777777" w:rsidR="002458AC" w:rsidRPr="00504ADA" w:rsidRDefault="002458AC" w:rsidP="009158E5">
      <w:pPr>
        <w:ind w:firstLine="709"/>
        <w:jc w:val="both"/>
      </w:pPr>
    </w:p>
    <w:p w14:paraId="3707B34A" w14:textId="77777777" w:rsidR="009158E5" w:rsidRPr="009D229B" w:rsidRDefault="009158E5" w:rsidP="009158E5">
      <w:pPr>
        <w:ind w:firstLine="709"/>
        <w:jc w:val="center"/>
        <w:rPr>
          <w:i/>
          <w:iCs/>
        </w:rPr>
      </w:pPr>
      <w:r w:rsidRPr="009D229B">
        <w:rPr>
          <w:i/>
          <w:iCs/>
        </w:rPr>
        <w:lastRenderedPageBreak/>
        <w:t>РП «Дорожная сеть»</w:t>
      </w:r>
    </w:p>
    <w:p w14:paraId="3D75F8FF" w14:textId="53F118A7" w:rsidR="009158E5" w:rsidRPr="00E66943" w:rsidRDefault="009158E5" w:rsidP="009158E5">
      <w:pPr>
        <w:ind w:firstLine="709"/>
        <w:jc w:val="both"/>
      </w:pPr>
      <w:r w:rsidRPr="00EE2E75">
        <w:t xml:space="preserve">Реализация РП «Дорожная сеть» в отношении </w:t>
      </w:r>
      <w:r w:rsidR="00BB5CE4">
        <w:t xml:space="preserve">областных и местных дорог </w:t>
      </w:r>
      <w:r w:rsidRPr="00E66943">
        <w:t>осуществляется в целях:</w:t>
      </w:r>
    </w:p>
    <w:p w14:paraId="71DE23AD" w14:textId="58996884" w:rsidR="009158E5" w:rsidRPr="00E66943" w:rsidRDefault="009158E5" w:rsidP="009158E5">
      <w:pPr>
        <w:ind w:firstLine="709"/>
        <w:jc w:val="both"/>
      </w:pPr>
      <w:r w:rsidRPr="00E66943">
        <w:t>-</w:t>
      </w:r>
      <w:r w:rsidR="000A4B58" w:rsidRPr="00E66943">
        <w:t>повышение качества дорожной сети, в том числе уличной сети городских агломераций.</w:t>
      </w:r>
      <w:r w:rsidRPr="00E66943">
        <w:t xml:space="preserve"> По итогам 2024 года запланировано увеличение доли дорог</w:t>
      </w:r>
      <w:r w:rsidR="000A4B58" w:rsidRPr="00E66943">
        <w:t xml:space="preserve"> </w:t>
      </w:r>
      <w:r w:rsidR="00BB5CE4" w:rsidRPr="00E66943">
        <w:t xml:space="preserve">Волгоградской и Волжской </w:t>
      </w:r>
      <w:r w:rsidR="000A4B58" w:rsidRPr="00E66943">
        <w:t>городских агломераций</w:t>
      </w:r>
      <w:r w:rsidRPr="00E66943">
        <w:t xml:space="preserve">, </w:t>
      </w:r>
      <w:r w:rsidR="000A4B58" w:rsidRPr="00E66943">
        <w:t xml:space="preserve">находящихся в </w:t>
      </w:r>
      <w:r w:rsidRPr="00E66943">
        <w:t>нормативн</w:t>
      </w:r>
      <w:r w:rsidR="000A4B58" w:rsidRPr="00E66943">
        <w:t>о</w:t>
      </w:r>
      <w:r w:rsidRPr="00E66943">
        <w:t xml:space="preserve">м </w:t>
      </w:r>
      <w:r w:rsidR="000A4B58" w:rsidRPr="00E66943">
        <w:t>состоянии</w:t>
      </w:r>
      <w:r w:rsidRPr="00E66943">
        <w:t xml:space="preserve"> </w:t>
      </w:r>
      <w:r w:rsidR="000A4B58" w:rsidRPr="00E66943">
        <w:t xml:space="preserve">до </w:t>
      </w:r>
      <w:r w:rsidRPr="00E66943">
        <w:t>85%</w:t>
      </w:r>
      <w:r w:rsidR="000A4B58" w:rsidRPr="00E66943">
        <w:t>, доли областных дорог – до 50%.</w:t>
      </w:r>
    </w:p>
    <w:p w14:paraId="720BAA44" w14:textId="40F0B418" w:rsidR="009158E5" w:rsidRPr="00E66943" w:rsidRDefault="009158E5" w:rsidP="009158E5">
      <w:pPr>
        <w:ind w:firstLine="709"/>
        <w:jc w:val="both"/>
      </w:pPr>
      <w:r w:rsidRPr="00E66943">
        <w:t>-</w:t>
      </w:r>
      <w:r w:rsidR="00301931" w:rsidRPr="00E66943">
        <w:t xml:space="preserve">повышения </w:t>
      </w:r>
      <w:r w:rsidRPr="00E66943">
        <w:t>дол</w:t>
      </w:r>
      <w:r w:rsidR="00301931" w:rsidRPr="00E66943">
        <w:t>и</w:t>
      </w:r>
      <w:r w:rsidRPr="00E66943">
        <w:t xml:space="preserve"> отечественного оборудования (товаров, работ, услуг) в общем объеме закупок до 70%.</w:t>
      </w:r>
    </w:p>
    <w:p w14:paraId="448FEDCF" w14:textId="010011E7" w:rsidR="009158E5" w:rsidRPr="00E66943" w:rsidRDefault="009158E5" w:rsidP="009158E5">
      <w:pPr>
        <w:ind w:firstLine="709"/>
        <w:jc w:val="both"/>
      </w:pPr>
      <w:r w:rsidRPr="00E66943">
        <w:t>Информация о целевых показателях проекта приведена в таблице. Основные показатели выделены жирным шрифтом. Остальные показателя являются справочными</w:t>
      </w:r>
      <w:r w:rsidR="00332A11" w:rsidRPr="00E66943">
        <w:t xml:space="preserve"> (получены расчетным путем)</w:t>
      </w:r>
      <w:r w:rsidRPr="00E66943">
        <w:t>.</w:t>
      </w:r>
    </w:p>
    <w:p w14:paraId="60A308D2" w14:textId="77777777" w:rsidR="009158E5" w:rsidRPr="00E66943" w:rsidRDefault="009158E5" w:rsidP="009158E5">
      <w:pPr>
        <w:ind w:firstLine="709"/>
        <w:jc w:val="both"/>
      </w:pPr>
    </w:p>
    <w:tbl>
      <w:tblPr>
        <w:tblW w:w="978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499"/>
        <w:gridCol w:w="656"/>
        <w:gridCol w:w="756"/>
        <w:gridCol w:w="715"/>
        <w:gridCol w:w="711"/>
        <w:gridCol w:w="1143"/>
        <w:gridCol w:w="711"/>
      </w:tblGrid>
      <w:tr w:rsidR="009F442E" w:rsidRPr="00E66943" w14:paraId="6D16B697" w14:textId="4276D463" w:rsidTr="00E66943">
        <w:trPr>
          <w:trHeight w:val="20"/>
          <w:tblHeader/>
        </w:trPr>
        <w:tc>
          <w:tcPr>
            <w:tcW w:w="50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6281137" w14:textId="77777777" w:rsidR="009F442E" w:rsidRPr="00E66943" w:rsidRDefault="009F442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656" w:type="dxa"/>
            <w:vMerge w:val="restart"/>
            <w:tcBorders>
              <w:top w:val="double" w:sz="4" w:space="0" w:color="auto"/>
            </w:tcBorders>
            <w:vAlign w:val="center"/>
          </w:tcPr>
          <w:p w14:paraId="5A294784" w14:textId="77777777" w:rsidR="009F442E" w:rsidRPr="00E66943" w:rsidRDefault="009F442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14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3CA8" w14:textId="3DDA00DC" w:rsidR="009F442E" w:rsidRPr="00E66943" w:rsidRDefault="009F442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18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D028D" w14:textId="6D90342B" w:rsidR="009F442E" w:rsidRPr="00E66943" w:rsidRDefault="009F442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B5F1" w14:textId="105CB8DF" w:rsidR="009F442E" w:rsidRPr="00E66943" w:rsidRDefault="009F442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9F442E" w:rsidRPr="00E66943" w14:paraId="3964F9AB" w14:textId="24E26492" w:rsidTr="00E66943">
        <w:trPr>
          <w:trHeight w:val="20"/>
          <w:tblHeader/>
        </w:trPr>
        <w:tc>
          <w:tcPr>
            <w:tcW w:w="509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45DCAD2" w14:textId="77777777" w:rsidR="009F442E" w:rsidRPr="00E66943" w:rsidRDefault="009F442E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6" w:type="dxa"/>
            <w:vMerge/>
            <w:tcBorders>
              <w:bottom w:val="double" w:sz="4" w:space="0" w:color="auto"/>
            </w:tcBorders>
            <w:vAlign w:val="center"/>
          </w:tcPr>
          <w:p w14:paraId="1D3A7B1C" w14:textId="77777777" w:rsidR="009F442E" w:rsidRPr="00E66943" w:rsidRDefault="009F442E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A651DF0" w14:textId="56A3108D" w:rsidR="009F442E" w:rsidRPr="00E66943" w:rsidRDefault="009F442E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63AFD" w14:textId="314529A4" w:rsidR="009F442E" w:rsidRPr="00E66943" w:rsidRDefault="00E66943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A6CD6" w14:textId="58A1863C" w:rsidR="009F442E" w:rsidRPr="00E66943" w:rsidRDefault="009F442E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A7F66B" w14:textId="47037478" w:rsidR="009F442E" w:rsidRPr="00E66943" w:rsidRDefault="00E66943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Отчёт за 1 полугодие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6E0FE8" w14:textId="355C0D8A" w:rsidR="009F442E" w:rsidRPr="00E66943" w:rsidRDefault="009F442E" w:rsidP="009F442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</w:tr>
      <w:tr w:rsidR="009F442E" w:rsidRPr="00E66943" w14:paraId="2394DBA5" w14:textId="530E0A25" w:rsidTr="00E66943">
        <w:trPr>
          <w:trHeight w:val="20"/>
        </w:trPr>
        <w:tc>
          <w:tcPr>
            <w:tcW w:w="1592" w:type="dxa"/>
            <w:vMerge w:val="restart"/>
            <w:tcBorders>
              <w:top w:val="double" w:sz="4" w:space="0" w:color="auto"/>
            </w:tcBorders>
            <w:vAlign w:val="center"/>
          </w:tcPr>
          <w:p w14:paraId="1B67A91B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  <w:r w:rsidRPr="00E66943">
              <w:rPr>
                <w:color w:val="000000"/>
                <w:sz w:val="18"/>
                <w:szCs w:val="20"/>
              </w:rPr>
              <w:t>Доля дорог, соответствующих нормативным требованиям</w:t>
            </w:r>
          </w:p>
        </w:tc>
        <w:tc>
          <w:tcPr>
            <w:tcW w:w="349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2CF3A29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  <w:r w:rsidRPr="00E66943">
              <w:rPr>
                <w:color w:val="000000"/>
                <w:sz w:val="18"/>
                <w:szCs w:val="20"/>
              </w:rPr>
              <w:t>Областных дорог</w:t>
            </w: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14:paraId="12F7306E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CC8D3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41,0</w:t>
            </w:r>
          </w:p>
        </w:tc>
        <w:tc>
          <w:tcPr>
            <w:tcW w:w="715" w:type="dxa"/>
            <w:tcBorders>
              <w:top w:val="double" w:sz="4" w:space="0" w:color="auto"/>
            </w:tcBorders>
            <w:shd w:val="clear" w:color="auto" w:fill="auto"/>
          </w:tcPr>
          <w:p w14:paraId="3ADA621F" w14:textId="0B05CF86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41,15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</w:tcPr>
          <w:p w14:paraId="13A119C0" w14:textId="1F41D022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44,0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</w:tcPr>
          <w:p w14:paraId="1D7D4829" w14:textId="6D7EC7D3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41,15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659F16" w14:textId="1FA524B0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50,0</w:t>
            </w:r>
          </w:p>
        </w:tc>
      </w:tr>
      <w:tr w:rsidR="009F442E" w:rsidRPr="00E66943" w14:paraId="657DC060" w14:textId="349F4D2B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20BB1BD0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Merge/>
            <w:vAlign w:val="center"/>
            <w:hideMark/>
          </w:tcPr>
          <w:p w14:paraId="4526D05B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D140C12" w14:textId="77777777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6F299BC" w14:textId="11A96766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4123,3</w:t>
            </w:r>
          </w:p>
        </w:tc>
        <w:tc>
          <w:tcPr>
            <w:tcW w:w="715" w:type="dxa"/>
            <w:shd w:val="clear" w:color="auto" w:fill="auto"/>
          </w:tcPr>
          <w:p w14:paraId="1758E925" w14:textId="45CCCD50" w:rsidR="009F442E" w:rsidRPr="00E66943" w:rsidRDefault="009F442E" w:rsidP="009F442E">
            <w:pPr>
              <w:jc w:val="center"/>
              <w:rPr>
                <w:color w:val="000000"/>
                <w:sz w:val="18"/>
                <w:szCs w:val="18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4138,4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400894E" w14:textId="66F31AD2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4432,0</w:t>
            </w:r>
          </w:p>
        </w:tc>
        <w:tc>
          <w:tcPr>
            <w:tcW w:w="1143" w:type="dxa"/>
            <w:shd w:val="clear" w:color="auto" w:fill="auto"/>
          </w:tcPr>
          <w:p w14:paraId="1B7A8353" w14:textId="33C4ED9A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4138,4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3A03E2A" w14:textId="6A4606A9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5036,3</w:t>
            </w:r>
          </w:p>
        </w:tc>
      </w:tr>
      <w:tr w:rsidR="009F442E" w:rsidRPr="00E66943" w14:paraId="781874B2" w14:textId="29E24613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244A0B1A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14:paraId="4798B152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  <w:r w:rsidRPr="00E66943">
              <w:rPr>
                <w:color w:val="000000"/>
                <w:sz w:val="18"/>
                <w:szCs w:val="20"/>
              </w:rPr>
              <w:t>Дорог Волгоградской городской агломерации</w:t>
            </w:r>
          </w:p>
        </w:tc>
        <w:tc>
          <w:tcPr>
            <w:tcW w:w="656" w:type="dxa"/>
            <w:vAlign w:val="center"/>
          </w:tcPr>
          <w:p w14:paraId="47D77E91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3857C75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67,1</w:t>
            </w:r>
          </w:p>
        </w:tc>
        <w:tc>
          <w:tcPr>
            <w:tcW w:w="715" w:type="dxa"/>
            <w:shd w:val="clear" w:color="auto" w:fill="auto"/>
          </w:tcPr>
          <w:p w14:paraId="78D23DC5" w14:textId="5588FE5C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75,14</w:t>
            </w:r>
          </w:p>
        </w:tc>
        <w:tc>
          <w:tcPr>
            <w:tcW w:w="711" w:type="dxa"/>
            <w:shd w:val="clear" w:color="auto" w:fill="auto"/>
          </w:tcPr>
          <w:p w14:paraId="430483C6" w14:textId="48F4F7C6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76,14</w:t>
            </w:r>
          </w:p>
        </w:tc>
        <w:tc>
          <w:tcPr>
            <w:tcW w:w="1143" w:type="dxa"/>
            <w:shd w:val="clear" w:color="auto" w:fill="auto"/>
          </w:tcPr>
          <w:p w14:paraId="712CC67C" w14:textId="273F673B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75,14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4012A8" w14:textId="460CB948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9F442E" w:rsidRPr="00E66943" w14:paraId="5B4180A7" w14:textId="69A0C43E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5D41BD4F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Merge/>
            <w:vAlign w:val="center"/>
            <w:hideMark/>
          </w:tcPr>
          <w:p w14:paraId="3E08683A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63933B74" w14:textId="77777777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90D2B0" w14:textId="3CBFF259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1037,2</w:t>
            </w:r>
          </w:p>
        </w:tc>
        <w:tc>
          <w:tcPr>
            <w:tcW w:w="715" w:type="dxa"/>
            <w:shd w:val="clear" w:color="auto" w:fill="auto"/>
          </w:tcPr>
          <w:p w14:paraId="5DB54D12" w14:textId="535AAD97" w:rsidR="009F442E" w:rsidRPr="00E66943" w:rsidRDefault="009F442E" w:rsidP="009F442E">
            <w:pPr>
              <w:jc w:val="center"/>
              <w:rPr>
                <w:color w:val="000000"/>
                <w:sz w:val="18"/>
                <w:szCs w:val="18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1161,5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EF6B6D" w14:textId="34989C6A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1176,9</w:t>
            </w:r>
          </w:p>
        </w:tc>
        <w:tc>
          <w:tcPr>
            <w:tcW w:w="1143" w:type="dxa"/>
            <w:shd w:val="clear" w:color="auto" w:fill="auto"/>
          </w:tcPr>
          <w:p w14:paraId="4990052B" w14:textId="4667F8E8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1161,5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BF904FF" w14:textId="5DC78040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1313,9</w:t>
            </w:r>
          </w:p>
        </w:tc>
      </w:tr>
      <w:tr w:rsidR="009F442E" w:rsidRPr="00E66943" w14:paraId="2BE23876" w14:textId="1BF7E515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7AF17496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Merge w:val="restart"/>
            <w:shd w:val="clear" w:color="auto" w:fill="auto"/>
            <w:vAlign w:val="center"/>
            <w:hideMark/>
          </w:tcPr>
          <w:p w14:paraId="1C128A3E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  <w:r w:rsidRPr="00E66943">
              <w:rPr>
                <w:color w:val="000000"/>
                <w:sz w:val="18"/>
                <w:szCs w:val="20"/>
              </w:rPr>
              <w:t>Дорог Волжской городской агломерации</w:t>
            </w:r>
          </w:p>
        </w:tc>
        <w:tc>
          <w:tcPr>
            <w:tcW w:w="656" w:type="dxa"/>
            <w:vAlign w:val="center"/>
          </w:tcPr>
          <w:p w14:paraId="0E4E27CC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DB470B0" w14:textId="77777777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49,9</w:t>
            </w:r>
          </w:p>
        </w:tc>
        <w:tc>
          <w:tcPr>
            <w:tcW w:w="715" w:type="dxa"/>
            <w:shd w:val="clear" w:color="auto" w:fill="auto"/>
          </w:tcPr>
          <w:p w14:paraId="22959F8E" w14:textId="33BB0B55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53,17</w:t>
            </w:r>
          </w:p>
        </w:tc>
        <w:tc>
          <w:tcPr>
            <w:tcW w:w="711" w:type="dxa"/>
            <w:shd w:val="clear" w:color="auto" w:fill="auto"/>
          </w:tcPr>
          <w:p w14:paraId="6E53ED12" w14:textId="0F5A9F15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61,2</w:t>
            </w:r>
          </w:p>
        </w:tc>
        <w:tc>
          <w:tcPr>
            <w:tcW w:w="1143" w:type="dxa"/>
            <w:shd w:val="clear" w:color="auto" w:fill="auto"/>
          </w:tcPr>
          <w:p w14:paraId="21B6ADA2" w14:textId="1ED93172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53,17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BAC347" w14:textId="35232E5E" w:rsidR="009F442E" w:rsidRPr="00E66943" w:rsidRDefault="009F442E" w:rsidP="009F442E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85,0</w:t>
            </w:r>
          </w:p>
        </w:tc>
      </w:tr>
      <w:tr w:rsidR="009F442E" w:rsidRPr="00E66943" w14:paraId="01838507" w14:textId="21827F8A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209CCD27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77132E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527A687" w14:textId="77777777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0B1FE" w14:textId="25CE3CB9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132,7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4158140B" w14:textId="05BB5E8A" w:rsidR="009F442E" w:rsidRPr="00E66943" w:rsidRDefault="009F442E" w:rsidP="009F442E">
            <w:pPr>
              <w:jc w:val="center"/>
              <w:rPr>
                <w:color w:val="000000"/>
                <w:sz w:val="18"/>
                <w:szCs w:val="18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141,4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9219B" w14:textId="6116C388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162,8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5F99DA5D" w14:textId="0D4A9944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141,4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B2A53" w14:textId="782FDF63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iCs/>
                <w:color w:val="000000"/>
                <w:sz w:val="18"/>
                <w:szCs w:val="20"/>
              </w:rPr>
              <w:t>226,1</w:t>
            </w:r>
          </w:p>
        </w:tc>
      </w:tr>
      <w:tr w:rsidR="009F442E" w:rsidRPr="00E66943" w14:paraId="4993D38E" w14:textId="5580E836" w:rsidTr="00E66943">
        <w:trPr>
          <w:trHeight w:val="20"/>
        </w:trPr>
        <w:tc>
          <w:tcPr>
            <w:tcW w:w="1592" w:type="dxa"/>
            <w:vMerge/>
            <w:vAlign w:val="center"/>
          </w:tcPr>
          <w:p w14:paraId="2D930CF9" w14:textId="77777777" w:rsidR="009F442E" w:rsidRPr="00E66943" w:rsidRDefault="009F442E" w:rsidP="009F442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99" w:type="dxa"/>
            <w:vAlign w:val="center"/>
          </w:tcPr>
          <w:p w14:paraId="7D658578" w14:textId="77777777" w:rsidR="009F442E" w:rsidRPr="00E66943" w:rsidRDefault="009F442E" w:rsidP="00E66943">
            <w:pPr>
              <w:rPr>
                <w:color w:val="000000"/>
                <w:sz w:val="18"/>
                <w:szCs w:val="20"/>
              </w:rPr>
            </w:pPr>
            <w:r w:rsidRPr="00E66943">
              <w:rPr>
                <w:color w:val="000000"/>
                <w:sz w:val="18"/>
                <w:szCs w:val="20"/>
              </w:rPr>
              <w:t>Дорог городских агломераций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ABE5035" w14:textId="77777777" w:rsidR="009F442E" w:rsidRPr="00E66943" w:rsidRDefault="009F442E" w:rsidP="009F442E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color w:val="000000"/>
                <w:sz w:val="18"/>
                <w:szCs w:val="20"/>
              </w:rPr>
              <w:t>%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FBA5" w14:textId="77777777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69,7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580E50B7" w14:textId="2B599369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72,01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389FD4D7" w14:textId="6B05C974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74,0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D734CC2" w14:textId="018A2DF9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72,01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50529" w14:textId="2C5B164D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85,0</w:t>
            </w:r>
          </w:p>
        </w:tc>
      </w:tr>
      <w:tr w:rsidR="009F442E" w:rsidRPr="00E66943" w14:paraId="79476281" w14:textId="1FFB2EA1" w:rsidTr="00E66943">
        <w:trPr>
          <w:trHeight w:val="20"/>
        </w:trPr>
        <w:tc>
          <w:tcPr>
            <w:tcW w:w="509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BB0B70" w14:textId="77777777" w:rsidR="009F442E" w:rsidRPr="00E66943" w:rsidRDefault="009F442E" w:rsidP="00332A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E66943">
              <w:rPr>
                <w:rFonts w:eastAsiaTheme="minorHAnsi"/>
                <w:sz w:val="18"/>
                <w:szCs w:val="18"/>
                <w:lang w:eastAsia="en-US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6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B2C3EA" w14:textId="77777777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8845BF5" w14:textId="4CD23525" w:rsidR="009F442E" w:rsidRPr="00E66943" w:rsidRDefault="00E66943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39544E" w14:textId="78F6F1F0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8AF94" w14:textId="26F9CCFA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62,0</w:t>
            </w: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5572D3" w14:textId="22B6A637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25,25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497FC" w14:textId="6D849BAF" w:rsidR="009F442E" w:rsidRPr="00E66943" w:rsidRDefault="009F442E" w:rsidP="009F442E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E66943">
              <w:rPr>
                <w:b/>
                <w:bCs/>
                <w:iCs/>
                <w:color w:val="000000"/>
                <w:sz w:val="18"/>
                <w:szCs w:val="20"/>
              </w:rPr>
              <w:t>70,0</w:t>
            </w:r>
          </w:p>
        </w:tc>
      </w:tr>
    </w:tbl>
    <w:p w14:paraId="429AE566" w14:textId="354D5C71" w:rsidR="009158E5" w:rsidRPr="00E66943" w:rsidRDefault="009158E5" w:rsidP="009158E5">
      <w:pPr>
        <w:ind w:firstLine="709"/>
        <w:jc w:val="both"/>
      </w:pPr>
    </w:p>
    <w:p w14:paraId="73E02AA9" w14:textId="521F9A25" w:rsidR="009F442E" w:rsidRPr="00E66943" w:rsidRDefault="009F442E" w:rsidP="009158E5">
      <w:pPr>
        <w:ind w:firstLine="709"/>
        <w:jc w:val="both"/>
      </w:pPr>
      <w:r w:rsidRPr="00E66943">
        <w:t xml:space="preserve">Согласно отчету </w:t>
      </w:r>
      <w:r w:rsidR="002D75F7" w:rsidRPr="00E66943">
        <w:t>ЭБ о</w:t>
      </w:r>
      <w:r w:rsidRPr="00E66943">
        <w:t xml:space="preserve"> РП «Дорожная сеть» значения показателей «Доля дорог…» на 01.07.2021 определено по итогам проведенной диагностики 2020 года. Достижение показателей в 2021 году будет определено по </w:t>
      </w:r>
      <w:r w:rsidR="00E836AB" w:rsidRPr="00E66943">
        <w:t>результатам</w:t>
      </w:r>
      <w:r w:rsidRPr="00E66943">
        <w:t xml:space="preserve"> диагностики в </w:t>
      </w:r>
      <w:r w:rsidRPr="00E66943">
        <w:rPr>
          <w:lang w:val="en-US"/>
        </w:rPr>
        <w:t>III</w:t>
      </w:r>
      <w:r w:rsidRPr="00E66943">
        <w:t>-</w:t>
      </w:r>
      <w:r w:rsidRPr="00E66943">
        <w:rPr>
          <w:lang w:val="en-US"/>
        </w:rPr>
        <w:t>IV</w:t>
      </w:r>
      <w:r w:rsidRPr="00E66943">
        <w:t xml:space="preserve"> </w:t>
      </w:r>
      <w:r w:rsidR="00E836AB" w:rsidRPr="00E66943">
        <w:t xml:space="preserve">квартале 2021 года. </w:t>
      </w:r>
    </w:p>
    <w:p w14:paraId="4B5F61AE" w14:textId="6DE6E6B4" w:rsidR="009158E5" w:rsidRDefault="009158E5" w:rsidP="009158E5">
      <w:pPr>
        <w:ind w:firstLine="709"/>
        <w:jc w:val="both"/>
        <w:rPr>
          <w:rFonts w:eastAsia="Calibri"/>
        </w:rPr>
      </w:pPr>
      <w:r w:rsidRPr="00E66943">
        <w:t xml:space="preserve">На реализацию </w:t>
      </w:r>
      <w:r w:rsidRPr="00E66943">
        <w:rPr>
          <w:rFonts w:eastAsia="Calibri"/>
        </w:rPr>
        <w:t xml:space="preserve">РП «Дорожная сеть» в 2019-2024 годах запланировано направить 33 793,6 млн. руб., в т.ч в 2021 году – </w:t>
      </w:r>
      <w:r w:rsidR="00953E0C" w:rsidRPr="00E66943">
        <w:rPr>
          <w:rFonts w:eastAsia="Calibri"/>
        </w:rPr>
        <w:t xml:space="preserve">7 734,2 </w:t>
      </w:r>
      <w:r w:rsidRPr="00E66943">
        <w:rPr>
          <w:rFonts w:eastAsia="Calibri"/>
        </w:rPr>
        <w:t>млн. рублей. Данные о</w:t>
      </w:r>
      <w:r w:rsidR="00107FC9" w:rsidRPr="00E66943">
        <w:rPr>
          <w:rFonts w:eastAsia="Calibri"/>
        </w:rPr>
        <w:t xml:space="preserve"> плановых и фактических </w:t>
      </w:r>
      <w:r w:rsidRPr="00E66943">
        <w:rPr>
          <w:rFonts w:eastAsia="Calibri"/>
        </w:rPr>
        <w:t xml:space="preserve">объёмах финансирования </w:t>
      </w:r>
      <w:r w:rsidR="00107FC9" w:rsidRPr="00E66943">
        <w:rPr>
          <w:rFonts w:eastAsia="Calibri"/>
        </w:rPr>
        <w:t>в 2020-2021 годах</w:t>
      </w:r>
      <w:r w:rsidRPr="00E66943">
        <w:rPr>
          <w:rFonts w:eastAsia="Calibri"/>
        </w:rPr>
        <w:t xml:space="preserve"> в разрезе уровней бюджета представлены в таблице.</w:t>
      </w:r>
    </w:p>
    <w:p w14:paraId="75113A0B" w14:textId="77777777" w:rsidR="006305AC" w:rsidRPr="00CC2527" w:rsidRDefault="006305AC" w:rsidP="009158E5">
      <w:pPr>
        <w:ind w:firstLine="709"/>
        <w:jc w:val="both"/>
        <w:rPr>
          <w:rFonts w:eastAsia="Calibri"/>
        </w:rPr>
      </w:pPr>
    </w:p>
    <w:p w14:paraId="25333212" w14:textId="59866A53" w:rsidR="009158E5" w:rsidRPr="00E66943" w:rsidRDefault="00E66943" w:rsidP="00E66943">
      <w:pPr>
        <w:ind w:firstLine="709"/>
        <w:jc w:val="center"/>
        <w:rPr>
          <w:rFonts w:eastAsia="Calibri"/>
          <w:i/>
        </w:rPr>
      </w:pPr>
      <w:r>
        <w:rPr>
          <w:rFonts w:eastAsia="Calibri"/>
          <w:i/>
        </w:rPr>
        <w:t xml:space="preserve"> </w:t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 w:rsidR="009158E5" w:rsidRPr="00E66943">
        <w:rPr>
          <w:rFonts w:eastAsia="Calibri"/>
          <w:i/>
        </w:rPr>
        <w:t>млн. руб.</w:t>
      </w:r>
    </w:p>
    <w:tbl>
      <w:tblPr>
        <w:tblStyle w:val="af3"/>
        <w:tblW w:w="7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961"/>
        <w:gridCol w:w="838"/>
        <w:gridCol w:w="834"/>
        <w:gridCol w:w="1330"/>
      </w:tblGrid>
      <w:tr w:rsidR="00107FC9" w:rsidRPr="00E66943" w14:paraId="733F0BE4" w14:textId="77777777" w:rsidTr="00E66943">
        <w:trPr>
          <w:jc w:val="center"/>
        </w:trPr>
        <w:tc>
          <w:tcPr>
            <w:tcW w:w="3110" w:type="dxa"/>
            <w:vMerge w:val="restart"/>
            <w:tcBorders>
              <w:top w:val="double" w:sz="4" w:space="0" w:color="auto"/>
            </w:tcBorders>
            <w:vAlign w:val="center"/>
          </w:tcPr>
          <w:p w14:paraId="3814988F" w14:textId="77777777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361E1" w14:textId="3704B318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137704" w14:textId="51D0EBF9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sz w:val="20"/>
                <w:szCs w:val="20"/>
              </w:rPr>
              <w:t>2021</w:t>
            </w:r>
          </w:p>
        </w:tc>
      </w:tr>
      <w:tr w:rsidR="00107FC9" w:rsidRPr="00E66943" w14:paraId="5D529ACC" w14:textId="77777777" w:rsidTr="00E66943">
        <w:trPr>
          <w:jc w:val="center"/>
        </w:trPr>
        <w:tc>
          <w:tcPr>
            <w:tcW w:w="3110" w:type="dxa"/>
            <w:vMerge/>
            <w:tcBorders>
              <w:bottom w:val="double" w:sz="4" w:space="0" w:color="auto"/>
            </w:tcBorders>
            <w:vAlign w:val="center"/>
          </w:tcPr>
          <w:p w14:paraId="65AA2E6D" w14:textId="77777777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C3EE5A" w14:textId="4962A0B3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6A7F65" w14:textId="625543CA" w:rsidR="00107FC9" w:rsidRPr="00E66943" w:rsidRDefault="00E66943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C8252D" w14:textId="1C38D17C" w:rsidR="00107FC9" w:rsidRPr="00E66943" w:rsidRDefault="00107FC9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262184" w14:textId="440ECC79" w:rsidR="00107FC9" w:rsidRPr="00E66943" w:rsidRDefault="00E66943" w:rsidP="00107F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6943">
              <w:rPr>
                <w:b/>
                <w:bCs/>
                <w:color w:val="000000"/>
                <w:sz w:val="18"/>
                <w:szCs w:val="20"/>
              </w:rPr>
              <w:t>Отчёт за 1 полугодие</w:t>
            </w:r>
          </w:p>
        </w:tc>
      </w:tr>
      <w:tr w:rsidR="000C0AFB" w:rsidRPr="00E66943" w14:paraId="25C2D306" w14:textId="77777777" w:rsidTr="00E66943">
        <w:trPr>
          <w:jc w:val="center"/>
        </w:trPr>
        <w:tc>
          <w:tcPr>
            <w:tcW w:w="3110" w:type="dxa"/>
            <w:tcBorders>
              <w:top w:val="double" w:sz="4" w:space="0" w:color="auto"/>
            </w:tcBorders>
          </w:tcPr>
          <w:p w14:paraId="3503CB2E" w14:textId="4C2FA525" w:rsidR="000C0AFB" w:rsidRPr="00E66943" w:rsidRDefault="000C0AFB" w:rsidP="000C0AF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66943">
              <w:rPr>
                <w:rFonts w:eastAsia="Calibri"/>
                <w:b/>
                <w:sz w:val="20"/>
                <w:szCs w:val="20"/>
              </w:rPr>
              <w:t>Объем финансирования всего</w:t>
            </w: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14:paraId="3DD7A460" w14:textId="77777777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66943">
              <w:rPr>
                <w:rFonts w:eastAsia="Calibri"/>
                <w:b/>
                <w:sz w:val="20"/>
                <w:szCs w:val="20"/>
              </w:rPr>
              <w:t>6 238,4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14:paraId="3692C4E1" w14:textId="5D4D49E1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E66943">
              <w:rPr>
                <w:rFonts w:eastAsia="Calibri"/>
                <w:b/>
                <w:sz w:val="20"/>
                <w:szCs w:val="20"/>
              </w:rPr>
              <w:t>6 238,4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198692A9" w14:textId="7E9818E6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E66943">
              <w:rPr>
                <w:rFonts w:eastAsia="Calibri"/>
                <w:b/>
                <w:sz w:val="20"/>
                <w:szCs w:val="20"/>
                <w:lang w:val="en-US"/>
              </w:rPr>
              <w:t>7</w:t>
            </w:r>
            <w:r w:rsidRPr="00E6694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E66943">
              <w:rPr>
                <w:rFonts w:eastAsia="Calibri"/>
                <w:b/>
                <w:sz w:val="20"/>
                <w:szCs w:val="20"/>
                <w:lang w:val="en-US"/>
              </w:rPr>
              <w:t>734</w:t>
            </w:r>
            <w:r w:rsidRPr="00E66943">
              <w:rPr>
                <w:rFonts w:eastAsia="Calibri"/>
                <w:b/>
                <w:sz w:val="20"/>
                <w:szCs w:val="20"/>
              </w:rPr>
              <w:t>,</w:t>
            </w:r>
            <w:r w:rsidRPr="00E66943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14:paraId="39AEA9A0" w14:textId="5FBD2483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66943">
              <w:rPr>
                <w:rFonts w:eastAsia="Calibri"/>
                <w:b/>
                <w:sz w:val="20"/>
                <w:szCs w:val="20"/>
              </w:rPr>
              <w:t>2 005,3</w:t>
            </w:r>
          </w:p>
        </w:tc>
      </w:tr>
      <w:tr w:rsidR="000C0AFB" w:rsidRPr="00E66943" w14:paraId="169BA3FC" w14:textId="77777777" w:rsidTr="00E66943">
        <w:trPr>
          <w:trHeight w:val="170"/>
          <w:jc w:val="center"/>
        </w:trPr>
        <w:tc>
          <w:tcPr>
            <w:tcW w:w="3110" w:type="dxa"/>
          </w:tcPr>
          <w:p w14:paraId="3E265B68" w14:textId="77777777" w:rsidR="000C0AFB" w:rsidRPr="00E66943" w:rsidRDefault="000C0AFB" w:rsidP="000C0AF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961" w:type="dxa"/>
            <w:vAlign w:val="center"/>
          </w:tcPr>
          <w:p w14:paraId="2D2303C0" w14:textId="77777777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18"/>
                <w:szCs w:val="18"/>
              </w:rPr>
              <w:t>3 248,2</w:t>
            </w:r>
          </w:p>
        </w:tc>
        <w:tc>
          <w:tcPr>
            <w:tcW w:w="838" w:type="dxa"/>
            <w:vAlign w:val="center"/>
          </w:tcPr>
          <w:p w14:paraId="52CBC439" w14:textId="791826C2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18"/>
                <w:szCs w:val="18"/>
              </w:rPr>
              <w:t>3 248,2</w:t>
            </w:r>
          </w:p>
        </w:tc>
        <w:tc>
          <w:tcPr>
            <w:tcW w:w="834" w:type="dxa"/>
            <w:vAlign w:val="center"/>
          </w:tcPr>
          <w:p w14:paraId="713AE254" w14:textId="74446175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1 868,0</w:t>
            </w:r>
          </w:p>
        </w:tc>
        <w:tc>
          <w:tcPr>
            <w:tcW w:w="1330" w:type="dxa"/>
            <w:vAlign w:val="center"/>
          </w:tcPr>
          <w:p w14:paraId="43A6A393" w14:textId="20AC07E0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  <w:lang w:val="en-US"/>
              </w:rPr>
              <w:t>805</w:t>
            </w:r>
            <w:r w:rsidRPr="00E66943">
              <w:rPr>
                <w:rFonts w:eastAsia="Calibri"/>
                <w:sz w:val="20"/>
                <w:szCs w:val="20"/>
              </w:rPr>
              <w:t>,5</w:t>
            </w:r>
          </w:p>
        </w:tc>
      </w:tr>
      <w:tr w:rsidR="000C0AFB" w:rsidRPr="00E66943" w14:paraId="36CD6101" w14:textId="77777777" w:rsidTr="00E66943">
        <w:trPr>
          <w:trHeight w:val="170"/>
          <w:jc w:val="center"/>
        </w:trPr>
        <w:tc>
          <w:tcPr>
            <w:tcW w:w="3110" w:type="dxa"/>
          </w:tcPr>
          <w:p w14:paraId="6BEEAC4C" w14:textId="77777777" w:rsidR="000C0AFB" w:rsidRPr="00E66943" w:rsidRDefault="000C0AFB" w:rsidP="000C0AF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61" w:type="dxa"/>
            <w:vAlign w:val="center"/>
          </w:tcPr>
          <w:p w14:paraId="56DC1A2C" w14:textId="77777777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sz w:val="18"/>
                <w:szCs w:val="18"/>
              </w:rPr>
              <w:t>2 853,3</w:t>
            </w:r>
          </w:p>
        </w:tc>
        <w:tc>
          <w:tcPr>
            <w:tcW w:w="838" w:type="dxa"/>
            <w:vAlign w:val="center"/>
          </w:tcPr>
          <w:p w14:paraId="4EDFC878" w14:textId="2E93E181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sz w:val="18"/>
                <w:szCs w:val="18"/>
              </w:rPr>
              <w:t>2 853,3</w:t>
            </w:r>
          </w:p>
        </w:tc>
        <w:tc>
          <w:tcPr>
            <w:tcW w:w="834" w:type="dxa"/>
            <w:vAlign w:val="center"/>
          </w:tcPr>
          <w:p w14:paraId="394CA887" w14:textId="1B4C78A5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5 729,1</w:t>
            </w:r>
          </w:p>
        </w:tc>
        <w:tc>
          <w:tcPr>
            <w:tcW w:w="1330" w:type="dxa"/>
            <w:vAlign w:val="center"/>
          </w:tcPr>
          <w:p w14:paraId="6457DF93" w14:textId="5ADF68DD" w:rsidR="000C0AFB" w:rsidRPr="00E66943" w:rsidRDefault="00BB1916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1</w:t>
            </w:r>
            <w:r w:rsidR="00E66943" w:rsidRPr="00E66943">
              <w:rPr>
                <w:rFonts w:eastAsia="Calibri"/>
                <w:sz w:val="20"/>
                <w:szCs w:val="20"/>
              </w:rPr>
              <w:t xml:space="preserve"> </w:t>
            </w:r>
            <w:r w:rsidRPr="00E66943">
              <w:rPr>
                <w:rFonts w:eastAsia="Calibri"/>
                <w:sz w:val="20"/>
                <w:szCs w:val="20"/>
              </w:rPr>
              <w:t>176,5</w:t>
            </w:r>
          </w:p>
        </w:tc>
      </w:tr>
      <w:tr w:rsidR="000C0AFB" w:rsidRPr="00E66943" w14:paraId="01C4C09D" w14:textId="77777777" w:rsidTr="00E66943">
        <w:trPr>
          <w:trHeight w:val="170"/>
          <w:jc w:val="center"/>
        </w:trPr>
        <w:tc>
          <w:tcPr>
            <w:tcW w:w="3110" w:type="dxa"/>
          </w:tcPr>
          <w:p w14:paraId="000F2B99" w14:textId="77777777" w:rsidR="000C0AFB" w:rsidRPr="00E66943" w:rsidRDefault="000C0AFB" w:rsidP="000C0AFB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61" w:type="dxa"/>
            <w:vAlign w:val="center"/>
          </w:tcPr>
          <w:p w14:paraId="1523CA67" w14:textId="77777777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18"/>
                <w:szCs w:val="18"/>
              </w:rPr>
              <w:t>137,0</w:t>
            </w:r>
          </w:p>
        </w:tc>
        <w:tc>
          <w:tcPr>
            <w:tcW w:w="838" w:type="dxa"/>
            <w:vAlign w:val="center"/>
          </w:tcPr>
          <w:p w14:paraId="63737234" w14:textId="7A3EE39B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18"/>
                <w:szCs w:val="18"/>
              </w:rPr>
              <w:t>137,0</w:t>
            </w:r>
          </w:p>
        </w:tc>
        <w:tc>
          <w:tcPr>
            <w:tcW w:w="834" w:type="dxa"/>
            <w:vAlign w:val="center"/>
          </w:tcPr>
          <w:p w14:paraId="491B8189" w14:textId="22FE7405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137,1</w:t>
            </w:r>
          </w:p>
        </w:tc>
        <w:tc>
          <w:tcPr>
            <w:tcW w:w="1330" w:type="dxa"/>
          </w:tcPr>
          <w:p w14:paraId="305852B6" w14:textId="7FBA2094" w:rsidR="000C0AFB" w:rsidRPr="00E66943" w:rsidRDefault="000C0AFB" w:rsidP="000C0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6943">
              <w:rPr>
                <w:rFonts w:eastAsia="Calibri"/>
                <w:sz w:val="20"/>
                <w:szCs w:val="20"/>
              </w:rPr>
              <w:t>23,3</w:t>
            </w:r>
          </w:p>
        </w:tc>
      </w:tr>
    </w:tbl>
    <w:p w14:paraId="741DFF74" w14:textId="77777777" w:rsidR="009158E5" w:rsidRPr="00E66943" w:rsidRDefault="009158E5" w:rsidP="009158E5">
      <w:pPr>
        <w:ind w:firstLine="709"/>
        <w:jc w:val="both"/>
        <w:rPr>
          <w:rFonts w:eastAsia="Calibri"/>
        </w:rPr>
      </w:pPr>
    </w:p>
    <w:p w14:paraId="1A3A38EF" w14:textId="0FEDF035" w:rsidR="00E836AB" w:rsidRPr="006535EF" w:rsidRDefault="009158E5" w:rsidP="009158E5">
      <w:pPr>
        <w:ind w:firstLine="709"/>
        <w:jc w:val="both"/>
      </w:pPr>
      <w:r w:rsidRPr="00E66943">
        <w:t>Согласно отчету о ходе реализации РП «Дорожная сеть» по состоянию на 30.06.202</w:t>
      </w:r>
      <w:r w:rsidR="007B6041">
        <w:t>1</w:t>
      </w:r>
      <w:r w:rsidRPr="00E66943">
        <w:t xml:space="preserve"> принято бюджетных обязательств на 7 011,3 млн. руб. (заключены контракты, выдано государственное, муниципальное задание), или на 90,7% от запланированного на 2021 год объёма работ (7 734,2 млн. руб.).</w:t>
      </w:r>
      <w:r w:rsidR="00E66943" w:rsidRPr="00E66943">
        <w:t xml:space="preserve"> </w:t>
      </w:r>
      <w:r w:rsidRPr="00E66943">
        <w:t>Кассовое исполнение по расходам на реализацию мероприятий проекта</w:t>
      </w:r>
      <w:r w:rsidR="00E836AB" w:rsidRPr="00E66943">
        <w:t>, в том числе за счет средств местных бюджетов,</w:t>
      </w:r>
      <w:r w:rsidRPr="00E66943">
        <w:t xml:space="preserve"> составило 2</w:t>
      </w:r>
      <w:r w:rsidR="00301931" w:rsidRPr="00E66943">
        <w:t> </w:t>
      </w:r>
      <w:r w:rsidRPr="00E66943">
        <w:t>005,3 млн. рублей.</w:t>
      </w:r>
      <w:r w:rsidR="00301931" w:rsidRPr="00E66943">
        <w:t xml:space="preserve"> </w:t>
      </w:r>
      <w:r w:rsidR="00E836AB" w:rsidRPr="00E66943">
        <w:t xml:space="preserve">Риски неисполнения мероприятий и недостижения значений </w:t>
      </w:r>
      <w:r w:rsidR="00E836AB" w:rsidRPr="006535EF">
        <w:t>показателей РП «Дорожная сеть» отсутствуют.</w:t>
      </w:r>
    </w:p>
    <w:p w14:paraId="117C8676" w14:textId="77777777" w:rsidR="00E66943" w:rsidRPr="006535EF" w:rsidRDefault="00E66943" w:rsidP="009158E5">
      <w:pPr>
        <w:ind w:firstLine="709"/>
        <w:jc w:val="both"/>
      </w:pPr>
    </w:p>
    <w:p w14:paraId="01947DB7" w14:textId="77777777" w:rsidR="009158E5" w:rsidRPr="006535EF" w:rsidRDefault="009158E5" w:rsidP="009158E5">
      <w:pPr>
        <w:autoSpaceDE w:val="0"/>
        <w:autoSpaceDN w:val="0"/>
        <w:adjustRightInd w:val="0"/>
        <w:ind w:firstLine="540"/>
        <w:jc w:val="center"/>
        <w:rPr>
          <w:i/>
          <w:iCs/>
        </w:rPr>
      </w:pPr>
      <w:r w:rsidRPr="006535EF">
        <w:rPr>
          <w:i/>
          <w:iCs/>
        </w:rPr>
        <w:t>РП «Общесистемные меры»</w:t>
      </w:r>
    </w:p>
    <w:p w14:paraId="38A77553" w14:textId="3DB71EF8" w:rsidR="009158E5" w:rsidRPr="006535EF" w:rsidRDefault="009158E5" w:rsidP="009158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35EF">
        <w:t xml:space="preserve">Реализация РП «Общесистемные меры» </w:t>
      </w:r>
      <w:r w:rsidRPr="006535EF">
        <w:rPr>
          <w:rFonts w:eastAsia="Calibri"/>
        </w:rPr>
        <w:t xml:space="preserve">осуществляется в целях </w:t>
      </w:r>
      <w:r w:rsidR="00C453BD" w:rsidRPr="006535EF">
        <w:rPr>
          <w:rFonts w:eastAsia="Calibri"/>
        </w:rPr>
        <w:t>совершенствования регуля</w:t>
      </w:r>
      <w:r w:rsidR="007B6041">
        <w:rPr>
          <w:rFonts w:eastAsia="Calibri"/>
        </w:rPr>
        <w:t>то</w:t>
      </w:r>
      <w:r w:rsidR="00C453BD" w:rsidRPr="006535EF">
        <w:rPr>
          <w:rFonts w:eastAsia="Calibri"/>
        </w:rPr>
        <w:t>рной политики и применения новых технологий в дорожной отрасли.</w:t>
      </w:r>
    </w:p>
    <w:p w14:paraId="0B4CD290" w14:textId="77777777" w:rsidR="009158E5" w:rsidRPr="006535EF" w:rsidRDefault="009158E5" w:rsidP="009158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35EF">
        <w:rPr>
          <w:rFonts w:eastAsia="Calibri"/>
        </w:rPr>
        <w:t>Достижение целей проекта характеризуется целевыми показателями, приведёнными в таблице.</w:t>
      </w:r>
    </w:p>
    <w:p w14:paraId="1D36A25A" w14:textId="77777777" w:rsidR="009158E5" w:rsidRPr="006535EF" w:rsidRDefault="009158E5" w:rsidP="009158E5">
      <w:pPr>
        <w:ind w:firstLine="709"/>
        <w:jc w:val="right"/>
      </w:pPr>
    </w:p>
    <w:tbl>
      <w:tblPr>
        <w:tblW w:w="9014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60"/>
        <w:gridCol w:w="651"/>
        <w:gridCol w:w="715"/>
        <w:gridCol w:w="651"/>
        <w:gridCol w:w="1107"/>
        <w:gridCol w:w="651"/>
      </w:tblGrid>
      <w:tr w:rsidR="00B2005E" w:rsidRPr="006535EF" w14:paraId="6CC06B33" w14:textId="534B0671" w:rsidTr="00E66943">
        <w:trPr>
          <w:trHeight w:val="300"/>
          <w:tblHeader/>
        </w:trPr>
        <w:tc>
          <w:tcPr>
            <w:tcW w:w="467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FF0779" w14:textId="77777777" w:rsidR="00B2005E" w:rsidRPr="006535EF" w:rsidRDefault="00B2005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</w:tcBorders>
            <w:vAlign w:val="center"/>
          </w:tcPr>
          <w:p w14:paraId="79CE904F" w14:textId="77777777" w:rsidR="00B2005E" w:rsidRPr="006535EF" w:rsidRDefault="00B2005E" w:rsidP="0038606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769" w14:textId="2CA78B6C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4F3E" w14:textId="3A1E33D7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3C48" w14:textId="207EEC4F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B2005E" w:rsidRPr="006535EF" w14:paraId="1545FE31" w14:textId="23A77EC5" w:rsidTr="00E66943">
        <w:trPr>
          <w:trHeight w:val="300"/>
          <w:tblHeader/>
        </w:trPr>
        <w:tc>
          <w:tcPr>
            <w:tcW w:w="467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4D04342" w14:textId="77777777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60" w:type="dxa"/>
            <w:vMerge/>
            <w:tcBorders>
              <w:bottom w:val="double" w:sz="4" w:space="0" w:color="auto"/>
            </w:tcBorders>
            <w:vAlign w:val="center"/>
          </w:tcPr>
          <w:p w14:paraId="74B12E83" w14:textId="77777777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525B63" w14:textId="2C1B0EA9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4D7D12" w14:textId="21AC295A" w:rsidR="00B2005E" w:rsidRPr="006535EF" w:rsidRDefault="00E66943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E88D24A" w14:textId="2B7611AA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D1EBFA" w14:textId="398B720D" w:rsidR="00B2005E" w:rsidRPr="006535EF" w:rsidRDefault="00E66943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Отчёт за 1 пол</w:t>
            </w:r>
            <w:r w:rsidR="00D8358A" w:rsidRPr="006535EF">
              <w:rPr>
                <w:b/>
                <w:bCs/>
                <w:color w:val="000000"/>
                <w:sz w:val="18"/>
                <w:szCs w:val="20"/>
              </w:rPr>
              <w:t>у</w:t>
            </w:r>
            <w:r w:rsidRPr="006535EF">
              <w:rPr>
                <w:b/>
                <w:bCs/>
                <w:color w:val="000000"/>
                <w:sz w:val="18"/>
                <w:szCs w:val="20"/>
              </w:rPr>
              <w:t>годие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1F814E2" w14:textId="20DEC80D" w:rsidR="00B2005E" w:rsidRPr="006535EF" w:rsidRDefault="00B2005E" w:rsidP="00B2005E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</w:tr>
      <w:tr w:rsidR="00B2005E" w:rsidRPr="006535EF" w14:paraId="4E2BD2A1" w14:textId="6973E5BF" w:rsidTr="00E66943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2CDD6396" w14:textId="77777777" w:rsidR="00B2005E" w:rsidRPr="006535EF" w:rsidRDefault="00B2005E" w:rsidP="0038606D">
            <w:pPr>
              <w:jc w:val="both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560" w:type="dxa"/>
            <w:vAlign w:val="center"/>
          </w:tcPr>
          <w:p w14:paraId="4442463C" w14:textId="77777777" w:rsidR="00B2005E" w:rsidRPr="006535EF" w:rsidRDefault="00B2005E" w:rsidP="0038606D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291CCE79" w14:textId="50BD6099" w:rsidR="00B2005E" w:rsidRPr="006535EF" w:rsidRDefault="00D8358A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14:paraId="5726A5CC" w14:textId="49A3FE61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5129CD00" w14:textId="43C4275B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107" w:type="dxa"/>
            <w:vAlign w:val="center"/>
          </w:tcPr>
          <w:p w14:paraId="07EB8017" w14:textId="67E814FE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3FF5A79C" w14:textId="3056AB04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6535EF">
              <w:rPr>
                <w:color w:val="000000"/>
                <w:sz w:val="18"/>
                <w:szCs w:val="20"/>
              </w:rPr>
              <w:t>40</w:t>
            </w:r>
          </w:p>
        </w:tc>
      </w:tr>
      <w:tr w:rsidR="00B2005E" w:rsidRPr="006535EF" w14:paraId="059E9871" w14:textId="5B45A10C" w:rsidTr="00E66943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023C44DB" w14:textId="77777777" w:rsidR="00B2005E" w:rsidRPr="006535EF" w:rsidRDefault="00B2005E" w:rsidP="0038606D">
            <w:pPr>
              <w:jc w:val="both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560" w:type="dxa"/>
            <w:vAlign w:val="center"/>
          </w:tcPr>
          <w:p w14:paraId="5D2A3B48" w14:textId="77777777" w:rsidR="00B2005E" w:rsidRPr="006535EF" w:rsidRDefault="00B2005E" w:rsidP="0038606D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795E3F27" w14:textId="19901EEB" w:rsidR="00B2005E" w:rsidRPr="006535EF" w:rsidRDefault="00D8358A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14:paraId="00099987" w14:textId="33629AB1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2FA9B78D" w14:textId="00B377DA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6535EF">
              <w:rPr>
                <w:color w:val="000000"/>
                <w:sz w:val="18"/>
                <w:szCs w:val="20"/>
                <w:lang w:val="en-US"/>
              </w:rPr>
              <w:t>7</w:t>
            </w:r>
          </w:p>
        </w:tc>
        <w:tc>
          <w:tcPr>
            <w:tcW w:w="1107" w:type="dxa"/>
            <w:vAlign w:val="center"/>
          </w:tcPr>
          <w:p w14:paraId="68EA4554" w14:textId="22EC5E1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19F9221E" w14:textId="709D985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6535EF">
              <w:rPr>
                <w:color w:val="000000"/>
                <w:sz w:val="18"/>
                <w:szCs w:val="20"/>
                <w:lang w:val="en-US"/>
              </w:rPr>
              <w:t>25</w:t>
            </w:r>
          </w:p>
        </w:tc>
      </w:tr>
      <w:tr w:rsidR="00B2005E" w:rsidRPr="006535EF" w14:paraId="4A350F34" w14:textId="4E8756B2" w:rsidTr="00E66943">
        <w:trPr>
          <w:trHeight w:val="6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304ADBBA" w14:textId="3C150124" w:rsidR="00B2005E" w:rsidRPr="006535EF" w:rsidRDefault="00B2005E" w:rsidP="00B2005E">
            <w:pPr>
              <w:jc w:val="both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 xml:space="preserve">Доля </w:t>
            </w:r>
            <w:r w:rsidR="007B6041">
              <w:rPr>
                <w:color w:val="000000"/>
                <w:sz w:val="18"/>
                <w:szCs w:val="20"/>
              </w:rPr>
              <w:t>/</w:t>
            </w:r>
            <w:r w:rsidR="00282E12">
              <w:rPr>
                <w:color w:val="000000"/>
                <w:sz w:val="18"/>
                <w:szCs w:val="20"/>
              </w:rPr>
              <w:t xml:space="preserve"> </w:t>
            </w:r>
            <w:r w:rsidRPr="006535EF">
              <w:rPr>
                <w:color w:val="000000"/>
                <w:sz w:val="18"/>
                <w:szCs w:val="20"/>
              </w:rPr>
              <w:t>количество стационарных камер фотовидеофиксации нарушений ПДД</w:t>
            </w:r>
          </w:p>
        </w:tc>
        <w:tc>
          <w:tcPr>
            <w:tcW w:w="560" w:type="dxa"/>
            <w:vAlign w:val="center"/>
          </w:tcPr>
          <w:p w14:paraId="42DC3CA5" w14:textId="7777777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51CA7DD1" w14:textId="7777777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118,7</w:t>
            </w:r>
          </w:p>
        </w:tc>
        <w:tc>
          <w:tcPr>
            <w:tcW w:w="715" w:type="dxa"/>
            <w:vAlign w:val="center"/>
          </w:tcPr>
          <w:p w14:paraId="1A9968A4" w14:textId="6C07A0D1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118,7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6049967D" w14:textId="0B536D6B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126</w:t>
            </w:r>
          </w:p>
        </w:tc>
        <w:tc>
          <w:tcPr>
            <w:tcW w:w="1107" w:type="dxa"/>
            <w:vAlign w:val="center"/>
          </w:tcPr>
          <w:p w14:paraId="0BBC3C02" w14:textId="4F4B6144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131,5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4D3D7818" w14:textId="7E728DF0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126</w:t>
            </w:r>
          </w:p>
        </w:tc>
      </w:tr>
      <w:tr w:rsidR="00B2005E" w:rsidRPr="006535EF" w14:paraId="0436BE04" w14:textId="14D546E1" w:rsidTr="00E66943">
        <w:trPr>
          <w:trHeight w:val="20"/>
        </w:trPr>
        <w:tc>
          <w:tcPr>
            <w:tcW w:w="4679" w:type="dxa"/>
            <w:vMerge/>
            <w:vAlign w:val="center"/>
            <w:hideMark/>
          </w:tcPr>
          <w:p w14:paraId="7095199A" w14:textId="77777777" w:rsidR="00B2005E" w:rsidRPr="006535EF" w:rsidRDefault="00B2005E" w:rsidP="00B2005E">
            <w:pPr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23040F60" w14:textId="0B85521C" w:rsidR="00B2005E" w:rsidRPr="006535EF" w:rsidRDefault="00B2005E" w:rsidP="00B2005E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шт</w:t>
            </w:r>
            <w:r w:rsidRPr="006535EF">
              <w:rPr>
                <w:i/>
                <w:iCs/>
                <w:color w:val="000000"/>
                <w:sz w:val="18"/>
                <w:szCs w:val="20"/>
              </w:rPr>
              <w:t>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77745DA1" w14:textId="77777777" w:rsidR="00B2005E" w:rsidRPr="006535EF" w:rsidRDefault="00B2005E" w:rsidP="00B2005E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6535EF">
              <w:rPr>
                <w:i/>
                <w:color w:val="000000"/>
                <w:sz w:val="18"/>
                <w:szCs w:val="20"/>
              </w:rPr>
              <w:t>260</w:t>
            </w:r>
          </w:p>
        </w:tc>
        <w:tc>
          <w:tcPr>
            <w:tcW w:w="715" w:type="dxa"/>
            <w:vAlign w:val="center"/>
          </w:tcPr>
          <w:p w14:paraId="3F564F94" w14:textId="2A9C9253" w:rsidR="00B2005E" w:rsidRPr="006535EF" w:rsidRDefault="00B2005E" w:rsidP="00B2005E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6535EF">
              <w:rPr>
                <w:i/>
                <w:color w:val="000000"/>
                <w:sz w:val="18"/>
                <w:szCs w:val="20"/>
              </w:rPr>
              <w:t>260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4638D9BB" w14:textId="0A5022DE" w:rsidR="00B2005E" w:rsidRPr="006535EF" w:rsidRDefault="00B2005E" w:rsidP="00B2005E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6535EF">
              <w:rPr>
                <w:i/>
                <w:color w:val="000000"/>
                <w:sz w:val="18"/>
                <w:szCs w:val="20"/>
              </w:rPr>
              <w:t>276</w:t>
            </w:r>
          </w:p>
        </w:tc>
        <w:tc>
          <w:tcPr>
            <w:tcW w:w="1107" w:type="dxa"/>
            <w:vAlign w:val="center"/>
          </w:tcPr>
          <w:p w14:paraId="4F943C2F" w14:textId="28CE5DC2" w:rsidR="00B2005E" w:rsidRPr="006535EF" w:rsidRDefault="00B2005E" w:rsidP="00B2005E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6535EF">
              <w:rPr>
                <w:i/>
                <w:color w:val="000000"/>
                <w:sz w:val="18"/>
                <w:szCs w:val="20"/>
              </w:rPr>
              <w:t>288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32CD2CA6" w14:textId="4F56CA1B" w:rsidR="00B2005E" w:rsidRPr="006535EF" w:rsidRDefault="00B2005E" w:rsidP="00B2005E">
            <w:pPr>
              <w:jc w:val="center"/>
              <w:rPr>
                <w:i/>
                <w:color w:val="000000"/>
                <w:sz w:val="18"/>
                <w:szCs w:val="20"/>
              </w:rPr>
            </w:pPr>
            <w:r w:rsidRPr="006535EF">
              <w:rPr>
                <w:i/>
                <w:color w:val="000000"/>
                <w:sz w:val="18"/>
                <w:szCs w:val="20"/>
              </w:rPr>
              <w:t>276</w:t>
            </w:r>
          </w:p>
        </w:tc>
      </w:tr>
      <w:tr w:rsidR="00B2005E" w:rsidRPr="006535EF" w14:paraId="3300A0A9" w14:textId="6CC178F0" w:rsidTr="00E66943">
        <w:trPr>
          <w:trHeight w:val="20"/>
        </w:trPr>
        <w:tc>
          <w:tcPr>
            <w:tcW w:w="4679" w:type="dxa"/>
            <w:vAlign w:val="center"/>
            <w:hideMark/>
          </w:tcPr>
          <w:p w14:paraId="43244D89" w14:textId="77777777" w:rsidR="00B2005E" w:rsidRPr="006535EF" w:rsidRDefault="00B2005E" w:rsidP="0038606D">
            <w:pPr>
              <w:jc w:val="both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Количество внедренных интеллектуальных транспортных систем</w:t>
            </w:r>
          </w:p>
        </w:tc>
        <w:tc>
          <w:tcPr>
            <w:tcW w:w="560" w:type="dxa"/>
            <w:vAlign w:val="center"/>
          </w:tcPr>
          <w:p w14:paraId="62BF4F71" w14:textId="2A4EBE0A" w:rsidR="00B2005E" w:rsidRPr="006535EF" w:rsidRDefault="00B2005E" w:rsidP="0038606D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proofErr w:type="spellStart"/>
            <w:r w:rsidRPr="006535EF">
              <w:rPr>
                <w:iCs/>
                <w:color w:val="000000"/>
                <w:sz w:val="18"/>
                <w:szCs w:val="20"/>
              </w:rPr>
              <w:t>усл</w:t>
            </w:r>
            <w:proofErr w:type="spellEnd"/>
            <w:r w:rsidRPr="006535EF">
              <w:rPr>
                <w:iCs/>
                <w:color w:val="000000"/>
                <w:sz w:val="18"/>
                <w:szCs w:val="20"/>
              </w:rPr>
              <w:t>. ед.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55DD326F" w14:textId="4E210A23" w:rsidR="00B2005E" w:rsidRPr="006535EF" w:rsidRDefault="00D8358A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14:paraId="0BC297B8" w14:textId="53A652F1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21E4B214" w14:textId="6D37ABB1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1107" w:type="dxa"/>
            <w:vAlign w:val="center"/>
          </w:tcPr>
          <w:p w14:paraId="14EB12F1" w14:textId="0FEFA522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1A791AAA" w14:textId="04D5B0C4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  <w:lang w:val="en-US"/>
              </w:rPr>
              <w:t>2</w:t>
            </w:r>
          </w:p>
        </w:tc>
      </w:tr>
      <w:tr w:rsidR="00B2005E" w:rsidRPr="006535EF" w14:paraId="328EE9DE" w14:textId="0037564A" w:rsidTr="00E66943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14:paraId="3A203003" w14:textId="77777777" w:rsidR="00B2005E" w:rsidRPr="006535EF" w:rsidRDefault="00B2005E" w:rsidP="0038606D">
            <w:pPr>
              <w:jc w:val="both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 xml:space="preserve">Количество размещенных </w:t>
            </w:r>
            <w:bookmarkStart w:id="1" w:name="_Hlk78979573"/>
            <w:r w:rsidRPr="006535EF">
              <w:rPr>
                <w:color w:val="000000"/>
                <w:sz w:val="18"/>
                <w:szCs w:val="20"/>
              </w:rPr>
              <w:t xml:space="preserve">автоматических пунктов весогабаритного контроля </w:t>
            </w:r>
            <w:bookmarkEnd w:id="1"/>
            <w:r w:rsidRPr="006535EF">
              <w:rPr>
                <w:color w:val="000000"/>
                <w:sz w:val="18"/>
                <w:szCs w:val="20"/>
              </w:rPr>
              <w:t>транспортных средств</w:t>
            </w:r>
          </w:p>
        </w:tc>
        <w:tc>
          <w:tcPr>
            <w:tcW w:w="560" w:type="dxa"/>
            <w:vAlign w:val="center"/>
          </w:tcPr>
          <w:p w14:paraId="7FDEBAE7" w14:textId="7CC1DA54" w:rsidR="00B2005E" w:rsidRPr="006535EF" w:rsidRDefault="00B2005E" w:rsidP="0038606D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604146A5" w14:textId="7777777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15" w:type="dxa"/>
            <w:vAlign w:val="center"/>
          </w:tcPr>
          <w:p w14:paraId="037E8027" w14:textId="2EC8CAC2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434001EE" w14:textId="43432F68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107" w:type="dxa"/>
            <w:vAlign w:val="center"/>
          </w:tcPr>
          <w:p w14:paraId="22D5DFC4" w14:textId="779ED207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14:paraId="064224EA" w14:textId="194262D2" w:rsidR="00B2005E" w:rsidRPr="006535EF" w:rsidRDefault="00B2005E" w:rsidP="00B2005E">
            <w:pPr>
              <w:jc w:val="center"/>
              <w:rPr>
                <w:color w:val="000000"/>
                <w:sz w:val="18"/>
                <w:szCs w:val="20"/>
              </w:rPr>
            </w:pPr>
            <w:r w:rsidRPr="006535EF">
              <w:rPr>
                <w:color w:val="000000"/>
                <w:sz w:val="18"/>
                <w:szCs w:val="20"/>
              </w:rPr>
              <w:t>6</w:t>
            </w:r>
          </w:p>
        </w:tc>
      </w:tr>
    </w:tbl>
    <w:p w14:paraId="2FAEC0B7" w14:textId="3E08F476" w:rsidR="009158E5" w:rsidRPr="006535EF" w:rsidRDefault="009158E5" w:rsidP="009158E5">
      <w:pPr>
        <w:ind w:firstLine="709"/>
        <w:jc w:val="both"/>
      </w:pPr>
    </w:p>
    <w:p w14:paraId="0E8ECD3D" w14:textId="77777777" w:rsidR="00D8358A" w:rsidRPr="006535EF" w:rsidRDefault="00D8358A" w:rsidP="00D8358A">
      <w:pPr>
        <w:ind w:firstLine="709"/>
        <w:jc w:val="both"/>
        <w:rPr>
          <w:rFonts w:eastAsia="Calibri"/>
        </w:rPr>
      </w:pPr>
      <w:r w:rsidRPr="006535EF">
        <w:t>На реализацию РП «Общесистемные меры»</w:t>
      </w:r>
      <w:r w:rsidRPr="006535EF">
        <w:rPr>
          <w:rFonts w:eastAsia="Calibri"/>
        </w:rPr>
        <w:t xml:space="preserve"> в 2019-2024 годах запланировано направить 5 671,2 млн. руб., в т.ч в 2021 году – 1 151,8 млн. рублей. Данные об объёмах финансирования по годам в разрезе уровней бюджета представлены в таблице.</w:t>
      </w:r>
    </w:p>
    <w:p w14:paraId="176465C5" w14:textId="77777777" w:rsidR="00D8358A" w:rsidRPr="006535EF" w:rsidRDefault="00D8358A" w:rsidP="00D8358A">
      <w:pPr>
        <w:ind w:left="4955" w:firstLine="709"/>
        <w:jc w:val="center"/>
        <w:rPr>
          <w:rFonts w:eastAsia="Calibri"/>
          <w:i/>
        </w:rPr>
      </w:pPr>
      <w:r w:rsidRPr="006535EF">
        <w:rPr>
          <w:rFonts w:eastAsia="Calibri"/>
          <w:i/>
        </w:rPr>
        <w:t>млн. руб.</w:t>
      </w:r>
    </w:p>
    <w:tbl>
      <w:tblPr>
        <w:tblStyle w:val="af3"/>
        <w:tblW w:w="7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961"/>
        <w:gridCol w:w="838"/>
        <w:gridCol w:w="834"/>
        <w:gridCol w:w="1330"/>
      </w:tblGrid>
      <w:tr w:rsidR="00D8358A" w:rsidRPr="006535EF" w14:paraId="10B90255" w14:textId="77777777" w:rsidTr="00D8358A">
        <w:trPr>
          <w:jc w:val="center"/>
        </w:trPr>
        <w:tc>
          <w:tcPr>
            <w:tcW w:w="3110" w:type="dxa"/>
            <w:vMerge w:val="restart"/>
            <w:tcBorders>
              <w:top w:val="double" w:sz="4" w:space="0" w:color="auto"/>
            </w:tcBorders>
            <w:vAlign w:val="center"/>
          </w:tcPr>
          <w:p w14:paraId="01A0EA6C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4DD906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8B7FF7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sz w:val="20"/>
                <w:szCs w:val="20"/>
              </w:rPr>
              <w:t>2021</w:t>
            </w:r>
          </w:p>
        </w:tc>
      </w:tr>
      <w:tr w:rsidR="00D8358A" w:rsidRPr="006535EF" w14:paraId="0F5C4F5F" w14:textId="77777777" w:rsidTr="00D8358A">
        <w:trPr>
          <w:jc w:val="center"/>
        </w:trPr>
        <w:tc>
          <w:tcPr>
            <w:tcW w:w="3110" w:type="dxa"/>
            <w:vMerge/>
            <w:tcBorders>
              <w:bottom w:val="double" w:sz="4" w:space="0" w:color="auto"/>
            </w:tcBorders>
            <w:vAlign w:val="center"/>
          </w:tcPr>
          <w:p w14:paraId="249B3FB6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E7F1DF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36E029" w14:textId="6EE96E72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427151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0203E5" w14:textId="309B6B46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35EF">
              <w:rPr>
                <w:b/>
                <w:bCs/>
                <w:color w:val="000000"/>
                <w:sz w:val="18"/>
                <w:szCs w:val="20"/>
              </w:rPr>
              <w:t>Отчёт за 1 полугодие</w:t>
            </w:r>
          </w:p>
        </w:tc>
      </w:tr>
      <w:tr w:rsidR="00D8358A" w:rsidRPr="006535EF" w14:paraId="11C84C61" w14:textId="77777777" w:rsidTr="00D8358A">
        <w:trPr>
          <w:jc w:val="center"/>
        </w:trPr>
        <w:tc>
          <w:tcPr>
            <w:tcW w:w="3110" w:type="dxa"/>
            <w:tcBorders>
              <w:top w:val="double" w:sz="4" w:space="0" w:color="auto"/>
            </w:tcBorders>
          </w:tcPr>
          <w:p w14:paraId="635DA78E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14:paraId="1AF1EDB2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14:paraId="4E3889D9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>1 107,2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14:paraId="6A0D2EE8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>1 063,3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16CD7BC3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>1 151,8</w:t>
            </w: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14:paraId="64119685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35EF">
              <w:rPr>
                <w:rFonts w:eastAsia="Calibri"/>
                <w:b/>
                <w:sz w:val="20"/>
                <w:szCs w:val="20"/>
              </w:rPr>
              <w:t>272,7</w:t>
            </w:r>
          </w:p>
        </w:tc>
      </w:tr>
      <w:tr w:rsidR="00D8358A" w:rsidRPr="006535EF" w14:paraId="5BE4AF0C" w14:textId="77777777" w:rsidTr="00D8358A">
        <w:trPr>
          <w:trHeight w:val="170"/>
          <w:jc w:val="center"/>
        </w:trPr>
        <w:tc>
          <w:tcPr>
            <w:tcW w:w="3110" w:type="dxa"/>
          </w:tcPr>
          <w:p w14:paraId="4C26D378" w14:textId="77777777" w:rsidR="00D8358A" w:rsidRPr="006535EF" w:rsidRDefault="00D8358A" w:rsidP="009C2B7D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961" w:type="dxa"/>
            <w:vAlign w:val="center"/>
          </w:tcPr>
          <w:p w14:paraId="088B7F35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38" w:type="dxa"/>
            <w:vAlign w:val="center"/>
          </w:tcPr>
          <w:p w14:paraId="6A9BDB35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34" w:type="dxa"/>
            <w:vAlign w:val="center"/>
          </w:tcPr>
          <w:p w14:paraId="783580FA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330" w:type="dxa"/>
            <w:vAlign w:val="center"/>
          </w:tcPr>
          <w:p w14:paraId="37A1F945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8358A" w:rsidRPr="006535EF" w14:paraId="28B15EB1" w14:textId="77777777" w:rsidTr="00D8358A">
        <w:trPr>
          <w:trHeight w:val="170"/>
          <w:jc w:val="center"/>
        </w:trPr>
        <w:tc>
          <w:tcPr>
            <w:tcW w:w="3110" w:type="dxa"/>
          </w:tcPr>
          <w:p w14:paraId="6F1C372C" w14:textId="77777777" w:rsidR="00D8358A" w:rsidRPr="006535EF" w:rsidRDefault="00D8358A" w:rsidP="009C2B7D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61" w:type="dxa"/>
            <w:vAlign w:val="center"/>
          </w:tcPr>
          <w:p w14:paraId="287D8EB1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806,9</w:t>
            </w:r>
          </w:p>
        </w:tc>
        <w:tc>
          <w:tcPr>
            <w:tcW w:w="838" w:type="dxa"/>
            <w:vAlign w:val="center"/>
          </w:tcPr>
          <w:p w14:paraId="73D7F1F1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763,0</w:t>
            </w:r>
          </w:p>
        </w:tc>
        <w:tc>
          <w:tcPr>
            <w:tcW w:w="834" w:type="dxa"/>
            <w:vAlign w:val="center"/>
          </w:tcPr>
          <w:p w14:paraId="3E699BFE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851,8</w:t>
            </w:r>
          </w:p>
        </w:tc>
        <w:tc>
          <w:tcPr>
            <w:tcW w:w="1330" w:type="dxa"/>
            <w:vAlign w:val="center"/>
          </w:tcPr>
          <w:p w14:paraId="74923969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272,7</w:t>
            </w:r>
          </w:p>
        </w:tc>
      </w:tr>
      <w:tr w:rsidR="00D8358A" w:rsidRPr="006535EF" w14:paraId="7A1A2049" w14:textId="77777777" w:rsidTr="00D8358A">
        <w:trPr>
          <w:trHeight w:val="170"/>
          <w:jc w:val="center"/>
        </w:trPr>
        <w:tc>
          <w:tcPr>
            <w:tcW w:w="3110" w:type="dxa"/>
          </w:tcPr>
          <w:p w14:paraId="378A755B" w14:textId="77777777" w:rsidR="00D8358A" w:rsidRPr="006535EF" w:rsidRDefault="00D8358A" w:rsidP="009C2B7D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61" w:type="dxa"/>
            <w:vAlign w:val="center"/>
          </w:tcPr>
          <w:p w14:paraId="55C501B8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38" w:type="dxa"/>
            <w:vAlign w:val="center"/>
          </w:tcPr>
          <w:p w14:paraId="01DFCBA3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834" w:type="dxa"/>
            <w:vAlign w:val="center"/>
          </w:tcPr>
          <w:p w14:paraId="0193CCE3" w14:textId="77777777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14:paraId="1E27DB70" w14:textId="1FD73926" w:rsidR="00D8358A" w:rsidRPr="006535EF" w:rsidRDefault="00D8358A" w:rsidP="009C2B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535EF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57557DF4" w14:textId="77777777" w:rsidR="00D8358A" w:rsidRPr="006535EF" w:rsidRDefault="00D8358A" w:rsidP="00D8358A">
      <w:pPr>
        <w:ind w:firstLine="709"/>
        <w:jc w:val="both"/>
        <w:rPr>
          <w:rFonts w:eastAsia="Calibri"/>
        </w:rPr>
      </w:pPr>
    </w:p>
    <w:p w14:paraId="05CDCB64" w14:textId="7A344846" w:rsidR="00D8358A" w:rsidRPr="006535EF" w:rsidRDefault="00D8358A" w:rsidP="00D8358A">
      <w:pPr>
        <w:ind w:firstLine="709"/>
        <w:jc w:val="both"/>
      </w:pPr>
      <w:r w:rsidRPr="006535EF">
        <w:t>Согласно отчету ЭБ о РП «Общесистемные меры» по состоянию на 30.06.202</w:t>
      </w:r>
      <w:r w:rsidR="00A14311">
        <w:t>1</w:t>
      </w:r>
      <w:r w:rsidRPr="006535EF">
        <w:t xml:space="preserve"> принято бюджетных обязательств на 794,2 млн. руб., или на 68,9% от запланированного на 2021 год объёма работ (1 151,8 млн. руб.). Кассовое исполнение по расходам на реализацию мероприятий проекта, в том числе за счет средств местных бюджетов составило 272,7 млн. рублей.</w:t>
      </w:r>
    </w:p>
    <w:p w14:paraId="2C4835FF" w14:textId="77777777" w:rsidR="00D8358A" w:rsidRPr="006535EF" w:rsidRDefault="006305AC" w:rsidP="00713F9E">
      <w:pPr>
        <w:ind w:firstLine="709"/>
        <w:jc w:val="both"/>
      </w:pPr>
      <w:r w:rsidRPr="006535EF">
        <w:t>Согласно отчету ЭБ о РП «Общесистемные меры» риски не достижения показател</w:t>
      </w:r>
      <w:r w:rsidR="00811163" w:rsidRPr="006535EF">
        <w:t>ей</w:t>
      </w:r>
      <w:r w:rsidRPr="006535EF">
        <w:t xml:space="preserve"> </w:t>
      </w:r>
      <w:r w:rsidR="00D8358A" w:rsidRPr="006535EF">
        <w:t>проекта отсутствуют.</w:t>
      </w:r>
    </w:p>
    <w:p w14:paraId="5901F069" w14:textId="2CA9BFFF" w:rsidR="00BA66BD" w:rsidRPr="00E52D41" w:rsidRDefault="00BA66BD" w:rsidP="00713F9E">
      <w:pPr>
        <w:ind w:firstLine="709"/>
        <w:jc w:val="both"/>
      </w:pPr>
      <w:r w:rsidRPr="006535EF">
        <w:t xml:space="preserve">Информация, полученная КСП в результате (ходе) контрольных и экспертно-аналитических мероприятий, свидетельствует о наличии рисков </w:t>
      </w:r>
      <w:r w:rsidRPr="00E52D41">
        <w:t xml:space="preserve">недостижения по результатам 2021 года трёх из шести показателей </w:t>
      </w:r>
      <w:bookmarkStart w:id="2" w:name="_Hlk78986766"/>
      <w:r w:rsidRPr="00E52D41">
        <w:t>РП «Общесистемные меры»</w:t>
      </w:r>
      <w:bookmarkEnd w:id="2"/>
      <w:r w:rsidR="008F49EF" w:rsidRPr="00E52D41">
        <w:t>, что во взаимосвязи может оказать негативное влияние на достижение наиболее социально значимых показателей других проектов, характеризующих нормативное состояние дорог и смертность на них</w:t>
      </w:r>
      <w:r w:rsidRPr="00E52D41">
        <w:t>:</w:t>
      </w:r>
    </w:p>
    <w:p w14:paraId="1D65167B" w14:textId="57010F64" w:rsidR="00092A1A" w:rsidRPr="006535EF" w:rsidRDefault="00BA66BD" w:rsidP="00A871F0">
      <w:pPr>
        <w:pStyle w:val="af2"/>
        <w:numPr>
          <w:ilvl w:val="0"/>
          <w:numId w:val="11"/>
        </w:numPr>
        <w:ind w:left="0" w:firstLine="709"/>
        <w:jc w:val="both"/>
      </w:pPr>
      <w:r w:rsidRPr="00E52D41">
        <w:t xml:space="preserve">Два показателя </w:t>
      </w:r>
      <w:r w:rsidR="00282E12">
        <w:t xml:space="preserve">- </w:t>
      </w:r>
      <w:proofErr w:type="gramStart"/>
      <w:r w:rsidR="00282E12">
        <w:t>д</w:t>
      </w:r>
      <w:r w:rsidR="00811163" w:rsidRPr="00E52D41">
        <w:t xml:space="preserve">оля </w:t>
      </w:r>
      <w:r w:rsidR="00282E12">
        <w:t xml:space="preserve"> и</w:t>
      </w:r>
      <w:proofErr w:type="gramEnd"/>
      <w:r w:rsidR="00282E12">
        <w:t xml:space="preserve"> </w:t>
      </w:r>
      <w:r w:rsidR="00811163" w:rsidRPr="00E52D41">
        <w:t>к</w:t>
      </w:r>
      <w:r w:rsidR="006305AC" w:rsidRPr="00E52D41">
        <w:t>оличество стационарных камер</w:t>
      </w:r>
      <w:r w:rsidR="006305AC" w:rsidRPr="006535EF">
        <w:t xml:space="preserve"> фотовидеофиксации нарушений ПДД.</w:t>
      </w:r>
    </w:p>
    <w:p w14:paraId="313526C5" w14:textId="20D8B962" w:rsidR="00092A1A" w:rsidRPr="006535EF" w:rsidRDefault="00092A1A" w:rsidP="00A871F0">
      <w:pPr>
        <w:ind w:firstLine="709"/>
        <w:jc w:val="both"/>
      </w:pPr>
      <w:r w:rsidRPr="006535EF">
        <w:t>В расчет п</w:t>
      </w:r>
      <w:r w:rsidRPr="006535EF">
        <w:rPr>
          <w:rFonts w:eastAsia="Calibri"/>
          <w:lang w:eastAsia="en-US"/>
        </w:rPr>
        <w:t>оказател</w:t>
      </w:r>
      <w:r w:rsidR="00811163" w:rsidRPr="006535EF">
        <w:rPr>
          <w:rFonts w:eastAsia="Calibri"/>
          <w:lang w:eastAsia="en-US"/>
        </w:rPr>
        <w:t>ей</w:t>
      </w:r>
      <w:r w:rsidRPr="006535EF">
        <w:rPr>
          <w:rFonts w:eastAsia="Calibri"/>
          <w:lang w:eastAsia="en-US"/>
        </w:rPr>
        <w:t xml:space="preserve"> включены </w:t>
      </w:r>
      <w:r w:rsidR="003B3741" w:rsidRPr="006535EF">
        <w:rPr>
          <w:rFonts w:eastAsia="Calibri"/>
          <w:lang w:eastAsia="en-US"/>
        </w:rPr>
        <w:t>37</w:t>
      </w:r>
      <w:r w:rsidRPr="006535EF">
        <w:rPr>
          <w:rFonts w:eastAsia="Calibri"/>
          <w:lang w:eastAsia="en-US"/>
        </w:rPr>
        <w:t xml:space="preserve"> </w:t>
      </w:r>
      <w:r w:rsidRPr="006535EF">
        <w:t xml:space="preserve">стационарных камер фотовидеофиксации нарушений ПДД, которые установлены в рамках </w:t>
      </w:r>
      <w:r w:rsidRPr="006535EF">
        <w:rPr>
          <w:rFonts w:eastAsia="Calibri"/>
          <w:lang w:eastAsia="en-US"/>
        </w:rPr>
        <w:t xml:space="preserve">концессионного соглашения от 26.02.2020 сроком действия на 7 лет, заключенного между Волгоградской областью, от имени которой выступает </w:t>
      </w:r>
      <w:proofErr w:type="spellStart"/>
      <w:r w:rsidRPr="006535EF">
        <w:rPr>
          <w:rFonts w:eastAsia="Calibri"/>
        </w:rPr>
        <w:t>Облкоминформтехнологии</w:t>
      </w:r>
      <w:proofErr w:type="spellEnd"/>
      <w:r w:rsidR="000A29F8" w:rsidRPr="006535EF">
        <w:rPr>
          <w:rFonts w:eastAsia="Calibri"/>
        </w:rPr>
        <w:t xml:space="preserve"> (</w:t>
      </w:r>
      <w:proofErr w:type="spellStart"/>
      <w:r w:rsidR="000A29F8" w:rsidRPr="006535EF">
        <w:rPr>
          <w:rFonts w:eastAsia="Calibri"/>
        </w:rPr>
        <w:t>Концедент</w:t>
      </w:r>
      <w:proofErr w:type="spellEnd"/>
      <w:r w:rsidR="000A29F8" w:rsidRPr="006535EF">
        <w:rPr>
          <w:rFonts w:eastAsia="Calibri"/>
        </w:rPr>
        <w:t>)</w:t>
      </w:r>
      <w:r w:rsidRPr="006535EF">
        <w:rPr>
          <w:rFonts w:eastAsia="Calibri"/>
        </w:rPr>
        <w:t xml:space="preserve"> </w:t>
      </w:r>
      <w:r w:rsidRPr="006535EF">
        <w:rPr>
          <w:rFonts w:eastAsia="Calibri"/>
          <w:lang w:eastAsia="en-US"/>
        </w:rPr>
        <w:t>и ООО «Система»</w:t>
      </w:r>
      <w:r w:rsidR="000A29F8" w:rsidRPr="006535EF">
        <w:rPr>
          <w:rFonts w:eastAsia="Calibri"/>
          <w:lang w:eastAsia="en-US"/>
        </w:rPr>
        <w:t xml:space="preserve"> (Концессионер)</w:t>
      </w:r>
      <w:r w:rsidR="004D7AD4">
        <w:rPr>
          <w:rFonts w:eastAsia="Calibri"/>
          <w:lang w:eastAsia="en-US"/>
        </w:rPr>
        <w:t>.</w:t>
      </w:r>
    </w:p>
    <w:p w14:paraId="3D9589DF" w14:textId="6AEB6A39" w:rsidR="000A29F8" w:rsidRPr="006535EF" w:rsidRDefault="000A29F8" w:rsidP="00A871F0">
      <w:pPr>
        <w:ind w:firstLine="709"/>
        <w:jc w:val="both"/>
        <w:rPr>
          <w:rFonts w:eastAsia="Calibri"/>
          <w:lang w:eastAsia="en-US"/>
        </w:rPr>
      </w:pPr>
      <w:r w:rsidRPr="006535EF">
        <w:t xml:space="preserve">Внешней проверкой бюджетной отчетности и отдельных вопросов исполнения областного бюджета за 2020 год главным администратором средств областного бюджета – </w:t>
      </w:r>
      <w:proofErr w:type="spellStart"/>
      <w:r w:rsidRPr="006535EF">
        <w:t>Облкоминформтехнологии</w:t>
      </w:r>
      <w:proofErr w:type="spellEnd"/>
      <w:r w:rsidRPr="006535EF">
        <w:t xml:space="preserve"> установлено, что в 2020 году реализация концессионного соглашения осуществлялась с нарушениями его условий и законодательства Российской Федерации и Волгоградской области.</w:t>
      </w:r>
    </w:p>
    <w:p w14:paraId="777EB21C" w14:textId="6F955202" w:rsidR="008D342A" w:rsidRPr="006535EF" w:rsidRDefault="000A29F8" w:rsidP="006535EF">
      <w:pPr>
        <w:ind w:firstLine="709"/>
        <w:jc w:val="both"/>
      </w:pPr>
      <w:r w:rsidRPr="006535EF">
        <w:rPr>
          <w:rFonts w:eastAsia="Calibri"/>
          <w:lang w:eastAsia="en-US"/>
        </w:rPr>
        <w:t xml:space="preserve">25.05.2021 Концессионер направил </w:t>
      </w:r>
      <w:r w:rsidR="003B3741" w:rsidRPr="006535EF">
        <w:rPr>
          <w:rFonts w:eastAsia="Calibri"/>
          <w:lang w:eastAsia="en-US"/>
        </w:rPr>
        <w:t xml:space="preserve">в адрес </w:t>
      </w:r>
      <w:proofErr w:type="spellStart"/>
      <w:r w:rsidRPr="006535EF">
        <w:rPr>
          <w:rFonts w:eastAsia="Calibri"/>
          <w:lang w:eastAsia="en-US"/>
        </w:rPr>
        <w:t>Концедента</w:t>
      </w:r>
      <w:proofErr w:type="spellEnd"/>
      <w:r w:rsidRPr="006535EF">
        <w:rPr>
          <w:rFonts w:eastAsia="Calibri"/>
          <w:lang w:eastAsia="en-US"/>
        </w:rPr>
        <w:t xml:space="preserve"> </w:t>
      </w:r>
      <w:r w:rsidR="003B3741" w:rsidRPr="006535EF">
        <w:rPr>
          <w:rFonts w:eastAsia="Calibri"/>
          <w:lang w:eastAsia="en-US"/>
        </w:rPr>
        <w:t>претензи</w:t>
      </w:r>
      <w:r w:rsidRPr="006535EF">
        <w:rPr>
          <w:rFonts w:eastAsia="Calibri"/>
          <w:lang w:eastAsia="en-US"/>
        </w:rPr>
        <w:t>ю</w:t>
      </w:r>
      <w:r w:rsidR="003B3741" w:rsidRPr="006535EF">
        <w:rPr>
          <w:rFonts w:eastAsia="Calibri"/>
          <w:lang w:eastAsia="en-US"/>
        </w:rPr>
        <w:t xml:space="preserve"> </w:t>
      </w:r>
      <w:r w:rsidRPr="006535EF">
        <w:rPr>
          <w:rFonts w:eastAsia="Calibri"/>
          <w:lang w:eastAsia="en-US"/>
        </w:rPr>
        <w:t xml:space="preserve">с требованием </w:t>
      </w:r>
      <w:r w:rsidR="003B3741" w:rsidRPr="006535EF">
        <w:rPr>
          <w:rFonts w:eastAsia="Calibri"/>
          <w:lang w:eastAsia="en-US"/>
        </w:rPr>
        <w:t>добровольного прекращения действия концессионного соглашения по соглашению сторон</w:t>
      </w:r>
      <w:r w:rsidRPr="006535EF">
        <w:rPr>
          <w:rFonts w:eastAsia="Calibri"/>
          <w:lang w:eastAsia="en-US"/>
        </w:rPr>
        <w:t xml:space="preserve"> и </w:t>
      </w:r>
      <w:r w:rsidRPr="006535EF">
        <w:rPr>
          <w:rFonts w:eastAsia="Calibri"/>
          <w:lang w:eastAsia="en-US"/>
        </w:rPr>
        <w:lastRenderedPageBreak/>
        <w:t xml:space="preserve">выплаты </w:t>
      </w:r>
      <w:r w:rsidR="003B3741" w:rsidRPr="006535EF">
        <w:rPr>
          <w:rFonts w:eastAsia="Calibri"/>
          <w:lang w:eastAsia="en-US"/>
        </w:rPr>
        <w:t>в срок до 26.06.2021 денежны</w:t>
      </w:r>
      <w:r w:rsidRPr="006535EF">
        <w:rPr>
          <w:rFonts w:eastAsia="Calibri"/>
          <w:lang w:eastAsia="en-US"/>
        </w:rPr>
        <w:t>х</w:t>
      </w:r>
      <w:r w:rsidR="003B3741" w:rsidRPr="006535EF">
        <w:rPr>
          <w:rFonts w:eastAsia="Calibri"/>
          <w:lang w:eastAsia="en-US"/>
        </w:rPr>
        <w:t xml:space="preserve"> средств в размере 449,1 млн. рублей.</w:t>
      </w:r>
      <w:r w:rsidR="00811163" w:rsidRPr="006535EF">
        <w:rPr>
          <w:rFonts w:eastAsia="Calibri"/>
          <w:lang w:eastAsia="en-US"/>
        </w:rPr>
        <w:t xml:space="preserve"> ООО «Системой» направлено исковое заявление в </w:t>
      </w:r>
      <w:r w:rsidR="00811163" w:rsidRPr="006535EF">
        <w:t xml:space="preserve">Арбитражный суд Волгоградской области о взыскании задолженности (Дело № А12-3099/2021). </w:t>
      </w:r>
      <w:r w:rsidR="00A871F0" w:rsidRPr="006535EF">
        <w:t>С</w:t>
      </w:r>
      <w:r w:rsidR="00811163" w:rsidRPr="006535EF">
        <w:t>удебное разбирательство отложено до 09.0</w:t>
      </w:r>
      <w:r w:rsidR="008438D8">
        <w:t>9</w:t>
      </w:r>
      <w:r w:rsidR="00811163" w:rsidRPr="006535EF">
        <w:t>.2021.</w:t>
      </w:r>
    </w:p>
    <w:p w14:paraId="76BFC53C" w14:textId="2363B15E" w:rsidR="00811163" w:rsidRPr="006535EF" w:rsidRDefault="00A871F0" w:rsidP="006535EF">
      <w:pPr>
        <w:ind w:firstLine="709"/>
        <w:jc w:val="both"/>
      </w:pPr>
      <w:r w:rsidRPr="006535EF">
        <w:t>Указанны</w:t>
      </w:r>
      <w:r w:rsidR="004D7AD4">
        <w:t>е</w:t>
      </w:r>
      <w:r w:rsidRPr="006535EF">
        <w:t xml:space="preserve"> </w:t>
      </w:r>
      <w:r w:rsidR="004D7AD4">
        <w:t>разногласия</w:t>
      </w:r>
      <w:r w:rsidR="00811163" w:rsidRPr="006535EF">
        <w:t xml:space="preserve"> нес</w:t>
      </w:r>
      <w:r w:rsidR="004D7AD4">
        <w:t>у</w:t>
      </w:r>
      <w:r w:rsidR="00811163" w:rsidRPr="006535EF">
        <w:t>т риски недостижения значений показателей «Доля (количество) стационарных камер фотовидеофиксации нарушений ПДД»</w:t>
      </w:r>
      <w:r w:rsidRPr="006535EF">
        <w:t xml:space="preserve"> РП «Общесистемные меры»</w:t>
      </w:r>
      <w:r w:rsidR="00811163" w:rsidRPr="006535EF">
        <w:t>.</w:t>
      </w:r>
    </w:p>
    <w:p w14:paraId="52E2BCD7" w14:textId="7533752B" w:rsidR="00547019" w:rsidRPr="006535EF" w:rsidRDefault="00A871F0" w:rsidP="006535EF">
      <w:pPr>
        <w:pStyle w:val="af2"/>
        <w:numPr>
          <w:ilvl w:val="0"/>
          <w:numId w:val="11"/>
        </w:numPr>
        <w:ind w:left="0" w:firstLine="709"/>
        <w:jc w:val="both"/>
      </w:pPr>
      <w:r w:rsidRPr="006535EF">
        <w:t>П</w:t>
      </w:r>
      <w:r w:rsidR="00547019" w:rsidRPr="006535EF">
        <w:t>оказател</w:t>
      </w:r>
      <w:r w:rsidRPr="006535EF">
        <w:t>ь</w:t>
      </w:r>
      <w:r w:rsidR="00547019" w:rsidRPr="006535EF">
        <w:t xml:space="preserve"> «Количество размещенных автоматических пунктов весогабаритного контроля транспортных средств».</w:t>
      </w:r>
    </w:p>
    <w:p w14:paraId="63F3C158" w14:textId="77777777" w:rsidR="00492542" w:rsidRDefault="00492542" w:rsidP="006535EF">
      <w:pPr>
        <w:autoSpaceDE w:val="0"/>
        <w:autoSpaceDN w:val="0"/>
        <w:adjustRightInd w:val="0"/>
        <w:ind w:firstLine="709"/>
        <w:jc w:val="both"/>
        <w:outlineLvl w:val="0"/>
      </w:pPr>
      <w:r w:rsidRPr="00492542">
        <w:t xml:space="preserve">Государственным заказчиком (Арендатором) по государственному контракту на оказание услуг аренды автоматизированной системы весогабаритного контроля (далее – АСВГК) от 08.11.2019 № 67/2019 выступает государственное казенное учреждение Волгоградской области «Безопасный регион» (далее – ГКУ «Безопасный регион»), подведомственное </w:t>
      </w:r>
      <w:proofErr w:type="spellStart"/>
      <w:r w:rsidRPr="00492542">
        <w:t>Облкоминформтехнологии</w:t>
      </w:r>
      <w:proofErr w:type="spellEnd"/>
      <w:r w:rsidRPr="00492542">
        <w:t>. Арендодателем является ООО «Лаборатория цифрового зрения».</w:t>
      </w:r>
    </w:p>
    <w:p w14:paraId="32045220" w14:textId="09037031" w:rsidR="006535EF" w:rsidRPr="00492542" w:rsidRDefault="00A871F0" w:rsidP="006535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6535EF">
        <w:t xml:space="preserve">В рамках проводимого экспертно-аналитического мероприятия «Анализ реализации национального проекта «Безопасные и качественные автомобильные дороги» в Волгоградской области в 2020 году и истекшем периоде 2021 года» получена информация о том, что в связи с несоответствием измерений, проводимых пунктами весогабаритного контроля, установленным требованиям </w:t>
      </w:r>
      <w:r w:rsidR="006535EF" w:rsidRPr="006535EF">
        <w:t xml:space="preserve">ГУ МВД РФ по Волгоградской области </w:t>
      </w:r>
      <w:r w:rsidRPr="006535EF">
        <w:t xml:space="preserve">с 17.03.2021 </w:t>
      </w:r>
      <w:r w:rsidR="006535EF" w:rsidRPr="006535EF">
        <w:t>приостановлено вынесение постановлений  по делам об административных правонарушениях</w:t>
      </w:r>
      <w:r w:rsidR="00547019" w:rsidRPr="006535EF">
        <w:t>, предусмотренных ст. 12.21.1 КоАП РФ</w:t>
      </w:r>
      <w:r w:rsidR="006535EF" w:rsidRPr="006535EF">
        <w:rPr>
          <w:rFonts w:eastAsia="Calibri"/>
        </w:rPr>
        <w:t xml:space="preserve"> «Нарушение правил движения тяжеловесного и (или) крупногабаритного транспортного средства».</w:t>
      </w:r>
      <w:r w:rsidR="006535EF" w:rsidRPr="006535EF">
        <w:t xml:space="preserve"> ГУ МВД РФ по Волгоградской области уведомило о необходимости проведения </w:t>
      </w:r>
      <w:r w:rsidR="006535EF" w:rsidRPr="00492542">
        <w:t>внеплановой поверки комплексов.</w:t>
      </w:r>
    </w:p>
    <w:p w14:paraId="0B0A8DC5" w14:textId="1D25A529" w:rsidR="006535EF" w:rsidRPr="006535EF" w:rsidRDefault="006535EF" w:rsidP="006535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492542">
        <w:t xml:space="preserve">На дату мониторинга необходимые мероприятия не выполнены. </w:t>
      </w:r>
      <w:r w:rsidR="00492542" w:rsidRPr="00492542">
        <w:t xml:space="preserve">ГКУ «Безопасный регион», как государственным заказчиком должная претензионная работа с Арендодателем не ведётся. </w:t>
      </w:r>
      <w:r w:rsidRPr="00492542">
        <w:t>Перспективы устранения нарушений работоспособности</w:t>
      </w:r>
      <w:r w:rsidRPr="006535EF">
        <w:t xml:space="preserve"> автоматических пунктов весогабаритного контроля не ясны.</w:t>
      </w:r>
    </w:p>
    <w:p w14:paraId="457C1243" w14:textId="66ECF240" w:rsidR="006535EF" w:rsidRDefault="006535EF" w:rsidP="006535EF">
      <w:pPr>
        <w:autoSpaceDE w:val="0"/>
        <w:autoSpaceDN w:val="0"/>
        <w:adjustRightInd w:val="0"/>
        <w:ind w:firstLine="709"/>
        <w:jc w:val="both"/>
        <w:outlineLvl w:val="0"/>
      </w:pPr>
      <w:r w:rsidRPr="006535EF">
        <w:t>Таким образом</w:t>
      </w:r>
      <w:r w:rsidR="004D7AD4">
        <w:t>,</w:t>
      </w:r>
      <w:r w:rsidRPr="006535EF">
        <w:t xml:space="preserve"> с 17.03.2021 автоматическая система весогабаритного контроля</w:t>
      </w:r>
      <w:r w:rsidR="001907E1">
        <w:t xml:space="preserve"> (далее – АСВГК)</w:t>
      </w:r>
      <w:r w:rsidRPr="006535EF">
        <w:t xml:space="preserve"> по прямому назначению не функционирует. Отсутствие ясности в устранении недостатков несет риски недостижения значения показателя «Количество размещенных автоматических пунктов весогабаритного контроля транспортных средств» РП «Общесистемные меры».</w:t>
      </w:r>
    </w:p>
    <w:p w14:paraId="58641961" w14:textId="778D0BF6" w:rsidR="001907E1" w:rsidRPr="006E189D" w:rsidRDefault="004D7AD4" w:rsidP="006535EF">
      <w:pPr>
        <w:autoSpaceDE w:val="0"/>
        <w:autoSpaceDN w:val="0"/>
        <w:adjustRightInd w:val="0"/>
        <w:ind w:firstLine="709"/>
        <w:jc w:val="both"/>
        <w:outlineLvl w:val="0"/>
      </w:pPr>
      <w:r w:rsidRPr="006E189D">
        <w:t xml:space="preserve">Кроме того, </w:t>
      </w:r>
      <w:r w:rsidR="001907E1" w:rsidRPr="006E189D">
        <w:t>необходимо отметить, что часть средств областного бюджета в размере 120,0 млн. руб., использованная на создание и обеспечение функционирования АСВГК, получена от ОАО «РЖД». Пунктом 3.2 указанного договора предусмотрено, что в случае необеспечения работоспособности и функционирования АСВГК (в том числе приостановление работы АСВГК) на период более трёх месяцев пожертвование подлежит возврату.</w:t>
      </w:r>
      <w:r w:rsidR="009C4824" w:rsidRPr="006E189D">
        <w:t xml:space="preserve"> </w:t>
      </w:r>
    </w:p>
    <w:p w14:paraId="7910CC9B" w14:textId="3368FB2D" w:rsidR="009C4824" w:rsidRPr="006E189D" w:rsidRDefault="009C4824" w:rsidP="006535EF">
      <w:pPr>
        <w:autoSpaceDE w:val="0"/>
        <w:autoSpaceDN w:val="0"/>
        <w:adjustRightInd w:val="0"/>
        <w:ind w:firstLine="709"/>
        <w:jc w:val="both"/>
        <w:outlineLvl w:val="0"/>
      </w:pPr>
      <w:r w:rsidRPr="006E189D">
        <w:t xml:space="preserve">Таким образом, </w:t>
      </w:r>
      <w:bookmarkStart w:id="3" w:name="_Hlk79069024"/>
      <w:r w:rsidRPr="006E189D">
        <w:t>приостановление работы АСВГК с 17.03.2021 созда</w:t>
      </w:r>
      <w:r w:rsidR="007B6041" w:rsidRPr="006E189D">
        <w:t>ет</w:t>
      </w:r>
      <w:r w:rsidRPr="006E189D">
        <w:t xml:space="preserve"> риск возврата за счёт областного бюджета ранее полученных и использованных пожертвований в размере 120,0 млн. рублей.</w:t>
      </w:r>
    </w:p>
    <w:bookmarkEnd w:id="3"/>
    <w:p w14:paraId="79EFA0EA" w14:textId="1299C30D" w:rsidR="009158E5" w:rsidRDefault="009158E5" w:rsidP="006535EF">
      <w:pPr>
        <w:jc w:val="both"/>
      </w:pPr>
    </w:p>
    <w:p w14:paraId="78FD3C85" w14:textId="77777777" w:rsidR="009158E5" w:rsidRPr="00146C3E" w:rsidRDefault="009158E5" w:rsidP="009158E5">
      <w:pPr>
        <w:autoSpaceDE w:val="0"/>
        <w:autoSpaceDN w:val="0"/>
        <w:adjustRightInd w:val="0"/>
        <w:ind w:firstLine="540"/>
        <w:jc w:val="center"/>
        <w:rPr>
          <w:i/>
          <w:iCs/>
        </w:rPr>
      </w:pPr>
      <w:r w:rsidRPr="00146C3E">
        <w:rPr>
          <w:i/>
          <w:iCs/>
        </w:rPr>
        <w:t>РП «БДД»</w:t>
      </w:r>
    </w:p>
    <w:p w14:paraId="2607C2EA" w14:textId="21780EEA" w:rsidR="009158E5" w:rsidRPr="00146C3E" w:rsidRDefault="009158E5" w:rsidP="009158E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46C3E">
        <w:t xml:space="preserve">Реализация РП «БДД» </w:t>
      </w:r>
      <w:r w:rsidRPr="00146C3E">
        <w:rPr>
          <w:rFonts w:eastAsia="Calibri"/>
        </w:rPr>
        <w:t xml:space="preserve">осуществляется в целях </w:t>
      </w:r>
      <w:r w:rsidR="002D75F7" w:rsidRPr="00146C3E">
        <w:rPr>
          <w:rFonts w:eastAsia="Calibri"/>
        </w:rPr>
        <w:t>повышения безопасности участников дорожного движения</w:t>
      </w:r>
      <w:r w:rsidRPr="00146C3E">
        <w:rPr>
          <w:rFonts w:eastAsia="Calibri"/>
        </w:rPr>
        <w:t>. Достижение цели проекта характеризуется двумя целевыми показателями, приведёнными в таблице.</w:t>
      </w:r>
    </w:p>
    <w:p w14:paraId="12CD4395" w14:textId="77777777" w:rsidR="009158E5" w:rsidRPr="00146C3E" w:rsidRDefault="009158E5" w:rsidP="009158E5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87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60"/>
        <w:gridCol w:w="651"/>
        <w:gridCol w:w="715"/>
        <w:gridCol w:w="651"/>
        <w:gridCol w:w="1219"/>
        <w:gridCol w:w="651"/>
      </w:tblGrid>
      <w:tr w:rsidR="002D75F7" w:rsidRPr="00146C3E" w14:paraId="6EBE67F4" w14:textId="77777777" w:rsidTr="00146C3E">
        <w:trPr>
          <w:trHeight w:val="300"/>
          <w:tblHeader/>
          <w:jc w:val="center"/>
        </w:trPr>
        <w:tc>
          <w:tcPr>
            <w:tcW w:w="426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663EC" w14:textId="7777777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5448CC" w14:textId="7777777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AA92E" w14:textId="2E9B3BAD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35E9F" w14:textId="21D3A1F0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D8E72" w14:textId="299B323F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</w:tr>
      <w:tr w:rsidR="002D75F7" w:rsidRPr="00146C3E" w14:paraId="2830804F" w14:textId="77777777" w:rsidTr="00146C3E">
        <w:trPr>
          <w:trHeight w:val="300"/>
          <w:tblHeader/>
          <w:jc w:val="center"/>
        </w:trPr>
        <w:tc>
          <w:tcPr>
            <w:tcW w:w="4269" w:type="dxa"/>
            <w:vMerge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749ADE33" w14:textId="7777777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4B36CC" w14:textId="7777777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04821C16" w14:textId="52841B20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00D441" w14:textId="479C4247" w:rsidR="002D75F7" w:rsidRPr="00146C3E" w:rsidRDefault="006535EF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0E7C21BB" w14:textId="05858CB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3A7F2B" w14:textId="6326A2BA" w:rsidR="002D75F7" w:rsidRPr="00146C3E" w:rsidRDefault="00146C3E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Отчёт за 1 полугодие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4B26BD14" w14:textId="526A1716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</w:tr>
      <w:tr w:rsidR="002D75F7" w:rsidRPr="00146C3E" w14:paraId="55EB0DB0" w14:textId="77777777" w:rsidTr="00146C3E">
        <w:trPr>
          <w:trHeight w:val="300"/>
          <w:tblHeader/>
          <w:jc w:val="center"/>
        </w:trPr>
        <w:tc>
          <w:tcPr>
            <w:tcW w:w="42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6F2DB" w14:textId="77777777" w:rsidR="002D75F7" w:rsidRPr="00146C3E" w:rsidRDefault="002D75F7" w:rsidP="00146C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146C3E">
              <w:rPr>
                <w:rFonts w:eastAsiaTheme="minorHAnsi"/>
                <w:sz w:val="18"/>
                <w:szCs w:val="18"/>
                <w:lang w:eastAsia="en-US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F7D1F" w14:textId="77777777" w:rsidR="002D75F7" w:rsidRPr="00146C3E" w:rsidRDefault="002D75F7" w:rsidP="002D75F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92363" w14:textId="77777777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1,97</w:t>
            </w:r>
          </w:p>
        </w:tc>
        <w:tc>
          <w:tcPr>
            <w:tcW w:w="71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2D0A2" w14:textId="14A26CA3" w:rsidR="002D75F7" w:rsidRPr="00146C3E" w:rsidRDefault="0076506D" w:rsidP="002D75F7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146C3E">
              <w:rPr>
                <w:color w:val="000000"/>
                <w:sz w:val="18"/>
                <w:szCs w:val="20"/>
                <w:lang w:val="en-US"/>
              </w:rPr>
              <w:t>-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F54E5" w14:textId="6CDBB886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1,84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42B2" w14:textId="4C8103BA" w:rsidR="002D75F7" w:rsidRPr="00146C3E" w:rsidRDefault="0076506D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0,62</w:t>
            </w:r>
          </w:p>
        </w:tc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64D2A" w14:textId="732D676A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1,52</w:t>
            </w:r>
          </w:p>
        </w:tc>
      </w:tr>
      <w:tr w:rsidR="002D75F7" w:rsidRPr="00146C3E" w14:paraId="34429F91" w14:textId="77777777" w:rsidTr="00146C3E">
        <w:trPr>
          <w:trHeight w:val="20"/>
          <w:jc w:val="center"/>
        </w:trPr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8F314" w14:textId="77777777" w:rsidR="002D75F7" w:rsidRPr="00146C3E" w:rsidRDefault="002D75F7" w:rsidP="00146C3E">
            <w:pPr>
              <w:rPr>
                <w:color w:val="000000"/>
                <w:sz w:val="18"/>
                <w:szCs w:val="18"/>
              </w:rPr>
            </w:pPr>
            <w:r w:rsidRPr="00146C3E">
              <w:rPr>
                <w:rFonts w:eastAsiaTheme="minorHAnsi"/>
                <w:sz w:val="18"/>
                <w:szCs w:val="18"/>
                <w:lang w:eastAsia="en-US"/>
              </w:rPr>
              <w:t>Количество погибших в дорожно-транспортных происшествиях на 100 тысяч населения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7C120D72" w14:textId="77777777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6BB25F" w14:textId="77777777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  <w:lang w:val="en-US"/>
              </w:rPr>
              <w:t>10</w:t>
            </w:r>
            <w:r w:rsidRPr="00146C3E">
              <w:rPr>
                <w:color w:val="000000"/>
                <w:sz w:val="18"/>
                <w:szCs w:val="20"/>
              </w:rPr>
              <w:t>,2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18353349" w14:textId="089A225C" w:rsidR="002D75F7" w:rsidRPr="00146C3E" w:rsidRDefault="0076506D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12,4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A6D182" w14:textId="524ABCAE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9,55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19920D8" w14:textId="5779FFFE" w:rsidR="002D75F7" w:rsidRPr="00146C3E" w:rsidRDefault="0076506D" w:rsidP="002D75F7">
            <w:pPr>
              <w:jc w:val="center"/>
              <w:rPr>
                <w:color w:val="000000"/>
                <w:sz w:val="18"/>
                <w:szCs w:val="20"/>
                <w:lang w:val="en-US"/>
              </w:rPr>
            </w:pPr>
            <w:r w:rsidRPr="00146C3E">
              <w:rPr>
                <w:color w:val="000000"/>
                <w:sz w:val="18"/>
                <w:szCs w:val="20"/>
                <w:lang w:val="en-US"/>
              </w:rPr>
              <w:t>3</w:t>
            </w:r>
            <w:r w:rsidRPr="00146C3E">
              <w:rPr>
                <w:color w:val="000000"/>
                <w:sz w:val="18"/>
                <w:szCs w:val="20"/>
              </w:rPr>
              <w:t>,</w:t>
            </w:r>
            <w:r w:rsidRPr="00146C3E">
              <w:rPr>
                <w:color w:val="000000"/>
                <w:sz w:val="18"/>
                <w:szCs w:val="20"/>
                <w:lang w:val="en-US"/>
              </w:rPr>
              <w:t>43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29EBAB" w14:textId="093C83CE" w:rsidR="002D75F7" w:rsidRPr="00146C3E" w:rsidRDefault="002D75F7" w:rsidP="002D75F7">
            <w:pPr>
              <w:jc w:val="center"/>
              <w:rPr>
                <w:color w:val="000000"/>
                <w:sz w:val="18"/>
                <w:szCs w:val="20"/>
              </w:rPr>
            </w:pPr>
            <w:r w:rsidRPr="00146C3E">
              <w:rPr>
                <w:color w:val="000000"/>
                <w:sz w:val="18"/>
                <w:szCs w:val="20"/>
              </w:rPr>
              <w:t>7,87</w:t>
            </w:r>
          </w:p>
        </w:tc>
      </w:tr>
    </w:tbl>
    <w:p w14:paraId="7AF04A19" w14:textId="33B08D70" w:rsidR="009158E5" w:rsidRPr="00146C3E" w:rsidRDefault="009158E5" w:rsidP="009158E5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</w:rPr>
      </w:pPr>
    </w:p>
    <w:p w14:paraId="172ED16A" w14:textId="0B7DA6C5" w:rsidR="007213E7" w:rsidRPr="00146C3E" w:rsidRDefault="009E457C" w:rsidP="009158E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46C3E">
        <w:t xml:space="preserve">Значения показателей </w:t>
      </w:r>
      <w:r w:rsidR="004D7AD4">
        <w:t>за</w:t>
      </w:r>
      <w:r w:rsidRPr="00146C3E">
        <w:t xml:space="preserve"> </w:t>
      </w:r>
      <w:r w:rsidR="00146C3E" w:rsidRPr="00146C3E">
        <w:t xml:space="preserve">1 полугодие </w:t>
      </w:r>
      <w:r w:rsidRPr="00146C3E">
        <w:t>2021 год</w:t>
      </w:r>
      <w:r w:rsidR="004D7AD4">
        <w:t>а</w:t>
      </w:r>
      <w:r w:rsidRPr="00146C3E">
        <w:t xml:space="preserve"> приведены на основании данных отчета ЭБ о РП «БДД». Сопоставление </w:t>
      </w:r>
      <w:r w:rsidR="00146C3E" w:rsidRPr="00146C3E">
        <w:t xml:space="preserve">указанных </w:t>
      </w:r>
      <w:r w:rsidRPr="00146C3E">
        <w:t>значений показателей</w:t>
      </w:r>
      <w:r w:rsidR="00146C3E" w:rsidRPr="00146C3E">
        <w:t xml:space="preserve"> </w:t>
      </w:r>
      <w:r w:rsidR="00A5312B">
        <w:rPr>
          <w:lang w:val="en-US"/>
        </w:rPr>
        <w:t>c</w:t>
      </w:r>
      <w:r w:rsidR="00A5312B" w:rsidRPr="00A5312B">
        <w:t xml:space="preserve"> </w:t>
      </w:r>
      <w:r w:rsidR="00146C3E" w:rsidRPr="00146C3E">
        <w:t>информацией</w:t>
      </w:r>
      <w:r w:rsidRPr="00146C3E">
        <w:t>, размещённ</w:t>
      </w:r>
      <w:r w:rsidR="004D7AD4">
        <w:t>ой</w:t>
      </w:r>
      <w:r w:rsidRPr="00146C3E">
        <w:t xml:space="preserve"> на сайте ГИБДД </w:t>
      </w:r>
      <w:r w:rsidR="00146C3E" w:rsidRPr="00146C3E">
        <w:t>(</w:t>
      </w:r>
      <w:hyperlink r:id="rId10" w:history="1">
        <w:r w:rsidR="00146C3E" w:rsidRPr="00146C3E">
          <w:rPr>
            <w:rStyle w:val="af1"/>
            <w:color w:val="auto"/>
          </w:rPr>
          <w:t>http://stat.gibdd.ru/</w:t>
        </w:r>
      </w:hyperlink>
      <w:r w:rsidR="00146C3E" w:rsidRPr="00146C3E">
        <w:t>)</w:t>
      </w:r>
      <w:r w:rsidRPr="00146C3E">
        <w:t>, не произведен</w:t>
      </w:r>
      <w:r w:rsidR="00146C3E" w:rsidRPr="00146C3E">
        <w:t>о</w:t>
      </w:r>
      <w:r w:rsidRPr="00146C3E">
        <w:t xml:space="preserve"> в связи</w:t>
      </w:r>
      <w:r w:rsidR="00146C3E" w:rsidRPr="00146C3E">
        <w:t xml:space="preserve"> его недоступностью</w:t>
      </w:r>
      <w:r w:rsidRPr="00146C3E">
        <w:t xml:space="preserve"> </w:t>
      </w:r>
      <w:r w:rsidR="00146C3E" w:rsidRPr="00146C3E">
        <w:t xml:space="preserve">по причине долговременных </w:t>
      </w:r>
      <w:r w:rsidRPr="00146C3E">
        <w:t>технически</w:t>
      </w:r>
      <w:r w:rsidR="004D7AD4">
        <w:t>х</w:t>
      </w:r>
      <w:r w:rsidRPr="00146C3E">
        <w:t xml:space="preserve"> работ. По информации ГИБДД на </w:t>
      </w:r>
      <w:r w:rsidR="00146C3E" w:rsidRPr="00146C3E">
        <w:t>дату</w:t>
      </w:r>
      <w:r w:rsidRPr="00146C3E">
        <w:t xml:space="preserve"> проведения мониторинга данные о количестве погибших в ДТП в информационных системах ГИБДД отображаются некорректно</w:t>
      </w:r>
      <w:r w:rsidR="00146C3E" w:rsidRPr="00146C3E">
        <w:t xml:space="preserve"> в связи с крупным сбоем</w:t>
      </w:r>
      <w:r w:rsidRPr="00146C3E">
        <w:t>.</w:t>
      </w:r>
    </w:p>
    <w:p w14:paraId="6F57ABC6" w14:textId="33A72D53" w:rsidR="009158E5" w:rsidRDefault="009158E5" w:rsidP="009158E5">
      <w:pPr>
        <w:ind w:firstLine="709"/>
        <w:jc w:val="both"/>
        <w:rPr>
          <w:rFonts w:eastAsia="Calibri"/>
        </w:rPr>
      </w:pPr>
      <w:r w:rsidRPr="00146C3E">
        <w:t>На реализацию РП «БДД»</w:t>
      </w:r>
      <w:r w:rsidRPr="00146C3E">
        <w:rPr>
          <w:rFonts w:eastAsia="Calibri"/>
        </w:rPr>
        <w:t xml:space="preserve"> в 2019-2024 годах запланировано направить 444,0 млн. руб., в т.ч в 2021 году – 89,3 млн. рублей. Данные об объёмах финансирования по годам в разрезе уровней бюджета представлены в таблице.</w:t>
      </w:r>
    </w:p>
    <w:p w14:paraId="2F82AB29" w14:textId="77777777" w:rsidR="002458AC" w:rsidRPr="00146C3E" w:rsidRDefault="002458AC" w:rsidP="009158E5">
      <w:pPr>
        <w:ind w:firstLine="709"/>
        <w:jc w:val="both"/>
        <w:rPr>
          <w:rFonts w:eastAsia="Calibri"/>
        </w:rPr>
      </w:pPr>
    </w:p>
    <w:p w14:paraId="1165AD2A" w14:textId="56978D22" w:rsidR="009158E5" w:rsidRPr="00146C3E" w:rsidRDefault="009158E5" w:rsidP="00146C3E">
      <w:pPr>
        <w:ind w:left="4955" w:firstLine="709"/>
        <w:jc w:val="center"/>
        <w:rPr>
          <w:rFonts w:eastAsia="Calibri"/>
          <w:i/>
        </w:rPr>
      </w:pPr>
      <w:r w:rsidRPr="00146C3E">
        <w:rPr>
          <w:rFonts w:eastAsia="Calibri"/>
          <w:i/>
        </w:rPr>
        <w:t>млн. руб.</w:t>
      </w:r>
    </w:p>
    <w:tbl>
      <w:tblPr>
        <w:tblStyle w:val="af3"/>
        <w:tblW w:w="6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961"/>
        <w:gridCol w:w="839"/>
        <w:gridCol w:w="833"/>
        <w:gridCol w:w="1188"/>
      </w:tblGrid>
      <w:tr w:rsidR="002D75F7" w:rsidRPr="00146C3E" w14:paraId="3AEFEB52" w14:textId="77777777" w:rsidTr="00146C3E">
        <w:trPr>
          <w:jc w:val="center"/>
        </w:trPr>
        <w:tc>
          <w:tcPr>
            <w:tcW w:w="3110" w:type="dxa"/>
            <w:vMerge w:val="restart"/>
            <w:tcBorders>
              <w:top w:val="double" w:sz="4" w:space="0" w:color="auto"/>
            </w:tcBorders>
            <w:vAlign w:val="center"/>
          </w:tcPr>
          <w:p w14:paraId="19E38468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5B4041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BCD979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sz w:val="20"/>
                <w:szCs w:val="20"/>
              </w:rPr>
              <w:t>2021</w:t>
            </w:r>
          </w:p>
        </w:tc>
      </w:tr>
      <w:tr w:rsidR="002D75F7" w:rsidRPr="00146C3E" w14:paraId="3A416F84" w14:textId="77777777" w:rsidTr="00146C3E">
        <w:trPr>
          <w:jc w:val="center"/>
        </w:trPr>
        <w:tc>
          <w:tcPr>
            <w:tcW w:w="3110" w:type="dxa"/>
            <w:vMerge/>
            <w:tcBorders>
              <w:bottom w:val="double" w:sz="4" w:space="0" w:color="auto"/>
            </w:tcBorders>
            <w:vAlign w:val="center"/>
          </w:tcPr>
          <w:p w14:paraId="21238614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DB6635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ED0140" w14:textId="0D4D39BE" w:rsidR="002D75F7" w:rsidRPr="00146C3E" w:rsidRDefault="00146C3E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Отчёт</w:t>
            </w:r>
          </w:p>
        </w:tc>
        <w:tc>
          <w:tcPr>
            <w:tcW w:w="8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55FA27" w14:textId="77777777" w:rsidR="002D75F7" w:rsidRPr="00146C3E" w:rsidRDefault="002D75F7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1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6A4E0F" w14:textId="031ED76E" w:rsidR="002D75F7" w:rsidRPr="00146C3E" w:rsidRDefault="00146C3E" w:rsidP="006942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46C3E">
              <w:rPr>
                <w:b/>
                <w:bCs/>
                <w:color w:val="000000"/>
                <w:sz w:val="18"/>
                <w:szCs w:val="20"/>
              </w:rPr>
              <w:t>Отчёт за 1 полугодие</w:t>
            </w:r>
          </w:p>
        </w:tc>
      </w:tr>
      <w:tr w:rsidR="002D75F7" w:rsidRPr="00146C3E" w14:paraId="32D52B3F" w14:textId="77777777" w:rsidTr="00146C3E">
        <w:trPr>
          <w:jc w:val="center"/>
        </w:trPr>
        <w:tc>
          <w:tcPr>
            <w:tcW w:w="3110" w:type="dxa"/>
            <w:tcBorders>
              <w:top w:val="double" w:sz="4" w:space="0" w:color="auto"/>
            </w:tcBorders>
          </w:tcPr>
          <w:p w14:paraId="7B5FDB2A" w14:textId="77777777" w:rsidR="002D75F7" w:rsidRPr="00146C3E" w:rsidRDefault="002D75F7" w:rsidP="002D75F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46C3E">
              <w:rPr>
                <w:rFonts w:eastAsia="Calibri"/>
                <w:b/>
                <w:sz w:val="20"/>
                <w:szCs w:val="20"/>
              </w:rPr>
              <w:t xml:space="preserve">Объем финансирования всего, </w:t>
            </w:r>
          </w:p>
          <w:p w14:paraId="2767CDA6" w14:textId="77777777" w:rsidR="002D75F7" w:rsidRPr="00146C3E" w:rsidRDefault="002D75F7" w:rsidP="002D75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6C3E">
              <w:rPr>
                <w:rFonts w:eastAsia="Calibri"/>
                <w:b/>
                <w:sz w:val="20"/>
                <w:szCs w:val="20"/>
              </w:rPr>
              <w:t>в том числе:</w:t>
            </w: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14:paraId="544928A7" w14:textId="66C9AE73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C3E">
              <w:rPr>
                <w:rFonts w:eastAsia="Calibri"/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14:paraId="15A97639" w14:textId="76B704A0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C3E">
              <w:rPr>
                <w:rFonts w:eastAsia="Calibri"/>
                <w:b/>
                <w:sz w:val="20"/>
                <w:szCs w:val="20"/>
              </w:rPr>
              <w:t>10,2</w:t>
            </w:r>
          </w:p>
        </w:tc>
        <w:tc>
          <w:tcPr>
            <w:tcW w:w="833" w:type="dxa"/>
            <w:tcBorders>
              <w:top w:val="double" w:sz="4" w:space="0" w:color="auto"/>
            </w:tcBorders>
            <w:vAlign w:val="center"/>
          </w:tcPr>
          <w:p w14:paraId="21291D3C" w14:textId="17DF724E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46C3E">
              <w:rPr>
                <w:rFonts w:eastAsia="Calibri"/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14:paraId="415346F0" w14:textId="43A8E404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6C3E">
              <w:rPr>
                <w:rFonts w:eastAsia="Calibri"/>
                <w:b/>
                <w:sz w:val="20"/>
                <w:szCs w:val="20"/>
              </w:rPr>
              <w:t>42,1</w:t>
            </w:r>
          </w:p>
        </w:tc>
      </w:tr>
      <w:tr w:rsidR="002D75F7" w:rsidRPr="00146C3E" w14:paraId="2A513610" w14:textId="77777777" w:rsidTr="00146C3E">
        <w:trPr>
          <w:trHeight w:val="170"/>
          <w:jc w:val="center"/>
        </w:trPr>
        <w:tc>
          <w:tcPr>
            <w:tcW w:w="3110" w:type="dxa"/>
          </w:tcPr>
          <w:p w14:paraId="0E372E5C" w14:textId="77777777" w:rsidR="002D75F7" w:rsidRPr="00146C3E" w:rsidRDefault="002D75F7" w:rsidP="002D75F7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961" w:type="dxa"/>
            <w:vAlign w:val="center"/>
          </w:tcPr>
          <w:p w14:paraId="75FA3511" w14:textId="5D41018B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31,2</w:t>
            </w:r>
          </w:p>
        </w:tc>
        <w:tc>
          <w:tcPr>
            <w:tcW w:w="839" w:type="dxa"/>
            <w:vAlign w:val="center"/>
          </w:tcPr>
          <w:p w14:paraId="1AD2CF7B" w14:textId="7BC5895A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33" w:type="dxa"/>
            <w:vAlign w:val="center"/>
          </w:tcPr>
          <w:p w14:paraId="246E505E" w14:textId="57683E4F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89,0</w:t>
            </w:r>
          </w:p>
        </w:tc>
        <w:tc>
          <w:tcPr>
            <w:tcW w:w="1188" w:type="dxa"/>
            <w:vAlign w:val="center"/>
          </w:tcPr>
          <w:p w14:paraId="370DDFD8" w14:textId="6CCC5742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42,1</w:t>
            </w:r>
          </w:p>
        </w:tc>
      </w:tr>
      <w:tr w:rsidR="002D75F7" w:rsidRPr="00146C3E" w14:paraId="6A507825" w14:textId="77777777" w:rsidTr="00146C3E">
        <w:trPr>
          <w:trHeight w:val="170"/>
          <w:jc w:val="center"/>
        </w:trPr>
        <w:tc>
          <w:tcPr>
            <w:tcW w:w="3110" w:type="dxa"/>
          </w:tcPr>
          <w:p w14:paraId="0893E06D" w14:textId="77777777" w:rsidR="002D75F7" w:rsidRPr="00146C3E" w:rsidRDefault="002D75F7" w:rsidP="002D75F7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961" w:type="dxa"/>
            <w:vAlign w:val="center"/>
          </w:tcPr>
          <w:p w14:paraId="2C157C8E" w14:textId="6F0CC494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39" w:type="dxa"/>
            <w:vAlign w:val="center"/>
          </w:tcPr>
          <w:p w14:paraId="4F582DF3" w14:textId="3172F4D1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33" w:type="dxa"/>
            <w:vAlign w:val="center"/>
          </w:tcPr>
          <w:p w14:paraId="04E79F5E" w14:textId="7684960B" w:rsidR="002D75F7" w:rsidRPr="00146C3E" w:rsidRDefault="002D75F7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188" w:type="dxa"/>
          </w:tcPr>
          <w:p w14:paraId="44D995B1" w14:textId="635B264B" w:rsidR="002D75F7" w:rsidRPr="00146C3E" w:rsidRDefault="0076506D" w:rsidP="002D75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46C3E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14:paraId="252D6685" w14:textId="77777777" w:rsidR="002D75F7" w:rsidRPr="00146C3E" w:rsidRDefault="002D75F7" w:rsidP="009158E5">
      <w:pPr>
        <w:ind w:firstLine="709"/>
        <w:jc w:val="both"/>
      </w:pPr>
    </w:p>
    <w:p w14:paraId="387C894D" w14:textId="0FC16545" w:rsidR="009158E5" w:rsidRPr="00322DAF" w:rsidRDefault="009158E5" w:rsidP="007213E7">
      <w:pPr>
        <w:ind w:firstLine="709"/>
        <w:jc w:val="both"/>
      </w:pPr>
      <w:r w:rsidRPr="00146C3E">
        <w:t xml:space="preserve">Согласно отчету </w:t>
      </w:r>
      <w:r w:rsidR="009E457C" w:rsidRPr="00146C3E">
        <w:t>ЭБ о РП «БДД»</w:t>
      </w:r>
      <w:r w:rsidRPr="00146C3E">
        <w:t xml:space="preserve"> по состоянию на 30.06.202</w:t>
      </w:r>
      <w:r w:rsidR="006E189D">
        <w:t>1</w:t>
      </w:r>
      <w:r w:rsidRPr="00146C3E">
        <w:t xml:space="preserve"> принято бюджетных обязательств на 47,8 млн. руб., или на 53,5% от запланированного на 2021 год объёма работ (89,3 млн. руб.). Кассовое исполнение по расходам на реализацию мероприятий проекта составило 42,1 млн. руб</w:t>
      </w:r>
      <w:r w:rsidR="0076506D" w:rsidRPr="00146C3E">
        <w:t xml:space="preserve">. </w:t>
      </w:r>
      <w:r w:rsidR="0037173F" w:rsidRPr="00146C3E">
        <w:t>– комитетом здравоохранения заключен контракт на приобретение 4 газовых хроматограф</w:t>
      </w:r>
      <w:r w:rsidR="00146C3E" w:rsidRPr="00146C3E">
        <w:t>ов</w:t>
      </w:r>
      <w:r w:rsidR="0037173F" w:rsidRPr="00146C3E">
        <w:t xml:space="preserve"> для проведения подтверждающих химико-токсикологических исследований. Финансирование контракта осуществлено по подразделу 0909 «Другие вопросы в области здравоохранения».</w:t>
      </w:r>
    </w:p>
    <w:p w14:paraId="4B8FB638" w14:textId="77777777" w:rsidR="007F7D34" w:rsidRPr="007F7D34" w:rsidRDefault="007F7D34" w:rsidP="006E5B2E">
      <w:pPr>
        <w:ind w:firstLine="709"/>
        <w:jc w:val="both"/>
      </w:pPr>
    </w:p>
    <w:p w14:paraId="75EAE9B6" w14:textId="77E162AB" w:rsidR="006A3E5B" w:rsidRPr="00E52D41" w:rsidRDefault="006A3E5B" w:rsidP="00315BD4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E52D41">
        <w:rPr>
          <w:b/>
          <w:i/>
        </w:rPr>
        <w:t>Выводы:</w:t>
      </w:r>
    </w:p>
    <w:p w14:paraId="6B071F7A" w14:textId="36F69424" w:rsidR="00764CC3" w:rsidRPr="00E52D41" w:rsidRDefault="006A3E5B" w:rsidP="00315BD4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</w:pPr>
      <w:r w:rsidRPr="00E52D41">
        <w:t>Законом об областном бюджете на 20</w:t>
      </w:r>
      <w:r w:rsidR="00AC1F2C" w:rsidRPr="00E52D41">
        <w:t>2</w:t>
      </w:r>
      <w:r w:rsidR="00710B2C" w:rsidRPr="00E52D41">
        <w:t>1</w:t>
      </w:r>
      <w:r w:rsidRPr="00E52D41">
        <w:t xml:space="preserve"> год</w:t>
      </w:r>
      <w:r w:rsidR="00315BD4" w:rsidRPr="00E52D41">
        <w:t xml:space="preserve"> </w:t>
      </w:r>
      <w:r w:rsidR="007C2789" w:rsidRPr="00E52D41">
        <w:t>с учётом изменений, внесённых на рассмотрение в августе 2021 год,</w:t>
      </w:r>
      <w:r w:rsidRPr="00E52D41">
        <w:t xml:space="preserve"> объем бюджетных ассигнований дорожного фонда Волгоградской области утвержден в </w:t>
      </w:r>
      <w:r w:rsidR="0071773D" w:rsidRPr="00E52D41">
        <w:t>размере</w:t>
      </w:r>
      <w:r w:rsidRPr="00E52D41">
        <w:t xml:space="preserve"> </w:t>
      </w:r>
      <w:r w:rsidR="00315BD4" w:rsidRPr="00E52D41">
        <w:t xml:space="preserve">17 496,2 </w:t>
      </w:r>
      <w:r w:rsidRPr="00E52D41">
        <w:t xml:space="preserve">млн. рублей. В нарушение </w:t>
      </w:r>
      <w:r w:rsidR="007C2789" w:rsidRPr="00E52D41">
        <w:t>п. 4</w:t>
      </w:r>
      <w:r w:rsidRPr="00E52D41">
        <w:t xml:space="preserve"> ст. 179.4 БК РФ и ст. 1 Закона № 2246-ОД объем бюджетных ассигнований дорожного фонда Волгоградской области на 20</w:t>
      </w:r>
      <w:r w:rsidR="00710B2C" w:rsidRPr="00E52D41">
        <w:t>21</w:t>
      </w:r>
      <w:r w:rsidRPr="00E52D41">
        <w:t xml:space="preserve"> год </w:t>
      </w:r>
      <w:r w:rsidR="00764CC3" w:rsidRPr="00E52D41">
        <w:t xml:space="preserve">утвержден на </w:t>
      </w:r>
      <w:r w:rsidR="00315BD4" w:rsidRPr="00E52D41">
        <w:t xml:space="preserve">4 781,3 </w:t>
      </w:r>
      <w:r w:rsidR="00764CC3" w:rsidRPr="00E52D41">
        <w:t xml:space="preserve">млн. руб. меньше </w:t>
      </w:r>
      <w:r w:rsidR="007C2789" w:rsidRPr="00E52D41">
        <w:t>объема</w:t>
      </w:r>
      <w:r w:rsidR="00764CC3" w:rsidRPr="00E52D41">
        <w:t xml:space="preserve">, </w:t>
      </w:r>
      <w:r w:rsidR="007C2789" w:rsidRPr="00E52D41">
        <w:t>отвечающего требованиям бюджетного законодательства</w:t>
      </w:r>
      <w:r w:rsidR="00764CC3" w:rsidRPr="00E52D41">
        <w:t>, в том числе:</w:t>
      </w:r>
    </w:p>
    <w:p w14:paraId="5FE95114" w14:textId="28095476" w:rsidR="00764CC3" w:rsidRPr="00E52D41" w:rsidRDefault="00764CC3" w:rsidP="00315BD4">
      <w:pPr>
        <w:pStyle w:val="af2"/>
        <w:autoSpaceDE w:val="0"/>
        <w:autoSpaceDN w:val="0"/>
        <w:adjustRightInd w:val="0"/>
        <w:ind w:left="0" w:firstLine="720"/>
        <w:jc w:val="both"/>
      </w:pPr>
      <w:r w:rsidRPr="00E52D41">
        <w:t>-</w:t>
      </w:r>
      <w:r w:rsidR="00315BD4" w:rsidRPr="00E52D41">
        <w:t xml:space="preserve">3 305,1 </w:t>
      </w:r>
      <w:r w:rsidRPr="00E52D41">
        <w:t xml:space="preserve">млн. рублей - </w:t>
      </w:r>
      <w:r w:rsidR="007C2789" w:rsidRPr="00E52D41">
        <w:t>менее прогнозируемого объема установленных законом доходов на 2021 год</w:t>
      </w:r>
      <w:r w:rsidRPr="00E52D41">
        <w:t xml:space="preserve">; </w:t>
      </w:r>
    </w:p>
    <w:p w14:paraId="6EDD3099" w14:textId="77777777" w:rsidR="007C2789" w:rsidRPr="00E52D41" w:rsidRDefault="007C2789" w:rsidP="007C2789">
      <w:pPr>
        <w:autoSpaceDE w:val="0"/>
        <w:autoSpaceDN w:val="0"/>
        <w:adjustRightInd w:val="0"/>
        <w:ind w:firstLine="709"/>
        <w:jc w:val="both"/>
      </w:pPr>
      <w:r w:rsidRPr="00E52D41">
        <w:t xml:space="preserve">-1 333,1 млн. руб. – часть положительной разницы между фактически поступившим и </w:t>
      </w:r>
      <w:proofErr w:type="spellStart"/>
      <w:r w:rsidRPr="00E52D41">
        <w:t>прогнозировавшимся</w:t>
      </w:r>
      <w:proofErr w:type="spellEnd"/>
      <w:r w:rsidRPr="00E52D41">
        <w:t xml:space="preserve"> объемом доходов областного бюджета, учитываемых при формировании дорожного фонда в 2020 году, на которую не увеличен объем бюджетных ассигнований дорожного фонда Волгоградской области в 2020 году;</w:t>
      </w:r>
    </w:p>
    <w:p w14:paraId="369E45CF" w14:textId="77777777" w:rsidR="007C2789" w:rsidRPr="00E52D41" w:rsidRDefault="007C2789" w:rsidP="007C2789">
      <w:pPr>
        <w:autoSpaceDE w:val="0"/>
        <w:autoSpaceDN w:val="0"/>
        <w:adjustRightInd w:val="0"/>
        <w:ind w:firstLine="709"/>
        <w:jc w:val="both"/>
      </w:pPr>
      <w:r w:rsidRPr="00E52D41">
        <w:t>-143,1 млн. руб. - объём неиспользованных бюджетных ассигнований дорожного фонда Волгоградской области в 2020 году.</w:t>
      </w:r>
    </w:p>
    <w:p w14:paraId="1ECD2338" w14:textId="7AD7F109" w:rsidR="00A27CE1" w:rsidRPr="00E52D41" w:rsidRDefault="00A27CE1" w:rsidP="00A27CE1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E52D41">
        <w:t>В I полугодии 2021 года по источникам формирования дорожного фонда Волгоградской области поступление доходов составило 6</w:t>
      </w:r>
      <w:r w:rsidR="007C2789" w:rsidRPr="00E52D41">
        <w:t> </w:t>
      </w:r>
      <w:r w:rsidRPr="00E52D41">
        <w:t>6</w:t>
      </w:r>
      <w:r w:rsidR="00A40737">
        <w:t>1</w:t>
      </w:r>
      <w:r w:rsidRPr="00E52D41">
        <w:t>9,9 млн. руб., или 4</w:t>
      </w:r>
      <w:r w:rsidR="00A40737">
        <w:t>1</w:t>
      </w:r>
      <w:r w:rsidRPr="00E52D41">
        <w:t>,</w:t>
      </w:r>
      <w:r w:rsidR="00A40737">
        <w:t>9</w:t>
      </w:r>
      <w:r w:rsidRPr="00E52D41">
        <w:t>% от утверждённого объёма источников и 5</w:t>
      </w:r>
      <w:r w:rsidR="00A40737">
        <w:t>3</w:t>
      </w:r>
      <w:r w:rsidRPr="00E52D41">
        <w:t>,</w:t>
      </w:r>
      <w:r w:rsidR="00A40737">
        <w:t>9</w:t>
      </w:r>
      <w:r w:rsidRPr="00E52D41">
        <w:t>% от утверждённого объема ассигнований дорожного фонда. Поступления за I полугодие 2020 года составляли 4 846,3млн. рублей.</w:t>
      </w:r>
    </w:p>
    <w:p w14:paraId="0A8BC37B" w14:textId="6DB7E4A0" w:rsidR="00764CC3" w:rsidRDefault="00A27CE1" w:rsidP="00EB2958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E52D41">
        <w:lastRenderedPageBreak/>
        <w:t>Расходы дорожного фонда Волгоградской области за I полугодие 2021 года сложились в размере 5</w:t>
      </w:r>
      <w:r w:rsidR="007C2789" w:rsidRPr="00E52D41">
        <w:t> </w:t>
      </w:r>
      <w:r w:rsidRPr="00E52D41">
        <w:t>656,4 млн. руб., или 30,6% от объема ассигнований, утвержденн</w:t>
      </w:r>
      <w:r w:rsidR="007C2789" w:rsidRPr="00E52D41">
        <w:t>ого</w:t>
      </w:r>
      <w:r w:rsidRPr="00E52D41">
        <w:t xml:space="preserve"> сводной бюджетной росписью областного бюджета, что больше аналогичного показателя за I полугодие 2020 года в абсолютной величине на 1 062,5 млн. руб. (4</w:t>
      </w:r>
      <w:r w:rsidR="007C2789" w:rsidRPr="00E52D41">
        <w:t> </w:t>
      </w:r>
      <w:r w:rsidRPr="00E52D41">
        <w:t>593,9 млн. руб.).</w:t>
      </w:r>
    </w:p>
    <w:p w14:paraId="42CACA6E" w14:textId="20A0CD59" w:rsidR="000213E2" w:rsidRPr="00E52D41" w:rsidRDefault="00DD4027" w:rsidP="00EB2958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З</w:t>
      </w:r>
      <w:r>
        <w:t xml:space="preserve">а счёт ассигнований дорожного фонда Волгоградской области </w:t>
      </w:r>
      <w:r>
        <w:t>по состоянию на 30.06.2021 принято бюджетных обязательств на с</w:t>
      </w:r>
      <w:r w:rsidR="00605302">
        <w:t xml:space="preserve">умму </w:t>
      </w:r>
      <w:r>
        <w:t>7 850,3</w:t>
      </w:r>
      <w:r w:rsidR="00605302">
        <w:t xml:space="preserve"> </w:t>
      </w:r>
      <w:proofErr w:type="spellStart"/>
      <w:r w:rsidR="00605302">
        <w:t>млн.руб</w:t>
      </w:r>
      <w:proofErr w:type="spellEnd"/>
      <w:r w:rsidR="00605302">
        <w:t>. (</w:t>
      </w:r>
      <w:r w:rsidR="00282E12">
        <w:t xml:space="preserve">или </w:t>
      </w:r>
      <w:r>
        <w:t>87</w:t>
      </w:r>
      <w:r w:rsidR="00282E12">
        <w:t>,5% от доведённых ассигнований) на исполнение региональной составляющей национального проекта «БКАД».</w:t>
      </w:r>
    </w:p>
    <w:p w14:paraId="30495648" w14:textId="7FF76869" w:rsidR="00E52D41" w:rsidRPr="009C4824" w:rsidRDefault="007C2789" w:rsidP="00B146A4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52D41">
        <w:rPr>
          <w:rFonts w:eastAsia="Calibri"/>
        </w:rPr>
        <w:t xml:space="preserve">Разногласия, возникшие между сторонами при исполнении </w:t>
      </w:r>
      <w:r w:rsidR="00E52D41" w:rsidRPr="00E52D41">
        <w:rPr>
          <w:rFonts w:eastAsia="Calibri"/>
        </w:rPr>
        <w:t xml:space="preserve">концессионного соглашения и </w:t>
      </w:r>
      <w:r w:rsidRPr="00E52D41">
        <w:rPr>
          <w:rFonts w:eastAsia="Calibri"/>
        </w:rPr>
        <w:t>государс</w:t>
      </w:r>
      <w:r w:rsidR="00E52D41" w:rsidRPr="00E52D41">
        <w:rPr>
          <w:rFonts w:eastAsia="Calibri"/>
        </w:rPr>
        <w:t xml:space="preserve">твенного контракта, создают </w:t>
      </w:r>
      <w:r w:rsidR="00B146A4" w:rsidRPr="00E52D41">
        <w:rPr>
          <w:rFonts w:eastAsia="Calibri"/>
        </w:rPr>
        <w:t>риски недостижени</w:t>
      </w:r>
      <w:r w:rsidR="00E52D41" w:rsidRPr="00E52D41">
        <w:rPr>
          <w:rFonts w:eastAsia="Calibri"/>
        </w:rPr>
        <w:t>я</w:t>
      </w:r>
      <w:r w:rsidR="00B146A4" w:rsidRPr="00E52D41">
        <w:rPr>
          <w:rFonts w:eastAsia="Calibri"/>
        </w:rPr>
        <w:t xml:space="preserve"> </w:t>
      </w:r>
      <w:r w:rsidR="00E52D41" w:rsidRPr="00E52D41">
        <w:rPr>
          <w:rFonts w:eastAsia="Calibri"/>
        </w:rPr>
        <w:t xml:space="preserve"> по итогам 2021 года </w:t>
      </w:r>
      <w:r w:rsidR="00B146A4" w:rsidRPr="00E52D41">
        <w:rPr>
          <w:rFonts w:eastAsia="Calibri"/>
        </w:rPr>
        <w:t xml:space="preserve">значений </w:t>
      </w:r>
      <w:r w:rsidR="00E52D41" w:rsidRPr="00E52D41">
        <w:rPr>
          <w:rFonts w:eastAsia="Calibri"/>
        </w:rPr>
        <w:t>трёх и</w:t>
      </w:r>
      <w:r w:rsidR="004D7AD4">
        <w:rPr>
          <w:rFonts w:eastAsia="Calibri"/>
        </w:rPr>
        <w:t>з</w:t>
      </w:r>
      <w:r w:rsidR="00E52D41" w:rsidRPr="00E52D41">
        <w:rPr>
          <w:rFonts w:eastAsia="Calibri"/>
        </w:rPr>
        <w:t xml:space="preserve"> шести </w:t>
      </w:r>
      <w:r w:rsidR="00B146A4" w:rsidRPr="00E52D41">
        <w:rPr>
          <w:rFonts w:eastAsia="Calibri"/>
        </w:rPr>
        <w:t xml:space="preserve">показателей </w:t>
      </w:r>
      <w:r w:rsidR="00E52D41" w:rsidRPr="00E52D41">
        <w:rPr>
          <w:rFonts w:eastAsia="Calibri"/>
        </w:rPr>
        <w:t xml:space="preserve">регионального проекта «Общесистемные меры» </w:t>
      </w:r>
      <w:r w:rsidR="008438D8">
        <w:rPr>
          <w:rFonts w:eastAsia="Calibri"/>
        </w:rPr>
        <w:t>п</w:t>
      </w:r>
      <w:r w:rsidR="00E52D41" w:rsidRPr="00E52D41">
        <w:rPr>
          <w:rFonts w:eastAsia="Calibri"/>
        </w:rPr>
        <w:t>о д</w:t>
      </w:r>
      <w:r w:rsidR="00B146A4" w:rsidRPr="00E52D41">
        <w:t>ол</w:t>
      </w:r>
      <w:r w:rsidR="00E52D41" w:rsidRPr="00E52D41">
        <w:t>е</w:t>
      </w:r>
      <w:r w:rsidR="00B146A4" w:rsidRPr="00E52D41">
        <w:t xml:space="preserve"> (количеств</w:t>
      </w:r>
      <w:r w:rsidR="006E189D">
        <w:t>у</w:t>
      </w:r>
      <w:r w:rsidR="00B146A4" w:rsidRPr="00E52D41">
        <w:t xml:space="preserve">) стационарных камер фотовидеофиксации нарушений ПДД и </w:t>
      </w:r>
      <w:r w:rsidR="00E52D41" w:rsidRPr="00E52D41">
        <w:t>к</w:t>
      </w:r>
      <w:r w:rsidR="00B146A4" w:rsidRPr="00E52D41">
        <w:t>оличеств</w:t>
      </w:r>
      <w:r w:rsidR="00E52D41" w:rsidRPr="00E52D41">
        <w:t>е</w:t>
      </w:r>
      <w:r w:rsidR="00B146A4" w:rsidRPr="00E52D41">
        <w:t xml:space="preserve"> размещенных автоматических пунктов весогабаритного контроля транспортных средств</w:t>
      </w:r>
      <w:r w:rsidR="00B146A4" w:rsidRPr="00E52D41">
        <w:rPr>
          <w:rFonts w:eastAsia="Calibri"/>
        </w:rPr>
        <w:t xml:space="preserve">, что </w:t>
      </w:r>
      <w:r w:rsidR="00B146A4" w:rsidRPr="00E52D41">
        <w:t xml:space="preserve">во взаимосвязи может оказать негативное влияние на достижение наиболее социально значимых показателей других </w:t>
      </w:r>
      <w:r w:rsidR="00492542">
        <w:t xml:space="preserve">региональных </w:t>
      </w:r>
      <w:r w:rsidR="00492542" w:rsidRPr="00E52D41">
        <w:t>проектов</w:t>
      </w:r>
      <w:r w:rsidR="00492542" w:rsidRPr="00641275">
        <w:t xml:space="preserve"> </w:t>
      </w:r>
      <w:r w:rsidR="00492542" w:rsidRPr="00A55C3C">
        <w:t>Волгоградской области в сфере реализации национального проекта «Безопасные и качественные автомобильные дороги</w:t>
      </w:r>
      <w:r w:rsidR="00492542">
        <w:t>»</w:t>
      </w:r>
      <w:r w:rsidR="00B146A4" w:rsidRPr="00E52D41">
        <w:t>, характеризующих нормативное состояние дорог и смертность на них</w:t>
      </w:r>
      <w:r w:rsidR="00E52D41" w:rsidRPr="00E52D41">
        <w:t>.</w:t>
      </w:r>
    </w:p>
    <w:p w14:paraId="54E704C2" w14:textId="5624C3DC" w:rsidR="009C4824" w:rsidRPr="006E189D" w:rsidRDefault="009C4824" w:rsidP="00B146A4">
      <w:pPr>
        <w:pStyle w:val="af2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6E189D">
        <w:rPr>
          <w:rFonts w:eastAsia="Calibri"/>
        </w:rPr>
        <w:t>Приостановление работы автоматической системы весогабаритного контроля созда</w:t>
      </w:r>
      <w:r w:rsidR="006E189D" w:rsidRPr="006E189D">
        <w:rPr>
          <w:rFonts w:eastAsia="Calibri"/>
        </w:rPr>
        <w:t>ёт</w:t>
      </w:r>
      <w:r w:rsidRPr="006E189D">
        <w:rPr>
          <w:rFonts w:eastAsia="Calibri"/>
        </w:rPr>
        <w:t xml:space="preserve"> риск возврата за счёт областного бюджета ранее полученных и использованных пожертвований в размере 120,0 млн. рублей.</w:t>
      </w:r>
    </w:p>
    <w:p w14:paraId="3C223DC9" w14:textId="77777777" w:rsidR="00AE0A95" w:rsidRPr="00E52D41" w:rsidRDefault="00AE0A95" w:rsidP="006A3E5B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</w:p>
    <w:p w14:paraId="5B193540" w14:textId="299DF564" w:rsidR="006A3E5B" w:rsidRPr="00E52D41" w:rsidRDefault="006A3E5B" w:rsidP="006A3E5B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b/>
          <w:i/>
          <w:lang w:eastAsia="en-US"/>
        </w:rPr>
      </w:pPr>
      <w:r w:rsidRPr="00E52D41">
        <w:rPr>
          <w:rFonts w:eastAsia="Calibri"/>
          <w:b/>
          <w:i/>
          <w:lang w:eastAsia="en-US"/>
        </w:rPr>
        <w:t>Предложения:</w:t>
      </w:r>
    </w:p>
    <w:p w14:paraId="711CB9F4" w14:textId="77777777" w:rsidR="00CE6374" w:rsidRPr="00E52D41" w:rsidRDefault="006A3E5B" w:rsidP="00E819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E52D41">
        <w:rPr>
          <w:rFonts w:eastAsia="Calibri"/>
        </w:rPr>
        <w:t>Администрации Волгоградской области</w:t>
      </w:r>
      <w:r w:rsidR="00CE6374" w:rsidRPr="00E52D41">
        <w:rPr>
          <w:rFonts w:eastAsia="Calibri"/>
        </w:rPr>
        <w:t>:</w:t>
      </w:r>
    </w:p>
    <w:p w14:paraId="2E237349" w14:textId="22208213" w:rsidR="00E8195F" w:rsidRPr="00E52D41" w:rsidRDefault="00E8195F" w:rsidP="00A97FCA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52D41">
        <w:rPr>
          <w:rFonts w:eastAsia="Calibri"/>
        </w:rPr>
        <w:t xml:space="preserve">1. </w:t>
      </w:r>
      <w:r w:rsidR="00CE6374" w:rsidRPr="00E52D41">
        <w:rPr>
          <w:rFonts w:eastAsia="Calibri"/>
        </w:rPr>
        <w:t>П</w:t>
      </w:r>
      <w:r w:rsidR="006A3E5B" w:rsidRPr="00E52D41">
        <w:rPr>
          <w:rFonts w:eastAsia="Calibri"/>
        </w:rPr>
        <w:t xml:space="preserve">родолжить работу, направленную на увеличение </w:t>
      </w:r>
      <w:r w:rsidR="00E52D41" w:rsidRPr="00E52D41">
        <w:rPr>
          <w:rFonts w:eastAsia="Calibri"/>
        </w:rPr>
        <w:t xml:space="preserve">объёма </w:t>
      </w:r>
      <w:r w:rsidR="006A3E5B" w:rsidRPr="00E52D41">
        <w:rPr>
          <w:rFonts w:eastAsia="Calibri"/>
        </w:rPr>
        <w:t>ассигнований дорожного фонда Волгоградской области в 20</w:t>
      </w:r>
      <w:r w:rsidR="006B495F" w:rsidRPr="00E52D41">
        <w:rPr>
          <w:rFonts w:eastAsia="Calibri"/>
        </w:rPr>
        <w:t>2</w:t>
      </w:r>
      <w:r w:rsidR="00AA2AF1" w:rsidRPr="00E52D41">
        <w:rPr>
          <w:rFonts w:eastAsia="Calibri"/>
        </w:rPr>
        <w:t>1</w:t>
      </w:r>
      <w:r w:rsidR="00E5745F" w:rsidRPr="00E52D41">
        <w:rPr>
          <w:rFonts w:eastAsia="Calibri"/>
        </w:rPr>
        <w:t xml:space="preserve"> </w:t>
      </w:r>
      <w:r w:rsidR="006A3E5B" w:rsidRPr="00E52D41">
        <w:rPr>
          <w:rFonts w:eastAsia="Calibri"/>
        </w:rPr>
        <w:t xml:space="preserve">году до </w:t>
      </w:r>
      <w:r w:rsidR="00E52D41" w:rsidRPr="00E52D41">
        <w:t>объема, отвечающего требованиям бюджетного законодательства</w:t>
      </w:r>
      <w:r w:rsidR="00AA2AF1" w:rsidRPr="00E52D41">
        <w:t>.</w:t>
      </w:r>
      <w:r w:rsidR="00E5745F" w:rsidRPr="00E52D41">
        <w:t xml:space="preserve"> </w:t>
      </w:r>
    </w:p>
    <w:p w14:paraId="656B8363" w14:textId="1DE0DF5D" w:rsidR="003B7C02" w:rsidRDefault="00AA2AF1" w:rsidP="00A97FCA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274" w:lineRule="exact"/>
        <w:ind w:right="14" w:firstLine="709"/>
        <w:jc w:val="both"/>
      </w:pPr>
      <w:r w:rsidRPr="00E52D41">
        <w:rPr>
          <w:rFonts w:eastAsia="Calibri"/>
        </w:rPr>
        <w:t>2</w:t>
      </w:r>
      <w:r w:rsidR="003B7C02" w:rsidRPr="00E52D41">
        <w:rPr>
          <w:rFonts w:eastAsia="Calibri"/>
        </w:rPr>
        <w:t xml:space="preserve">. </w:t>
      </w:r>
      <w:r w:rsidR="00E52D41" w:rsidRPr="00E52D41">
        <w:rPr>
          <w:rFonts w:eastAsia="Calibri"/>
        </w:rPr>
        <w:t xml:space="preserve">Осуществить исчерпывающий комплекс мер, </w:t>
      </w:r>
      <w:r w:rsidRPr="00E52D41">
        <w:t>направленны</w:t>
      </w:r>
      <w:r w:rsidR="004D7AD4">
        <w:t>х</w:t>
      </w:r>
      <w:r w:rsidRPr="00E52D41">
        <w:t xml:space="preserve"> на снижение риско</w:t>
      </w:r>
      <w:r w:rsidR="00B146A4" w:rsidRPr="00E52D41">
        <w:t>в</w:t>
      </w:r>
      <w:r w:rsidRPr="00E52D41">
        <w:t xml:space="preserve"> недостижения значений </w:t>
      </w:r>
      <w:r w:rsidR="00E52D41" w:rsidRPr="00E52D41">
        <w:rPr>
          <w:rFonts w:eastAsia="Calibri"/>
        </w:rPr>
        <w:t>показателей регионального проекта «Общесистемные меры», характеризующих д</w:t>
      </w:r>
      <w:r w:rsidR="00E52D41" w:rsidRPr="00E52D41">
        <w:t>олю (количество) стационарных камер фотовидеофиксации нарушений ПДД и количество размещенных автоматических пунктов весогабаритного контроля транспортных средств</w:t>
      </w:r>
      <w:r w:rsidR="009C4824" w:rsidRPr="006E189D">
        <w:t xml:space="preserve">, а также снижение </w:t>
      </w:r>
      <w:r w:rsidR="009C4824" w:rsidRPr="006E189D">
        <w:rPr>
          <w:rFonts w:eastAsia="Calibri"/>
        </w:rPr>
        <w:t>риска возврата за счёт областного бюджета ранее полученных и использованных пожертвований в размере 120,0 млн. рублей</w:t>
      </w:r>
      <w:r w:rsidRPr="006E189D">
        <w:t>.</w:t>
      </w:r>
    </w:p>
    <w:p w14:paraId="3BD6477B" w14:textId="77777777" w:rsidR="0071773D" w:rsidRDefault="0071773D" w:rsidP="00B4014C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</w:p>
    <w:p w14:paraId="67B61448" w14:textId="66405618" w:rsidR="00E8195F" w:rsidRDefault="00E8195F" w:rsidP="000F3696">
      <w:pPr>
        <w:jc w:val="both"/>
        <w:rPr>
          <w:rFonts w:eastAsia="Calibri"/>
        </w:rPr>
      </w:pPr>
    </w:p>
    <w:p w14:paraId="4D33C623" w14:textId="56450A60" w:rsidR="00420368" w:rsidRDefault="00420368" w:rsidP="000F3696">
      <w:pPr>
        <w:jc w:val="both"/>
        <w:rPr>
          <w:rFonts w:eastAsia="Calibri"/>
        </w:rPr>
      </w:pPr>
    </w:p>
    <w:p w14:paraId="31ABE0AA" w14:textId="42ED0DD9" w:rsidR="00420368" w:rsidRDefault="00420368" w:rsidP="000F3696">
      <w:pPr>
        <w:jc w:val="both"/>
        <w:rPr>
          <w:rFonts w:eastAsia="Calibri"/>
        </w:rPr>
      </w:pPr>
    </w:p>
    <w:p w14:paraId="1B392263" w14:textId="79E900A9" w:rsidR="002458AC" w:rsidRDefault="002458AC" w:rsidP="000F3696">
      <w:pPr>
        <w:jc w:val="both"/>
        <w:rPr>
          <w:rFonts w:eastAsia="Calibri"/>
        </w:rPr>
      </w:pPr>
    </w:p>
    <w:p w14:paraId="7ACB4548" w14:textId="77777777" w:rsidR="002458AC" w:rsidRDefault="002458AC" w:rsidP="000F3696">
      <w:pPr>
        <w:jc w:val="both"/>
        <w:rPr>
          <w:rFonts w:eastAsia="Calibri"/>
        </w:rPr>
      </w:pPr>
    </w:p>
    <w:p w14:paraId="29E346B7" w14:textId="0F1CB273" w:rsidR="00420368" w:rsidRDefault="00420368" w:rsidP="000F3696">
      <w:pPr>
        <w:jc w:val="both"/>
        <w:rPr>
          <w:rFonts w:eastAsia="Calibri"/>
        </w:rPr>
      </w:pPr>
    </w:p>
    <w:p w14:paraId="5AF6A2B1" w14:textId="42CC53FD" w:rsidR="00420368" w:rsidRDefault="00420368" w:rsidP="000F3696">
      <w:pPr>
        <w:jc w:val="both"/>
        <w:rPr>
          <w:rFonts w:eastAsia="Calibri"/>
        </w:rPr>
      </w:pPr>
    </w:p>
    <w:p w14:paraId="33BEFC22" w14:textId="77777777" w:rsidR="00420368" w:rsidRPr="00732E7C" w:rsidRDefault="00420368" w:rsidP="000F3696">
      <w:pPr>
        <w:jc w:val="both"/>
        <w:rPr>
          <w:rFonts w:eastAsia="Calibri"/>
        </w:rPr>
      </w:pPr>
    </w:p>
    <w:p w14:paraId="31B863E4" w14:textId="73F62B60" w:rsidR="00FE7228" w:rsidRPr="00732E7C" w:rsidRDefault="000F3696" w:rsidP="00FE7228">
      <w:pPr>
        <w:ind w:firstLine="709"/>
        <w:jc w:val="both"/>
        <w:rPr>
          <w:rFonts w:eastAsia="Calibri"/>
          <w:b/>
          <w:i/>
        </w:rPr>
      </w:pPr>
      <w:r w:rsidRPr="008B5B93">
        <w:rPr>
          <w:rFonts w:eastAsia="Calibri"/>
          <w:b/>
          <w:i/>
        </w:rPr>
        <w:t xml:space="preserve">Аудитор </w:t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</w:r>
      <w:r w:rsidRPr="008B5B93">
        <w:rPr>
          <w:rFonts w:eastAsia="Calibri"/>
          <w:b/>
          <w:i/>
        </w:rPr>
        <w:tab/>
        <w:t xml:space="preserve">Н.Л. </w:t>
      </w:r>
      <w:proofErr w:type="spellStart"/>
      <w:r w:rsidRPr="008B5B93">
        <w:rPr>
          <w:rFonts w:eastAsia="Calibri"/>
          <w:b/>
          <w:i/>
        </w:rPr>
        <w:t>Ноздрюхина</w:t>
      </w:r>
      <w:proofErr w:type="spellEnd"/>
    </w:p>
    <w:sectPr w:rsidR="00FE7228" w:rsidRPr="00732E7C" w:rsidSect="000E5D32">
      <w:headerReference w:type="default" r:id="rId11"/>
      <w:pgSz w:w="11906" w:h="16838"/>
      <w:pgMar w:top="127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6B61" w14:textId="77777777" w:rsidR="001A7AA5" w:rsidRDefault="001A7AA5" w:rsidP="00717F1E">
      <w:r>
        <w:separator/>
      </w:r>
    </w:p>
  </w:endnote>
  <w:endnote w:type="continuationSeparator" w:id="0">
    <w:p w14:paraId="783E84A8" w14:textId="77777777" w:rsidR="001A7AA5" w:rsidRDefault="001A7AA5" w:rsidP="0071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C468" w14:textId="77777777" w:rsidR="001A7AA5" w:rsidRDefault="001A7AA5" w:rsidP="00717F1E">
      <w:r>
        <w:separator/>
      </w:r>
    </w:p>
  </w:footnote>
  <w:footnote w:type="continuationSeparator" w:id="0">
    <w:p w14:paraId="60F358D0" w14:textId="77777777" w:rsidR="001A7AA5" w:rsidRDefault="001A7AA5" w:rsidP="0071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75E9" w14:textId="77777777" w:rsidR="001A7AA5" w:rsidRDefault="001A7AA5" w:rsidP="00CB64B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384B7789" w14:textId="77777777" w:rsidR="001A7AA5" w:rsidRDefault="001A7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5B489D2"/>
    <w:lvl w:ilvl="0">
      <w:start w:val="1"/>
      <w:numFmt w:val="decimal"/>
      <w:lvlText w:val="%1."/>
      <w:lvlJc w:val="left"/>
      <w:pPr>
        <w:ind w:left="1905" w:hanging="360"/>
      </w:pPr>
      <w:rPr>
        <w:rFonts w:eastAsia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26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62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8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345" w:hanging="1800"/>
      </w:pPr>
      <w:rPr>
        <w:rFonts w:hint="default"/>
        <w:i/>
      </w:rPr>
    </w:lvl>
  </w:abstractNum>
  <w:abstractNum w:abstractNumId="1" w15:restartNumberingAfterBreak="0">
    <w:nsid w:val="02C14F6B"/>
    <w:multiLevelType w:val="hybridMultilevel"/>
    <w:tmpl w:val="32B6DBBA"/>
    <w:lvl w:ilvl="0" w:tplc="18A0F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027E9"/>
    <w:multiLevelType w:val="hybridMultilevel"/>
    <w:tmpl w:val="E2F0B170"/>
    <w:lvl w:ilvl="0" w:tplc="E5A4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E1BA2"/>
    <w:multiLevelType w:val="hybridMultilevel"/>
    <w:tmpl w:val="8FBE15CA"/>
    <w:lvl w:ilvl="0" w:tplc="404C0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F1366"/>
    <w:multiLevelType w:val="hybridMultilevel"/>
    <w:tmpl w:val="83640868"/>
    <w:lvl w:ilvl="0" w:tplc="F2A89E3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96056C"/>
    <w:multiLevelType w:val="hybridMultilevel"/>
    <w:tmpl w:val="A5FC512C"/>
    <w:lvl w:ilvl="0" w:tplc="34CA98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E631D"/>
    <w:multiLevelType w:val="multilevel"/>
    <w:tmpl w:val="2EDAAB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1800"/>
      </w:pPr>
      <w:rPr>
        <w:rFonts w:hint="default"/>
      </w:rPr>
    </w:lvl>
  </w:abstractNum>
  <w:abstractNum w:abstractNumId="7" w15:restartNumberingAfterBreak="0">
    <w:nsid w:val="4210189B"/>
    <w:multiLevelType w:val="singleLevel"/>
    <w:tmpl w:val="3CE8FF2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9915C0"/>
    <w:multiLevelType w:val="multilevel"/>
    <w:tmpl w:val="C7D0FF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 w:hint="default"/>
      </w:rPr>
    </w:lvl>
  </w:abstractNum>
  <w:abstractNum w:abstractNumId="9" w15:restartNumberingAfterBreak="0">
    <w:nsid w:val="6F734CA1"/>
    <w:multiLevelType w:val="hybridMultilevel"/>
    <w:tmpl w:val="5A0E48E8"/>
    <w:lvl w:ilvl="0" w:tplc="8A1AABB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CE0EC1"/>
    <w:multiLevelType w:val="hybridMultilevel"/>
    <w:tmpl w:val="625AB40E"/>
    <w:lvl w:ilvl="0" w:tplc="B3345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A"/>
    <w:rsid w:val="00000DE0"/>
    <w:rsid w:val="000010A4"/>
    <w:rsid w:val="000016C6"/>
    <w:rsid w:val="0000224D"/>
    <w:rsid w:val="00003285"/>
    <w:rsid w:val="00005258"/>
    <w:rsid w:val="000055F4"/>
    <w:rsid w:val="000064B7"/>
    <w:rsid w:val="000068DF"/>
    <w:rsid w:val="00007CFC"/>
    <w:rsid w:val="00007FD6"/>
    <w:rsid w:val="00010065"/>
    <w:rsid w:val="000131D6"/>
    <w:rsid w:val="0001329C"/>
    <w:rsid w:val="00014DCF"/>
    <w:rsid w:val="00015063"/>
    <w:rsid w:val="00015E5B"/>
    <w:rsid w:val="00017493"/>
    <w:rsid w:val="000213E2"/>
    <w:rsid w:val="000224F1"/>
    <w:rsid w:val="00022529"/>
    <w:rsid w:val="00022D54"/>
    <w:rsid w:val="00022EC9"/>
    <w:rsid w:val="0002314F"/>
    <w:rsid w:val="00024105"/>
    <w:rsid w:val="00025F05"/>
    <w:rsid w:val="000263AC"/>
    <w:rsid w:val="000302F7"/>
    <w:rsid w:val="000306A9"/>
    <w:rsid w:val="000310F8"/>
    <w:rsid w:val="0003238E"/>
    <w:rsid w:val="000325B1"/>
    <w:rsid w:val="00032FE5"/>
    <w:rsid w:val="00034085"/>
    <w:rsid w:val="0003503D"/>
    <w:rsid w:val="00035B78"/>
    <w:rsid w:val="000407EA"/>
    <w:rsid w:val="00041947"/>
    <w:rsid w:val="00042D39"/>
    <w:rsid w:val="00043746"/>
    <w:rsid w:val="00043F2F"/>
    <w:rsid w:val="00044096"/>
    <w:rsid w:val="00044B48"/>
    <w:rsid w:val="0004737F"/>
    <w:rsid w:val="00050092"/>
    <w:rsid w:val="000521C0"/>
    <w:rsid w:val="000524AA"/>
    <w:rsid w:val="00052F61"/>
    <w:rsid w:val="000536E9"/>
    <w:rsid w:val="00053B9A"/>
    <w:rsid w:val="00054010"/>
    <w:rsid w:val="0005412B"/>
    <w:rsid w:val="000541D9"/>
    <w:rsid w:val="000548D3"/>
    <w:rsid w:val="00055A5F"/>
    <w:rsid w:val="00055AEE"/>
    <w:rsid w:val="00055D30"/>
    <w:rsid w:val="000562A3"/>
    <w:rsid w:val="00056873"/>
    <w:rsid w:val="00056958"/>
    <w:rsid w:val="000573DE"/>
    <w:rsid w:val="00057A58"/>
    <w:rsid w:val="00057EF3"/>
    <w:rsid w:val="000640F8"/>
    <w:rsid w:val="000645BE"/>
    <w:rsid w:val="00064A78"/>
    <w:rsid w:val="00065C1D"/>
    <w:rsid w:val="00067100"/>
    <w:rsid w:val="00070B77"/>
    <w:rsid w:val="00071847"/>
    <w:rsid w:val="00072022"/>
    <w:rsid w:val="000739AD"/>
    <w:rsid w:val="00074260"/>
    <w:rsid w:val="000747AE"/>
    <w:rsid w:val="000748AA"/>
    <w:rsid w:val="00074E79"/>
    <w:rsid w:val="00075434"/>
    <w:rsid w:val="00075A61"/>
    <w:rsid w:val="00076533"/>
    <w:rsid w:val="00076F67"/>
    <w:rsid w:val="00082500"/>
    <w:rsid w:val="00082DBB"/>
    <w:rsid w:val="0008337E"/>
    <w:rsid w:val="000836FE"/>
    <w:rsid w:val="00084475"/>
    <w:rsid w:val="000845C0"/>
    <w:rsid w:val="00087CC1"/>
    <w:rsid w:val="00090B92"/>
    <w:rsid w:val="00091136"/>
    <w:rsid w:val="000911E0"/>
    <w:rsid w:val="000927D7"/>
    <w:rsid w:val="00092A1A"/>
    <w:rsid w:val="00092BD2"/>
    <w:rsid w:val="00094087"/>
    <w:rsid w:val="00094175"/>
    <w:rsid w:val="000942A3"/>
    <w:rsid w:val="00094D56"/>
    <w:rsid w:val="00096B86"/>
    <w:rsid w:val="000970A0"/>
    <w:rsid w:val="000972DA"/>
    <w:rsid w:val="000A203F"/>
    <w:rsid w:val="000A29F8"/>
    <w:rsid w:val="000A2EE7"/>
    <w:rsid w:val="000A386E"/>
    <w:rsid w:val="000A4603"/>
    <w:rsid w:val="000A4B58"/>
    <w:rsid w:val="000A57A7"/>
    <w:rsid w:val="000A5837"/>
    <w:rsid w:val="000A5CF8"/>
    <w:rsid w:val="000A5DCC"/>
    <w:rsid w:val="000A609B"/>
    <w:rsid w:val="000A64EA"/>
    <w:rsid w:val="000A714D"/>
    <w:rsid w:val="000B0284"/>
    <w:rsid w:val="000B0EBB"/>
    <w:rsid w:val="000B18F7"/>
    <w:rsid w:val="000B29DD"/>
    <w:rsid w:val="000B4C28"/>
    <w:rsid w:val="000B547E"/>
    <w:rsid w:val="000B605E"/>
    <w:rsid w:val="000B6AF6"/>
    <w:rsid w:val="000B7CA2"/>
    <w:rsid w:val="000B7DD7"/>
    <w:rsid w:val="000C0522"/>
    <w:rsid w:val="000C0AFB"/>
    <w:rsid w:val="000C1833"/>
    <w:rsid w:val="000C2880"/>
    <w:rsid w:val="000C3689"/>
    <w:rsid w:val="000C3E84"/>
    <w:rsid w:val="000C4930"/>
    <w:rsid w:val="000C57BF"/>
    <w:rsid w:val="000C5966"/>
    <w:rsid w:val="000C629A"/>
    <w:rsid w:val="000C71A6"/>
    <w:rsid w:val="000C71EB"/>
    <w:rsid w:val="000C72DF"/>
    <w:rsid w:val="000D0CE2"/>
    <w:rsid w:val="000D100F"/>
    <w:rsid w:val="000D2114"/>
    <w:rsid w:val="000D2777"/>
    <w:rsid w:val="000D2939"/>
    <w:rsid w:val="000D2EB8"/>
    <w:rsid w:val="000D3812"/>
    <w:rsid w:val="000D58C1"/>
    <w:rsid w:val="000D624E"/>
    <w:rsid w:val="000D6FC9"/>
    <w:rsid w:val="000E0425"/>
    <w:rsid w:val="000E0ADD"/>
    <w:rsid w:val="000E410C"/>
    <w:rsid w:val="000E5A24"/>
    <w:rsid w:val="000E5D32"/>
    <w:rsid w:val="000F1388"/>
    <w:rsid w:val="000F1505"/>
    <w:rsid w:val="000F1BC8"/>
    <w:rsid w:val="000F34FC"/>
    <w:rsid w:val="000F368E"/>
    <w:rsid w:val="000F3696"/>
    <w:rsid w:val="000F3975"/>
    <w:rsid w:val="000F4DFD"/>
    <w:rsid w:val="000F511C"/>
    <w:rsid w:val="000F7618"/>
    <w:rsid w:val="00102FB1"/>
    <w:rsid w:val="00103AA3"/>
    <w:rsid w:val="00104360"/>
    <w:rsid w:val="00105D9D"/>
    <w:rsid w:val="00106A86"/>
    <w:rsid w:val="00106AE5"/>
    <w:rsid w:val="001073CD"/>
    <w:rsid w:val="00107E49"/>
    <w:rsid w:val="00107FC9"/>
    <w:rsid w:val="00110070"/>
    <w:rsid w:val="0011017E"/>
    <w:rsid w:val="0011192C"/>
    <w:rsid w:val="00111D6E"/>
    <w:rsid w:val="00112975"/>
    <w:rsid w:val="00113582"/>
    <w:rsid w:val="00113688"/>
    <w:rsid w:val="001138D0"/>
    <w:rsid w:val="00114660"/>
    <w:rsid w:val="00115091"/>
    <w:rsid w:val="001156CF"/>
    <w:rsid w:val="00116768"/>
    <w:rsid w:val="00117B38"/>
    <w:rsid w:val="0012032D"/>
    <w:rsid w:val="0012295C"/>
    <w:rsid w:val="00122A48"/>
    <w:rsid w:val="00123089"/>
    <w:rsid w:val="001235D8"/>
    <w:rsid w:val="001249B1"/>
    <w:rsid w:val="00124A7B"/>
    <w:rsid w:val="00127BB8"/>
    <w:rsid w:val="00127C64"/>
    <w:rsid w:val="001315CA"/>
    <w:rsid w:val="00132090"/>
    <w:rsid w:val="00132413"/>
    <w:rsid w:val="00132EDB"/>
    <w:rsid w:val="00132FCB"/>
    <w:rsid w:val="00134CA4"/>
    <w:rsid w:val="0013545A"/>
    <w:rsid w:val="001377A6"/>
    <w:rsid w:val="001407F9"/>
    <w:rsid w:val="001411D2"/>
    <w:rsid w:val="001412D3"/>
    <w:rsid w:val="0014482F"/>
    <w:rsid w:val="001451E6"/>
    <w:rsid w:val="00146365"/>
    <w:rsid w:val="001469C7"/>
    <w:rsid w:val="00146C3E"/>
    <w:rsid w:val="00147836"/>
    <w:rsid w:val="001478E3"/>
    <w:rsid w:val="00150249"/>
    <w:rsid w:val="001519C4"/>
    <w:rsid w:val="00152227"/>
    <w:rsid w:val="00152CE7"/>
    <w:rsid w:val="00152E7E"/>
    <w:rsid w:val="0015339C"/>
    <w:rsid w:val="00155344"/>
    <w:rsid w:val="00155757"/>
    <w:rsid w:val="00155A39"/>
    <w:rsid w:val="00156EB9"/>
    <w:rsid w:val="00156F16"/>
    <w:rsid w:val="00157CA3"/>
    <w:rsid w:val="001600EB"/>
    <w:rsid w:val="001605B3"/>
    <w:rsid w:val="00160E8A"/>
    <w:rsid w:val="00161402"/>
    <w:rsid w:val="00161ED5"/>
    <w:rsid w:val="00163E7F"/>
    <w:rsid w:val="0016597F"/>
    <w:rsid w:val="00166E29"/>
    <w:rsid w:val="001671BE"/>
    <w:rsid w:val="001704D1"/>
    <w:rsid w:val="00170B45"/>
    <w:rsid w:val="00171038"/>
    <w:rsid w:val="001721C9"/>
    <w:rsid w:val="00174456"/>
    <w:rsid w:val="00175691"/>
    <w:rsid w:val="00176399"/>
    <w:rsid w:val="00180807"/>
    <w:rsid w:val="00181DA1"/>
    <w:rsid w:val="001831A7"/>
    <w:rsid w:val="001837A9"/>
    <w:rsid w:val="00183EBF"/>
    <w:rsid w:val="0018460F"/>
    <w:rsid w:val="00190500"/>
    <w:rsid w:val="001907E1"/>
    <w:rsid w:val="001910E2"/>
    <w:rsid w:val="00191CE2"/>
    <w:rsid w:val="0019348B"/>
    <w:rsid w:val="001950D1"/>
    <w:rsid w:val="00197A67"/>
    <w:rsid w:val="001A0991"/>
    <w:rsid w:val="001A22DD"/>
    <w:rsid w:val="001A4582"/>
    <w:rsid w:val="001A5181"/>
    <w:rsid w:val="001A575A"/>
    <w:rsid w:val="001A587B"/>
    <w:rsid w:val="001A5CA5"/>
    <w:rsid w:val="001A7AA5"/>
    <w:rsid w:val="001A7DFF"/>
    <w:rsid w:val="001B01E0"/>
    <w:rsid w:val="001B0A3C"/>
    <w:rsid w:val="001B1F16"/>
    <w:rsid w:val="001B1F17"/>
    <w:rsid w:val="001B2E57"/>
    <w:rsid w:val="001B3C30"/>
    <w:rsid w:val="001B4112"/>
    <w:rsid w:val="001B6F34"/>
    <w:rsid w:val="001B7515"/>
    <w:rsid w:val="001B78BE"/>
    <w:rsid w:val="001C39AE"/>
    <w:rsid w:val="001C4356"/>
    <w:rsid w:val="001C48D6"/>
    <w:rsid w:val="001C569B"/>
    <w:rsid w:val="001C6987"/>
    <w:rsid w:val="001C6F49"/>
    <w:rsid w:val="001C75B3"/>
    <w:rsid w:val="001C7A34"/>
    <w:rsid w:val="001D0CFD"/>
    <w:rsid w:val="001D196D"/>
    <w:rsid w:val="001D31DC"/>
    <w:rsid w:val="001D75D6"/>
    <w:rsid w:val="001E0234"/>
    <w:rsid w:val="001E03A0"/>
    <w:rsid w:val="001E079A"/>
    <w:rsid w:val="001E07DB"/>
    <w:rsid w:val="001E211E"/>
    <w:rsid w:val="001E22B4"/>
    <w:rsid w:val="001E3F33"/>
    <w:rsid w:val="001E4D81"/>
    <w:rsid w:val="001E79CF"/>
    <w:rsid w:val="001F0DDC"/>
    <w:rsid w:val="001F13C2"/>
    <w:rsid w:val="001F6589"/>
    <w:rsid w:val="001F680D"/>
    <w:rsid w:val="001F6B9C"/>
    <w:rsid w:val="001F6EC2"/>
    <w:rsid w:val="001F7735"/>
    <w:rsid w:val="0020030E"/>
    <w:rsid w:val="00204F31"/>
    <w:rsid w:val="00205971"/>
    <w:rsid w:val="00205A53"/>
    <w:rsid w:val="0020791A"/>
    <w:rsid w:val="00212E15"/>
    <w:rsid w:val="00213458"/>
    <w:rsid w:val="00213A84"/>
    <w:rsid w:val="0022058C"/>
    <w:rsid w:val="00224D0D"/>
    <w:rsid w:val="00224E20"/>
    <w:rsid w:val="0022560D"/>
    <w:rsid w:val="00226561"/>
    <w:rsid w:val="002325F7"/>
    <w:rsid w:val="002338CE"/>
    <w:rsid w:val="002366E6"/>
    <w:rsid w:val="00236EF2"/>
    <w:rsid w:val="00237150"/>
    <w:rsid w:val="00237469"/>
    <w:rsid w:val="0023771C"/>
    <w:rsid w:val="00240052"/>
    <w:rsid w:val="002404BB"/>
    <w:rsid w:val="00240C32"/>
    <w:rsid w:val="002431B4"/>
    <w:rsid w:val="0024370E"/>
    <w:rsid w:val="002449A6"/>
    <w:rsid w:val="00245609"/>
    <w:rsid w:val="002458AC"/>
    <w:rsid w:val="0024597B"/>
    <w:rsid w:val="00245F5D"/>
    <w:rsid w:val="00246D81"/>
    <w:rsid w:val="002502E4"/>
    <w:rsid w:val="0025042E"/>
    <w:rsid w:val="00252855"/>
    <w:rsid w:val="00252AF7"/>
    <w:rsid w:val="00254195"/>
    <w:rsid w:val="00254AC7"/>
    <w:rsid w:val="00254E19"/>
    <w:rsid w:val="00255700"/>
    <w:rsid w:val="00255FC2"/>
    <w:rsid w:val="00257A32"/>
    <w:rsid w:val="0026084E"/>
    <w:rsid w:val="00260E58"/>
    <w:rsid w:val="00261611"/>
    <w:rsid w:val="00261919"/>
    <w:rsid w:val="002637E3"/>
    <w:rsid w:val="00263A2E"/>
    <w:rsid w:val="0026468E"/>
    <w:rsid w:val="002652E7"/>
    <w:rsid w:val="00265462"/>
    <w:rsid w:val="00265C8B"/>
    <w:rsid w:val="002672FB"/>
    <w:rsid w:val="00267B77"/>
    <w:rsid w:val="00270AA9"/>
    <w:rsid w:val="002744E9"/>
    <w:rsid w:val="00276423"/>
    <w:rsid w:val="002770F9"/>
    <w:rsid w:val="002773F7"/>
    <w:rsid w:val="00280370"/>
    <w:rsid w:val="00282E12"/>
    <w:rsid w:val="002832A4"/>
    <w:rsid w:val="002834D9"/>
    <w:rsid w:val="00284474"/>
    <w:rsid w:val="00292A42"/>
    <w:rsid w:val="002943E3"/>
    <w:rsid w:val="00294BFF"/>
    <w:rsid w:val="0029788F"/>
    <w:rsid w:val="002A1E63"/>
    <w:rsid w:val="002A23A3"/>
    <w:rsid w:val="002A3F68"/>
    <w:rsid w:val="002A4275"/>
    <w:rsid w:val="002A5009"/>
    <w:rsid w:val="002A6041"/>
    <w:rsid w:val="002A6537"/>
    <w:rsid w:val="002A681C"/>
    <w:rsid w:val="002A71B9"/>
    <w:rsid w:val="002A77A5"/>
    <w:rsid w:val="002B18D4"/>
    <w:rsid w:val="002B1F0B"/>
    <w:rsid w:val="002B24F4"/>
    <w:rsid w:val="002B28DC"/>
    <w:rsid w:val="002B3D9A"/>
    <w:rsid w:val="002B48E4"/>
    <w:rsid w:val="002B5252"/>
    <w:rsid w:val="002B7968"/>
    <w:rsid w:val="002C0018"/>
    <w:rsid w:val="002C05F2"/>
    <w:rsid w:val="002C1CD4"/>
    <w:rsid w:val="002C1E23"/>
    <w:rsid w:val="002C27E7"/>
    <w:rsid w:val="002C3112"/>
    <w:rsid w:val="002C3AB6"/>
    <w:rsid w:val="002C3DDA"/>
    <w:rsid w:val="002C6FDF"/>
    <w:rsid w:val="002C785D"/>
    <w:rsid w:val="002C7E89"/>
    <w:rsid w:val="002D0BF2"/>
    <w:rsid w:val="002D1060"/>
    <w:rsid w:val="002D1EED"/>
    <w:rsid w:val="002D20B2"/>
    <w:rsid w:val="002D2223"/>
    <w:rsid w:val="002D3D1E"/>
    <w:rsid w:val="002D560E"/>
    <w:rsid w:val="002D7058"/>
    <w:rsid w:val="002D71A8"/>
    <w:rsid w:val="002D75F7"/>
    <w:rsid w:val="002D7F1F"/>
    <w:rsid w:val="002E07D2"/>
    <w:rsid w:val="002E0F91"/>
    <w:rsid w:val="002E0FD4"/>
    <w:rsid w:val="002E10C7"/>
    <w:rsid w:val="002E2B31"/>
    <w:rsid w:val="002E3321"/>
    <w:rsid w:val="002E33C5"/>
    <w:rsid w:val="002E3E94"/>
    <w:rsid w:val="002E621E"/>
    <w:rsid w:val="002E7937"/>
    <w:rsid w:val="002E7FF1"/>
    <w:rsid w:val="002F0771"/>
    <w:rsid w:val="002F162C"/>
    <w:rsid w:val="002F2F02"/>
    <w:rsid w:val="002F4639"/>
    <w:rsid w:val="002F5975"/>
    <w:rsid w:val="002F5FD9"/>
    <w:rsid w:val="002F7096"/>
    <w:rsid w:val="003009A6"/>
    <w:rsid w:val="00301635"/>
    <w:rsid w:val="00301931"/>
    <w:rsid w:val="00305F74"/>
    <w:rsid w:val="003061AC"/>
    <w:rsid w:val="00306EC7"/>
    <w:rsid w:val="003077D7"/>
    <w:rsid w:val="0031016F"/>
    <w:rsid w:val="00310D5E"/>
    <w:rsid w:val="00312263"/>
    <w:rsid w:val="003141DB"/>
    <w:rsid w:val="003153B9"/>
    <w:rsid w:val="00315BD4"/>
    <w:rsid w:val="00317245"/>
    <w:rsid w:val="00317A61"/>
    <w:rsid w:val="0032084C"/>
    <w:rsid w:val="00320949"/>
    <w:rsid w:val="00320B74"/>
    <w:rsid w:val="003219E2"/>
    <w:rsid w:val="003223B3"/>
    <w:rsid w:val="003228DE"/>
    <w:rsid w:val="00322CE0"/>
    <w:rsid w:val="00322DAF"/>
    <w:rsid w:val="00325927"/>
    <w:rsid w:val="00327671"/>
    <w:rsid w:val="00330D5E"/>
    <w:rsid w:val="00332A11"/>
    <w:rsid w:val="00332C2B"/>
    <w:rsid w:val="003339EB"/>
    <w:rsid w:val="0033456B"/>
    <w:rsid w:val="00334E79"/>
    <w:rsid w:val="0033593D"/>
    <w:rsid w:val="003375D9"/>
    <w:rsid w:val="00337F42"/>
    <w:rsid w:val="003405EC"/>
    <w:rsid w:val="00340717"/>
    <w:rsid w:val="00340F58"/>
    <w:rsid w:val="003417CB"/>
    <w:rsid w:val="00341B25"/>
    <w:rsid w:val="0034310D"/>
    <w:rsid w:val="00343399"/>
    <w:rsid w:val="0034399A"/>
    <w:rsid w:val="00344CE2"/>
    <w:rsid w:val="00346184"/>
    <w:rsid w:val="003469E9"/>
    <w:rsid w:val="0035105B"/>
    <w:rsid w:val="00351108"/>
    <w:rsid w:val="00352D67"/>
    <w:rsid w:val="003555E5"/>
    <w:rsid w:val="003561B4"/>
    <w:rsid w:val="00357758"/>
    <w:rsid w:val="00360967"/>
    <w:rsid w:val="00360F65"/>
    <w:rsid w:val="003616E6"/>
    <w:rsid w:val="00362971"/>
    <w:rsid w:val="00363223"/>
    <w:rsid w:val="003635AA"/>
    <w:rsid w:val="0036419C"/>
    <w:rsid w:val="003652C3"/>
    <w:rsid w:val="00365787"/>
    <w:rsid w:val="003659F3"/>
    <w:rsid w:val="00366A11"/>
    <w:rsid w:val="00367F46"/>
    <w:rsid w:val="0037006E"/>
    <w:rsid w:val="00371473"/>
    <w:rsid w:val="0037173F"/>
    <w:rsid w:val="00372682"/>
    <w:rsid w:val="003729B3"/>
    <w:rsid w:val="00372D59"/>
    <w:rsid w:val="00373A3D"/>
    <w:rsid w:val="00374816"/>
    <w:rsid w:val="00374917"/>
    <w:rsid w:val="00374F2B"/>
    <w:rsid w:val="00375111"/>
    <w:rsid w:val="003764BC"/>
    <w:rsid w:val="00376F3D"/>
    <w:rsid w:val="00377085"/>
    <w:rsid w:val="00377EDE"/>
    <w:rsid w:val="0038167D"/>
    <w:rsid w:val="003823D5"/>
    <w:rsid w:val="003835F4"/>
    <w:rsid w:val="00385D12"/>
    <w:rsid w:val="0038690D"/>
    <w:rsid w:val="00386B77"/>
    <w:rsid w:val="00387DD3"/>
    <w:rsid w:val="00390186"/>
    <w:rsid w:val="003901C5"/>
    <w:rsid w:val="00390596"/>
    <w:rsid w:val="00390B86"/>
    <w:rsid w:val="00390BB7"/>
    <w:rsid w:val="0039100B"/>
    <w:rsid w:val="0039191F"/>
    <w:rsid w:val="003924C8"/>
    <w:rsid w:val="00392D7B"/>
    <w:rsid w:val="00392F1E"/>
    <w:rsid w:val="00393278"/>
    <w:rsid w:val="00393695"/>
    <w:rsid w:val="0039372A"/>
    <w:rsid w:val="00394AC1"/>
    <w:rsid w:val="003957F9"/>
    <w:rsid w:val="003963EB"/>
    <w:rsid w:val="003977F1"/>
    <w:rsid w:val="00397DA3"/>
    <w:rsid w:val="003A09C5"/>
    <w:rsid w:val="003A11E4"/>
    <w:rsid w:val="003A1EA5"/>
    <w:rsid w:val="003A295D"/>
    <w:rsid w:val="003A41B5"/>
    <w:rsid w:val="003A5F27"/>
    <w:rsid w:val="003A6E17"/>
    <w:rsid w:val="003A7C83"/>
    <w:rsid w:val="003B0119"/>
    <w:rsid w:val="003B01FE"/>
    <w:rsid w:val="003B161C"/>
    <w:rsid w:val="003B203C"/>
    <w:rsid w:val="003B2BF1"/>
    <w:rsid w:val="003B3741"/>
    <w:rsid w:val="003B4D07"/>
    <w:rsid w:val="003B5515"/>
    <w:rsid w:val="003B57CD"/>
    <w:rsid w:val="003B6D53"/>
    <w:rsid w:val="003B6FD1"/>
    <w:rsid w:val="003B72EA"/>
    <w:rsid w:val="003B7B47"/>
    <w:rsid w:val="003B7C02"/>
    <w:rsid w:val="003C0D69"/>
    <w:rsid w:val="003C192B"/>
    <w:rsid w:val="003C1CB1"/>
    <w:rsid w:val="003C292C"/>
    <w:rsid w:val="003C2D70"/>
    <w:rsid w:val="003C3669"/>
    <w:rsid w:val="003C6194"/>
    <w:rsid w:val="003C7B4B"/>
    <w:rsid w:val="003D02B5"/>
    <w:rsid w:val="003D0CE9"/>
    <w:rsid w:val="003D23FB"/>
    <w:rsid w:val="003D26BC"/>
    <w:rsid w:val="003D3E19"/>
    <w:rsid w:val="003D5835"/>
    <w:rsid w:val="003D5961"/>
    <w:rsid w:val="003D5D88"/>
    <w:rsid w:val="003E13F5"/>
    <w:rsid w:val="003E2738"/>
    <w:rsid w:val="003E2C1A"/>
    <w:rsid w:val="003E3785"/>
    <w:rsid w:val="003E497F"/>
    <w:rsid w:val="003E6C99"/>
    <w:rsid w:val="003E74BB"/>
    <w:rsid w:val="003E76C6"/>
    <w:rsid w:val="003F0DB4"/>
    <w:rsid w:val="003F1D19"/>
    <w:rsid w:val="003F36BA"/>
    <w:rsid w:val="003F454F"/>
    <w:rsid w:val="003F5EF8"/>
    <w:rsid w:val="003F75DD"/>
    <w:rsid w:val="003F77D3"/>
    <w:rsid w:val="003F7A21"/>
    <w:rsid w:val="00400C9E"/>
    <w:rsid w:val="00401862"/>
    <w:rsid w:val="004021A2"/>
    <w:rsid w:val="0040263F"/>
    <w:rsid w:val="00404724"/>
    <w:rsid w:val="00404DAA"/>
    <w:rsid w:val="00407D21"/>
    <w:rsid w:val="0041045E"/>
    <w:rsid w:val="004122D8"/>
    <w:rsid w:val="0041283A"/>
    <w:rsid w:val="00412AD1"/>
    <w:rsid w:val="0041389D"/>
    <w:rsid w:val="00414062"/>
    <w:rsid w:val="00414A06"/>
    <w:rsid w:val="00414BEE"/>
    <w:rsid w:val="0041772E"/>
    <w:rsid w:val="00420368"/>
    <w:rsid w:val="00420462"/>
    <w:rsid w:val="004221FF"/>
    <w:rsid w:val="00422741"/>
    <w:rsid w:val="0042401A"/>
    <w:rsid w:val="0042477B"/>
    <w:rsid w:val="00424F7A"/>
    <w:rsid w:val="0042554F"/>
    <w:rsid w:val="00426AF8"/>
    <w:rsid w:val="00430383"/>
    <w:rsid w:val="00430986"/>
    <w:rsid w:val="004320F8"/>
    <w:rsid w:val="00432132"/>
    <w:rsid w:val="00432775"/>
    <w:rsid w:val="004328C6"/>
    <w:rsid w:val="00433DC4"/>
    <w:rsid w:val="004345C0"/>
    <w:rsid w:val="0043545B"/>
    <w:rsid w:val="0043620D"/>
    <w:rsid w:val="004374A8"/>
    <w:rsid w:val="0044080B"/>
    <w:rsid w:val="0044093F"/>
    <w:rsid w:val="00440B42"/>
    <w:rsid w:val="004414A2"/>
    <w:rsid w:val="00442920"/>
    <w:rsid w:val="00443DDE"/>
    <w:rsid w:val="00443E98"/>
    <w:rsid w:val="004447A6"/>
    <w:rsid w:val="00446CE1"/>
    <w:rsid w:val="00446CE3"/>
    <w:rsid w:val="00446FFC"/>
    <w:rsid w:val="00447040"/>
    <w:rsid w:val="004471E0"/>
    <w:rsid w:val="004542D9"/>
    <w:rsid w:val="0045471B"/>
    <w:rsid w:val="00455518"/>
    <w:rsid w:val="004564C2"/>
    <w:rsid w:val="00457944"/>
    <w:rsid w:val="00457A51"/>
    <w:rsid w:val="00457B24"/>
    <w:rsid w:val="00460890"/>
    <w:rsid w:val="00461A6F"/>
    <w:rsid w:val="00461C55"/>
    <w:rsid w:val="00461E28"/>
    <w:rsid w:val="004622EB"/>
    <w:rsid w:val="004642B9"/>
    <w:rsid w:val="004647E9"/>
    <w:rsid w:val="00465129"/>
    <w:rsid w:val="00465F27"/>
    <w:rsid w:val="0046605E"/>
    <w:rsid w:val="004660FD"/>
    <w:rsid w:val="0046638D"/>
    <w:rsid w:val="00466978"/>
    <w:rsid w:val="00466A5D"/>
    <w:rsid w:val="00467384"/>
    <w:rsid w:val="00470712"/>
    <w:rsid w:val="00471616"/>
    <w:rsid w:val="00472C35"/>
    <w:rsid w:val="004755C2"/>
    <w:rsid w:val="00475C33"/>
    <w:rsid w:val="00475C59"/>
    <w:rsid w:val="00477C09"/>
    <w:rsid w:val="00482041"/>
    <w:rsid w:val="00482D14"/>
    <w:rsid w:val="00483733"/>
    <w:rsid w:val="00483F99"/>
    <w:rsid w:val="004843C4"/>
    <w:rsid w:val="00487389"/>
    <w:rsid w:val="004877CF"/>
    <w:rsid w:val="00490918"/>
    <w:rsid w:val="00490EAA"/>
    <w:rsid w:val="00491862"/>
    <w:rsid w:val="00491DD2"/>
    <w:rsid w:val="00491ECD"/>
    <w:rsid w:val="00492542"/>
    <w:rsid w:val="00492DD9"/>
    <w:rsid w:val="00492E37"/>
    <w:rsid w:val="00494E9D"/>
    <w:rsid w:val="00495AD8"/>
    <w:rsid w:val="00496CCF"/>
    <w:rsid w:val="0049701B"/>
    <w:rsid w:val="004A02B5"/>
    <w:rsid w:val="004A09EB"/>
    <w:rsid w:val="004A0A3E"/>
    <w:rsid w:val="004A1552"/>
    <w:rsid w:val="004A18AD"/>
    <w:rsid w:val="004A1BD2"/>
    <w:rsid w:val="004A43A2"/>
    <w:rsid w:val="004A5DAE"/>
    <w:rsid w:val="004A64F9"/>
    <w:rsid w:val="004A6558"/>
    <w:rsid w:val="004A65EE"/>
    <w:rsid w:val="004A79EC"/>
    <w:rsid w:val="004B0978"/>
    <w:rsid w:val="004B0EAA"/>
    <w:rsid w:val="004B22AE"/>
    <w:rsid w:val="004B3D98"/>
    <w:rsid w:val="004B3E39"/>
    <w:rsid w:val="004B4F8F"/>
    <w:rsid w:val="004B5CEB"/>
    <w:rsid w:val="004B6361"/>
    <w:rsid w:val="004B63D8"/>
    <w:rsid w:val="004B645F"/>
    <w:rsid w:val="004B64DA"/>
    <w:rsid w:val="004B705C"/>
    <w:rsid w:val="004B727D"/>
    <w:rsid w:val="004B74A6"/>
    <w:rsid w:val="004B7A17"/>
    <w:rsid w:val="004C0066"/>
    <w:rsid w:val="004C09E7"/>
    <w:rsid w:val="004C1BB4"/>
    <w:rsid w:val="004C23ED"/>
    <w:rsid w:val="004C2463"/>
    <w:rsid w:val="004C2B99"/>
    <w:rsid w:val="004C3D59"/>
    <w:rsid w:val="004C3DAA"/>
    <w:rsid w:val="004C4BAF"/>
    <w:rsid w:val="004C5A80"/>
    <w:rsid w:val="004C5C73"/>
    <w:rsid w:val="004C5D3E"/>
    <w:rsid w:val="004C6682"/>
    <w:rsid w:val="004C7B9E"/>
    <w:rsid w:val="004D0494"/>
    <w:rsid w:val="004D08C9"/>
    <w:rsid w:val="004D1BDA"/>
    <w:rsid w:val="004D3DFC"/>
    <w:rsid w:val="004D470B"/>
    <w:rsid w:val="004D4CF0"/>
    <w:rsid w:val="004D7AD4"/>
    <w:rsid w:val="004E05C6"/>
    <w:rsid w:val="004E0AD5"/>
    <w:rsid w:val="004E19E9"/>
    <w:rsid w:val="004E28CE"/>
    <w:rsid w:val="004E28EE"/>
    <w:rsid w:val="004E2D5D"/>
    <w:rsid w:val="004E3119"/>
    <w:rsid w:val="004E3CB5"/>
    <w:rsid w:val="004E3DA3"/>
    <w:rsid w:val="004E5029"/>
    <w:rsid w:val="004E51FC"/>
    <w:rsid w:val="004E6DBD"/>
    <w:rsid w:val="004F3443"/>
    <w:rsid w:val="004F34C0"/>
    <w:rsid w:val="004F3D63"/>
    <w:rsid w:val="004F6F3D"/>
    <w:rsid w:val="004F7453"/>
    <w:rsid w:val="005022E3"/>
    <w:rsid w:val="00504ADA"/>
    <w:rsid w:val="00504BBB"/>
    <w:rsid w:val="00504BD5"/>
    <w:rsid w:val="00505480"/>
    <w:rsid w:val="0050712A"/>
    <w:rsid w:val="00510734"/>
    <w:rsid w:val="005110DE"/>
    <w:rsid w:val="005137C2"/>
    <w:rsid w:val="0051380C"/>
    <w:rsid w:val="005139F3"/>
    <w:rsid w:val="00514307"/>
    <w:rsid w:val="0051431E"/>
    <w:rsid w:val="00515A19"/>
    <w:rsid w:val="00515E5E"/>
    <w:rsid w:val="00515F33"/>
    <w:rsid w:val="005160CD"/>
    <w:rsid w:val="00516BD6"/>
    <w:rsid w:val="00516BF3"/>
    <w:rsid w:val="00520260"/>
    <w:rsid w:val="005208F4"/>
    <w:rsid w:val="00522149"/>
    <w:rsid w:val="005233CF"/>
    <w:rsid w:val="005236D8"/>
    <w:rsid w:val="00524352"/>
    <w:rsid w:val="00524BA7"/>
    <w:rsid w:val="00530439"/>
    <w:rsid w:val="005319FA"/>
    <w:rsid w:val="00533224"/>
    <w:rsid w:val="005333AB"/>
    <w:rsid w:val="005333ED"/>
    <w:rsid w:val="005351B0"/>
    <w:rsid w:val="0054081A"/>
    <w:rsid w:val="00541B3B"/>
    <w:rsid w:val="005432E6"/>
    <w:rsid w:val="0054342D"/>
    <w:rsid w:val="00544060"/>
    <w:rsid w:val="005460E4"/>
    <w:rsid w:val="00547019"/>
    <w:rsid w:val="00550E3B"/>
    <w:rsid w:val="005567A8"/>
    <w:rsid w:val="00556C76"/>
    <w:rsid w:val="00556F55"/>
    <w:rsid w:val="00557DA2"/>
    <w:rsid w:val="0056094D"/>
    <w:rsid w:val="00560AB2"/>
    <w:rsid w:val="005615C0"/>
    <w:rsid w:val="00561AAE"/>
    <w:rsid w:val="00565F4E"/>
    <w:rsid w:val="005663CC"/>
    <w:rsid w:val="00567FDA"/>
    <w:rsid w:val="00571040"/>
    <w:rsid w:val="0057124E"/>
    <w:rsid w:val="005713DE"/>
    <w:rsid w:val="00572729"/>
    <w:rsid w:val="005731B2"/>
    <w:rsid w:val="00574571"/>
    <w:rsid w:val="00574941"/>
    <w:rsid w:val="00574B30"/>
    <w:rsid w:val="005757F5"/>
    <w:rsid w:val="00575FFB"/>
    <w:rsid w:val="0057778B"/>
    <w:rsid w:val="005778F6"/>
    <w:rsid w:val="00577F04"/>
    <w:rsid w:val="00580449"/>
    <w:rsid w:val="00581648"/>
    <w:rsid w:val="00581DC7"/>
    <w:rsid w:val="00582270"/>
    <w:rsid w:val="00583548"/>
    <w:rsid w:val="00593936"/>
    <w:rsid w:val="00594504"/>
    <w:rsid w:val="0059726D"/>
    <w:rsid w:val="005A031D"/>
    <w:rsid w:val="005A144C"/>
    <w:rsid w:val="005A44AB"/>
    <w:rsid w:val="005A487A"/>
    <w:rsid w:val="005A534C"/>
    <w:rsid w:val="005A53B7"/>
    <w:rsid w:val="005A58D7"/>
    <w:rsid w:val="005A651C"/>
    <w:rsid w:val="005A6A7A"/>
    <w:rsid w:val="005A7476"/>
    <w:rsid w:val="005B14B9"/>
    <w:rsid w:val="005B1DA3"/>
    <w:rsid w:val="005B333E"/>
    <w:rsid w:val="005B374C"/>
    <w:rsid w:val="005B3B53"/>
    <w:rsid w:val="005B5E55"/>
    <w:rsid w:val="005B70C0"/>
    <w:rsid w:val="005C1E49"/>
    <w:rsid w:val="005C24FE"/>
    <w:rsid w:val="005C33F0"/>
    <w:rsid w:val="005C379B"/>
    <w:rsid w:val="005C3E14"/>
    <w:rsid w:val="005C59B7"/>
    <w:rsid w:val="005C5DC9"/>
    <w:rsid w:val="005C69FA"/>
    <w:rsid w:val="005C6BA5"/>
    <w:rsid w:val="005C6E28"/>
    <w:rsid w:val="005C71EC"/>
    <w:rsid w:val="005C7711"/>
    <w:rsid w:val="005D00C0"/>
    <w:rsid w:val="005D11AE"/>
    <w:rsid w:val="005D1484"/>
    <w:rsid w:val="005D4860"/>
    <w:rsid w:val="005D4D73"/>
    <w:rsid w:val="005D5321"/>
    <w:rsid w:val="005D5AD4"/>
    <w:rsid w:val="005D5E8F"/>
    <w:rsid w:val="005D6A31"/>
    <w:rsid w:val="005D7F77"/>
    <w:rsid w:val="005E14D0"/>
    <w:rsid w:val="005E1F5B"/>
    <w:rsid w:val="005E20AE"/>
    <w:rsid w:val="005E2703"/>
    <w:rsid w:val="005E2A43"/>
    <w:rsid w:val="005E349B"/>
    <w:rsid w:val="005E41E4"/>
    <w:rsid w:val="005E4D1F"/>
    <w:rsid w:val="005E699B"/>
    <w:rsid w:val="005E71AE"/>
    <w:rsid w:val="005F0DDF"/>
    <w:rsid w:val="005F12CF"/>
    <w:rsid w:val="005F4AE2"/>
    <w:rsid w:val="005F52A1"/>
    <w:rsid w:val="005F5616"/>
    <w:rsid w:val="005F5B33"/>
    <w:rsid w:val="005F66B3"/>
    <w:rsid w:val="005F7F5F"/>
    <w:rsid w:val="0060089D"/>
    <w:rsid w:val="006012A3"/>
    <w:rsid w:val="00601D47"/>
    <w:rsid w:val="00601DF6"/>
    <w:rsid w:val="0060258F"/>
    <w:rsid w:val="00605302"/>
    <w:rsid w:val="006059A9"/>
    <w:rsid w:val="00605E9B"/>
    <w:rsid w:val="0060694E"/>
    <w:rsid w:val="006070B7"/>
    <w:rsid w:val="00607501"/>
    <w:rsid w:val="00607C39"/>
    <w:rsid w:val="0061072A"/>
    <w:rsid w:val="00610899"/>
    <w:rsid w:val="00610E5B"/>
    <w:rsid w:val="00611631"/>
    <w:rsid w:val="006127EA"/>
    <w:rsid w:val="00614205"/>
    <w:rsid w:val="006152A6"/>
    <w:rsid w:val="00615685"/>
    <w:rsid w:val="00621166"/>
    <w:rsid w:val="006224E0"/>
    <w:rsid w:val="00622A57"/>
    <w:rsid w:val="00624482"/>
    <w:rsid w:val="006244CA"/>
    <w:rsid w:val="00627213"/>
    <w:rsid w:val="006305AC"/>
    <w:rsid w:val="00632A4B"/>
    <w:rsid w:val="0063342F"/>
    <w:rsid w:val="00635E17"/>
    <w:rsid w:val="006362C1"/>
    <w:rsid w:val="00636682"/>
    <w:rsid w:val="00641C4F"/>
    <w:rsid w:val="006426FE"/>
    <w:rsid w:val="00643553"/>
    <w:rsid w:val="006444A9"/>
    <w:rsid w:val="00650A0A"/>
    <w:rsid w:val="006511D4"/>
    <w:rsid w:val="00651A2E"/>
    <w:rsid w:val="0065318F"/>
    <w:rsid w:val="006535EF"/>
    <w:rsid w:val="00654F70"/>
    <w:rsid w:val="006559A1"/>
    <w:rsid w:val="00656508"/>
    <w:rsid w:val="00656DFD"/>
    <w:rsid w:val="00656FD4"/>
    <w:rsid w:val="0065750A"/>
    <w:rsid w:val="006623C3"/>
    <w:rsid w:val="0066314D"/>
    <w:rsid w:val="006642E9"/>
    <w:rsid w:val="0066488A"/>
    <w:rsid w:val="0066779C"/>
    <w:rsid w:val="00667DDA"/>
    <w:rsid w:val="00672780"/>
    <w:rsid w:val="00674493"/>
    <w:rsid w:val="0067489A"/>
    <w:rsid w:val="0067707F"/>
    <w:rsid w:val="00677451"/>
    <w:rsid w:val="00680241"/>
    <w:rsid w:val="00680A41"/>
    <w:rsid w:val="0068441F"/>
    <w:rsid w:val="00684ABC"/>
    <w:rsid w:val="0068584F"/>
    <w:rsid w:val="00685C59"/>
    <w:rsid w:val="0068685B"/>
    <w:rsid w:val="00687051"/>
    <w:rsid w:val="00687598"/>
    <w:rsid w:val="0068774B"/>
    <w:rsid w:val="006904F0"/>
    <w:rsid w:val="0069086B"/>
    <w:rsid w:val="00690BB6"/>
    <w:rsid w:val="00691327"/>
    <w:rsid w:val="006914DE"/>
    <w:rsid w:val="00691659"/>
    <w:rsid w:val="00691CEB"/>
    <w:rsid w:val="0069378A"/>
    <w:rsid w:val="006943B7"/>
    <w:rsid w:val="00694ABF"/>
    <w:rsid w:val="0069520C"/>
    <w:rsid w:val="006955B1"/>
    <w:rsid w:val="0069604E"/>
    <w:rsid w:val="006A0A37"/>
    <w:rsid w:val="006A27D1"/>
    <w:rsid w:val="006A28AE"/>
    <w:rsid w:val="006A39B8"/>
    <w:rsid w:val="006A3E5B"/>
    <w:rsid w:val="006A414A"/>
    <w:rsid w:val="006A4682"/>
    <w:rsid w:val="006A4725"/>
    <w:rsid w:val="006A63A4"/>
    <w:rsid w:val="006A683A"/>
    <w:rsid w:val="006B0D6A"/>
    <w:rsid w:val="006B1729"/>
    <w:rsid w:val="006B202C"/>
    <w:rsid w:val="006B2B55"/>
    <w:rsid w:val="006B2E71"/>
    <w:rsid w:val="006B34BB"/>
    <w:rsid w:val="006B36F3"/>
    <w:rsid w:val="006B3D22"/>
    <w:rsid w:val="006B43D4"/>
    <w:rsid w:val="006B495F"/>
    <w:rsid w:val="006B5DD1"/>
    <w:rsid w:val="006B635F"/>
    <w:rsid w:val="006B6624"/>
    <w:rsid w:val="006B750C"/>
    <w:rsid w:val="006C1CC6"/>
    <w:rsid w:val="006C2220"/>
    <w:rsid w:val="006C2705"/>
    <w:rsid w:val="006C29FE"/>
    <w:rsid w:val="006C3ACE"/>
    <w:rsid w:val="006C3AD1"/>
    <w:rsid w:val="006C4A17"/>
    <w:rsid w:val="006C5C11"/>
    <w:rsid w:val="006C61D3"/>
    <w:rsid w:val="006C648D"/>
    <w:rsid w:val="006C7BEA"/>
    <w:rsid w:val="006D00E9"/>
    <w:rsid w:val="006D029A"/>
    <w:rsid w:val="006D0AFE"/>
    <w:rsid w:val="006D195B"/>
    <w:rsid w:val="006D2246"/>
    <w:rsid w:val="006D34E8"/>
    <w:rsid w:val="006D50EA"/>
    <w:rsid w:val="006D5238"/>
    <w:rsid w:val="006D5994"/>
    <w:rsid w:val="006D5DBA"/>
    <w:rsid w:val="006D6800"/>
    <w:rsid w:val="006D777A"/>
    <w:rsid w:val="006E0544"/>
    <w:rsid w:val="006E189D"/>
    <w:rsid w:val="006E18AA"/>
    <w:rsid w:val="006E4D8C"/>
    <w:rsid w:val="006E521C"/>
    <w:rsid w:val="006E5560"/>
    <w:rsid w:val="006E5845"/>
    <w:rsid w:val="006E5B2E"/>
    <w:rsid w:val="006E62E7"/>
    <w:rsid w:val="006F070A"/>
    <w:rsid w:val="006F0A5F"/>
    <w:rsid w:val="006F198F"/>
    <w:rsid w:val="006F3189"/>
    <w:rsid w:val="006F3A5F"/>
    <w:rsid w:val="006F60DD"/>
    <w:rsid w:val="006F6E0F"/>
    <w:rsid w:val="006F71EE"/>
    <w:rsid w:val="006F73DE"/>
    <w:rsid w:val="006F7944"/>
    <w:rsid w:val="006F7E74"/>
    <w:rsid w:val="00700174"/>
    <w:rsid w:val="007003F6"/>
    <w:rsid w:val="00704EA2"/>
    <w:rsid w:val="00705C90"/>
    <w:rsid w:val="00706AEC"/>
    <w:rsid w:val="00706EA2"/>
    <w:rsid w:val="007074F8"/>
    <w:rsid w:val="0070759A"/>
    <w:rsid w:val="00710975"/>
    <w:rsid w:val="00710976"/>
    <w:rsid w:val="00710B2C"/>
    <w:rsid w:val="00710DFA"/>
    <w:rsid w:val="00711A31"/>
    <w:rsid w:val="00713F9E"/>
    <w:rsid w:val="0071410D"/>
    <w:rsid w:val="00714BCD"/>
    <w:rsid w:val="00714E34"/>
    <w:rsid w:val="0071518E"/>
    <w:rsid w:val="00715688"/>
    <w:rsid w:val="00715DC5"/>
    <w:rsid w:val="00716BF1"/>
    <w:rsid w:val="0071773D"/>
    <w:rsid w:val="00717F1E"/>
    <w:rsid w:val="007213E7"/>
    <w:rsid w:val="007231B2"/>
    <w:rsid w:val="00724938"/>
    <w:rsid w:val="00725A0C"/>
    <w:rsid w:val="00727541"/>
    <w:rsid w:val="00727688"/>
    <w:rsid w:val="00730F2B"/>
    <w:rsid w:val="0073195E"/>
    <w:rsid w:val="00731F81"/>
    <w:rsid w:val="00733601"/>
    <w:rsid w:val="00733F20"/>
    <w:rsid w:val="00734124"/>
    <w:rsid w:val="00734ED6"/>
    <w:rsid w:val="00734FCD"/>
    <w:rsid w:val="00736D1A"/>
    <w:rsid w:val="00737C82"/>
    <w:rsid w:val="007412D4"/>
    <w:rsid w:val="0074264A"/>
    <w:rsid w:val="00742D96"/>
    <w:rsid w:val="007430F8"/>
    <w:rsid w:val="007451A3"/>
    <w:rsid w:val="00745A9A"/>
    <w:rsid w:val="00745F2F"/>
    <w:rsid w:val="00746677"/>
    <w:rsid w:val="00747257"/>
    <w:rsid w:val="00747E47"/>
    <w:rsid w:val="00750507"/>
    <w:rsid w:val="00750631"/>
    <w:rsid w:val="00750E01"/>
    <w:rsid w:val="00752094"/>
    <w:rsid w:val="007548FF"/>
    <w:rsid w:val="00755F07"/>
    <w:rsid w:val="007574BA"/>
    <w:rsid w:val="00757625"/>
    <w:rsid w:val="00757634"/>
    <w:rsid w:val="00761B85"/>
    <w:rsid w:val="0076226F"/>
    <w:rsid w:val="007628BA"/>
    <w:rsid w:val="007630CE"/>
    <w:rsid w:val="00763692"/>
    <w:rsid w:val="00764CC3"/>
    <w:rsid w:val="0076506D"/>
    <w:rsid w:val="007651C7"/>
    <w:rsid w:val="0076610D"/>
    <w:rsid w:val="0076703D"/>
    <w:rsid w:val="00767F37"/>
    <w:rsid w:val="00771AE7"/>
    <w:rsid w:val="007731A4"/>
    <w:rsid w:val="007737BD"/>
    <w:rsid w:val="00773EDF"/>
    <w:rsid w:val="00774912"/>
    <w:rsid w:val="007750EF"/>
    <w:rsid w:val="0077597A"/>
    <w:rsid w:val="00775DB9"/>
    <w:rsid w:val="0077743C"/>
    <w:rsid w:val="0078092C"/>
    <w:rsid w:val="00781928"/>
    <w:rsid w:val="00781955"/>
    <w:rsid w:val="007827AF"/>
    <w:rsid w:val="007850E0"/>
    <w:rsid w:val="00785E70"/>
    <w:rsid w:val="007900B4"/>
    <w:rsid w:val="00790C80"/>
    <w:rsid w:val="00790D05"/>
    <w:rsid w:val="00790FE8"/>
    <w:rsid w:val="0079152F"/>
    <w:rsid w:val="0079231C"/>
    <w:rsid w:val="00792623"/>
    <w:rsid w:val="00792B20"/>
    <w:rsid w:val="007933E7"/>
    <w:rsid w:val="00793B07"/>
    <w:rsid w:val="0079696C"/>
    <w:rsid w:val="00796D23"/>
    <w:rsid w:val="007976FF"/>
    <w:rsid w:val="007A2C44"/>
    <w:rsid w:val="007A2DFC"/>
    <w:rsid w:val="007A3494"/>
    <w:rsid w:val="007A3F26"/>
    <w:rsid w:val="007A4FD2"/>
    <w:rsid w:val="007A60AB"/>
    <w:rsid w:val="007A6CF7"/>
    <w:rsid w:val="007B0344"/>
    <w:rsid w:val="007B09ED"/>
    <w:rsid w:val="007B0ED9"/>
    <w:rsid w:val="007B28DC"/>
    <w:rsid w:val="007B5510"/>
    <w:rsid w:val="007B5A01"/>
    <w:rsid w:val="007B5CAF"/>
    <w:rsid w:val="007B6041"/>
    <w:rsid w:val="007B628D"/>
    <w:rsid w:val="007C0668"/>
    <w:rsid w:val="007C2789"/>
    <w:rsid w:val="007C2A38"/>
    <w:rsid w:val="007C2FB9"/>
    <w:rsid w:val="007C4CF0"/>
    <w:rsid w:val="007C57BF"/>
    <w:rsid w:val="007C6852"/>
    <w:rsid w:val="007C6D53"/>
    <w:rsid w:val="007C7B94"/>
    <w:rsid w:val="007D02B2"/>
    <w:rsid w:val="007D03A8"/>
    <w:rsid w:val="007D087A"/>
    <w:rsid w:val="007D2C03"/>
    <w:rsid w:val="007D3A3C"/>
    <w:rsid w:val="007D3AAB"/>
    <w:rsid w:val="007D422D"/>
    <w:rsid w:val="007D6073"/>
    <w:rsid w:val="007D7B58"/>
    <w:rsid w:val="007E018C"/>
    <w:rsid w:val="007E22BE"/>
    <w:rsid w:val="007E29AE"/>
    <w:rsid w:val="007E3744"/>
    <w:rsid w:val="007E486E"/>
    <w:rsid w:val="007E532B"/>
    <w:rsid w:val="007E5A4B"/>
    <w:rsid w:val="007E6514"/>
    <w:rsid w:val="007E7432"/>
    <w:rsid w:val="007F02CF"/>
    <w:rsid w:val="007F0F13"/>
    <w:rsid w:val="007F1BBE"/>
    <w:rsid w:val="007F243A"/>
    <w:rsid w:val="007F3A61"/>
    <w:rsid w:val="007F3EA5"/>
    <w:rsid w:val="007F56D4"/>
    <w:rsid w:val="007F5A94"/>
    <w:rsid w:val="007F6792"/>
    <w:rsid w:val="007F695B"/>
    <w:rsid w:val="007F6DE8"/>
    <w:rsid w:val="007F7D34"/>
    <w:rsid w:val="0080184A"/>
    <w:rsid w:val="0080251A"/>
    <w:rsid w:val="0080489D"/>
    <w:rsid w:val="00804B2B"/>
    <w:rsid w:val="00805682"/>
    <w:rsid w:val="00805D63"/>
    <w:rsid w:val="00806074"/>
    <w:rsid w:val="0080797B"/>
    <w:rsid w:val="008101D7"/>
    <w:rsid w:val="00810E93"/>
    <w:rsid w:val="00811163"/>
    <w:rsid w:val="008132A4"/>
    <w:rsid w:val="00814A66"/>
    <w:rsid w:val="0081528A"/>
    <w:rsid w:val="008178F4"/>
    <w:rsid w:val="008179BB"/>
    <w:rsid w:val="00817C60"/>
    <w:rsid w:val="00820217"/>
    <w:rsid w:val="00820375"/>
    <w:rsid w:val="008243C2"/>
    <w:rsid w:val="008244CB"/>
    <w:rsid w:val="00824D87"/>
    <w:rsid w:val="00825425"/>
    <w:rsid w:val="00830BD8"/>
    <w:rsid w:val="00832591"/>
    <w:rsid w:val="0083283F"/>
    <w:rsid w:val="00833092"/>
    <w:rsid w:val="00833289"/>
    <w:rsid w:val="0083411A"/>
    <w:rsid w:val="00836B5F"/>
    <w:rsid w:val="0084085A"/>
    <w:rsid w:val="00841889"/>
    <w:rsid w:val="00841F69"/>
    <w:rsid w:val="00842992"/>
    <w:rsid w:val="008430F7"/>
    <w:rsid w:val="008438D8"/>
    <w:rsid w:val="00844D0D"/>
    <w:rsid w:val="00845386"/>
    <w:rsid w:val="008462BE"/>
    <w:rsid w:val="008465E9"/>
    <w:rsid w:val="00847834"/>
    <w:rsid w:val="00847A60"/>
    <w:rsid w:val="00847EA1"/>
    <w:rsid w:val="00851046"/>
    <w:rsid w:val="00851275"/>
    <w:rsid w:val="008512D0"/>
    <w:rsid w:val="008515DD"/>
    <w:rsid w:val="00851B70"/>
    <w:rsid w:val="00852340"/>
    <w:rsid w:val="00852BF2"/>
    <w:rsid w:val="00853F9C"/>
    <w:rsid w:val="0085522E"/>
    <w:rsid w:val="00856F65"/>
    <w:rsid w:val="00857092"/>
    <w:rsid w:val="00857590"/>
    <w:rsid w:val="00860A24"/>
    <w:rsid w:val="0086158C"/>
    <w:rsid w:val="008618A9"/>
    <w:rsid w:val="00861ACF"/>
    <w:rsid w:val="00862877"/>
    <w:rsid w:val="00864882"/>
    <w:rsid w:val="008663A2"/>
    <w:rsid w:val="00866B65"/>
    <w:rsid w:val="00870E1A"/>
    <w:rsid w:val="00871A97"/>
    <w:rsid w:val="00872753"/>
    <w:rsid w:val="0087418A"/>
    <w:rsid w:val="008772C1"/>
    <w:rsid w:val="00877721"/>
    <w:rsid w:val="00881675"/>
    <w:rsid w:val="0088239D"/>
    <w:rsid w:val="008826B2"/>
    <w:rsid w:val="00882ED2"/>
    <w:rsid w:val="00883D5A"/>
    <w:rsid w:val="00886BC3"/>
    <w:rsid w:val="00887125"/>
    <w:rsid w:val="00887521"/>
    <w:rsid w:val="00887D93"/>
    <w:rsid w:val="00890930"/>
    <w:rsid w:val="0089113E"/>
    <w:rsid w:val="008940E7"/>
    <w:rsid w:val="0089426E"/>
    <w:rsid w:val="00896CC9"/>
    <w:rsid w:val="00897ED9"/>
    <w:rsid w:val="008A307E"/>
    <w:rsid w:val="008A40BA"/>
    <w:rsid w:val="008A489F"/>
    <w:rsid w:val="008A594C"/>
    <w:rsid w:val="008B130D"/>
    <w:rsid w:val="008B2322"/>
    <w:rsid w:val="008B370E"/>
    <w:rsid w:val="008B40E2"/>
    <w:rsid w:val="008B5B93"/>
    <w:rsid w:val="008B602A"/>
    <w:rsid w:val="008B75D9"/>
    <w:rsid w:val="008C03E5"/>
    <w:rsid w:val="008C3AAF"/>
    <w:rsid w:val="008C41CB"/>
    <w:rsid w:val="008C45F8"/>
    <w:rsid w:val="008C4743"/>
    <w:rsid w:val="008C4EB7"/>
    <w:rsid w:val="008C5329"/>
    <w:rsid w:val="008C5539"/>
    <w:rsid w:val="008C55E2"/>
    <w:rsid w:val="008C5CAF"/>
    <w:rsid w:val="008D24E4"/>
    <w:rsid w:val="008D2A8A"/>
    <w:rsid w:val="008D32E5"/>
    <w:rsid w:val="008D33E6"/>
    <w:rsid w:val="008D342A"/>
    <w:rsid w:val="008D4C8B"/>
    <w:rsid w:val="008D4CB2"/>
    <w:rsid w:val="008D59B1"/>
    <w:rsid w:val="008D6555"/>
    <w:rsid w:val="008D6C7B"/>
    <w:rsid w:val="008D7273"/>
    <w:rsid w:val="008D7CB3"/>
    <w:rsid w:val="008E06E1"/>
    <w:rsid w:val="008E240A"/>
    <w:rsid w:val="008E3E28"/>
    <w:rsid w:val="008E7095"/>
    <w:rsid w:val="008F042B"/>
    <w:rsid w:val="008F0823"/>
    <w:rsid w:val="008F103D"/>
    <w:rsid w:val="008F1F0E"/>
    <w:rsid w:val="008F21C8"/>
    <w:rsid w:val="008F43F8"/>
    <w:rsid w:val="008F49EF"/>
    <w:rsid w:val="008F686B"/>
    <w:rsid w:val="008F7676"/>
    <w:rsid w:val="008F7F6D"/>
    <w:rsid w:val="009030BA"/>
    <w:rsid w:val="009033E0"/>
    <w:rsid w:val="00903751"/>
    <w:rsid w:val="0090649E"/>
    <w:rsid w:val="00907198"/>
    <w:rsid w:val="009071C0"/>
    <w:rsid w:val="0091079C"/>
    <w:rsid w:val="009115D7"/>
    <w:rsid w:val="009138DD"/>
    <w:rsid w:val="00913FF1"/>
    <w:rsid w:val="00915850"/>
    <w:rsid w:val="009158E5"/>
    <w:rsid w:val="00915AEE"/>
    <w:rsid w:val="00916E4C"/>
    <w:rsid w:val="00917C33"/>
    <w:rsid w:val="00920207"/>
    <w:rsid w:val="00921383"/>
    <w:rsid w:val="00922770"/>
    <w:rsid w:val="00922B20"/>
    <w:rsid w:val="0092308D"/>
    <w:rsid w:val="00923B2B"/>
    <w:rsid w:val="00923C6C"/>
    <w:rsid w:val="0092463D"/>
    <w:rsid w:val="00924820"/>
    <w:rsid w:val="00925919"/>
    <w:rsid w:val="0092691B"/>
    <w:rsid w:val="00927335"/>
    <w:rsid w:val="00927A51"/>
    <w:rsid w:val="00927C21"/>
    <w:rsid w:val="009305D8"/>
    <w:rsid w:val="009313F4"/>
    <w:rsid w:val="00932007"/>
    <w:rsid w:val="00933B1E"/>
    <w:rsid w:val="009342B3"/>
    <w:rsid w:val="00937B7D"/>
    <w:rsid w:val="00937DF4"/>
    <w:rsid w:val="0094031E"/>
    <w:rsid w:val="00940560"/>
    <w:rsid w:val="00940A22"/>
    <w:rsid w:val="00942325"/>
    <w:rsid w:val="009424F4"/>
    <w:rsid w:val="0094387C"/>
    <w:rsid w:val="0094387F"/>
    <w:rsid w:val="009459F4"/>
    <w:rsid w:val="009462E1"/>
    <w:rsid w:val="00946764"/>
    <w:rsid w:val="0095013D"/>
    <w:rsid w:val="00951836"/>
    <w:rsid w:val="0095352B"/>
    <w:rsid w:val="0095367B"/>
    <w:rsid w:val="00953CFE"/>
    <w:rsid w:val="00953E0C"/>
    <w:rsid w:val="00954405"/>
    <w:rsid w:val="00954DD5"/>
    <w:rsid w:val="00954F01"/>
    <w:rsid w:val="009550F8"/>
    <w:rsid w:val="00955627"/>
    <w:rsid w:val="00955783"/>
    <w:rsid w:val="0095583A"/>
    <w:rsid w:val="009565D4"/>
    <w:rsid w:val="009567F2"/>
    <w:rsid w:val="009569F5"/>
    <w:rsid w:val="0095753C"/>
    <w:rsid w:val="00957FFC"/>
    <w:rsid w:val="00961210"/>
    <w:rsid w:val="00962CDF"/>
    <w:rsid w:val="00964106"/>
    <w:rsid w:val="0096442E"/>
    <w:rsid w:val="00964CAE"/>
    <w:rsid w:val="009656C7"/>
    <w:rsid w:val="009667D1"/>
    <w:rsid w:val="00967CD5"/>
    <w:rsid w:val="00970A30"/>
    <w:rsid w:val="00973B34"/>
    <w:rsid w:val="00975D09"/>
    <w:rsid w:val="0097636D"/>
    <w:rsid w:val="00976FAB"/>
    <w:rsid w:val="00977C37"/>
    <w:rsid w:val="009805D9"/>
    <w:rsid w:val="00980AA5"/>
    <w:rsid w:val="009822ED"/>
    <w:rsid w:val="009826C3"/>
    <w:rsid w:val="00982FDA"/>
    <w:rsid w:val="00983134"/>
    <w:rsid w:val="00983D40"/>
    <w:rsid w:val="00984F71"/>
    <w:rsid w:val="00985E8E"/>
    <w:rsid w:val="00985FA9"/>
    <w:rsid w:val="0098602B"/>
    <w:rsid w:val="00986E64"/>
    <w:rsid w:val="00987228"/>
    <w:rsid w:val="00987D71"/>
    <w:rsid w:val="00991A6C"/>
    <w:rsid w:val="00993ED1"/>
    <w:rsid w:val="00993F91"/>
    <w:rsid w:val="00994CC9"/>
    <w:rsid w:val="00995A95"/>
    <w:rsid w:val="00996B64"/>
    <w:rsid w:val="00997A59"/>
    <w:rsid w:val="009A01A7"/>
    <w:rsid w:val="009A03AF"/>
    <w:rsid w:val="009A0D01"/>
    <w:rsid w:val="009A59B6"/>
    <w:rsid w:val="009A5B3C"/>
    <w:rsid w:val="009A62B3"/>
    <w:rsid w:val="009A68C4"/>
    <w:rsid w:val="009A7678"/>
    <w:rsid w:val="009A7C8F"/>
    <w:rsid w:val="009A7E44"/>
    <w:rsid w:val="009B0DAE"/>
    <w:rsid w:val="009B37A6"/>
    <w:rsid w:val="009B4D56"/>
    <w:rsid w:val="009B6437"/>
    <w:rsid w:val="009B6E49"/>
    <w:rsid w:val="009B7CDD"/>
    <w:rsid w:val="009C14DF"/>
    <w:rsid w:val="009C1B41"/>
    <w:rsid w:val="009C23E5"/>
    <w:rsid w:val="009C260D"/>
    <w:rsid w:val="009C2728"/>
    <w:rsid w:val="009C4824"/>
    <w:rsid w:val="009C58DA"/>
    <w:rsid w:val="009C59B5"/>
    <w:rsid w:val="009C6028"/>
    <w:rsid w:val="009C6ECF"/>
    <w:rsid w:val="009D1E4F"/>
    <w:rsid w:val="009D20C7"/>
    <w:rsid w:val="009D2121"/>
    <w:rsid w:val="009D229B"/>
    <w:rsid w:val="009D2855"/>
    <w:rsid w:val="009D5611"/>
    <w:rsid w:val="009D5750"/>
    <w:rsid w:val="009D69B3"/>
    <w:rsid w:val="009D77DE"/>
    <w:rsid w:val="009E05EA"/>
    <w:rsid w:val="009E1775"/>
    <w:rsid w:val="009E1D80"/>
    <w:rsid w:val="009E2594"/>
    <w:rsid w:val="009E401A"/>
    <w:rsid w:val="009E457C"/>
    <w:rsid w:val="009E525F"/>
    <w:rsid w:val="009E53BF"/>
    <w:rsid w:val="009E7CC1"/>
    <w:rsid w:val="009E7E9D"/>
    <w:rsid w:val="009F442E"/>
    <w:rsid w:val="009F44F8"/>
    <w:rsid w:val="009F4D9B"/>
    <w:rsid w:val="009F5BAB"/>
    <w:rsid w:val="009F72EB"/>
    <w:rsid w:val="00A023C6"/>
    <w:rsid w:val="00A0243D"/>
    <w:rsid w:val="00A02FD3"/>
    <w:rsid w:val="00A072A2"/>
    <w:rsid w:val="00A073B7"/>
    <w:rsid w:val="00A07C74"/>
    <w:rsid w:val="00A07FED"/>
    <w:rsid w:val="00A114CA"/>
    <w:rsid w:val="00A12CBF"/>
    <w:rsid w:val="00A1337C"/>
    <w:rsid w:val="00A1351E"/>
    <w:rsid w:val="00A13670"/>
    <w:rsid w:val="00A14311"/>
    <w:rsid w:val="00A148CA"/>
    <w:rsid w:val="00A14D7F"/>
    <w:rsid w:val="00A16546"/>
    <w:rsid w:val="00A167F8"/>
    <w:rsid w:val="00A170B7"/>
    <w:rsid w:val="00A17608"/>
    <w:rsid w:val="00A203BF"/>
    <w:rsid w:val="00A207A6"/>
    <w:rsid w:val="00A250C9"/>
    <w:rsid w:val="00A25FA5"/>
    <w:rsid w:val="00A27CE1"/>
    <w:rsid w:val="00A30019"/>
    <w:rsid w:val="00A303B0"/>
    <w:rsid w:val="00A30801"/>
    <w:rsid w:val="00A30F65"/>
    <w:rsid w:val="00A31F3C"/>
    <w:rsid w:val="00A328EC"/>
    <w:rsid w:val="00A33AAC"/>
    <w:rsid w:val="00A35F89"/>
    <w:rsid w:val="00A365C7"/>
    <w:rsid w:val="00A4013F"/>
    <w:rsid w:val="00A403CA"/>
    <w:rsid w:val="00A40737"/>
    <w:rsid w:val="00A40B9E"/>
    <w:rsid w:val="00A40CB1"/>
    <w:rsid w:val="00A40D66"/>
    <w:rsid w:val="00A41067"/>
    <w:rsid w:val="00A41622"/>
    <w:rsid w:val="00A434A8"/>
    <w:rsid w:val="00A435A7"/>
    <w:rsid w:val="00A43B87"/>
    <w:rsid w:val="00A44874"/>
    <w:rsid w:val="00A4532D"/>
    <w:rsid w:val="00A45C8E"/>
    <w:rsid w:val="00A51B8A"/>
    <w:rsid w:val="00A5312B"/>
    <w:rsid w:val="00A5414C"/>
    <w:rsid w:val="00A571A3"/>
    <w:rsid w:val="00A606FB"/>
    <w:rsid w:val="00A61538"/>
    <w:rsid w:val="00A62829"/>
    <w:rsid w:val="00A62FAC"/>
    <w:rsid w:val="00A64233"/>
    <w:rsid w:val="00A65F2B"/>
    <w:rsid w:val="00A70FAC"/>
    <w:rsid w:val="00A711D2"/>
    <w:rsid w:val="00A72ABE"/>
    <w:rsid w:val="00A72F2B"/>
    <w:rsid w:val="00A75E7B"/>
    <w:rsid w:val="00A7600F"/>
    <w:rsid w:val="00A80168"/>
    <w:rsid w:val="00A81473"/>
    <w:rsid w:val="00A81DA8"/>
    <w:rsid w:val="00A8371E"/>
    <w:rsid w:val="00A862AB"/>
    <w:rsid w:val="00A86414"/>
    <w:rsid w:val="00A87150"/>
    <w:rsid w:val="00A871F0"/>
    <w:rsid w:val="00A907B1"/>
    <w:rsid w:val="00A93398"/>
    <w:rsid w:val="00A93C7A"/>
    <w:rsid w:val="00A957D9"/>
    <w:rsid w:val="00A9742E"/>
    <w:rsid w:val="00A97FCA"/>
    <w:rsid w:val="00AA06FC"/>
    <w:rsid w:val="00AA0A4F"/>
    <w:rsid w:val="00AA1411"/>
    <w:rsid w:val="00AA1528"/>
    <w:rsid w:val="00AA2AF1"/>
    <w:rsid w:val="00AA3DF0"/>
    <w:rsid w:val="00AA470A"/>
    <w:rsid w:val="00AA5B11"/>
    <w:rsid w:val="00AA7604"/>
    <w:rsid w:val="00AA7C3C"/>
    <w:rsid w:val="00AB01E1"/>
    <w:rsid w:val="00AB0A6E"/>
    <w:rsid w:val="00AB0D8C"/>
    <w:rsid w:val="00AB1E0D"/>
    <w:rsid w:val="00AB2330"/>
    <w:rsid w:val="00AB42AA"/>
    <w:rsid w:val="00AB5A89"/>
    <w:rsid w:val="00AB7235"/>
    <w:rsid w:val="00AB78F7"/>
    <w:rsid w:val="00AC0238"/>
    <w:rsid w:val="00AC034D"/>
    <w:rsid w:val="00AC1BA6"/>
    <w:rsid w:val="00AC1F2C"/>
    <w:rsid w:val="00AC1F2D"/>
    <w:rsid w:val="00AC20DF"/>
    <w:rsid w:val="00AC2FD6"/>
    <w:rsid w:val="00AC317B"/>
    <w:rsid w:val="00AC3C06"/>
    <w:rsid w:val="00AC421C"/>
    <w:rsid w:val="00AC480A"/>
    <w:rsid w:val="00AC4D97"/>
    <w:rsid w:val="00AC66F7"/>
    <w:rsid w:val="00AC68F8"/>
    <w:rsid w:val="00AC6F85"/>
    <w:rsid w:val="00AC71EB"/>
    <w:rsid w:val="00AC720C"/>
    <w:rsid w:val="00AC7400"/>
    <w:rsid w:val="00AC76A5"/>
    <w:rsid w:val="00AC7A3A"/>
    <w:rsid w:val="00AC7E5D"/>
    <w:rsid w:val="00AC7F6B"/>
    <w:rsid w:val="00AD0238"/>
    <w:rsid w:val="00AD0FAA"/>
    <w:rsid w:val="00AD374F"/>
    <w:rsid w:val="00AD725A"/>
    <w:rsid w:val="00AD7781"/>
    <w:rsid w:val="00AE0118"/>
    <w:rsid w:val="00AE0A95"/>
    <w:rsid w:val="00AE0B75"/>
    <w:rsid w:val="00AE1972"/>
    <w:rsid w:val="00AE2566"/>
    <w:rsid w:val="00AE2D9D"/>
    <w:rsid w:val="00AE3990"/>
    <w:rsid w:val="00AE3A52"/>
    <w:rsid w:val="00AE459C"/>
    <w:rsid w:val="00AE4964"/>
    <w:rsid w:val="00AE4FDF"/>
    <w:rsid w:val="00AE76C0"/>
    <w:rsid w:val="00AF0FBF"/>
    <w:rsid w:val="00AF1BFD"/>
    <w:rsid w:val="00AF2BEB"/>
    <w:rsid w:val="00AF3035"/>
    <w:rsid w:val="00AF3324"/>
    <w:rsid w:val="00AF408F"/>
    <w:rsid w:val="00AF4813"/>
    <w:rsid w:val="00AF4E19"/>
    <w:rsid w:val="00AF6233"/>
    <w:rsid w:val="00AF77AF"/>
    <w:rsid w:val="00B01AD4"/>
    <w:rsid w:val="00B0254B"/>
    <w:rsid w:val="00B0456E"/>
    <w:rsid w:val="00B04CA0"/>
    <w:rsid w:val="00B05418"/>
    <w:rsid w:val="00B06305"/>
    <w:rsid w:val="00B06F85"/>
    <w:rsid w:val="00B07E2B"/>
    <w:rsid w:val="00B103EE"/>
    <w:rsid w:val="00B107E5"/>
    <w:rsid w:val="00B10D78"/>
    <w:rsid w:val="00B11922"/>
    <w:rsid w:val="00B12256"/>
    <w:rsid w:val="00B125C6"/>
    <w:rsid w:val="00B1299B"/>
    <w:rsid w:val="00B146A4"/>
    <w:rsid w:val="00B16776"/>
    <w:rsid w:val="00B16824"/>
    <w:rsid w:val="00B17150"/>
    <w:rsid w:val="00B177EB"/>
    <w:rsid w:val="00B2005E"/>
    <w:rsid w:val="00B201AB"/>
    <w:rsid w:val="00B21153"/>
    <w:rsid w:val="00B234EE"/>
    <w:rsid w:val="00B239DE"/>
    <w:rsid w:val="00B2429B"/>
    <w:rsid w:val="00B24906"/>
    <w:rsid w:val="00B25576"/>
    <w:rsid w:val="00B256E4"/>
    <w:rsid w:val="00B31280"/>
    <w:rsid w:val="00B3335E"/>
    <w:rsid w:val="00B35C96"/>
    <w:rsid w:val="00B37083"/>
    <w:rsid w:val="00B370BC"/>
    <w:rsid w:val="00B37458"/>
    <w:rsid w:val="00B4014C"/>
    <w:rsid w:val="00B40242"/>
    <w:rsid w:val="00B4024B"/>
    <w:rsid w:val="00B40BEA"/>
    <w:rsid w:val="00B415DD"/>
    <w:rsid w:val="00B41711"/>
    <w:rsid w:val="00B42DE2"/>
    <w:rsid w:val="00B43004"/>
    <w:rsid w:val="00B4398C"/>
    <w:rsid w:val="00B43E95"/>
    <w:rsid w:val="00B4421F"/>
    <w:rsid w:val="00B4540B"/>
    <w:rsid w:val="00B46147"/>
    <w:rsid w:val="00B500C4"/>
    <w:rsid w:val="00B508C5"/>
    <w:rsid w:val="00B50ABB"/>
    <w:rsid w:val="00B526C4"/>
    <w:rsid w:val="00B54CCC"/>
    <w:rsid w:val="00B55904"/>
    <w:rsid w:val="00B566A6"/>
    <w:rsid w:val="00B57008"/>
    <w:rsid w:val="00B5710C"/>
    <w:rsid w:val="00B61AC0"/>
    <w:rsid w:val="00B62B47"/>
    <w:rsid w:val="00B632DE"/>
    <w:rsid w:val="00B64CE3"/>
    <w:rsid w:val="00B6674A"/>
    <w:rsid w:val="00B67355"/>
    <w:rsid w:val="00B6743F"/>
    <w:rsid w:val="00B674E3"/>
    <w:rsid w:val="00B7026E"/>
    <w:rsid w:val="00B7162F"/>
    <w:rsid w:val="00B716F9"/>
    <w:rsid w:val="00B71A41"/>
    <w:rsid w:val="00B72DD8"/>
    <w:rsid w:val="00B7418A"/>
    <w:rsid w:val="00B74BD0"/>
    <w:rsid w:val="00B74DEC"/>
    <w:rsid w:val="00B76203"/>
    <w:rsid w:val="00B76651"/>
    <w:rsid w:val="00B7689A"/>
    <w:rsid w:val="00B7722C"/>
    <w:rsid w:val="00B77BC8"/>
    <w:rsid w:val="00B8070D"/>
    <w:rsid w:val="00B80F6A"/>
    <w:rsid w:val="00B82DDE"/>
    <w:rsid w:val="00B8338C"/>
    <w:rsid w:val="00B83479"/>
    <w:rsid w:val="00B8374F"/>
    <w:rsid w:val="00B837EA"/>
    <w:rsid w:val="00B84813"/>
    <w:rsid w:val="00B848EF"/>
    <w:rsid w:val="00B8568C"/>
    <w:rsid w:val="00B86D1F"/>
    <w:rsid w:val="00B90A1D"/>
    <w:rsid w:val="00B91836"/>
    <w:rsid w:val="00B94F1C"/>
    <w:rsid w:val="00B95993"/>
    <w:rsid w:val="00B96AA5"/>
    <w:rsid w:val="00B97F03"/>
    <w:rsid w:val="00BA02C7"/>
    <w:rsid w:val="00BA0566"/>
    <w:rsid w:val="00BA0E99"/>
    <w:rsid w:val="00BA1B2A"/>
    <w:rsid w:val="00BA1C2A"/>
    <w:rsid w:val="00BA230D"/>
    <w:rsid w:val="00BA3452"/>
    <w:rsid w:val="00BA3683"/>
    <w:rsid w:val="00BA3FA7"/>
    <w:rsid w:val="00BA439B"/>
    <w:rsid w:val="00BA49A8"/>
    <w:rsid w:val="00BA4C09"/>
    <w:rsid w:val="00BA53F4"/>
    <w:rsid w:val="00BA5598"/>
    <w:rsid w:val="00BA66BD"/>
    <w:rsid w:val="00BB01B9"/>
    <w:rsid w:val="00BB0C83"/>
    <w:rsid w:val="00BB1916"/>
    <w:rsid w:val="00BB1A32"/>
    <w:rsid w:val="00BB2F1D"/>
    <w:rsid w:val="00BB2FE2"/>
    <w:rsid w:val="00BB3D04"/>
    <w:rsid w:val="00BB3EB7"/>
    <w:rsid w:val="00BB3F55"/>
    <w:rsid w:val="00BB3FD0"/>
    <w:rsid w:val="00BB5CE4"/>
    <w:rsid w:val="00BB5FC3"/>
    <w:rsid w:val="00BB6C36"/>
    <w:rsid w:val="00BC045B"/>
    <w:rsid w:val="00BC231E"/>
    <w:rsid w:val="00BC415A"/>
    <w:rsid w:val="00BC44C4"/>
    <w:rsid w:val="00BC4F8C"/>
    <w:rsid w:val="00BC5321"/>
    <w:rsid w:val="00BC5A6C"/>
    <w:rsid w:val="00BC7067"/>
    <w:rsid w:val="00BC7BCA"/>
    <w:rsid w:val="00BD04A7"/>
    <w:rsid w:val="00BD08B9"/>
    <w:rsid w:val="00BD33B6"/>
    <w:rsid w:val="00BD3859"/>
    <w:rsid w:val="00BD41CF"/>
    <w:rsid w:val="00BD5869"/>
    <w:rsid w:val="00BD5C0F"/>
    <w:rsid w:val="00BD6845"/>
    <w:rsid w:val="00BD7811"/>
    <w:rsid w:val="00BE019C"/>
    <w:rsid w:val="00BE1D2D"/>
    <w:rsid w:val="00BE1DB1"/>
    <w:rsid w:val="00BE235A"/>
    <w:rsid w:val="00BE2E0D"/>
    <w:rsid w:val="00BE2E18"/>
    <w:rsid w:val="00BE32C8"/>
    <w:rsid w:val="00BE6436"/>
    <w:rsid w:val="00BE6BE5"/>
    <w:rsid w:val="00BE6D01"/>
    <w:rsid w:val="00BE7B07"/>
    <w:rsid w:val="00BF0313"/>
    <w:rsid w:val="00BF142B"/>
    <w:rsid w:val="00BF1F33"/>
    <w:rsid w:val="00BF3B5D"/>
    <w:rsid w:val="00BF3D9B"/>
    <w:rsid w:val="00BF44C8"/>
    <w:rsid w:val="00BF5700"/>
    <w:rsid w:val="00BF5771"/>
    <w:rsid w:val="00BF5C4D"/>
    <w:rsid w:val="00BF60A1"/>
    <w:rsid w:val="00BF651E"/>
    <w:rsid w:val="00BF77D0"/>
    <w:rsid w:val="00BF7AF5"/>
    <w:rsid w:val="00BF7D65"/>
    <w:rsid w:val="00C00369"/>
    <w:rsid w:val="00C010A5"/>
    <w:rsid w:val="00C01C51"/>
    <w:rsid w:val="00C0388B"/>
    <w:rsid w:val="00C04445"/>
    <w:rsid w:val="00C05182"/>
    <w:rsid w:val="00C10AEB"/>
    <w:rsid w:val="00C13225"/>
    <w:rsid w:val="00C141A9"/>
    <w:rsid w:val="00C154FD"/>
    <w:rsid w:val="00C1697B"/>
    <w:rsid w:val="00C176FF"/>
    <w:rsid w:val="00C17D4C"/>
    <w:rsid w:val="00C17EFB"/>
    <w:rsid w:val="00C20133"/>
    <w:rsid w:val="00C20E93"/>
    <w:rsid w:val="00C21CC2"/>
    <w:rsid w:val="00C24164"/>
    <w:rsid w:val="00C245AA"/>
    <w:rsid w:val="00C26FF4"/>
    <w:rsid w:val="00C30351"/>
    <w:rsid w:val="00C30E24"/>
    <w:rsid w:val="00C32A3C"/>
    <w:rsid w:val="00C343F6"/>
    <w:rsid w:val="00C34B0B"/>
    <w:rsid w:val="00C36359"/>
    <w:rsid w:val="00C37DF1"/>
    <w:rsid w:val="00C400B6"/>
    <w:rsid w:val="00C40F5F"/>
    <w:rsid w:val="00C417AC"/>
    <w:rsid w:val="00C41EDC"/>
    <w:rsid w:val="00C42ECA"/>
    <w:rsid w:val="00C42ED3"/>
    <w:rsid w:val="00C43A48"/>
    <w:rsid w:val="00C43DA7"/>
    <w:rsid w:val="00C453BD"/>
    <w:rsid w:val="00C45870"/>
    <w:rsid w:val="00C47762"/>
    <w:rsid w:val="00C479F4"/>
    <w:rsid w:val="00C508CD"/>
    <w:rsid w:val="00C522B2"/>
    <w:rsid w:val="00C53578"/>
    <w:rsid w:val="00C5380F"/>
    <w:rsid w:val="00C545EB"/>
    <w:rsid w:val="00C54F3D"/>
    <w:rsid w:val="00C55545"/>
    <w:rsid w:val="00C55DF3"/>
    <w:rsid w:val="00C6070A"/>
    <w:rsid w:val="00C610A6"/>
    <w:rsid w:val="00C6204A"/>
    <w:rsid w:val="00C62727"/>
    <w:rsid w:val="00C628F2"/>
    <w:rsid w:val="00C62D12"/>
    <w:rsid w:val="00C63D50"/>
    <w:rsid w:val="00C66A2E"/>
    <w:rsid w:val="00C7136F"/>
    <w:rsid w:val="00C721AF"/>
    <w:rsid w:val="00C72360"/>
    <w:rsid w:val="00C73559"/>
    <w:rsid w:val="00C74D5F"/>
    <w:rsid w:val="00C74DD1"/>
    <w:rsid w:val="00C75F5D"/>
    <w:rsid w:val="00C76A12"/>
    <w:rsid w:val="00C8050D"/>
    <w:rsid w:val="00C80727"/>
    <w:rsid w:val="00C80ADA"/>
    <w:rsid w:val="00C80C96"/>
    <w:rsid w:val="00C80CF9"/>
    <w:rsid w:val="00C8242D"/>
    <w:rsid w:val="00C82953"/>
    <w:rsid w:val="00C831D5"/>
    <w:rsid w:val="00C85C54"/>
    <w:rsid w:val="00C85EF1"/>
    <w:rsid w:val="00C86556"/>
    <w:rsid w:val="00C90078"/>
    <w:rsid w:val="00C90796"/>
    <w:rsid w:val="00C91B0D"/>
    <w:rsid w:val="00C92D9C"/>
    <w:rsid w:val="00C932A9"/>
    <w:rsid w:val="00C94174"/>
    <w:rsid w:val="00C94F87"/>
    <w:rsid w:val="00C95721"/>
    <w:rsid w:val="00CA1D2D"/>
    <w:rsid w:val="00CA2196"/>
    <w:rsid w:val="00CA4336"/>
    <w:rsid w:val="00CA44E1"/>
    <w:rsid w:val="00CA5DCA"/>
    <w:rsid w:val="00CA6A3C"/>
    <w:rsid w:val="00CA7EBD"/>
    <w:rsid w:val="00CB1A1C"/>
    <w:rsid w:val="00CB24F3"/>
    <w:rsid w:val="00CB308A"/>
    <w:rsid w:val="00CB3CF2"/>
    <w:rsid w:val="00CB64BC"/>
    <w:rsid w:val="00CB6848"/>
    <w:rsid w:val="00CC0354"/>
    <w:rsid w:val="00CC1C9C"/>
    <w:rsid w:val="00CC2527"/>
    <w:rsid w:val="00CC44FC"/>
    <w:rsid w:val="00CC514B"/>
    <w:rsid w:val="00CC5884"/>
    <w:rsid w:val="00CC5D4D"/>
    <w:rsid w:val="00CC67BE"/>
    <w:rsid w:val="00CD0748"/>
    <w:rsid w:val="00CD149D"/>
    <w:rsid w:val="00CD1F08"/>
    <w:rsid w:val="00CD20BC"/>
    <w:rsid w:val="00CD517B"/>
    <w:rsid w:val="00CD531D"/>
    <w:rsid w:val="00CD53A4"/>
    <w:rsid w:val="00CD6C53"/>
    <w:rsid w:val="00CE0512"/>
    <w:rsid w:val="00CE147C"/>
    <w:rsid w:val="00CE1A5F"/>
    <w:rsid w:val="00CE2FBF"/>
    <w:rsid w:val="00CE307D"/>
    <w:rsid w:val="00CE32E3"/>
    <w:rsid w:val="00CE40E8"/>
    <w:rsid w:val="00CE4B06"/>
    <w:rsid w:val="00CE6374"/>
    <w:rsid w:val="00CE6722"/>
    <w:rsid w:val="00CE6E4A"/>
    <w:rsid w:val="00CE7AA0"/>
    <w:rsid w:val="00CE7B50"/>
    <w:rsid w:val="00CF0DA2"/>
    <w:rsid w:val="00CF3711"/>
    <w:rsid w:val="00CF421C"/>
    <w:rsid w:val="00CF52F3"/>
    <w:rsid w:val="00CF5C6B"/>
    <w:rsid w:val="00CF6DA7"/>
    <w:rsid w:val="00CF7C8F"/>
    <w:rsid w:val="00D00671"/>
    <w:rsid w:val="00D00AAF"/>
    <w:rsid w:val="00D01B2B"/>
    <w:rsid w:val="00D01F35"/>
    <w:rsid w:val="00D0231B"/>
    <w:rsid w:val="00D02BB6"/>
    <w:rsid w:val="00D03B98"/>
    <w:rsid w:val="00D03F63"/>
    <w:rsid w:val="00D043E3"/>
    <w:rsid w:val="00D0478E"/>
    <w:rsid w:val="00D0597E"/>
    <w:rsid w:val="00D059AF"/>
    <w:rsid w:val="00D0735B"/>
    <w:rsid w:val="00D07C79"/>
    <w:rsid w:val="00D108ED"/>
    <w:rsid w:val="00D109EF"/>
    <w:rsid w:val="00D10BC6"/>
    <w:rsid w:val="00D10E01"/>
    <w:rsid w:val="00D116F1"/>
    <w:rsid w:val="00D11B50"/>
    <w:rsid w:val="00D1202D"/>
    <w:rsid w:val="00D12B02"/>
    <w:rsid w:val="00D13DD6"/>
    <w:rsid w:val="00D14B2A"/>
    <w:rsid w:val="00D15C96"/>
    <w:rsid w:val="00D16ED9"/>
    <w:rsid w:val="00D20981"/>
    <w:rsid w:val="00D2222B"/>
    <w:rsid w:val="00D2239D"/>
    <w:rsid w:val="00D23137"/>
    <w:rsid w:val="00D23408"/>
    <w:rsid w:val="00D238A0"/>
    <w:rsid w:val="00D24F56"/>
    <w:rsid w:val="00D2507C"/>
    <w:rsid w:val="00D25A57"/>
    <w:rsid w:val="00D26033"/>
    <w:rsid w:val="00D26CDF"/>
    <w:rsid w:val="00D27C74"/>
    <w:rsid w:val="00D30DA8"/>
    <w:rsid w:val="00D32CC3"/>
    <w:rsid w:val="00D337BC"/>
    <w:rsid w:val="00D349FA"/>
    <w:rsid w:val="00D35F2C"/>
    <w:rsid w:val="00D3634B"/>
    <w:rsid w:val="00D3799E"/>
    <w:rsid w:val="00D42219"/>
    <w:rsid w:val="00D4224E"/>
    <w:rsid w:val="00D42921"/>
    <w:rsid w:val="00D445D4"/>
    <w:rsid w:val="00D4534F"/>
    <w:rsid w:val="00D46361"/>
    <w:rsid w:val="00D463C4"/>
    <w:rsid w:val="00D46B5C"/>
    <w:rsid w:val="00D47560"/>
    <w:rsid w:val="00D478F4"/>
    <w:rsid w:val="00D50653"/>
    <w:rsid w:val="00D51825"/>
    <w:rsid w:val="00D51D53"/>
    <w:rsid w:val="00D527E1"/>
    <w:rsid w:val="00D56A2C"/>
    <w:rsid w:val="00D5763D"/>
    <w:rsid w:val="00D579F4"/>
    <w:rsid w:val="00D57C55"/>
    <w:rsid w:val="00D610AC"/>
    <w:rsid w:val="00D629FD"/>
    <w:rsid w:val="00D62A12"/>
    <w:rsid w:val="00D63726"/>
    <w:rsid w:val="00D64A61"/>
    <w:rsid w:val="00D6525C"/>
    <w:rsid w:val="00D6753F"/>
    <w:rsid w:val="00D67D57"/>
    <w:rsid w:val="00D67E3E"/>
    <w:rsid w:val="00D721F5"/>
    <w:rsid w:val="00D72E93"/>
    <w:rsid w:val="00D732D4"/>
    <w:rsid w:val="00D753CC"/>
    <w:rsid w:val="00D7546A"/>
    <w:rsid w:val="00D76683"/>
    <w:rsid w:val="00D76E0B"/>
    <w:rsid w:val="00D8034C"/>
    <w:rsid w:val="00D80419"/>
    <w:rsid w:val="00D81220"/>
    <w:rsid w:val="00D82588"/>
    <w:rsid w:val="00D8358A"/>
    <w:rsid w:val="00D83BB0"/>
    <w:rsid w:val="00D850A6"/>
    <w:rsid w:val="00D85AF1"/>
    <w:rsid w:val="00D86029"/>
    <w:rsid w:val="00D87946"/>
    <w:rsid w:val="00D879B7"/>
    <w:rsid w:val="00D87DE4"/>
    <w:rsid w:val="00D91598"/>
    <w:rsid w:val="00D9329A"/>
    <w:rsid w:val="00D953EE"/>
    <w:rsid w:val="00D96817"/>
    <w:rsid w:val="00D969F4"/>
    <w:rsid w:val="00D96CE4"/>
    <w:rsid w:val="00D96CEB"/>
    <w:rsid w:val="00D96F67"/>
    <w:rsid w:val="00D9769E"/>
    <w:rsid w:val="00DA0423"/>
    <w:rsid w:val="00DA04B7"/>
    <w:rsid w:val="00DA218A"/>
    <w:rsid w:val="00DA246B"/>
    <w:rsid w:val="00DA2896"/>
    <w:rsid w:val="00DA29D0"/>
    <w:rsid w:val="00DA4183"/>
    <w:rsid w:val="00DA4496"/>
    <w:rsid w:val="00DA68AE"/>
    <w:rsid w:val="00DB07FD"/>
    <w:rsid w:val="00DB0DC1"/>
    <w:rsid w:val="00DB149C"/>
    <w:rsid w:val="00DB2177"/>
    <w:rsid w:val="00DB5B67"/>
    <w:rsid w:val="00DB6D67"/>
    <w:rsid w:val="00DB7071"/>
    <w:rsid w:val="00DB7B42"/>
    <w:rsid w:val="00DC0372"/>
    <w:rsid w:val="00DC22EB"/>
    <w:rsid w:val="00DC25D5"/>
    <w:rsid w:val="00DC4466"/>
    <w:rsid w:val="00DC6F54"/>
    <w:rsid w:val="00DC6FF4"/>
    <w:rsid w:val="00DC7325"/>
    <w:rsid w:val="00DD0519"/>
    <w:rsid w:val="00DD1D98"/>
    <w:rsid w:val="00DD21C4"/>
    <w:rsid w:val="00DD239A"/>
    <w:rsid w:val="00DD23C5"/>
    <w:rsid w:val="00DD2BE7"/>
    <w:rsid w:val="00DD3100"/>
    <w:rsid w:val="00DD3D07"/>
    <w:rsid w:val="00DD4027"/>
    <w:rsid w:val="00DD4BB1"/>
    <w:rsid w:val="00DD4DB6"/>
    <w:rsid w:val="00DD5552"/>
    <w:rsid w:val="00DD6824"/>
    <w:rsid w:val="00DD78FC"/>
    <w:rsid w:val="00DE0DD8"/>
    <w:rsid w:val="00DE1384"/>
    <w:rsid w:val="00DE1F2E"/>
    <w:rsid w:val="00DE3BF2"/>
    <w:rsid w:val="00DE4556"/>
    <w:rsid w:val="00DE47F6"/>
    <w:rsid w:val="00DE58C3"/>
    <w:rsid w:val="00DE646F"/>
    <w:rsid w:val="00DE667D"/>
    <w:rsid w:val="00DE6D94"/>
    <w:rsid w:val="00DE7A7F"/>
    <w:rsid w:val="00DF010B"/>
    <w:rsid w:val="00DF016B"/>
    <w:rsid w:val="00DF0C83"/>
    <w:rsid w:val="00DF250B"/>
    <w:rsid w:val="00DF3A1C"/>
    <w:rsid w:val="00DF4551"/>
    <w:rsid w:val="00DF6536"/>
    <w:rsid w:val="00DF6560"/>
    <w:rsid w:val="00DF704F"/>
    <w:rsid w:val="00E02B04"/>
    <w:rsid w:val="00E03EFC"/>
    <w:rsid w:val="00E043FD"/>
    <w:rsid w:val="00E05689"/>
    <w:rsid w:val="00E061F3"/>
    <w:rsid w:val="00E06277"/>
    <w:rsid w:val="00E065C3"/>
    <w:rsid w:val="00E125ED"/>
    <w:rsid w:val="00E13029"/>
    <w:rsid w:val="00E13EEE"/>
    <w:rsid w:val="00E1403B"/>
    <w:rsid w:val="00E14167"/>
    <w:rsid w:val="00E14ADF"/>
    <w:rsid w:val="00E157F7"/>
    <w:rsid w:val="00E17936"/>
    <w:rsid w:val="00E17B00"/>
    <w:rsid w:val="00E20406"/>
    <w:rsid w:val="00E20A25"/>
    <w:rsid w:val="00E215F5"/>
    <w:rsid w:val="00E21A6D"/>
    <w:rsid w:val="00E22556"/>
    <w:rsid w:val="00E22A90"/>
    <w:rsid w:val="00E23D09"/>
    <w:rsid w:val="00E24302"/>
    <w:rsid w:val="00E31333"/>
    <w:rsid w:val="00E318D2"/>
    <w:rsid w:val="00E32433"/>
    <w:rsid w:val="00E32453"/>
    <w:rsid w:val="00E33BD7"/>
    <w:rsid w:val="00E34626"/>
    <w:rsid w:val="00E35105"/>
    <w:rsid w:val="00E37F83"/>
    <w:rsid w:val="00E415AB"/>
    <w:rsid w:val="00E4182F"/>
    <w:rsid w:val="00E42F33"/>
    <w:rsid w:val="00E4437C"/>
    <w:rsid w:val="00E44D66"/>
    <w:rsid w:val="00E4539B"/>
    <w:rsid w:val="00E4559A"/>
    <w:rsid w:val="00E45C9E"/>
    <w:rsid w:val="00E46809"/>
    <w:rsid w:val="00E47DE6"/>
    <w:rsid w:val="00E47FB3"/>
    <w:rsid w:val="00E511C2"/>
    <w:rsid w:val="00E51ED7"/>
    <w:rsid w:val="00E52B2A"/>
    <w:rsid w:val="00E52D41"/>
    <w:rsid w:val="00E53A06"/>
    <w:rsid w:val="00E5505A"/>
    <w:rsid w:val="00E566E9"/>
    <w:rsid w:val="00E56D07"/>
    <w:rsid w:val="00E5745F"/>
    <w:rsid w:val="00E5778A"/>
    <w:rsid w:val="00E57A37"/>
    <w:rsid w:val="00E6129B"/>
    <w:rsid w:val="00E613FD"/>
    <w:rsid w:val="00E63AEE"/>
    <w:rsid w:val="00E64072"/>
    <w:rsid w:val="00E6409E"/>
    <w:rsid w:val="00E64932"/>
    <w:rsid w:val="00E667DB"/>
    <w:rsid w:val="00E66943"/>
    <w:rsid w:val="00E672DF"/>
    <w:rsid w:val="00E67537"/>
    <w:rsid w:val="00E67C3A"/>
    <w:rsid w:val="00E718B1"/>
    <w:rsid w:val="00E719B6"/>
    <w:rsid w:val="00E721FD"/>
    <w:rsid w:val="00E72BAF"/>
    <w:rsid w:val="00E74417"/>
    <w:rsid w:val="00E76600"/>
    <w:rsid w:val="00E8096C"/>
    <w:rsid w:val="00E8195F"/>
    <w:rsid w:val="00E836AB"/>
    <w:rsid w:val="00E84F33"/>
    <w:rsid w:val="00E85516"/>
    <w:rsid w:val="00E85D49"/>
    <w:rsid w:val="00E86EC3"/>
    <w:rsid w:val="00E87CEA"/>
    <w:rsid w:val="00E90B45"/>
    <w:rsid w:val="00E90FFD"/>
    <w:rsid w:val="00E9127F"/>
    <w:rsid w:val="00E92003"/>
    <w:rsid w:val="00E92E8A"/>
    <w:rsid w:val="00E964FE"/>
    <w:rsid w:val="00E9698F"/>
    <w:rsid w:val="00E9725F"/>
    <w:rsid w:val="00E97459"/>
    <w:rsid w:val="00EA014B"/>
    <w:rsid w:val="00EA18E5"/>
    <w:rsid w:val="00EA3F8C"/>
    <w:rsid w:val="00EA48B9"/>
    <w:rsid w:val="00EA4E2F"/>
    <w:rsid w:val="00EA5569"/>
    <w:rsid w:val="00EA59FE"/>
    <w:rsid w:val="00EA5ECA"/>
    <w:rsid w:val="00EA6E0D"/>
    <w:rsid w:val="00EB0ECD"/>
    <w:rsid w:val="00EB2216"/>
    <w:rsid w:val="00EB2958"/>
    <w:rsid w:val="00EB564A"/>
    <w:rsid w:val="00EB7FFE"/>
    <w:rsid w:val="00EC18C8"/>
    <w:rsid w:val="00EC190E"/>
    <w:rsid w:val="00EC319F"/>
    <w:rsid w:val="00EC3A0C"/>
    <w:rsid w:val="00EC4509"/>
    <w:rsid w:val="00EC4835"/>
    <w:rsid w:val="00EC4972"/>
    <w:rsid w:val="00EC4CE2"/>
    <w:rsid w:val="00EC5680"/>
    <w:rsid w:val="00EC7468"/>
    <w:rsid w:val="00EC75B6"/>
    <w:rsid w:val="00EC75EB"/>
    <w:rsid w:val="00EC78D1"/>
    <w:rsid w:val="00ED1847"/>
    <w:rsid w:val="00ED20D9"/>
    <w:rsid w:val="00ED354B"/>
    <w:rsid w:val="00ED7159"/>
    <w:rsid w:val="00ED7715"/>
    <w:rsid w:val="00EE1A6E"/>
    <w:rsid w:val="00EE2068"/>
    <w:rsid w:val="00EE2E75"/>
    <w:rsid w:val="00EE4A39"/>
    <w:rsid w:val="00EE5A74"/>
    <w:rsid w:val="00EE5D95"/>
    <w:rsid w:val="00EE70B7"/>
    <w:rsid w:val="00EF0240"/>
    <w:rsid w:val="00EF063B"/>
    <w:rsid w:val="00EF16E6"/>
    <w:rsid w:val="00EF1A70"/>
    <w:rsid w:val="00EF2F4C"/>
    <w:rsid w:val="00EF367E"/>
    <w:rsid w:val="00EF3E4A"/>
    <w:rsid w:val="00EF58C0"/>
    <w:rsid w:val="00EF61C4"/>
    <w:rsid w:val="00EF6BD0"/>
    <w:rsid w:val="00EF7530"/>
    <w:rsid w:val="00EF7B92"/>
    <w:rsid w:val="00F01E8A"/>
    <w:rsid w:val="00F02DAE"/>
    <w:rsid w:val="00F079D8"/>
    <w:rsid w:val="00F07ACF"/>
    <w:rsid w:val="00F10709"/>
    <w:rsid w:val="00F1072C"/>
    <w:rsid w:val="00F11552"/>
    <w:rsid w:val="00F1247A"/>
    <w:rsid w:val="00F126F4"/>
    <w:rsid w:val="00F129B1"/>
    <w:rsid w:val="00F13747"/>
    <w:rsid w:val="00F13A79"/>
    <w:rsid w:val="00F154D4"/>
    <w:rsid w:val="00F154E0"/>
    <w:rsid w:val="00F15A86"/>
    <w:rsid w:val="00F166B0"/>
    <w:rsid w:val="00F17D89"/>
    <w:rsid w:val="00F17F4B"/>
    <w:rsid w:val="00F22710"/>
    <w:rsid w:val="00F2477A"/>
    <w:rsid w:val="00F25D7C"/>
    <w:rsid w:val="00F26F88"/>
    <w:rsid w:val="00F27887"/>
    <w:rsid w:val="00F27D83"/>
    <w:rsid w:val="00F3086B"/>
    <w:rsid w:val="00F30F22"/>
    <w:rsid w:val="00F31CC5"/>
    <w:rsid w:val="00F31F3D"/>
    <w:rsid w:val="00F34D0D"/>
    <w:rsid w:val="00F359D8"/>
    <w:rsid w:val="00F364D3"/>
    <w:rsid w:val="00F37802"/>
    <w:rsid w:val="00F40A9B"/>
    <w:rsid w:val="00F40FA2"/>
    <w:rsid w:val="00F4133D"/>
    <w:rsid w:val="00F41E8A"/>
    <w:rsid w:val="00F424D3"/>
    <w:rsid w:val="00F42B25"/>
    <w:rsid w:val="00F43E5B"/>
    <w:rsid w:val="00F45C10"/>
    <w:rsid w:val="00F46C20"/>
    <w:rsid w:val="00F46F81"/>
    <w:rsid w:val="00F4727D"/>
    <w:rsid w:val="00F473CC"/>
    <w:rsid w:val="00F47E12"/>
    <w:rsid w:val="00F500E7"/>
    <w:rsid w:val="00F50F11"/>
    <w:rsid w:val="00F52145"/>
    <w:rsid w:val="00F524EB"/>
    <w:rsid w:val="00F527A1"/>
    <w:rsid w:val="00F52969"/>
    <w:rsid w:val="00F53455"/>
    <w:rsid w:val="00F5360A"/>
    <w:rsid w:val="00F55D3B"/>
    <w:rsid w:val="00F55D97"/>
    <w:rsid w:val="00F56B4A"/>
    <w:rsid w:val="00F576EA"/>
    <w:rsid w:val="00F57F2E"/>
    <w:rsid w:val="00F602AB"/>
    <w:rsid w:val="00F605D5"/>
    <w:rsid w:val="00F60CDE"/>
    <w:rsid w:val="00F61FA0"/>
    <w:rsid w:val="00F62234"/>
    <w:rsid w:val="00F63A70"/>
    <w:rsid w:val="00F640A0"/>
    <w:rsid w:val="00F64D51"/>
    <w:rsid w:val="00F65E37"/>
    <w:rsid w:val="00F667F2"/>
    <w:rsid w:val="00F66AE1"/>
    <w:rsid w:val="00F671F1"/>
    <w:rsid w:val="00F679A2"/>
    <w:rsid w:val="00F70103"/>
    <w:rsid w:val="00F714A1"/>
    <w:rsid w:val="00F71908"/>
    <w:rsid w:val="00F72A57"/>
    <w:rsid w:val="00F73156"/>
    <w:rsid w:val="00F753E2"/>
    <w:rsid w:val="00F75B8B"/>
    <w:rsid w:val="00F76BC0"/>
    <w:rsid w:val="00F77753"/>
    <w:rsid w:val="00F8119F"/>
    <w:rsid w:val="00F81741"/>
    <w:rsid w:val="00F836AA"/>
    <w:rsid w:val="00F8573A"/>
    <w:rsid w:val="00F85D95"/>
    <w:rsid w:val="00F87820"/>
    <w:rsid w:val="00F91547"/>
    <w:rsid w:val="00F93162"/>
    <w:rsid w:val="00F9342A"/>
    <w:rsid w:val="00F93B6C"/>
    <w:rsid w:val="00F95036"/>
    <w:rsid w:val="00F97243"/>
    <w:rsid w:val="00FA06F9"/>
    <w:rsid w:val="00FA2018"/>
    <w:rsid w:val="00FA3784"/>
    <w:rsid w:val="00FA5B36"/>
    <w:rsid w:val="00FA7F89"/>
    <w:rsid w:val="00FB03BE"/>
    <w:rsid w:val="00FB0AF6"/>
    <w:rsid w:val="00FB0CDF"/>
    <w:rsid w:val="00FB121F"/>
    <w:rsid w:val="00FB2D98"/>
    <w:rsid w:val="00FB2EA8"/>
    <w:rsid w:val="00FB3861"/>
    <w:rsid w:val="00FB4842"/>
    <w:rsid w:val="00FB6926"/>
    <w:rsid w:val="00FB788E"/>
    <w:rsid w:val="00FC13F8"/>
    <w:rsid w:val="00FC1A77"/>
    <w:rsid w:val="00FC3864"/>
    <w:rsid w:val="00FC3FAF"/>
    <w:rsid w:val="00FC4256"/>
    <w:rsid w:val="00FC431C"/>
    <w:rsid w:val="00FC4ABD"/>
    <w:rsid w:val="00FC5B16"/>
    <w:rsid w:val="00FC6A1B"/>
    <w:rsid w:val="00FC6A5E"/>
    <w:rsid w:val="00FC6C33"/>
    <w:rsid w:val="00FC6D20"/>
    <w:rsid w:val="00FC6D44"/>
    <w:rsid w:val="00FC75A4"/>
    <w:rsid w:val="00FC7DA2"/>
    <w:rsid w:val="00FD0264"/>
    <w:rsid w:val="00FD0593"/>
    <w:rsid w:val="00FD0762"/>
    <w:rsid w:val="00FD0D4C"/>
    <w:rsid w:val="00FD1356"/>
    <w:rsid w:val="00FD1852"/>
    <w:rsid w:val="00FD2256"/>
    <w:rsid w:val="00FD2290"/>
    <w:rsid w:val="00FD2B68"/>
    <w:rsid w:val="00FD3AE9"/>
    <w:rsid w:val="00FD3BBE"/>
    <w:rsid w:val="00FD3F81"/>
    <w:rsid w:val="00FD419E"/>
    <w:rsid w:val="00FD45EB"/>
    <w:rsid w:val="00FD7025"/>
    <w:rsid w:val="00FE1A18"/>
    <w:rsid w:val="00FE2274"/>
    <w:rsid w:val="00FE2F6B"/>
    <w:rsid w:val="00FE31B9"/>
    <w:rsid w:val="00FE386F"/>
    <w:rsid w:val="00FE4449"/>
    <w:rsid w:val="00FE493D"/>
    <w:rsid w:val="00FE5873"/>
    <w:rsid w:val="00FE6714"/>
    <w:rsid w:val="00FE704C"/>
    <w:rsid w:val="00FE7228"/>
    <w:rsid w:val="00FE7349"/>
    <w:rsid w:val="00FE742A"/>
    <w:rsid w:val="00FE7EE9"/>
    <w:rsid w:val="00FF0750"/>
    <w:rsid w:val="00FF08CB"/>
    <w:rsid w:val="00FF0B51"/>
    <w:rsid w:val="00FF179E"/>
    <w:rsid w:val="00FF1D03"/>
    <w:rsid w:val="00FF1DB1"/>
    <w:rsid w:val="00FF2503"/>
    <w:rsid w:val="00FF27CF"/>
    <w:rsid w:val="00FF3F01"/>
    <w:rsid w:val="00FF535E"/>
    <w:rsid w:val="00FF5A9C"/>
    <w:rsid w:val="00FF6B8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73142"/>
  <w15:docId w15:val="{F7BB05B1-339F-4EF8-95D9-4CBD407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130D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07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20791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2079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079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2079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791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0791A"/>
  </w:style>
  <w:style w:type="paragraph" w:customStyle="1" w:styleId="a7">
    <w:name w:val="Нормальный (таблица)"/>
    <w:basedOn w:val="a"/>
    <w:next w:val="a"/>
    <w:uiPriority w:val="99"/>
    <w:rsid w:val="0020791A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457944"/>
    <w:rPr>
      <w:color w:val="auto"/>
    </w:rPr>
  </w:style>
  <w:style w:type="paragraph" w:customStyle="1" w:styleId="a9">
    <w:name w:val="Комментарий"/>
    <w:basedOn w:val="a"/>
    <w:next w:val="a"/>
    <w:uiPriority w:val="99"/>
    <w:rsid w:val="0045794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57944"/>
    <w:rPr>
      <w:i/>
      <w:iCs/>
    </w:rPr>
  </w:style>
  <w:style w:type="paragraph" w:styleId="ab">
    <w:name w:val="Body Text Indent"/>
    <w:basedOn w:val="a"/>
    <w:link w:val="ac"/>
    <w:uiPriority w:val="99"/>
    <w:rsid w:val="009107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B130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F52F3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6D195B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195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">
    <w:name w:val="Title"/>
    <w:basedOn w:val="a"/>
    <w:link w:val="af0"/>
    <w:uiPriority w:val="99"/>
    <w:qFormat/>
    <w:locked/>
    <w:rsid w:val="00E9725F"/>
    <w:pPr>
      <w:jc w:val="center"/>
    </w:pPr>
  </w:style>
  <w:style w:type="character" w:customStyle="1" w:styleId="af0">
    <w:name w:val="Заголовок Знак"/>
    <w:basedOn w:val="a0"/>
    <w:link w:val="af"/>
    <w:uiPriority w:val="99"/>
    <w:rsid w:val="00E9725F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6AE5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32">
    <w:name w:val="Font Style32"/>
    <w:basedOn w:val="a0"/>
    <w:uiPriority w:val="99"/>
    <w:rsid w:val="00106A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106AE5"/>
    <w:pPr>
      <w:widowControl w:val="0"/>
      <w:autoSpaceDE w:val="0"/>
      <w:autoSpaceDN w:val="0"/>
      <w:adjustRightInd w:val="0"/>
      <w:spacing w:line="275" w:lineRule="exact"/>
      <w:ind w:firstLine="528"/>
      <w:jc w:val="both"/>
    </w:pPr>
  </w:style>
  <w:style w:type="paragraph" w:customStyle="1" w:styleId="Style25">
    <w:name w:val="Style25"/>
    <w:basedOn w:val="a"/>
    <w:uiPriority w:val="99"/>
    <w:rsid w:val="00106AE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06AE5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22">
    <w:name w:val="Style22"/>
    <w:basedOn w:val="a"/>
    <w:uiPriority w:val="99"/>
    <w:rsid w:val="00106AE5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basedOn w:val="a0"/>
    <w:uiPriority w:val="99"/>
    <w:rsid w:val="00106AE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106AE5"/>
    <w:rPr>
      <w:rFonts w:ascii="Times New Roman" w:hAnsi="Times New Roman" w:cs="Times New Roman"/>
      <w:sz w:val="14"/>
      <w:szCs w:val="14"/>
    </w:rPr>
  </w:style>
  <w:style w:type="character" w:styleId="af1">
    <w:name w:val="Hyperlink"/>
    <w:basedOn w:val="a0"/>
    <w:uiPriority w:val="99"/>
    <w:unhideWhenUsed/>
    <w:rsid w:val="002C311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90BB6"/>
    <w:pPr>
      <w:ind w:left="720"/>
      <w:contextualSpacing/>
    </w:pPr>
  </w:style>
  <w:style w:type="table" w:styleId="af3">
    <w:name w:val="Table Grid"/>
    <w:basedOn w:val="a1"/>
    <w:locked/>
    <w:rsid w:val="0041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508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08CD"/>
    <w:rPr>
      <w:rFonts w:ascii="Tahoma" w:eastAsia="Times New Roman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semiHidden/>
    <w:unhideWhenUsed/>
    <w:rsid w:val="002744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744E9"/>
    <w:rPr>
      <w:rFonts w:ascii="Times New Roman" w:eastAsia="Times New Roman" w:hAnsi="Times New Roman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EC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485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69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03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t.gibdd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Использование дорожного фонда Волгоградской области</a:t>
            </a:r>
            <a:endParaRPr lang="ru-RU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в </a:t>
            </a:r>
            <a:r>
              <a:rPr lang="en-US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I</a:t>
            </a:r>
            <a:r>
              <a:rPr lang="ru-RU" sz="1100" b="1" i="0" kern="1200" baseline="0">
                <a:solidFill>
                  <a:srgbClr val="000000"/>
                </a:solidFill>
                <a:latin typeface="Times New Roman"/>
                <a:cs typeface="Times New Roman"/>
              </a:rPr>
              <a:t> полугодии 2021 года по направлениям</a:t>
            </a:r>
          </a:p>
        </c:rich>
      </c:tx>
      <c:layout>
        <c:manualLayout>
          <c:xMode val="edge"/>
          <c:yMode val="edge"/>
          <c:x val="0.201077773881070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0747902095792811E-2"/>
          <c:y val="0.21414329545711958"/>
          <c:w val="0.95406013763067965"/>
          <c:h val="0.78343452311293005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D42-4E33-BAA8-CDA36424BF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D42-4E33-BAA8-CDA36424BF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D42-4E33-BAA8-CDA36424BF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D42-4E33-BAA8-CDA36424BF3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D42-4E33-BAA8-CDA36424BF3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D42-4E33-BAA8-CDA36424BF3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D42-4E33-BAA8-CDA36424BF3C}"/>
              </c:ext>
            </c:extLst>
          </c:dPt>
          <c:dPt>
            <c:idx val="7"/>
            <c:bubble3D val="0"/>
            <c:explosion val="10"/>
            <c:spPr>
              <a:gradFill rotWithShape="1">
                <a:gsLst>
                  <a:gs pos="0">
                    <a:schemeClr val="accent6">
                      <a:tint val="50000"/>
                      <a:satMod val="300000"/>
                    </a:schemeClr>
                  </a:gs>
                  <a:gs pos="35000">
                    <a:schemeClr val="accent6">
                      <a:tint val="37000"/>
                      <a:satMod val="300000"/>
                    </a:schemeClr>
                  </a:gs>
                  <a:gs pos="100000">
                    <a:schemeClr val="accent6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D42-4E33-BAA8-CDA36424BF3C}"/>
              </c:ext>
            </c:extLst>
          </c:dPt>
          <c:dPt>
            <c:idx val="8"/>
            <c:bubble3D val="0"/>
            <c:explosion val="42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D42-4E33-BAA8-CDA36424BF3C}"/>
              </c:ext>
            </c:extLst>
          </c:dPt>
          <c:dLbls>
            <c:dLbl>
              <c:idx val="0"/>
              <c:layout>
                <c:manualLayout>
                  <c:x val="-0.12527348711769282"/>
                  <c:y val="-0.15746638358103326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149AA429-74E3-4B44-9FF8-A1D272EC5D7E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D9B23763-18F3-42B3-96DD-F715797D2026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C8493525-3C71-4B7B-98F0-283DACB098A6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42-4E33-BAA8-CDA36424BF3C}"/>
                </c:ext>
              </c:extLst>
            </c:dLbl>
            <c:dLbl>
              <c:idx val="1"/>
              <c:layout>
                <c:manualLayout>
                  <c:x val="1.8590764785588382E-2"/>
                  <c:y val="-5.338671837994773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48B62106-8BAD-4D75-BFAE-26C0CC34F24A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A1097CFC-847B-492E-808C-81DC1F3C52CD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DAEAF60C-538A-40E4-847B-D64FD27502D4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D42-4E33-BAA8-CDA36424BF3C}"/>
                </c:ext>
              </c:extLst>
            </c:dLbl>
            <c:dLbl>
              <c:idx val="2"/>
              <c:layout>
                <c:manualLayout>
                  <c:x val="1.3191136881341893E-2"/>
                  <c:y val="-7.5739338315194676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3FB14C8C-85E2-4CF9-BCD4-90972AB31301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AE95252D-B77B-4F2E-863E-840823A85B1F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53E2B7B7-9C03-4F0C-B2A4-7AA11A311CDC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D42-4E33-BAA8-CDA36424BF3C}"/>
                </c:ext>
              </c:extLst>
            </c:dLbl>
            <c:dLbl>
              <c:idx val="3"/>
              <c:layout>
                <c:manualLayout>
                  <c:x val="-0.11128288245394051"/>
                  <c:y val="-4.1487091183665718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4221027A-F221-4740-A600-F979BDC32996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42A82A95-DFCA-40BC-8100-B98A71D593F1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D0FE97FA-C301-4207-8218-0CC3CAE9E209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D42-4E33-BAA8-CDA36424BF3C}"/>
                </c:ext>
              </c:extLst>
            </c:dLbl>
            <c:dLbl>
              <c:idx val="4"/>
              <c:layout>
                <c:manualLayout>
                  <c:x val="-1.278357626087793E-2"/>
                  <c:y val="-8.417255964023605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C40F3C0C-75C0-474E-B3E1-4FA988DD5A4A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3979FDE8-098B-457B-97E2-D2C46F566A56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36735043-BF94-4476-9B5E-F011917B0E40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D42-4E33-BAA8-CDA36424BF3C}"/>
                </c:ext>
              </c:extLst>
            </c:dLbl>
            <c:dLbl>
              <c:idx val="5"/>
              <c:layout>
                <c:manualLayout>
                  <c:x val="-9.4170228100240831E-3"/>
                  <c:y val="9.4667903773174855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54DF67E1-6AB9-4388-832E-02E01E08A428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B52C93DE-E142-49BA-BEC9-F62B177F90F8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0,7%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D42-4E33-BAA8-CDA36424BF3C}"/>
                </c:ext>
              </c:extLst>
            </c:dLbl>
            <c:dLbl>
              <c:idx val="6"/>
              <c:layout>
                <c:manualLayout>
                  <c:x val="0.21251820122194812"/>
                  <c:y val="5.1690990855442435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59BC2C2F-8AA1-4531-BAB4-271D9BBA796C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D38FE1E5-527E-405D-AB5A-945979C69746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</a:t>
                    </a:r>
                    <a:fld id="{6D04D6BF-1E58-4AA9-BCE3-823311DE2B89}" type="PERCENTAG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D42-4E33-BAA8-CDA36424BF3C}"/>
                </c:ext>
              </c:extLst>
            </c:dLbl>
            <c:dLbl>
              <c:idx val="7"/>
              <c:layout>
                <c:manualLayout>
                  <c:x val="-3.7538787150467393E-2"/>
                  <c:y val="-0.2783180366785362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7893C123-C405-44E0-A0E0-BF176C31194F}" type="CATEGORYNAME">
                      <a:rPr lang="ru-RU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800" baseline="0"/>
                      <a:t>; </a:t>
                    </a:r>
                    <a:fld id="{B1ED9B2E-3341-4431-B8D8-C888B158401A}" type="VALUE">
                      <a:rPr lang="ru-RU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</a:rPr>
                      <a:t> млн.руб.</a:t>
                    </a:r>
                    <a:r>
                      <a:rPr lang="ru-RU" sz="800" baseline="0"/>
                      <a:t>; 0,3%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D42-4E33-BAA8-CDA36424BF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42-4E33-BAA8-CDA36424BF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Содержание областных дорог</c:v>
                </c:pt>
                <c:pt idx="1">
                  <c:v>РП "Дорожная сеть"</c:v>
                </c:pt>
                <c:pt idx="2">
                  <c:v>Предоставление МБТ бюджетам МО</c:v>
                </c:pt>
                <c:pt idx="3">
                  <c:v>Непрограммные расходы МБТ (Облфин)</c:v>
                </c:pt>
                <c:pt idx="4">
                  <c:v>РП "Общесистемные меры"</c:v>
                </c:pt>
                <c:pt idx="5">
                  <c:v>Капитальный ремонт, ремонт областных дорог</c:v>
                </c:pt>
                <c:pt idx="6">
                  <c:v>Строительство и реконструкция областных и сельских дорог</c:v>
                </c:pt>
                <c:pt idx="7">
                  <c:v>Безопасность дорожного движения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1561.7</c:v>
                </c:pt>
                <c:pt idx="1">
                  <c:v>1981.9</c:v>
                </c:pt>
                <c:pt idx="2">
                  <c:v>474.6</c:v>
                </c:pt>
                <c:pt idx="3">
                  <c:v>1133.0999999999999</c:v>
                </c:pt>
                <c:pt idx="4">
                  <c:v>272.10000000000002</c:v>
                </c:pt>
                <c:pt idx="5">
                  <c:v>40.6</c:v>
                </c:pt>
                <c:pt idx="6">
                  <c:v>168.7</c:v>
                </c:pt>
                <c:pt idx="7">
                  <c:v>23.7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D42-4E33-BAA8-CDA36424BF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Содержание областных дорог</c:v>
                </c:pt>
                <c:pt idx="1">
                  <c:v>РП "Дорожная сеть"</c:v>
                </c:pt>
                <c:pt idx="2">
                  <c:v>Предоставление МБТ бюджетам МО</c:v>
                </c:pt>
                <c:pt idx="3">
                  <c:v>Непрограммные расходы МБТ (Облфин)</c:v>
                </c:pt>
                <c:pt idx="4">
                  <c:v>РП "Общесистемные меры"</c:v>
                </c:pt>
                <c:pt idx="5">
                  <c:v>Капитальный ремонт, ремонт областных дорог</c:v>
                </c:pt>
                <c:pt idx="6">
                  <c:v>Строительство и реконструкция областных и сельских дорог</c:v>
                </c:pt>
                <c:pt idx="7">
                  <c:v>Безопасность дорожного движения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0.27609433561982882</c:v>
                </c:pt>
                <c:pt idx="1">
                  <c:v>0.35038186832614382</c:v>
                </c:pt>
                <c:pt idx="2">
                  <c:v>8.3904957216604195E-2</c:v>
                </c:pt>
                <c:pt idx="3">
                  <c:v>0.20032175942295449</c:v>
                </c:pt>
                <c:pt idx="4">
                  <c:v>4.8104801640619477E-2</c:v>
                </c:pt>
                <c:pt idx="5">
                  <c:v>7.1777102043702702E-3</c:v>
                </c:pt>
                <c:pt idx="6">
                  <c:v>2.9824623435400602E-2</c:v>
                </c:pt>
                <c:pt idx="7">
                  <c:v>4.1899441340782113E-3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751-4FC1-8D36-429BD83B7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Использование муниципальных дорожных фондов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в 1 полугодии 2020-2021 гг.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109170883627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389184543465862"/>
          <c:y val="0.10234341876375108"/>
          <c:w val="0.68264693723826164"/>
          <c:h val="0.808792662138387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п/г. 2021 г.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4.1502386387217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43-4049-853E-798491B6858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16,8 (6,2%)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843-4049-853E-798491B6858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0,5 (0,2%)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843-4049-853E-798491B6858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113.3</c:v>
                </c:pt>
                <c:pt idx="1">
                  <c:v>273.39999999999998</c:v>
                </c:pt>
                <c:pt idx="2">
                  <c:v>497.7</c:v>
                </c:pt>
                <c:pt idx="3">
                  <c:v>1020.2</c:v>
                </c:pt>
                <c:pt idx="4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43-4049-853E-798491B685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п/г.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Прочее (содерж.учреждений, обеспечение транспорт.безопасности, разработка ПИР и др.)</c:v>
                </c:pt>
                <c:pt idx="1">
                  <c:v>Строительство
и реконструкция</c:v>
                </c:pt>
                <c:pt idx="2">
                  <c:v>Содержание</c:v>
                </c:pt>
                <c:pt idx="3">
                  <c:v>Ремонт</c:v>
                </c:pt>
                <c:pt idx="4">
                  <c:v>Капитальный ремонт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61.8</c:v>
                </c:pt>
                <c:pt idx="1">
                  <c:v>303.7</c:v>
                </c:pt>
                <c:pt idx="2">
                  <c:v>826.6</c:v>
                </c:pt>
                <c:pt idx="3">
                  <c:v>280.5</c:v>
                </c:pt>
                <c:pt idx="4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43-4049-853E-798491B685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4455936"/>
        <c:axId val="124457504"/>
      </c:barChart>
      <c:valAx>
        <c:axId val="124457504"/>
        <c:scaling>
          <c:orientation val="minMax"/>
        </c:scaling>
        <c:delete val="0"/>
        <c:axPos val="b"/>
        <c:majorGridlines>
          <c:spPr>
            <a:ln w="1270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млн. руб.</a:t>
                </a:r>
              </a:p>
            </c:rich>
          </c:tx>
          <c:layout>
            <c:manualLayout>
              <c:xMode val="edge"/>
              <c:yMode val="edge"/>
              <c:x val="0.15730254095909726"/>
              <c:y val="0.91801262176408049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 w="12700">
            <a:solidFill>
              <a:schemeClr val="bg1">
                <a:lumMod val="85000"/>
              </a:schemeClr>
            </a:solidFill>
            <a:prstDash val="sysDash"/>
          </a:ln>
        </c:spPr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5936"/>
        <c:crosses val="autoZero"/>
        <c:crossBetween val="between"/>
      </c:valAx>
      <c:catAx>
        <c:axId val="124455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 algn="r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5750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"/>
          <c:y val="0.29992216730887478"/>
          <c:w val="0.17027906269964838"/>
          <c:h val="0.15036195534401026"/>
        </c:manualLayout>
      </c:layout>
      <c:overlay val="0"/>
      <c:txPr>
        <a:bodyPr/>
        <a:lstStyle/>
        <a:p>
          <a:pPr>
            <a:defRPr b="1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A9E0-3F91-4A9A-A7EE-E194C84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4470</Words>
  <Characters>29206</Characters>
  <Application>Microsoft Office Word</Application>
  <DocSecurity>0</DocSecurity>
  <Lines>243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и использовании средств дорожного фонда</vt:lpstr>
    </vt:vector>
  </TitlesOfParts>
  <Company>Контрольно-счетная палата Волгоградской области</Company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и использовании средств дорожного фонда</dc:title>
  <dc:creator>Шишлянникова</dc:creator>
  <cp:lastModifiedBy>Тафинцева Инна Владимировна</cp:lastModifiedBy>
  <cp:revision>12</cp:revision>
  <cp:lastPrinted>2021-08-12T05:53:00Z</cp:lastPrinted>
  <dcterms:created xsi:type="dcterms:W3CDTF">2021-08-05T06:53:00Z</dcterms:created>
  <dcterms:modified xsi:type="dcterms:W3CDTF">2021-08-12T11:43:00Z</dcterms:modified>
</cp:coreProperties>
</file>