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8" w:type="dxa"/>
        <w:tblLook w:val="01E0" w:firstRow="1" w:lastRow="1" w:firstColumn="1" w:lastColumn="1" w:noHBand="0" w:noVBand="0"/>
      </w:tblPr>
      <w:tblGrid>
        <w:gridCol w:w="5868"/>
        <w:gridCol w:w="4140"/>
      </w:tblGrid>
      <w:tr w:rsidR="00545EE1" w:rsidRPr="00E55E40" w14:paraId="6856833A" w14:textId="77777777" w:rsidTr="00545EE1">
        <w:tc>
          <w:tcPr>
            <w:tcW w:w="5868" w:type="dxa"/>
          </w:tcPr>
          <w:p w14:paraId="5FA2AA07" w14:textId="77777777" w:rsidR="00545EE1" w:rsidRPr="007E0128" w:rsidRDefault="00545EE1" w:rsidP="00545EE1">
            <w:pPr>
              <w:jc w:val="center"/>
              <w:rPr>
                <w:b/>
                <w:bCs/>
                <w:spacing w:val="-2"/>
              </w:rPr>
            </w:pPr>
          </w:p>
        </w:tc>
        <w:tc>
          <w:tcPr>
            <w:tcW w:w="4140" w:type="dxa"/>
            <w:hideMark/>
          </w:tcPr>
          <w:p w14:paraId="7E61BF3B" w14:textId="77777777" w:rsidR="00545EE1" w:rsidRPr="00E55E40" w:rsidRDefault="00545EE1" w:rsidP="00545EE1">
            <w:pPr>
              <w:pStyle w:val="af1"/>
              <w:tabs>
                <w:tab w:val="left" w:pos="0"/>
              </w:tabs>
              <w:spacing w:after="0"/>
              <w:ind w:left="0"/>
              <w:rPr>
                <w:b/>
              </w:rPr>
            </w:pPr>
            <w:r w:rsidRPr="00E55E40">
              <w:rPr>
                <w:b/>
              </w:rPr>
              <w:t>УТВЕРЖДЕНО</w:t>
            </w:r>
          </w:p>
          <w:p w14:paraId="06F241D5" w14:textId="77777777" w:rsidR="00A80FB2" w:rsidRPr="00E55E40" w:rsidRDefault="00A80FB2" w:rsidP="00A80FB2">
            <w:pPr>
              <w:pStyle w:val="af1"/>
              <w:tabs>
                <w:tab w:val="left" w:pos="0"/>
              </w:tabs>
              <w:spacing w:after="0"/>
              <w:ind w:left="0"/>
              <w:rPr>
                <w:b/>
              </w:rPr>
            </w:pPr>
            <w:r w:rsidRPr="00E55E40">
              <w:rPr>
                <w:b/>
              </w:rPr>
              <w:t xml:space="preserve">постановлением </w:t>
            </w:r>
            <w:r w:rsidR="008B0D17" w:rsidRPr="00E55E40">
              <w:rPr>
                <w:b/>
              </w:rPr>
              <w:t>к</w:t>
            </w:r>
            <w:r w:rsidRPr="00E55E40">
              <w:rPr>
                <w:b/>
              </w:rPr>
              <w:t>оллегии контрольно-счетной палаты Волгоградской области</w:t>
            </w:r>
          </w:p>
          <w:p w14:paraId="16D4448D" w14:textId="77777777" w:rsidR="00545EE1" w:rsidRPr="00E55E40" w:rsidRDefault="00A80FB2" w:rsidP="009D474D">
            <w:pPr>
              <w:rPr>
                <w:b/>
                <w:bCs/>
                <w:spacing w:val="-2"/>
              </w:rPr>
            </w:pPr>
            <w:r w:rsidRPr="00E55E40">
              <w:rPr>
                <w:b/>
              </w:rPr>
              <w:t>от 1</w:t>
            </w:r>
            <w:r w:rsidR="009D474D" w:rsidRPr="00E55E40">
              <w:rPr>
                <w:b/>
              </w:rPr>
              <w:t>4</w:t>
            </w:r>
            <w:r w:rsidRPr="00E55E40">
              <w:rPr>
                <w:b/>
              </w:rPr>
              <w:t xml:space="preserve"> октября 201</w:t>
            </w:r>
            <w:r w:rsidR="004C61C4" w:rsidRPr="00E55E40">
              <w:rPr>
                <w:b/>
              </w:rPr>
              <w:t>9</w:t>
            </w:r>
            <w:r w:rsidRPr="00E55E40">
              <w:rPr>
                <w:b/>
              </w:rPr>
              <w:t xml:space="preserve"> года №</w:t>
            </w:r>
            <w:r w:rsidR="00D40532">
              <w:rPr>
                <w:b/>
              </w:rPr>
              <w:t xml:space="preserve"> 17/1</w:t>
            </w:r>
            <w:r w:rsidRPr="00E55E40">
              <w:rPr>
                <w:b/>
              </w:rPr>
              <w:t xml:space="preserve"> </w:t>
            </w:r>
          </w:p>
        </w:tc>
      </w:tr>
    </w:tbl>
    <w:p w14:paraId="59F53624" w14:textId="77777777" w:rsidR="00545EE1" w:rsidRPr="00E55E40" w:rsidRDefault="00545EE1" w:rsidP="00545EE1">
      <w:pPr>
        <w:shd w:val="clear" w:color="auto" w:fill="FFFFFF"/>
        <w:jc w:val="center"/>
        <w:rPr>
          <w:b/>
          <w:bCs/>
          <w:spacing w:val="-2"/>
        </w:rPr>
      </w:pPr>
    </w:p>
    <w:p w14:paraId="2F2AD666" w14:textId="77777777" w:rsidR="00EA78BA" w:rsidRPr="00E55E40" w:rsidRDefault="00EA78BA" w:rsidP="00545EE1">
      <w:pPr>
        <w:shd w:val="clear" w:color="auto" w:fill="FFFFFF"/>
        <w:jc w:val="center"/>
        <w:rPr>
          <w:b/>
          <w:bCs/>
          <w:spacing w:val="-2"/>
        </w:rPr>
      </w:pPr>
    </w:p>
    <w:p w14:paraId="196FE04C" w14:textId="77777777" w:rsidR="00545EE1" w:rsidRPr="00E55E40" w:rsidRDefault="00545EE1" w:rsidP="00545EE1">
      <w:pPr>
        <w:shd w:val="clear" w:color="auto" w:fill="FFFFFF"/>
        <w:jc w:val="center"/>
        <w:rPr>
          <w:b/>
          <w:bCs/>
          <w:spacing w:val="-2"/>
        </w:rPr>
      </w:pPr>
      <w:r w:rsidRPr="00E55E40">
        <w:rPr>
          <w:b/>
          <w:bCs/>
          <w:spacing w:val="-2"/>
        </w:rPr>
        <w:t>Отчет</w:t>
      </w:r>
    </w:p>
    <w:p w14:paraId="73FC83E5" w14:textId="77777777" w:rsidR="00545EE1" w:rsidRPr="00E55E40" w:rsidRDefault="00545EE1" w:rsidP="00545EE1">
      <w:pPr>
        <w:ind w:left="34"/>
        <w:jc w:val="center"/>
        <w:rPr>
          <w:b/>
          <w:bCs/>
          <w:spacing w:val="-2"/>
        </w:rPr>
      </w:pPr>
      <w:r w:rsidRPr="00E55E40">
        <w:rPr>
          <w:b/>
          <w:bCs/>
          <w:spacing w:val="-2"/>
        </w:rPr>
        <w:t>о результатах контрольного мероприятия «Проверка эффективного и целевого использования средств областного бюджета, предоставленных организациям социального обслуживания в 2016-2019 годах, осуществляющим деятельность по уходу за престарелыми и инвалидами с обеспечением проживания. Анализ расходования средств от платной деятельности, осуществляемой в рамках государственного задания, организациями социального обслуживания. Аудит в сфере закупок за 2018 год и истекший период 2019 года»</w:t>
      </w:r>
    </w:p>
    <w:p w14:paraId="395CE28D" w14:textId="77777777" w:rsidR="00545EE1" w:rsidRPr="00E55E40" w:rsidRDefault="00545EE1" w:rsidP="00545EE1">
      <w:pPr>
        <w:shd w:val="clear" w:color="auto" w:fill="FFFFFF"/>
        <w:jc w:val="center"/>
      </w:pPr>
      <w:r w:rsidRPr="00E55E40">
        <w:rPr>
          <w:b/>
          <w:bCs/>
          <w:spacing w:val="-2"/>
        </w:rPr>
        <w:t xml:space="preserve"> </w:t>
      </w:r>
    </w:p>
    <w:p w14:paraId="3B6C0687" w14:textId="19CA5651" w:rsidR="00545EE1" w:rsidRPr="00E55E40" w:rsidRDefault="00545EE1" w:rsidP="00545EE1">
      <w:pPr>
        <w:ind w:firstLine="709"/>
        <w:jc w:val="both"/>
      </w:pPr>
      <w:r w:rsidRPr="00E55E40">
        <w:rPr>
          <w:u w:val="single"/>
        </w:rPr>
        <w:t>Основание проверки:</w:t>
      </w:r>
      <w:r w:rsidRPr="00E55E40">
        <w:t xml:space="preserve"> </w:t>
      </w:r>
      <w:r w:rsidR="00D834D6" w:rsidRPr="00D834D6">
        <w:t>пункт 2.</w:t>
      </w:r>
      <w:r w:rsidR="00D834D6">
        <w:t xml:space="preserve">6 </w:t>
      </w:r>
      <w:r w:rsidRPr="00E55E40">
        <w:t>план</w:t>
      </w:r>
      <w:r w:rsidR="00D834D6">
        <w:t>ы</w:t>
      </w:r>
      <w:r w:rsidRPr="00E55E40">
        <w:t xml:space="preserve"> работы контрольно-счетной палаты Волгоградской области на 201</w:t>
      </w:r>
      <w:r w:rsidR="008B0D17" w:rsidRPr="00E55E40">
        <w:t>9</w:t>
      </w:r>
      <w:r w:rsidRPr="00E55E40">
        <w:t xml:space="preserve"> год, утвержденн</w:t>
      </w:r>
      <w:r w:rsidR="00D834D6">
        <w:t>ого</w:t>
      </w:r>
      <w:bookmarkStart w:id="0" w:name="_GoBack"/>
      <w:bookmarkEnd w:id="0"/>
      <w:r w:rsidRPr="00E55E40">
        <w:t xml:space="preserve"> постановлением коллегии КСП от 17.12.2018 № 23/2.</w:t>
      </w:r>
    </w:p>
    <w:p w14:paraId="3A433193" w14:textId="77777777" w:rsidR="00545EE1" w:rsidRPr="00E55E40" w:rsidRDefault="00545EE1" w:rsidP="00545EE1">
      <w:pPr>
        <w:autoSpaceDE w:val="0"/>
        <w:autoSpaceDN w:val="0"/>
        <w:adjustRightInd w:val="0"/>
        <w:ind w:firstLine="709"/>
        <w:jc w:val="both"/>
      </w:pPr>
      <w:r w:rsidRPr="00E55E40">
        <w:rPr>
          <w:u w:val="single"/>
        </w:rPr>
        <w:t>Цель проверки:</w:t>
      </w:r>
      <w:r w:rsidRPr="00E55E40">
        <w:t> </w:t>
      </w:r>
      <w:r w:rsidR="008B0D17" w:rsidRPr="00E55E40">
        <w:rPr>
          <w:color w:val="000000"/>
        </w:rPr>
        <w:t>оценка</w:t>
      </w:r>
      <w:r w:rsidRPr="00E55E40">
        <w:rPr>
          <w:color w:val="000000"/>
        </w:rPr>
        <w:t xml:space="preserve"> эффективности и целевого использования бюджетных средств</w:t>
      </w:r>
      <w:r w:rsidRPr="00E55E40">
        <w:t>.</w:t>
      </w:r>
    </w:p>
    <w:p w14:paraId="3ED1A7A6" w14:textId="77777777" w:rsidR="00545EE1" w:rsidRPr="00E55E40" w:rsidRDefault="00545EE1" w:rsidP="00545EE1">
      <w:pPr>
        <w:ind w:firstLine="709"/>
        <w:jc w:val="both"/>
      </w:pPr>
      <w:r w:rsidRPr="00E55E40">
        <w:rPr>
          <w:u w:val="single"/>
        </w:rPr>
        <w:t>Проверяемый период:</w:t>
      </w:r>
      <w:r w:rsidRPr="00E55E40">
        <w:t xml:space="preserve"> </w:t>
      </w:r>
      <w:r w:rsidRPr="00E55E40">
        <w:rPr>
          <w:color w:val="000000"/>
        </w:rPr>
        <w:t>2016 год - истекший период 2019 года</w:t>
      </w:r>
      <w:r w:rsidRPr="00E55E40">
        <w:t>.</w:t>
      </w:r>
    </w:p>
    <w:p w14:paraId="0C195D94" w14:textId="77777777" w:rsidR="00617B4B" w:rsidRPr="00E55E40" w:rsidRDefault="00545EE1" w:rsidP="00617B4B">
      <w:pPr>
        <w:ind w:firstLine="709"/>
        <w:jc w:val="both"/>
      </w:pPr>
      <w:r w:rsidRPr="00E55E40">
        <w:t xml:space="preserve">Отчет сформирован с использованием результатов проверок комитета социальной защиты населения Волгоградской области (далее Комитет), 3 подведомственных Комитету государственных </w:t>
      </w:r>
      <w:r w:rsidR="008B0D17" w:rsidRPr="00E55E40">
        <w:t xml:space="preserve">бюджетных </w:t>
      </w:r>
      <w:r w:rsidRPr="00E55E40">
        <w:t>учреждений социального обслуживания и 1 некоммерческой организации.</w:t>
      </w:r>
      <w:r w:rsidR="00617B4B" w:rsidRPr="00E55E40">
        <w:t xml:space="preserve"> (</w:t>
      </w:r>
      <w:r w:rsidR="00617B4B" w:rsidRPr="00E55E40">
        <w:rPr>
          <w:color w:val="0000CC"/>
        </w:rPr>
        <w:t>Приложение № 1</w:t>
      </w:r>
      <w:r w:rsidR="00617B4B" w:rsidRPr="00E55E40">
        <w:t xml:space="preserve"> - перечень проверенных организаций). Акт проверки Комитета подписан Комитетом с разногласиями, на которые КСП подготовлено соответствующее заключение. (</w:t>
      </w:r>
      <w:r w:rsidR="00617B4B" w:rsidRPr="00E55E40">
        <w:rPr>
          <w:color w:val="0000CC"/>
        </w:rPr>
        <w:t>Приложение № 2</w:t>
      </w:r>
      <w:r w:rsidR="00617B4B" w:rsidRPr="00E55E40">
        <w:t xml:space="preserve"> – разногласия Комитета с заключением КСП).</w:t>
      </w:r>
    </w:p>
    <w:p w14:paraId="4427BB2D" w14:textId="77777777" w:rsidR="00545EE1" w:rsidRPr="00E55E40" w:rsidRDefault="00545EE1" w:rsidP="00187837">
      <w:pPr>
        <w:pStyle w:val="a3"/>
        <w:rPr>
          <w:sz w:val="24"/>
          <w:szCs w:val="24"/>
        </w:rPr>
      </w:pPr>
    </w:p>
    <w:p w14:paraId="434480F8" w14:textId="77777777" w:rsidR="00187837" w:rsidRPr="00E55E40" w:rsidRDefault="000840EA" w:rsidP="00187837">
      <w:pPr>
        <w:ind w:firstLine="709"/>
        <w:jc w:val="center"/>
        <w:rPr>
          <w:b/>
        </w:rPr>
      </w:pPr>
      <w:r w:rsidRPr="00E55E40">
        <w:rPr>
          <w:b/>
        </w:rPr>
        <w:t>Общие сведения</w:t>
      </w:r>
    </w:p>
    <w:p w14:paraId="361478D8" w14:textId="77777777" w:rsidR="00187837" w:rsidRPr="00E55E40" w:rsidRDefault="00187837" w:rsidP="00187837">
      <w:pPr>
        <w:autoSpaceDE w:val="0"/>
        <w:autoSpaceDN w:val="0"/>
        <w:adjustRightInd w:val="0"/>
        <w:ind w:firstLine="709"/>
        <w:jc w:val="both"/>
      </w:pPr>
    </w:p>
    <w:p w14:paraId="4A6CCCA3" w14:textId="77777777" w:rsidR="004F7248" w:rsidRPr="00E55E40" w:rsidRDefault="00124F7F" w:rsidP="00187837">
      <w:pPr>
        <w:autoSpaceDE w:val="0"/>
        <w:autoSpaceDN w:val="0"/>
        <w:adjustRightInd w:val="0"/>
        <w:ind w:firstLine="709"/>
        <w:jc w:val="both"/>
        <w:rPr>
          <w:rFonts w:eastAsiaTheme="minorHAnsi"/>
          <w:lang w:eastAsia="en-US"/>
        </w:rPr>
      </w:pPr>
      <w:r w:rsidRPr="00E55E40">
        <w:t xml:space="preserve">В проверяемом периоде деятельность по уходу за престарелыми и инвалидами с обеспечением проживания осуществлялась </w:t>
      </w:r>
      <w:r w:rsidR="00A66A33" w:rsidRPr="00E55E40">
        <w:t xml:space="preserve">следующими </w:t>
      </w:r>
      <w:r w:rsidRPr="00E55E40">
        <w:t>подведомственными Комитету</w:t>
      </w:r>
      <w:r w:rsidR="00A66A33" w:rsidRPr="00E55E40">
        <w:t xml:space="preserve"> </w:t>
      </w:r>
      <w:r w:rsidR="00EA78BA" w:rsidRPr="00E55E40">
        <w:t>учреждениями</w:t>
      </w:r>
      <w:r w:rsidR="00A66A33" w:rsidRPr="00E55E40">
        <w:t>:</w:t>
      </w:r>
      <w:r w:rsidRPr="00E55E40">
        <w:t xml:space="preserve"> психоневрологическими интернатами (далее ПНИ), домами-интернатами для престарелых и инвалидов (далее ДПИ), </w:t>
      </w:r>
      <w:r w:rsidR="00EC33F9" w:rsidRPr="00E55E40">
        <w:t>дома</w:t>
      </w:r>
      <w:r w:rsidR="000805C7" w:rsidRPr="00E55E40">
        <w:t>ми</w:t>
      </w:r>
      <w:r w:rsidR="00EC33F9" w:rsidRPr="00E55E40">
        <w:t>-интерната</w:t>
      </w:r>
      <w:r w:rsidR="000805C7" w:rsidRPr="00E55E40">
        <w:t>ми</w:t>
      </w:r>
      <w:r w:rsidR="00EC33F9" w:rsidRPr="00E55E40">
        <w:t xml:space="preserve"> малой вместимости (далее ДИМВ)</w:t>
      </w:r>
      <w:r w:rsidRPr="00E55E40">
        <w:t>,</w:t>
      </w:r>
      <w:r w:rsidR="00B71A95" w:rsidRPr="00E55E40">
        <w:t xml:space="preserve"> г</w:t>
      </w:r>
      <w:r w:rsidR="00EC33F9" w:rsidRPr="00E55E40">
        <w:rPr>
          <w:rFonts w:eastAsiaTheme="minorHAnsi"/>
          <w:lang w:eastAsia="en-US"/>
        </w:rPr>
        <w:t>еронтологическ</w:t>
      </w:r>
      <w:r w:rsidR="000805C7" w:rsidRPr="00E55E40">
        <w:rPr>
          <w:rFonts w:eastAsiaTheme="minorHAnsi"/>
          <w:lang w:eastAsia="en-US"/>
        </w:rPr>
        <w:t>и</w:t>
      </w:r>
      <w:r w:rsidR="00EC33F9" w:rsidRPr="00E55E40">
        <w:rPr>
          <w:rFonts w:eastAsiaTheme="minorHAnsi"/>
          <w:lang w:eastAsia="en-US"/>
        </w:rPr>
        <w:t>м центр</w:t>
      </w:r>
      <w:r w:rsidR="000805C7" w:rsidRPr="00E55E40">
        <w:rPr>
          <w:rFonts w:eastAsiaTheme="minorHAnsi"/>
          <w:lang w:eastAsia="en-US"/>
        </w:rPr>
        <w:t>ом</w:t>
      </w:r>
      <w:r w:rsidR="00EC33F9" w:rsidRPr="00E55E40">
        <w:rPr>
          <w:rFonts w:eastAsiaTheme="minorHAnsi"/>
          <w:lang w:eastAsia="en-US"/>
        </w:rPr>
        <w:t xml:space="preserve"> (далее ГЦ)</w:t>
      </w:r>
      <w:r w:rsidR="000805C7" w:rsidRPr="00E55E40">
        <w:rPr>
          <w:rFonts w:eastAsiaTheme="minorHAnsi"/>
          <w:lang w:eastAsia="en-US"/>
        </w:rPr>
        <w:t>.</w:t>
      </w:r>
      <w:r w:rsidR="00B71A95" w:rsidRPr="00E55E40">
        <w:rPr>
          <w:rFonts w:eastAsiaTheme="minorHAnsi"/>
          <w:lang w:eastAsia="en-US"/>
        </w:rPr>
        <w:t xml:space="preserve"> </w:t>
      </w:r>
      <w:r w:rsidR="0016482D" w:rsidRPr="00E55E40">
        <w:rPr>
          <w:rFonts w:eastAsiaTheme="minorHAnsi"/>
          <w:lang w:eastAsia="en-US"/>
        </w:rPr>
        <w:t>Информация о</w:t>
      </w:r>
      <w:r w:rsidR="00810FAF" w:rsidRPr="00E55E40">
        <w:rPr>
          <w:rFonts w:eastAsiaTheme="minorHAnsi"/>
          <w:lang w:eastAsia="en-US"/>
        </w:rPr>
        <w:t xml:space="preserve"> составе и </w:t>
      </w:r>
      <w:r w:rsidR="009E79C3" w:rsidRPr="00E55E40">
        <w:rPr>
          <w:rFonts w:eastAsiaTheme="minorHAnsi"/>
          <w:lang w:eastAsia="en-US"/>
        </w:rPr>
        <w:t>количеств</w:t>
      </w:r>
      <w:r w:rsidR="00810FAF" w:rsidRPr="00E55E40">
        <w:rPr>
          <w:rFonts w:eastAsiaTheme="minorHAnsi"/>
          <w:lang w:eastAsia="en-US"/>
        </w:rPr>
        <w:t>е</w:t>
      </w:r>
      <w:r w:rsidR="009E79C3" w:rsidRPr="00E55E40">
        <w:rPr>
          <w:rFonts w:eastAsiaTheme="minorHAnsi"/>
          <w:lang w:eastAsia="en-US"/>
        </w:rPr>
        <w:t xml:space="preserve"> </w:t>
      </w:r>
      <w:r w:rsidR="00EA78BA" w:rsidRPr="00E55E40">
        <w:t>таких учреждений</w:t>
      </w:r>
      <w:r w:rsidR="009E79C3" w:rsidRPr="00E55E40">
        <w:rPr>
          <w:rFonts w:eastAsiaTheme="minorHAnsi"/>
          <w:lang w:eastAsia="en-US"/>
        </w:rPr>
        <w:t xml:space="preserve"> приведен</w:t>
      </w:r>
      <w:r w:rsidR="0016482D" w:rsidRPr="00E55E40">
        <w:rPr>
          <w:rFonts w:eastAsiaTheme="minorHAnsi"/>
          <w:lang w:eastAsia="en-US"/>
        </w:rPr>
        <w:t>а</w:t>
      </w:r>
      <w:r w:rsidR="009E79C3" w:rsidRPr="00E55E40">
        <w:rPr>
          <w:rFonts w:eastAsiaTheme="minorHAnsi"/>
          <w:lang w:eastAsia="en-US"/>
        </w:rPr>
        <w:t xml:space="preserve"> в таблице № 1.</w:t>
      </w:r>
    </w:p>
    <w:p w14:paraId="4AF35EB5" w14:textId="77777777" w:rsidR="009E79C3" w:rsidRPr="00E55E40" w:rsidRDefault="009E79C3" w:rsidP="002762BF">
      <w:pPr>
        <w:autoSpaceDE w:val="0"/>
        <w:autoSpaceDN w:val="0"/>
        <w:adjustRightInd w:val="0"/>
        <w:jc w:val="right"/>
        <w:rPr>
          <w:rFonts w:eastAsiaTheme="minorHAnsi"/>
          <w:lang w:eastAsia="en-US"/>
        </w:rPr>
      </w:pPr>
      <w:r w:rsidRPr="00E55E40">
        <w:rPr>
          <w:rFonts w:eastAsiaTheme="minorHAnsi"/>
          <w:lang w:eastAsia="en-US"/>
        </w:rPr>
        <w:t>Таблица № 1</w:t>
      </w:r>
    </w:p>
    <w:tbl>
      <w:tblPr>
        <w:tblStyle w:val="a7"/>
        <w:tblW w:w="0" w:type="auto"/>
        <w:jc w:val="center"/>
        <w:tblLook w:val="04A0" w:firstRow="1" w:lastRow="0" w:firstColumn="1" w:lastColumn="0" w:noHBand="0" w:noVBand="1"/>
      </w:tblPr>
      <w:tblGrid>
        <w:gridCol w:w="1668"/>
        <w:gridCol w:w="1170"/>
        <w:gridCol w:w="1133"/>
        <w:gridCol w:w="1133"/>
        <w:gridCol w:w="1134"/>
        <w:gridCol w:w="1417"/>
      </w:tblGrid>
      <w:tr w:rsidR="00296355" w:rsidRPr="00E55E40" w14:paraId="421BFD09" w14:textId="77777777" w:rsidTr="00EF18FF">
        <w:trPr>
          <w:jc w:val="center"/>
        </w:trPr>
        <w:tc>
          <w:tcPr>
            <w:tcW w:w="1668" w:type="dxa"/>
            <w:vAlign w:val="center"/>
          </w:tcPr>
          <w:p w14:paraId="75852941" w14:textId="77777777" w:rsidR="00296355" w:rsidRPr="00E55E40" w:rsidRDefault="0074755C" w:rsidP="00EF18FF">
            <w:pPr>
              <w:autoSpaceDE w:val="0"/>
              <w:autoSpaceDN w:val="0"/>
              <w:adjustRightInd w:val="0"/>
              <w:jc w:val="center"/>
              <w:rPr>
                <w:sz w:val="20"/>
                <w:szCs w:val="20"/>
              </w:rPr>
            </w:pPr>
            <w:r w:rsidRPr="00E55E40">
              <w:rPr>
                <w:sz w:val="20"/>
                <w:szCs w:val="20"/>
              </w:rPr>
              <w:t>Вид</w:t>
            </w:r>
            <w:r w:rsidR="00296355" w:rsidRPr="00E55E40">
              <w:rPr>
                <w:sz w:val="20"/>
                <w:szCs w:val="20"/>
              </w:rPr>
              <w:t xml:space="preserve"> учреждений</w:t>
            </w:r>
          </w:p>
        </w:tc>
        <w:tc>
          <w:tcPr>
            <w:tcW w:w="1170" w:type="dxa"/>
            <w:vAlign w:val="center"/>
          </w:tcPr>
          <w:p w14:paraId="108CAB36" w14:textId="77777777" w:rsidR="00296355" w:rsidRPr="00E55E40" w:rsidRDefault="00296355" w:rsidP="00EF18FF">
            <w:pPr>
              <w:autoSpaceDE w:val="0"/>
              <w:autoSpaceDN w:val="0"/>
              <w:adjustRightInd w:val="0"/>
              <w:jc w:val="center"/>
              <w:rPr>
                <w:sz w:val="20"/>
                <w:szCs w:val="20"/>
              </w:rPr>
            </w:pPr>
            <w:r w:rsidRPr="00E55E40">
              <w:rPr>
                <w:sz w:val="20"/>
                <w:szCs w:val="20"/>
              </w:rPr>
              <w:t>на 01.01.2016</w:t>
            </w:r>
          </w:p>
        </w:tc>
        <w:tc>
          <w:tcPr>
            <w:tcW w:w="1133" w:type="dxa"/>
            <w:vAlign w:val="center"/>
          </w:tcPr>
          <w:p w14:paraId="7F90EF2F" w14:textId="77777777" w:rsidR="00296355" w:rsidRPr="00E55E40" w:rsidRDefault="00296355" w:rsidP="00EF18FF">
            <w:pPr>
              <w:autoSpaceDE w:val="0"/>
              <w:autoSpaceDN w:val="0"/>
              <w:adjustRightInd w:val="0"/>
              <w:jc w:val="center"/>
              <w:rPr>
                <w:sz w:val="20"/>
                <w:szCs w:val="20"/>
              </w:rPr>
            </w:pPr>
            <w:r w:rsidRPr="00E55E40">
              <w:rPr>
                <w:sz w:val="20"/>
                <w:szCs w:val="20"/>
              </w:rPr>
              <w:t>на 01.01.2017</w:t>
            </w:r>
          </w:p>
        </w:tc>
        <w:tc>
          <w:tcPr>
            <w:tcW w:w="1133" w:type="dxa"/>
            <w:vAlign w:val="center"/>
          </w:tcPr>
          <w:p w14:paraId="7634E398" w14:textId="77777777" w:rsidR="00296355" w:rsidRPr="00E55E40" w:rsidRDefault="00296355" w:rsidP="00EF18FF">
            <w:pPr>
              <w:autoSpaceDE w:val="0"/>
              <w:autoSpaceDN w:val="0"/>
              <w:adjustRightInd w:val="0"/>
              <w:jc w:val="center"/>
              <w:rPr>
                <w:sz w:val="20"/>
                <w:szCs w:val="20"/>
              </w:rPr>
            </w:pPr>
            <w:r w:rsidRPr="00E55E40">
              <w:rPr>
                <w:sz w:val="20"/>
                <w:szCs w:val="20"/>
              </w:rPr>
              <w:t>на 01.01.2018</w:t>
            </w:r>
          </w:p>
        </w:tc>
        <w:tc>
          <w:tcPr>
            <w:tcW w:w="1134" w:type="dxa"/>
            <w:vAlign w:val="center"/>
          </w:tcPr>
          <w:p w14:paraId="660C326E" w14:textId="77777777" w:rsidR="00296355" w:rsidRPr="00E55E40" w:rsidRDefault="00296355" w:rsidP="00EF18FF">
            <w:pPr>
              <w:autoSpaceDE w:val="0"/>
              <w:autoSpaceDN w:val="0"/>
              <w:adjustRightInd w:val="0"/>
              <w:jc w:val="center"/>
              <w:rPr>
                <w:sz w:val="20"/>
                <w:szCs w:val="20"/>
              </w:rPr>
            </w:pPr>
            <w:r w:rsidRPr="00E55E40">
              <w:rPr>
                <w:sz w:val="20"/>
                <w:szCs w:val="20"/>
              </w:rPr>
              <w:t>на 01.01.2019</w:t>
            </w:r>
          </w:p>
        </w:tc>
        <w:tc>
          <w:tcPr>
            <w:tcW w:w="1417" w:type="dxa"/>
            <w:vAlign w:val="center"/>
          </w:tcPr>
          <w:p w14:paraId="7CF79BAB" w14:textId="77777777" w:rsidR="00296355" w:rsidRPr="00E55E40" w:rsidRDefault="00296355" w:rsidP="00EF18FF">
            <w:pPr>
              <w:autoSpaceDE w:val="0"/>
              <w:autoSpaceDN w:val="0"/>
              <w:adjustRightInd w:val="0"/>
              <w:jc w:val="center"/>
              <w:rPr>
                <w:sz w:val="20"/>
                <w:szCs w:val="20"/>
              </w:rPr>
            </w:pPr>
            <w:r w:rsidRPr="00E55E40">
              <w:rPr>
                <w:sz w:val="20"/>
                <w:szCs w:val="20"/>
              </w:rPr>
              <w:t>изменение (2019 к 2016)</w:t>
            </w:r>
          </w:p>
        </w:tc>
      </w:tr>
      <w:tr w:rsidR="00EF18FF" w:rsidRPr="00E55E40" w14:paraId="77F66952" w14:textId="77777777" w:rsidTr="00EF18FF">
        <w:trPr>
          <w:jc w:val="center"/>
        </w:trPr>
        <w:tc>
          <w:tcPr>
            <w:tcW w:w="1668" w:type="dxa"/>
          </w:tcPr>
          <w:p w14:paraId="46C71D4F" w14:textId="77777777" w:rsidR="00EF18FF" w:rsidRPr="00E55E40" w:rsidRDefault="00EF18FF" w:rsidP="009E79C3">
            <w:pPr>
              <w:autoSpaceDE w:val="0"/>
              <w:autoSpaceDN w:val="0"/>
              <w:adjustRightInd w:val="0"/>
              <w:jc w:val="both"/>
              <w:rPr>
                <w:sz w:val="20"/>
                <w:szCs w:val="20"/>
              </w:rPr>
            </w:pPr>
            <w:r w:rsidRPr="00E55E40">
              <w:rPr>
                <w:sz w:val="20"/>
                <w:szCs w:val="20"/>
              </w:rPr>
              <w:t>ПНИ</w:t>
            </w:r>
          </w:p>
        </w:tc>
        <w:tc>
          <w:tcPr>
            <w:tcW w:w="1170" w:type="dxa"/>
          </w:tcPr>
          <w:p w14:paraId="5FBC2DC6" w14:textId="77777777" w:rsidR="00EF18FF" w:rsidRPr="00E55E40" w:rsidRDefault="00EF18FF" w:rsidP="00EF18FF">
            <w:pPr>
              <w:autoSpaceDE w:val="0"/>
              <w:autoSpaceDN w:val="0"/>
              <w:adjustRightInd w:val="0"/>
              <w:jc w:val="center"/>
              <w:rPr>
                <w:sz w:val="20"/>
                <w:szCs w:val="20"/>
              </w:rPr>
            </w:pPr>
            <w:r w:rsidRPr="00E55E40">
              <w:rPr>
                <w:sz w:val="20"/>
                <w:szCs w:val="20"/>
              </w:rPr>
              <w:t>11</w:t>
            </w:r>
          </w:p>
        </w:tc>
        <w:tc>
          <w:tcPr>
            <w:tcW w:w="1133" w:type="dxa"/>
          </w:tcPr>
          <w:p w14:paraId="5134E91C" w14:textId="77777777" w:rsidR="00EF18FF" w:rsidRPr="00E55E40" w:rsidRDefault="00EF18FF" w:rsidP="00EF18FF">
            <w:pPr>
              <w:autoSpaceDE w:val="0"/>
              <w:autoSpaceDN w:val="0"/>
              <w:adjustRightInd w:val="0"/>
              <w:jc w:val="center"/>
              <w:rPr>
                <w:sz w:val="20"/>
                <w:szCs w:val="20"/>
              </w:rPr>
            </w:pPr>
            <w:r w:rsidRPr="00E55E40">
              <w:rPr>
                <w:sz w:val="20"/>
                <w:szCs w:val="20"/>
              </w:rPr>
              <w:t>11</w:t>
            </w:r>
          </w:p>
        </w:tc>
        <w:tc>
          <w:tcPr>
            <w:tcW w:w="1133" w:type="dxa"/>
          </w:tcPr>
          <w:p w14:paraId="75DFAB63" w14:textId="77777777" w:rsidR="00EF18FF" w:rsidRPr="00E55E40" w:rsidRDefault="00EF18FF" w:rsidP="0016482D">
            <w:pPr>
              <w:autoSpaceDE w:val="0"/>
              <w:autoSpaceDN w:val="0"/>
              <w:adjustRightInd w:val="0"/>
              <w:jc w:val="center"/>
              <w:rPr>
                <w:sz w:val="20"/>
                <w:szCs w:val="20"/>
              </w:rPr>
            </w:pPr>
            <w:r w:rsidRPr="00E55E40">
              <w:rPr>
                <w:sz w:val="20"/>
                <w:szCs w:val="20"/>
              </w:rPr>
              <w:t>1</w:t>
            </w:r>
            <w:r w:rsidR="0016482D" w:rsidRPr="00E55E40">
              <w:rPr>
                <w:sz w:val="20"/>
                <w:szCs w:val="20"/>
              </w:rPr>
              <w:t>2</w:t>
            </w:r>
          </w:p>
        </w:tc>
        <w:tc>
          <w:tcPr>
            <w:tcW w:w="1134" w:type="dxa"/>
          </w:tcPr>
          <w:p w14:paraId="20BEFB77" w14:textId="77777777" w:rsidR="00EF18FF" w:rsidRPr="00E55E40" w:rsidRDefault="00EF18FF" w:rsidP="0016482D">
            <w:pPr>
              <w:autoSpaceDE w:val="0"/>
              <w:autoSpaceDN w:val="0"/>
              <w:adjustRightInd w:val="0"/>
              <w:jc w:val="center"/>
              <w:rPr>
                <w:sz w:val="20"/>
                <w:szCs w:val="20"/>
              </w:rPr>
            </w:pPr>
            <w:r w:rsidRPr="00E55E40">
              <w:rPr>
                <w:sz w:val="20"/>
                <w:szCs w:val="20"/>
              </w:rPr>
              <w:t>1</w:t>
            </w:r>
            <w:r w:rsidR="0016482D" w:rsidRPr="00E55E40">
              <w:rPr>
                <w:sz w:val="20"/>
                <w:szCs w:val="20"/>
              </w:rPr>
              <w:t>2</w:t>
            </w:r>
          </w:p>
        </w:tc>
        <w:tc>
          <w:tcPr>
            <w:tcW w:w="1417" w:type="dxa"/>
          </w:tcPr>
          <w:p w14:paraId="59C1B981" w14:textId="77777777" w:rsidR="00EF18FF" w:rsidRPr="00E55E40" w:rsidRDefault="0016482D" w:rsidP="00EF18FF">
            <w:pPr>
              <w:autoSpaceDE w:val="0"/>
              <w:autoSpaceDN w:val="0"/>
              <w:adjustRightInd w:val="0"/>
              <w:jc w:val="center"/>
              <w:rPr>
                <w:sz w:val="20"/>
                <w:szCs w:val="20"/>
              </w:rPr>
            </w:pPr>
            <w:r w:rsidRPr="00E55E40">
              <w:rPr>
                <w:sz w:val="20"/>
                <w:szCs w:val="20"/>
              </w:rPr>
              <w:t>+1</w:t>
            </w:r>
          </w:p>
        </w:tc>
      </w:tr>
      <w:tr w:rsidR="00EF18FF" w:rsidRPr="00E55E40" w14:paraId="2DE8D350" w14:textId="77777777" w:rsidTr="00EF18FF">
        <w:trPr>
          <w:jc w:val="center"/>
        </w:trPr>
        <w:tc>
          <w:tcPr>
            <w:tcW w:w="1668" w:type="dxa"/>
          </w:tcPr>
          <w:p w14:paraId="4333585D" w14:textId="77777777" w:rsidR="00EF18FF" w:rsidRPr="00E55E40" w:rsidRDefault="00EF18FF" w:rsidP="002762BF">
            <w:pPr>
              <w:autoSpaceDE w:val="0"/>
              <w:autoSpaceDN w:val="0"/>
              <w:adjustRightInd w:val="0"/>
              <w:jc w:val="both"/>
              <w:rPr>
                <w:sz w:val="20"/>
                <w:szCs w:val="20"/>
              </w:rPr>
            </w:pPr>
            <w:r w:rsidRPr="00E55E40">
              <w:rPr>
                <w:rFonts w:eastAsiaTheme="minorHAnsi"/>
                <w:lang w:eastAsia="en-US"/>
              </w:rPr>
              <w:t>ДПИ</w:t>
            </w:r>
          </w:p>
        </w:tc>
        <w:tc>
          <w:tcPr>
            <w:tcW w:w="1170" w:type="dxa"/>
          </w:tcPr>
          <w:p w14:paraId="23D1BF14" w14:textId="77777777" w:rsidR="00EF18FF" w:rsidRPr="00E55E40" w:rsidRDefault="00EF18FF" w:rsidP="00EF18FF">
            <w:pPr>
              <w:autoSpaceDE w:val="0"/>
              <w:autoSpaceDN w:val="0"/>
              <w:adjustRightInd w:val="0"/>
              <w:jc w:val="center"/>
              <w:rPr>
                <w:sz w:val="20"/>
                <w:szCs w:val="20"/>
              </w:rPr>
            </w:pPr>
            <w:r w:rsidRPr="00E55E40">
              <w:rPr>
                <w:sz w:val="20"/>
                <w:szCs w:val="20"/>
              </w:rPr>
              <w:t>8</w:t>
            </w:r>
          </w:p>
        </w:tc>
        <w:tc>
          <w:tcPr>
            <w:tcW w:w="1133" w:type="dxa"/>
          </w:tcPr>
          <w:p w14:paraId="409C2D32" w14:textId="77777777" w:rsidR="00EF18FF" w:rsidRPr="00E55E40" w:rsidRDefault="00EF18FF" w:rsidP="00EF18FF">
            <w:pPr>
              <w:autoSpaceDE w:val="0"/>
              <w:autoSpaceDN w:val="0"/>
              <w:adjustRightInd w:val="0"/>
              <w:jc w:val="center"/>
              <w:rPr>
                <w:sz w:val="20"/>
                <w:szCs w:val="20"/>
              </w:rPr>
            </w:pPr>
            <w:r w:rsidRPr="00E55E40">
              <w:rPr>
                <w:sz w:val="20"/>
                <w:szCs w:val="20"/>
              </w:rPr>
              <w:t>8</w:t>
            </w:r>
          </w:p>
        </w:tc>
        <w:tc>
          <w:tcPr>
            <w:tcW w:w="1133" w:type="dxa"/>
          </w:tcPr>
          <w:p w14:paraId="427EA337" w14:textId="77777777" w:rsidR="00EF18FF" w:rsidRPr="00E55E40" w:rsidRDefault="0016482D" w:rsidP="00EF18FF">
            <w:pPr>
              <w:autoSpaceDE w:val="0"/>
              <w:autoSpaceDN w:val="0"/>
              <w:adjustRightInd w:val="0"/>
              <w:jc w:val="center"/>
              <w:rPr>
                <w:sz w:val="20"/>
                <w:szCs w:val="20"/>
              </w:rPr>
            </w:pPr>
            <w:r w:rsidRPr="00E55E40">
              <w:rPr>
                <w:sz w:val="20"/>
                <w:szCs w:val="20"/>
              </w:rPr>
              <w:t>7</w:t>
            </w:r>
          </w:p>
        </w:tc>
        <w:tc>
          <w:tcPr>
            <w:tcW w:w="1134" w:type="dxa"/>
          </w:tcPr>
          <w:p w14:paraId="0F485CD6" w14:textId="77777777" w:rsidR="00EF18FF" w:rsidRPr="00E55E40" w:rsidRDefault="0016482D" w:rsidP="00EF18FF">
            <w:pPr>
              <w:autoSpaceDE w:val="0"/>
              <w:autoSpaceDN w:val="0"/>
              <w:adjustRightInd w:val="0"/>
              <w:jc w:val="center"/>
              <w:rPr>
                <w:sz w:val="20"/>
                <w:szCs w:val="20"/>
              </w:rPr>
            </w:pPr>
            <w:r w:rsidRPr="00E55E40">
              <w:rPr>
                <w:sz w:val="20"/>
                <w:szCs w:val="20"/>
              </w:rPr>
              <w:t>7</w:t>
            </w:r>
          </w:p>
        </w:tc>
        <w:tc>
          <w:tcPr>
            <w:tcW w:w="1417" w:type="dxa"/>
          </w:tcPr>
          <w:p w14:paraId="661E27C6" w14:textId="77777777" w:rsidR="00EF18FF" w:rsidRPr="00E55E40" w:rsidRDefault="0016482D" w:rsidP="00EF18FF">
            <w:pPr>
              <w:autoSpaceDE w:val="0"/>
              <w:autoSpaceDN w:val="0"/>
              <w:adjustRightInd w:val="0"/>
              <w:jc w:val="center"/>
              <w:rPr>
                <w:sz w:val="20"/>
                <w:szCs w:val="20"/>
              </w:rPr>
            </w:pPr>
            <w:r w:rsidRPr="00E55E40">
              <w:rPr>
                <w:sz w:val="20"/>
                <w:szCs w:val="20"/>
              </w:rPr>
              <w:t>-1</w:t>
            </w:r>
          </w:p>
        </w:tc>
      </w:tr>
      <w:tr w:rsidR="00EF18FF" w:rsidRPr="00E55E40" w14:paraId="0A9A2E53" w14:textId="77777777" w:rsidTr="00EF18FF">
        <w:trPr>
          <w:jc w:val="center"/>
        </w:trPr>
        <w:tc>
          <w:tcPr>
            <w:tcW w:w="1668" w:type="dxa"/>
          </w:tcPr>
          <w:p w14:paraId="57FF6B9E" w14:textId="77777777" w:rsidR="00EF18FF" w:rsidRPr="00E55E40" w:rsidRDefault="00EF18FF" w:rsidP="009E79C3">
            <w:pPr>
              <w:autoSpaceDE w:val="0"/>
              <w:autoSpaceDN w:val="0"/>
              <w:adjustRightInd w:val="0"/>
              <w:jc w:val="both"/>
              <w:rPr>
                <w:sz w:val="20"/>
                <w:szCs w:val="20"/>
              </w:rPr>
            </w:pPr>
            <w:r w:rsidRPr="00E55E40">
              <w:rPr>
                <w:sz w:val="20"/>
                <w:szCs w:val="20"/>
              </w:rPr>
              <w:t>ДИМВ</w:t>
            </w:r>
          </w:p>
        </w:tc>
        <w:tc>
          <w:tcPr>
            <w:tcW w:w="1170" w:type="dxa"/>
          </w:tcPr>
          <w:p w14:paraId="7CD07824" w14:textId="77777777" w:rsidR="00EF18FF" w:rsidRPr="00E55E40" w:rsidRDefault="00EF18FF" w:rsidP="00EF18FF">
            <w:pPr>
              <w:autoSpaceDE w:val="0"/>
              <w:autoSpaceDN w:val="0"/>
              <w:adjustRightInd w:val="0"/>
              <w:jc w:val="center"/>
              <w:rPr>
                <w:sz w:val="20"/>
                <w:szCs w:val="20"/>
              </w:rPr>
            </w:pPr>
            <w:r w:rsidRPr="00E55E40">
              <w:rPr>
                <w:sz w:val="20"/>
                <w:szCs w:val="20"/>
              </w:rPr>
              <w:t>5</w:t>
            </w:r>
          </w:p>
        </w:tc>
        <w:tc>
          <w:tcPr>
            <w:tcW w:w="1133" w:type="dxa"/>
          </w:tcPr>
          <w:p w14:paraId="649E04EC" w14:textId="77777777" w:rsidR="00EF18FF" w:rsidRPr="00E55E40" w:rsidRDefault="00EF18FF" w:rsidP="00EF18FF">
            <w:pPr>
              <w:autoSpaceDE w:val="0"/>
              <w:autoSpaceDN w:val="0"/>
              <w:adjustRightInd w:val="0"/>
              <w:jc w:val="center"/>
              <w:rPr>
                <w:sz w:val="20"/>
                <w:szCs w:val="20"/>
              </w:rPr>
            </w:pPr>
            <w:r w:rsidRPr="00E55E40">
              <w:rPr>
                <w:sz w:val="20"/>
                <w:szCs w:val="20"/>
              </w:rPr>
              <w:t>-</w:t>
            </w:r>
          </w:p>
        </w:tc>
        <w:tc>
          <w:tcPr>
            <w:tcW w:w="1133" w:type="dxa"/>
          </w:tcPr>
          <w:p w14:paraId="1D2FB7B7" w14:textId="77777777" w:rsidR="00EF18FF" w:rsidRPr="00E55E40" w:rsidRDefault="00EF18FF" w:rsidP="00EF18FF">
            <w:pPr>
              <w:autoSpaceDE w:val="0"/>
              <w:autoSpaceDN w:val="0"/>
              <w:adjustRightInd w:val="0"/>
              <w:jc w:val="center"/>
              <w:rPr>
                <w:sz w:val="20"/>
                <w:szCs w:val="20"/>
              </w:rPr>
            </w:pPr>
            <w:r w:rsidRPr="00E55E40">
              <w:rPr>
                <w:sz w:val="20"/>
                <w:szCs w:val="20"/>
              </w:rPr>
              <w:t>-</w:t>
            </w:r>
          </w:p>
        </w:tc>
        <w:tc>
          <w:tcPr>
            <w:tcW w:w="1134" w:type="dxa"/>
          </w:tcPr>
          <w:p w14:paraId="4AA7A320" w14:textId="77777777" w:rsidR="00EF18FF" w:rsidRPr="00E55E40" w:rsidRDefault="00EF18FF" w:rsidP="00EF18FF">
            <w:pPr>
              <w:autoSpaceDE w:val="0"/>
              <w:autoSpaceDN w:val="0"/>
              <w:adjustRightInd w:val="0"/>
              <w:jc w:val="center"/>
              <w:rPr>
                <w:sz w:val="20"/>
                <w:szCs w:val="20"/>
              </w:rPr>
            </w:pPr>
            <w:r w:rsidRPr="00E55E40">
              <w:rPr>
                <w:sz w:val="20"/>
                <w:szCs w:val="20"/>
              </w:rPr>
              <w:t>-</w:t>
            </w:r>
          </w:p>
        </w:tc>
        <w:tc>
          <w:tcPr>
            <w:tcW w:w="1417" w:type="dxa"/>
          </w:tcPr>
          <w:p w14:paraId="1C29CC95" w14:textId="77777777" w:rsidR="00EF18FF" w:rsidRPr="00E55E40" w:rsidRDefault="00EF18FF" w:rsidP="00EF18FF">
            <w:pPr>
              <w:autoSpaceDE w:val="0"/>
              <w:autoSpaceDN w:val="0"/>
              <w:adjustRightInd w:val="0"/>
              <w:jc w:val="center"/>
              <w:rPr>
                <w:sz w:val="20"/>
                <w:szCs w:val="20"/>
              </w:rPr>
            </w:pPr>
            <w:r w:rsidRPr="00E55E40">
              <w:rPr>
                <w:sz w:val="20"/>
                <w:szCs w:val="20"/>
              </w:rPr>
              <w:t>-</w:t>
            </w:r>
            <w:r w:rsidR="0016482D" w:rsidRPr="00E55E40">
              <w:rPr>
                <w:sz w:val="20"/>
                <w:szCs w:val="20"/>
              </w:rPr>
              <w:t>5</w:t>
            </w:r>
          </w:p>
        </w:tc>
      </w:tr>
      <w:tr w:rsidR="00EF18FF" w:rsidRPr="00E55E40" w14:paraId="346059E8" w14:textId="77777777" w:rsidTr="00EF18FF">
        <w:trPr>
          <w:jc w:val="center"/>
        </w:trPr>
        <w:tc>
          <w:tcPr>
            <w:tcW w:w="1668" w:type="dxa"/>
          </w:tcPr>
          <w:p w14:paraId="57EFD07C" w14:textId="77777777" w:rsidR="00EF18FF" w:rsidRPr="00E55E40" w:rsidRDefault="00EF18FF" w:rsidP="009E79C3">
            <w:pPr>
              <w:autoSpaceDE w:val="0"/>
              <w:autoSpaceDN w:val="0"/>
              <w:adjustRightInd w:val="0"/>
              <w:jc w:val="both"/>
              <w:rPr>
                <w:sz w:val="20"/>
                <w:szCs w:val="20"/>
              </w:rPr>
            </w:pPr>
            <w:r w:rsidRPr="00E55E40">
              <w:rPr>
                <w:sz w:val="20"/>
                <w:szCs w:val="20"/>
              </w:rPr>
              <w:t>ГЦ</w:t>
            </w:r>
          </w:p>
        </w:tc>
        <w:tc>
          <w:tcPr>
            <w:tcW w:w="1170" w:type="dxa"/>
          </w:tcPr>
          <w:p w14:paraId="261E16F1" w14:textId="77777777" w:rsidR="00EF18FF" w:rsidRPr="00E55E40" w:rsidRDefault="00EF18FF" w:rsidP="00EF18FF">
            <w:pPr>
              <w:autoSpaceDE w:val="0"/>
              <w:autoSpaceDN w:val="0"/>
              <w:adjustRightInd w:val="0"/>
              <w:jc w:val="center"/>
              <w:rPr>
                <w:sz w:val="20"/>
                <w:szCs w:val="20"/>
              </w:rPr>
            </w:pPr>
            <w:r w:rsidRPr="00E55E40">
              <w:rPr>
                <w:sz w:val="20"/>
                <w:szCs w:val="20"/>
              </w:rPr>
              <w:t>1</w:t>
            </w:r>
          </w:p>
        </w:tc>
        <w:tc>
          <w:tcPr>
            <w:tcW w:w="1133" w:type="dxa"/>
          </w:tcPr>
          <w:p w14:paraId="6B62D29F" w14:textId="77777777" w:rsidR="00EF18FF" w:rsidRPr="00E55E40" w:rsidRDefault="00EF18FF" w:rsidP="00EF18FF">
            <w:pPr>
              <w:autoSpaceDE w:val="0"/>
              <w:autoSpaceDN w:val="0"/>
              <w:adjustRightInd w:val="0"/>
              <w:jc w:val="center"/>
              <w:rPr>
                <w:sz w:val="20"/>
                <w:szCs w:val="20"/>
              </w:rPr>
            </w:pPr>
            <w:r w:rsidRPr="00E55E40">
              <w:rPr>
                <w:sz w:val="20"/>
                <w:szCs w:val="20"/>
              </w:rPr>
              <w:t>1</w:t>
            </w:r>
          </w:p>
        </w:tc>
        <w:tc>
          <w:tcPr>
            <w:tcW w:w="1133" w:type="dxa"/>
          </w:tcPr>
          <w:p w14:paraId="49370B02" w14:textId="77777777" w:rsidR="00EF18FF" w:rsidRPr="00E55E40" w:rsidRDefault="00EF18FF" w:rsidP="00EF18FF">
            <w:pPr>
              <w:autoSpaceDE w:val="0"/>
              <w:autoSpaceDN w:val="0"/>
              <w:adjustRightInd w:val="0"/>
              <w:jc w:val="center"/>
              <w:rPr>
                <w:sz w:val="20"/>
                <w:szCs w:val="20"/>
              </w:rPr>
            </w:pPr>
            <w:r w:rsidRPr="00E55E40">
              <w:rPr>
                <w:sz w:val="20"/>
                <w:szCs w:val="20"/>
              </w:rPr>
              <w:t>1</w:t>
            </w:r>
          </w:p>
        </w:tc>
        <w:tc>
          <w:tcPr>
            <w:tcW w:w="1134" w:type="dxa"/>
          </w:tcPr>
          <w:p w14:paraId="5FAE1F45" w14:textId="77777777" w:rsidR="00EF18FF" w:rsidRPr="00E55E40" w:rsidRDefault="00EF18FF" w:rsidP="00EF18FF">
            <w:pPr>
              <w:autoSpaceDE w:val="0"/>
              <w:autoSpaceDN w:val="0"/>
              <w:adjustRightInd w:val="0"/>
              <w:jc w:val="center"/>
              <w:rPr>
                <w:sz w:val="20"/>
                <w:szCs w:val="20"/>
              </w:rPr>
            </w:pPr>
            <w:r w:rsidRPr="00E55E40">
              <w:rPr>
                <w:sz w:val="20"/>
                <w:szCs w:val="20"/>
              </w:rPr>
              <w:t>1</w:t>
            </w:r>
          </w:p>
        </w:tc>
        <w:tc>
          <w:tcPr>
            <w:tcW w:w="1417" w:type="dxa"/>
          </w:tcPr>
          <w:p w14:paraId="35F28836" w14:textId="77777777" w:rsidR="00EF18FF" w:rsidRPr="00E55E40" w:rsidRDefault="0016482D" w:rsidP="00EF18FF">
            <w:pPr>
              <w:autoSpaceDE w:val="0"/>
              <w:autoSpaceDN w:val="0"/>
              <w:adjustRightInd w:val="0"/>
              <w:jc w:val="center"/>
              <w:rPr>
                <w:sz w:val="20"/>
                <w:szCs w:val="20"/>
              </w:rPr>
            </w:pPr>
            <w:r w:rsidRPr="00E55E40">
              <w:rPr>
                <w:sz w:val="20"/>
                <w:szCs w:val="20"/>
              </w:rPr>
              <w:t>-</w:t>
            </w:r>
          </w:p>
        </w:tc>
      </w:tr>
      <w:tr w:rsidR="00EF18FF" w:rsidRPr="00E55E40" w14:paraId="7E7E57B0" w14:textId="77777777" w:rsidTr="00EF18FF">
        <w:trPr>
          <w:jc w:val="center"/>
        </w:trPr>
        <w:tc>
          <w:tcPr>
            <w:tcW w:w="1668" w:type="dxa"/>
          </w:tcPr>
          <w:p w14:paraId="6F65EE66" w14:textId="77777777" w:rsidR="00EF18FF" w:rsidRPr="00E55E40" w:rsidRDefault="00EF18FF" w:rsidP="008623F1">
            <w:pPr>
              <w:autoSpaceDE w:val="0"/>
              <w:autoSpaceDN w:val="0"/>
              <w:adjustRightInd w:val="0"/>
              <w:jc w:val="right"/>
              <w:rPr>
                <w:b/>
                <w:sz w:val="20"/>
                <w:szCs w:val="20"/>
              </w:rPr>
            </w:pPr>
            <w:r w:rsidRPr="00E55E40">
              <w:rPr>
                <w:b/>
                <w:sz w:val="20"/>
                <w:szCs w:val="20"/>
              </w:rPr>
              <w:t>итого</w:t>
            </w:r>
          </w:p>
        </w:tc>
        <w:tc>
          <w:tcPr>
            <w:tcW w:w="1170" w:type="dxa"/>
          </w:tcPr>
          <w:p w14:paraId="3477A615" w14:textId="77777777" w:rsidR="00EF18FF" w:rsidRPr="00E55E40" w:rsidRDefault="00EF18FF" w:rsidP="00EF18FF">
            <w:pPr>
              <w:autoSpaceDE w:val="0"/>
              <w:autoSpaceDN w:val="0"/>
              <w:adjustRightInd w:val="0"/>
              <w:jc w:val="center"/>
              <w:rPr>
                <w:b/>
                <w:sz w:val="20"/>
                <w:szCs w:val="20"/>
              </w:rPr>
            </w:pPr>
            <w:r w:rsidRPr="00E55E40">
              <w:rPr>
                <w:b/>
                <w:sz w:val="20"/>
                <w:szCs w:val="20"/>
              </w:rPr>
              <w:t>25</w:t>
            </w:r>
          </w:p>
        </w:tc>
        <w:tc>
          <w:tcPr>
            <w:tcW w:w="1133" w:type="dxa"/>
          </w:tcPr>
          <w:p w14:paraId="6D2B442D" w14:textId="77777777" w:rsidR="00EF18FF" w:rsidRPr="00E55E40" w:rsidRDefault="00EF18FF" w:rsidP="00EF18FF">
            <w:pPr>
              <w:autoSpaceDE w:val="0"/>
              <w:autoSpaceDN w:val="0"/>
              <w:adjustRightInd w:val="0"/>
              <w:jc w:val="center"/>
              <w:rPr>
                <w:b/>
                <w:sz w:val="20"/>
                <w:szCs w:val="20"/>
              </w:rPr>
            </w:pPr>
            <w:r w:rsidRPr="00E55E40">
              <w:rPr>
                <w:b/>
                <w:sz w:val="20"/>
                <w:szCs w:val="20"/>
              </w:rPr>
              <w:t>20</w:t>
            </w:r>
          </w:p>
        </w:tc>
        <w:tc>
          <w:tcPr>
            <w:tcW w:w="1133" w:type="dxa"/>
          </w:tcPr>
          <w:p w14:paraId="2FE3564E" w14:textId="77777777" w:rsidR="00EF18FF" w:rsidRPr="00E55E40" w:rsidRDefault="00EF18FF" w:rsidP="00EF18FF">
            <w:pPr>
              <w:autoSpaceDE w:val="0"/>
              <w:autoSpaceDN w:val="0"/>
              <w:adjustRightInd w:val="0"/>
              <w:jc w:val="center"/>
              <w:rPr>
                <w:b/>
                <w:sz w:val="20"/>
                <w:szCs w:val="20"/>
              </w:rPr>
            </w:pPr>
            <w:r w:rsidRPr="00E55E40">
              <w:rPr>
                <w:b/>
                <w:sz w:val="20"/>
                <w:szCs w:val="20"/>
              </w:rPr>
              <w:t>20</w:t>
            </w:r>
          </w:p>
        </w:tc>
        <w:tc>
          <w:tcPr>
            <w:tcW w:w="1134" w:type="dxa"/>
          </w:tcPr>
          <w:p w14:paraId="3F72ADCD" w14:textId="77777777" w:rsidR="00EF18FF" w:rsidRPr="00E55E40" w:rsidRDefault="00EF18FF" w:rsidP="00A66A33">
            <w:pPr>
              <w:autoSpaceDE w:val="0"/>
              <w:autoSpaceDN w:val="0"/>
              <w:adjustRightInd w:val="0"/>
              <w:jc w:val="center"/>
              <w:rPr>
                <w:b/>
                <w:sz w:val="20"/>
                <w:szCs w:val="20"/>
              </w:rPr>
            </w:pPr>
            <w:r w:rsidRPr="00E55E40">
              <w:rPr>
                <w:b/>
                <w:sz w:val="20"/>
                <w:szCs w:val="20"/>
              </w:rPr>
              <w:t>2</w:t>
            </w:r>
            <w:r w:rsidR="00A66A33" w:rsidRPr="00E55E40">
              <w:rPr>
                <w:b/>
                <w:sz w:val="20"/>
                <w:szCs w:val="20"/>
              </w:rPr>
              <w:t>0</w:t>
            </w:r>
          </w:p>
        </w:tc>
        <w:tc>
          <w:tcPr>
            <w:tcW w:w="1417" w:type="dxa"/>
          </w:tcPr>
          <w:p w14:paraId="2D82658B" w14:textId="77777777" w:rsidR="00EF18FF" w:rsidRPr="00E55E40" w:rsidRDefault="0016482D" w:rsidP="00A66A33">
            <w:pPr>
              <w:autoSpaceDE w:val="0"/>
              <w:autoSpaceDN w:val="0"/>
              <w:adjustRightInd w:val="0"/>
              <w:jc w:val="center"/>
              <w:rPr>
                <w:b/>
                <w:sz w:val="20"/>
                <w:szCs w:val="20"/>
              </w:rPr>
            </w:pPr>
            <w:r w:rsidRPr="00E55E40">
              <w:rPr>
                <w:b/>
                <w:sz w:val="20"/>
                <w:szCs w:val="20"/>
              </w:rPr>
              <w:t>-</w:t>
            </w:r>
            <w:r w:rsidR="00A66A33" w:rsidRPr="00E55E40">
              <w:rPr>
                <w:b/>
                <w:sz w:val="20"/>
                <w:szCs w:val="20"/>
              </w:rPr>
              <w:t>5</w:t>
            </w:r>
          </w:p>
        </w:tc>
      </w:tr>
    </w:tbl>
    <w:p w14:paraId="4FF7051B" w14:textId="77777777" w:rsidR="009E79C3" w:rsidRPr="00E55E40" w:rsidRDefault="009E79C3" w:rsidP="009E79C3">
      <w:pPr>
        <w:autoSpaceDE w:val="0"/>
        <w:autoSpaceDN w:val="0"/>
        <w:adjustRightInd w:val="0"/>
        <w:jc w:val="both"/>
      </w:pPr>
    </w:p>
    <w:p w14:paraId="528BB48C" w14:textId="77777777" w:rsidR="00EA78BA" w:rsidRPr="00E55E40" w:rsidRDefault="00EA78BA" w:rsidP="00A66A33">
      <w:pPr>
        <w:autoSpaceDE w:val="0"/>
        <w:autoSpaceDN w:val="0"/>
        <w:adjustRightInd w:val="0"/>
        <w:ind w:firstLine="709"/>
        <w:jc w:val="both"/>
      </w:pPr>
      <w:r w:rsidRPr="00E55E40">
        <w:t>И</w:t>
      </w:r>
      <w:r w:rsidR="000805C7" w:rsidRPr="00E55E40">
        <w:t>з таблицы № 1</w:t>
      </w:r>
      <w:r w:rsidRPr="00E55E40">
        <w:t xml:space="preserve"> видно</w:t>
      </w:r>
      <w:r w:rsidR="000805C7" w:rsidRPr="00E55E40">
        <w:t xml:space="preserve">, </w:t>
      </w:r>
      <w:r w:rsidRPr="00E55E40">
        <w:t xml:space="preserve">что </w:t>
      </w:r>
      <w:r w:rsidR="000805C7" w:rsidRPr="00E55E40">
        <w:t>к</w:t>
      </w:r>
      <w:r w:rsidR="00EF18FF" w:rsidRPr="00E55E40">
        <w:t xml:space="preserve">оличество </w:t>
      </w:r>
      <w:r w:rsidRPr="00E55E40">
        <w:t>учреждений</w:t>
      </w:r>
      <w:r w:rsidR="00E53034" w:rsidRPr="00E55E40">
        <w:t xml:space="preserve"> за 2016-2019 годы</w:t>
      </w:r>
      <w:r w:rsidR="00EF18FF" w:rsidRPr="00E55E40">
        <w:t xml:space="preserve"> сократилось </w:t>
      </w:r>
      <w:r w:rsidRPr="00E55E40">
        <w:t xml:space="preserve">на </w:t>
      </w:r>
      <w:r w:rsidR="00EF18FF" w:rsidRPr="00E55E40">
        <w:t xml:space="preserve">5, что </w:t>
      </w:r>
      <w:r w:rsidRPr="00E55E40">
        <w:t>обусловлено</w:t>
      </w:r>
      <w:r w:rsidR="00E53034" w:rsidRPr="00E55E40">
        <w:t xml:space="preserve"> </w:t>
      </w:r>
      <w:r w:rsidR="00EF18FF" w:rsidRPr="00E55E40">
        <w:t xml:space="preserve">присоединением ДИМВ к </w:t>
      </w:r>
      <w:r w:rsidR="00F31CCF" w:rsidRPr="00E55E40">
        <w:t>ДПИ и ПНИ в</w:t>
      </w:r>
      <w:r w:rsidRPr="00E55E40">
        <w:t>о</w:t>
      </w:r>
      <w:r w:rsidR="00EF18FF" w:rsidRPr="00E55E40">
        <w:t xml:space="preserve"> </w:t>
      </w:r>
      <w:r w:rsidRPr="00E55E40">
        <w:t>исполнение</w:t>
      </w:r>
      <w:r w:rsidR="00E53034" w:rsidRPr="00E55E40">
        <w:t xml:space="preserve"> </w:t>
      </w:r>
      <w:r w:rsidR="00EF18FF" w:rsidRPr="00E55E40">
        <w:t>плана оптимизации деятельности государственных организаций социального обслуживания Волгоградской области</w:t>
      </w:r>
      <w:r w:rsidR="00810FAF" w:rsidRPr="00E55E40">
        <w:t>.</w:t>
      </w:r>
    </w:p>
    <w:p w14:paraId="549A5399" w14:textId="77777777" w:rsidR="0004684D" w:rsidRPr="00E55E40" w:rsidRDefault="00966AC5" w:rsidP="00A66A33">
      <w:pPr>
        <w:autoSpaceDE w:val="0"/>
        <w:autoSpaceDN w:val="0"/>
        <w:adjustRightInd w:val="0"/>
        <w:ind w:firstLine="709"/>
        <w:jc w:val="both"/>
      </w:pPr>
      <w:r w:rsidRPr="00E55E40">
        <w:t xml:space="preserve">Количество коек, развернутых в </w:t>
      </w:r>
      <w:r w:rsidR="00EA78BA" w:rsidRPr="00E55E40">
        <w:t>учреждениях</w:t>
      </w:r>
      <w:r w:rsidR="00A66A33" w:rsidRPr="00E55E40">
        <w:t xml:space="preserve"> </w:t>
      </w:r>
      <w:r w:rsidRPr="00E55E40">
        <w:t xml:space="preserve">за </w:t>
      </w:r>
      <w:r w:rsidR="00EA78BA" w:rsidRPr="00E55E40">
        <w:t>проверяемый период</w:t>
      </w:r>
      <w:r w:rsidR="00A37017" w:rsidRPr="00E55E40">
        <w:t>,</w:t>
      </w:r>
      <w:r w:rsidRPr="00E55E40">
        <w:t xml:space="preserve"> уменьшилось</w:t>
      </w:r>
      <w:r w:rsidR="008B0D17" w:rsidRPr="00E55E40">
        <w:t xml:space="preserve"> с 4665 (на 01.01.2016) до 4356 (01.01.2019), или</w:t>
      </w:r>
      <w:r w:rsidRPr="00E55E40">
        <w:t xml:space="preserve"> на </w:t>
      </w:r>
      <w:r w:rsidR="00880938" w:rsidRPr="00E55E40">
        <w:t>28</w:t>
      </w:r>
      <w:r w:rsidR="00F16782" w:rsidRPr="00E55E40">
        <w:t>9</w:t>
      </w:r>
      <w:r w:rsidR="008C3C61" w:rsidRPr="00E55E40">
        <w:t xml:space="preserve"> </w:t>
      </w:r>
      <w:r w:rsidR="008B0D17" w:rsidRPr="00E55E40">
        <w:t>(</w:t>
      </w:r>
      <w:r w:rsidR="008C3C61" w:rsidRPr="00E55E40">
        <w:t>на 6,2</w:t>
      </w:r>
      <w:r w:rsidR="008B0D17" w:rsidRPr="00E55E40">
        <w:t>%)</w:t>
      </w:r>
      <w:r w:rsidR="00880938" w:rsidRPr="00E55E40">
        <w:t>.</w:t>
      </w:r>
      <w:r w:rsidR="0016482D" w:rsidRPr="00E55E40">
        <w:t xml:space="preserve"> </w:t>
      </w:r>
    </w:p>
    <w:p w14:paraId="3F85EE46" w14:textId="77777777" w:rsidR="007A7D9C" w:rsidRPr="00E55E40" w:rsidRDefault="00626B77" w:rsidP="00EA78BA">
      <w:pPr>
        <w:autoSpaceDE w:val="0"/>
        <w:autoSpaceDN w:val="0"/>
        <w:adjustRightInd w:val="0"/>
        <w:ind w:firstLine="709"/>
        <w:jc w:val="both"/>
      </w:pPr>
      <w:r w:rsidRPr="00E55E40">
        <w:lastRenderedPageBreak/>
        <w:t xml:space="preserve">Финансовое обеспечение </w:t>
      </w:r>
      <w:r w:rsidR="00E67FC5" w:rsidRPr="00E55E40">
        <w:t xml:space="preserve">подведомственных Комитету </w:t>
      </w:r>
      <w:r w:rsidR="00EA78BA" w:rsidRPr="00E55E40">
        <w:t>учреждений</w:t>
      </w:r>
      <w:r w:rsidR="00E67FC5" w:rsidRPr="00E55E40">
        <w:t xml:space="preserve"> </w:t>
      </w:r>
      <w:r w:rsidR="00CC36EE" w:rsidRPr="00E55E40">
        <w:t xml:space="preserve">в проверяемом периоде осуществлялось за счет средств областного бюджета </w:t>
      </w:r>
      <w:r w:rsidR="00E67FC5" w:rsidRPr="00E55E40">
        <w:t xml:space="preserve">и </w:t>
      </w:r>
      <w:r w:rsidR="00AB2F9F" w:rsidRPr="00E55E40">
        <w:t>средств</w:t>
      </w:r>
      <w:r w:rsidR="00E67FC5" w:rsidRPr="00E55E40">
        <w:t xml:space="preserve"> </w:t>
      </w:r>
      <w:r w:rsidR="00AB2F9F" w:rsidRPr="00E55E40">
        <w:t xml:space="preserve">от </w:t>
      </w:r>
      <w:r w:rsidR="00E67FC5" w:rsidRPr="00E55E40">
        <w:t xml:space="preserve">внебюджетной </w:t>
      </w:r>
      <w:r w:rsidR="00AB2F9F" w:rsidRPr="00E55E40">
        <w:t>деятельности</w:t>
      </w:r>
      <w:r w:rsidR="00E67FC5" w:rsidRPr="00E55E40">
        <w:t>, осуществляемой в рамках государственного задания</w:t>
      </w:r>
      <w:r w:rsidR="00A37017" w:rsidRPr="00E55E40">
        <w:t xml:space="preserve"> (пенсии получателей социальных услуг в соответствии с договорами о социальном обслуживании) и сверх государственного задания (иная платная деятельность)</w:t>
      </w:r>
      <w:r w:rsidR="00AB2F9F" w:rsidRPr="00E55E40">
        <w:t>.</w:t>
      </w:r>
      <w:r w:rsidR="00EA78BA" w:rsidRPr="00E55E40">
        <w:t xml:space="preserve"> </w:t>
      </w:r>
    </w:p>
    <w:p w14:paraId="1012B72B" w14:textId="77777777" w:rsidR="00EA78BA" w:rsidRPr="00E55E40" w:rsidRDefault="00EA78BA" w:rsidP="00EA78BA">
      <w:pPr>
        <w:autoSpaceDE w:val="0"/>
        <w:autoSpaceDN w:val="0"/>
        <w:adjustRightInd w:val="0"/>
        <w:ind w:firstLine="709"/>
        <w:jc w:val="both"/>
      </w:pPr>
      <w:r w:rsidRPr="00E55E40">
        <w:t xml:space="preserve">Расходы учреждений за 2016-2018 годы выросли на 897,9 млн. руб., или на 71,5%, в том числе за счет средств областного бюджета на 744,9 млн. руб. </w:t>
      </w:r>
      <w:r w:rsidR="00BA399E" w:rsidRPr="00E55E40">
        <w:t>(</w:t>
      </w:r>
      <w:r w:rsidRPr="00E55E40">
        <w:t>на 81,1%</w:t>
      </w:r>
      <w:r w:rsidR="00BA399E" w:rsidRPr="00E55E40">
        <w:t>)</w:t>
      </w:r>
      <w:r w:rsidRPr="00E55E40">
        <w:t xml:space="preserve">, за счет средств от внебюджетной деятельности на 153 млн. руб. </w:t>
      </w:r>
      <w:r w:rsidR="008C2FA1" w:rsidRPr="00E55E40">
        <w:t>(</w:t>
      </w:r>
      <w:r w:rsidRPr="00E55E40">
        <w:t>на 45,5</w:t>
      </w:r>
      <w:r w:rsidR="00BA399E" w:rsidRPr="00E55E40">
        <w:t>%)</w:t>
      </w:r>
      <w:r w:rsidRPr="00E55E40">
        <w:t xml:space="preserve">. </w:t>
      </w:r>
    </w:p>
    <w:p w14:paraId="3909A7E4" w14:textId="77777777" w:rsidR="00EA78BA" w:rsidRPr="00E55E40" w:rsidRDefault="00EA78BA" w:rsidP="00EA78BA">
      <w:pPr>
        <w:autoSpaceDE w:val="0"/>
        <w:autoSpaceDN w:val="0"/>
        <w:adjustRightInd w:val="0"/>
        <w:ind w:firstLine="709"/>
        <w:jc w:val="both"/>
      </w:pPr>
      <w:r w:rsidRPr="00E55E40">
        <w:t xml:space="preserve">Рост расходов </w:t>
      </w:r>
      <w:r w:rsidR="007A7D9C" w:rsidRPr="00E55E40">
        <w:t xml:space="preserve">за счет областного бюджета </w:t>
      </w:r>
      <w:r w:rsidRPr="00E55E40">
        <w:t>обусловлен главным образом увеличением затрат на выплаты персоналу в связи с необходимостью обеспечения уровня заработной платы социальных работников во исполнение Указа Президента РФ от 07.05.2012 №</w:t>
      </w:r>
      <w:r w:rsidR="00BA399E" w:rsidRPr="00E55E40">
        <w:t> </w:t>
      </w:r>
      <w:r w:rsidRPr="00E55E40">
        <w:t>597 «О мероприятиях по реализации государственной социальной политики».</w:t>
      </w:r>
      <w:r w:rsidR="007A7D9C" w:rsidRPr="00E55E40">
        <w:t xml:space="preserve"> Рост расходов за счет внебюджетных средств главным образом обусловлен изменением размера пенсионного обеспечения получателей социальных услуг.</w:t>
      </w:r>
    </w:p>
    <w:p w14:paraId="427AA34E" w14:textId="77777777" w:rsidR="00A42B0C" w:rsidRPr="00E55E40" w:rsidRDefault="00A42B0C" w:rsidP="0016482D">
      <w:pPr>
        <w:autoSpaceDE w:val="0"/>
        <w:autoSpaceDN w:val="0"/>
        <w:adjustRightInd w:val="0"/>
        <w:ind w:firstLine="709"/>
        <w:jc w:val="both"/>
      </w:pPr>
      <w:r w:rsidRPr="00E55E40">
        <w:t xml:space="preserve">Сведения об объёмах финансового обеспечения подведомственных Комитету </w:t>
      </w:r>
      <w:r w:rsidR="00EA78BA" w:rsidRPr="00E55E40">
        <w:t>учреждений</w:t>
      </w:r>
      <w:r w:rsidRPr="00E55E40">
        <w:t xml:space="preserve"> представлены в таблице № 2.</w:t>
      </w:r>
    </w:p>
    <w:p w14:paraId="75D7BA21" w14:textId="77777777" w:rsidR="00A42B0C" w:rsidRPr="00E55E40" w:rsidRDefault="00A42B0C" w:rsidP="00A42B0C">
      <w:pPr>
        <w:autoSpaceDE w:val="0"/>
        <w:autoSpaceDN w:val="0"/>
        <w:adjustRightInd w:val="0"/>
        <w:ind w:firstLine="709"/>
        <w:jc w:val="right"/>
      </w:pPr>
      <w:r w:rsidRPr="00E55E40">
        <w:t>Таблица № 2, млн. руб.</w:t>
      </w:r>
    </w:p>
    <w:tbl>
      <w:tblPr>
        <w:tblW w:w="9583" w:type="dxa"/>
        <w:tblInd w:w="98" w:type="dxa"/>
        <w:tblLayout w:type="fixed"/>
        <w:tblLook w:val="04A0" w:firstRow="1" w:lastRow="0" w:firstColumn="1" w:lastColumn="0" w:noHBand="0" w:noVBand="1"/>
      </w:tblPr>
      <w:tblGrid>
        <w:gridCol w:w="809"/>
        <w:gridCol w:w="902"/>
        <w:gridCol w:w="960"/>
        <w:gridCol w:w="1078"/>
        <w:gridCol w:w="797"/>
        <w:gridCol w:w="960"/>
        <w:gridCol w:w="1145"/>
        <w:gridCol w:w="872"/>
        <w:gridCol w:w="960"/>
        <w:gridCol w:w="1100"/>
      </w:tblGrid>
      <w:tr w:rsidR="00A42B0C" w:rsidRPr="00E55E40" w14:paraId="7A46B059" w14:textId="77777777" w:rsidTr="00A37017">
        <w:trPr>
          <w:trHeight w:val="300"/>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C792C" w14:textId="77777777" w:rsidR="00A42B0C" w:rsidRPr="00E55E40" w:rsidRDefault="00A42B0C" w:rsidP="00A37017">
            <w:pPr>
              <w:jc w:val="center"/>
              <w:rPr>
                <w:color w:val="000000"/>
                <w:sz w:val="18"/>
                <w:szCs w:val="18"/>
              </w:rPr>
            </w:pPr>
            <w:r w:rsidRPr="00E55E40">
              <w:rPr>
                <w:bCs/>
                <w:color w:val="000000"/>
                <w:sz w:val="18"/>
                <w:szCs w:val="18"/>
              </w:rPr>
              <w:t>вид учреж-дений</w:t>
            </w:r>
          </w:p>
        </w:tc>
        <w:tc>
          <w:tcPr>
            <w:tcW w:w="2940" w:type="dxa"/>
            <w:gridSpan w:val="3"/>
            <w:tcBorders>
              <w:top w:val="single" w:sz="4" w:space="0" w:color="auto"/>
              <w:left w:val="nil"/>
              <w:bottom w:val="single" w:sz="4" w:space="0" w:color="auto"/>
              <w:right w:val="single" w:sz="4" w:space="0" w:color="auto"/>
            </w:tcBorders>
            <w:shd w:val="clear" w:color="auto" w:fill="auto"/>
            <w:vAlign w:val="center"/>
            <w:hideMark/>
          </w:tcPr>
          <w:p w14:paraId="2991907C" w14:textId="77777777" w:rsidR="00A42B0C" w:rsidRPr="00E55E40" w:rsidRDefault="00A42B0C" w:rsidP="00A37017">
            <w:pPr>
              <w:jc w:val="center"/>
              <w:rPr>
                <w:color w:val="000000"/>
                <w:sz w:val="18"/>
                <w:szCs w:val="18"/>
              </w:rPr>
            </w:pPr>
            <w:r w:rsidRPr="00E55E40">
              <w:rPr>
                <w:color w:val="000000"/>
                <w:sz w:val="18"/>
                <w:szCs w:val="18"/>
              </w:rPr>
              <w:t>2016</w:t>
            </w:r>
          </w:p>
        </w:tc>
        <w:tc>
          <w:tcPr>
            <w:tcW w:w="2902" w:type="dxa"/>
            <w:gridSpan w:val="3"/>
            <w:tcBorders>
              <w:top w:val="single" w:sz="4" w:space="0" w:color="auto"/>
              <w:left w:val="nil"/>
              <w:bottom w:val="single" w:sz="4" w:space="0" w:color="auto"/>
              <w:right w:val="single" w:sz="4" w:space="0" w:color="auto"/>
            </w:tcBorders>
            <w:shd w:val="clear" w:color="auto" w:fill="auto"/>
            <w:vAlign w:val="center"/>
            <w:hideMark/>
          </w:tcPr>
          <w:p w14:paraId="5060B67E" w14:textId="77777777" w:rsidR="00A42B0C" w:rsidRPr="00E55E40" w:rsidRDefault="00A42B0C" w:rsidP="00A37017">
            <w:pPr>
              <w:jc w:val="center"/>
              <w:rPr>
                <w:color w:val="000000"/>
                <w:sz w:val="18"/>
                <w:szCs w:val="18"/>
              </w:rPr>
            </w:pPr>
            <w:r w:rsidRPr="00E55E40">
              <w:rPr>
                <w:color w:val="000000"/>
                <w:sz w:val="18"/>
                <w:szCs w:val="18"/>
              </w:rPr>
              <w:t>2017</w:t>
            </w:r>
          </w:p>
        </w:tc>
        <w:tc>
          <w:tcPr>
            <w:tcW w:w="2932" w:type="dxa"/>
            <w:gridSpan w:val="3"/>
            <w:tcBorders>
              <w:top w:val="single" w:sz="4" w:space="0" w:color="auto"/>
              <w:left w:val="nil"/>
              <w:bottom w:val="single" w:sz="4" w:space="0" w:color="auto"/>
              <w:right w:val="single" w:sz="4" w:space="0" w:color="auto"/>
            </w:tcBorders>
            <w:shd w:val="clear" w:color="auto" w:fill="auto"/>
            <w:vAlign w:val="center"/>
            <w:hideMark/>
          </w:tcPr>
          <w:p w14:paraId="2945EA9F" w14:textId="77777777" w:rsidR="00A42B0C" w:rsidRPr="00E55E40" w:rsidRDefault="00A42B0C" w:rsidP="00A37017">
            <w:pPr>
              <w:jc w:val="center"/>
              <w:rPr>
                <w:color w:val="000000"/>
                <w:sz w:val="18"/>
                <w:szCs w:val="18"/>
              </w:rPr>
            </w:pPr>
            <w:r w:rsidRPr="00E55E40">
              <w:rPr>
                <w:color w:val="000000"/>
                <w:sz w:val="18"/>
                <w:szCs w:val="18"/>
              </w:rPr>
              <w:t>2018</w:t>
            </w:r>
          </w:p>
        </w:tc>
      </w:tr>
      <w:tr w:rsidR="00A37017" w:rsidRPr="00E55E40" w14:paraId="157CAFC9" w14:textId="77777777" w:rsidTr="00A37017">
        <w:trPr>
          <w:trHeight w:val="525"/>
        </w:trPr>
        <w:tc>
          <w:tcPr>
            <w:tcW w:w="809" w:type="dxa"/>
            <w:vMerge/>
            <w:tcBorders>
              <w:top w:val="single" w:sz="4" w:space="0" w:color="auto"/>
              <w:left w:val="single" w:sz="4" w:space="0" w:color="auto"/>
              <w:bottom w:val="single" w:sz="4" w:space="0" w:color="auto"/>
              <w:right w:val="single" w:sz="4" w:space="0" w:color="auto"/>
            </w:tcBorders>
            <w:vAlign w:val="center"/>
            <w:hideMark/>
          </w:tcPr>
          <w:p w14:paraId="04E83754" w14:textId="77777777" w:rsidR="00A37017" w:rsidRPr="00E55E40" w:rsidRDefault="00A37017" w:rsidP="00A37017">
            <w:pPr>
              <w:jc w:val="center"/>
              <w:rPr>
                <w:color w:val="000000"/>
                <w:sz w:val="18"/>
                <w:szCs w:val="18"/>
              </w:rPr>
            </w:pPr>
          </w:p>
        </w:tc>
        <w:tc>
          <w:tcPr>
            <w:tcW w:w="902" w:type="dxa"/>
            <w:tcBorders>
              <w:top w:val="nil"/>
              <w:left w:val="nil"/>
              <w:bottom w:val="single" w:sz="4" w:space="0" w:color="auto"/>
              <w:right w:val="single" w:sz="4" w:space="0" w:color="auto"/>
            </w:tcBorders>
            <w:shd w:val="clear" w:color="auto" w:fill="auto"/>
            <w:vAlign w:val="center"/>
            <w:hideMark/>
          </w:tcPr>
          <w:p w14:paraId="5B9F41B1" w14:textId="77777777" w:rsidR="00A37017" w:rsidRPr="00E55E40" w:rsidRDefault="00A37017" w:rsidP="00A37017">
            <w:pPr>
              <w:jc w:val="center"/>
              <w:rPr>
                <w:color w:val="000000"/>
                <w:sz w:val="18"/>
                <w:szCs w:val="18"/>
              </w:rPr>
            </w:pPr>
            <w:r w:rsidRPr="00E55E40">
              <w:rPr>
                <w:bCs/>
                <w:color w:val="000000"/>
                <w:sz w:val="18"/>
                <w:szCs w:val="18"/>
              </w:rPr>
              <w:t>всего</w:t>
            </w:r>
          </w:p>
        </w:tc>
        <w:tc>
          <w:tcPr>
            <w:tcW w:w="960" w:type="dxa"/>
            <w:tcBorders>
              <w:top w:val="nil"/>
              <w:left w:val="nil"/>
              <w:bottom w:val="single" w:sz="4" w:space="0" w:color="auto"/>
              <w:right w:val="single" w:sz="4" w:space="0" w:color="auto"/>
            </w:tcBorders>
            <w:shd w:val="clear" w:color="auto" w:fill="auto"/>
            <w:vAlign w:val="center"/>
            <w:hideMark/>
          </w:tcPr>
          <w:p w14:paraId="07A81BA4" w14:textId="77777777" w:rsidR="00A37017" w:rsidRPr="00E55E40" w:rsidRDefault="00A37017" w:rsidP="00A37017">
            <w:pPr>
              <w:jc w:val="center"/>
              <w:rPr>
                <w:color w:val="000000"/>
                <w:sz w:val="18"/>
                <w:szCs w:val="18"/>
              </w:rPr>
            </w:pPr>
            <w:r w:rsidRPr="00E55E40">
              <w:rPr>
                <w:bCs/>
                <w:color w:val="000000"/>
                <w:sz w:val="18"/>
                <w:szCs w:val="18"/>
              </w:rPr>
              <w:t>бюджет</w:t>
            </w:r>
          </w:p>
        </w:tc>
        <w:tc>
          <w:tcPr>
            <w:tcW w:w="1078" w:type="dxa"/>
            <w:tcBorders>
              <w:top w:val="nil"/>
              <w:left w:val="nil"/>
              <w:bottom w:val="single" w:sz="4" w:space="0" w:color="auto"/>
              <w:right w:val="single" w:sz="4" w:space="0" w:color="auto"/>
            </w:tcBorders>
            <w:shd w:val="clear" w:color="auto" w:fill="auto"/>
            <w:vAlign w:val="center"/>
            <w:hideMark/>
          </w:tcPr>
          <w:p w14:paraId="57390B1D" w14:textId="77777777" w:rsidR="00A37017" w:rsidRPr="00E55E40" w:rsidRDefault="00A37017" w:rsidP="00A37017">
            <w:pPr>
              <w:jc w:val="center"/>
              <w:rPr>
                <w:color w:val="000000"/>
                <w:sz w:val="18"/>
                <w:szCs w:val="18"/>
              </w:rPr>
            </w:pPr>
            <w:r w:rsidRPr="00E55E40">
              <w:rPr>
                <w:bCs/>
                <w:color w:val="000000"/>
                <w:sz w:val="18"/>
                <w:szCs w:val="18"/>
              </w:rPr>
              <w:t>внебюджет</w:t>
            </w:r>
          </w:p>
        </w:tc>
        <w:tc>
          <w:tcPr>
            <w:tcW w:w="797" w:type="dxa"/>
            <w:tcBorders>
              <w:top w:val="nil"/>
              <w:left w:val="nil"/>
              <w:bottom w:val="single" w:sz="4" w:space="0" w:color="auto"/>
              <w:right w:val="single" w:sz="4" w:space="0" w:color="auto"/>
            </w:tcBorders>
            <w:shd w:val="clear" w:color="auto" w:fill="auto"/>
            <w:vAlign w:val="center"/>
            <w:hideMark/>
          </w:tcPr>
          <w:p w14:paraId="426C3BA4" w14:textId="77777777" w:rsidR="00A37017" w:rsidRPr="00E55E40" w:rsidRDefault="00A37017" w:rsidP="00A37017">
            <w:pPr>
              <w:jc w:val="center"/>
              <w:rPr>
                <w:color w:val="000000"/>
                <w:sz w:val="18"/>
                <w:szCs w:val="18"/>
              </w:rPr>
            </w:pPr>
            <w:r w:rsidRPr="00E55E40">
              <w:rPr>
                <w:bCs/>
                <w:color w:val="000000"/>
                <w:sz w:val="18"/>
                <w:szCs w:val="18"/>
              </w:rPr>
              <w:t>всего</w:t>
            </w:r>
          </w:p>
        </w:tc>
        <w:tc>
          <w:tcPr>
            <w:tcW w:w="960" w:type="dxa"/>
            <w:tcBorders>
              <w:top w:val="nil"/>
              <w:left w:val="nil"/>
              <w:bottom w:val="single" w:sz="4" w:space="0" w:color="auto"/>
              <w:right w:val="single" w:sz="4" w:space="0" w:color="auto"/>
            </w:tcBorders>
            <w:shd w:val="clear" w:color="auto" w:fill="auto"/>
            <w:vAlign w:val="center"/>
            <w:hideMark/>
          </w:tcPr>
          <w:p w14:paraId="4D38CFD4" w14:textId="77777777" w:rsidR="00A37017" w:rsidRPr="00E55E40" w:rsidRDefault="00A37017" w:rsidP="00A37017">
            <w:pPr>
              <w:jc w:val="center"/>
              <w:rPr>
                <w:color w:val="000000"/>
                <w:sz w:val="18"/>
                <w:szCs w:val="18"/>
              </w:rPr>
            </w:pPr>
            <w:r w:rsidRPr="00E55E40">
              <w:rPr>
                <w:bCs/>
                <w:color w:val="000000"/>
                <w:sz w:val="18"/>
                <w:szCs w:val="18"/>
              </w:rPr>
              <w:t>бюджет</w:t>
            </w:r>
          </w:p>
        </w:tc>
        <w:tc>
          <w:tcPr>
            <w:tcW w:w="1145" w:type="dxa"/>
            <w:tcBorders>
              <w:top w:val="nil"/>
              <w:left w:val="nil"/>
              <w:bottom w:val="single" w:sz="4" w:space="0" w:color="auto"/>
              <w:right w:val="single" w:sz="4" w:space="0" w:color="auto"/>
            </w:tcBorders>
            <w:shd w:val="clear" w:color="auto" w:fill="auto"/>
            <w:vAlign w:val="center"/>
            <w:hideMark/>
          </w:tcPr>
          <w:p w14:paraId="1789DC46" w14:textId="77777777" w:rsidR="00A37017" w:rsidRPr="00E55E40" w:rsidRDefault="00A37017" w:rsidP="005F2BED">
            <w:pPr>
              <w:jc w:val="center"/>
              <w:rPr>
                <w:color w:val="000000"/>
                <w:sz w:val="18"/>
                <w:szCs w:val="18"/>
              </w:rPr>
            </w:pPr>
            <w:r w:rsidRPr="00E55E40">
              <w:rPr>
                <w:bCs/>
                <w:color w:val="000000"/>
                <w:sz w:val="18"/>
                <w:szCs w:val="18"/>
              </w:rPr>
              <w:t>внебюджет</w:t>
            </w:r>
          </w:p>
        </w:tc>
        <w:tc>
          <w:tcPr>
            <w:tcW w:w="872" w:type="dxa"/>
            <w:tcBorders>
              <w:top w:val="nil"/>
              <w:left w:val="nil"/>
              <w:bottom w:val="single" w:sz="4" w:space="0" w:color="auto"/>
              <w:right w:val="single" w:sz="4" w:space="0" w:color="auto"/>
            </w:tcBorders>
            <w:shd w:val="clear" w:color="auto" w:fill="auto"/>
            <w:vAlign w:val="center"/>
            <w:hideMark/>
          </w:tcPr>
          <w:p w14:paraId="1ED41E42" w14:textId="77777777" w:rsidR="00A37017" w:rsidRPr="00E55E40" w:rsidRDefault="00A37017" w:rsidP="00A37017">
            <w:pPr>
              <w:jc w:val="center"/>
              <w:rPr>
                <w:color w:val="000000"/>
                <w:sz w:val="18"/>
                <w:szCs w:val="18"/>
              </w:rPr>
            </w:pPr>
            <w:r w:rsidRPr="00E55E40">
              <w:rPr>
                <w:bCs/>
                <w:color w:val="000000"/>
                <w:sz w:val="18"/>
                <w:szCs w:val="18"/>
              </w:rPr>
              <w:t>всего</w:t>
            </w:r>
          </w:p>
        </w:tc>
        <w:tc>
          <w:tcPr>
            <w:tcW w:w="960" w:type="dxa"/>
            <w:tcBorders>
              <w:top w:val="nil"/>
              <w:left w:val="nil"/>
              <w:bottom w:val="single" w:sz="4" w:space="0" w:color="auto"/>
              <w:right w:val="single" w:sz="4" w:space="0" w:color="auto"/>
            </w:tcBorders>
            <w:shd w:val="clear" w:color="auto" w:fill="auto"/>
            <w:vAlign w:val="center"/>
            <w:hideMark/>
          </w:tcPr>
          <w:p w14:paraId="4A997FA0" w14:textId="77777777" w:rsidR="00A37017" w:rsidRPr="00E55E40" w:rsidRDefault="00A37017" w:rsidP="00A37017">
            <w:pPr>
              <w:jc w:val="center"/>
              <w:rPr>
                <w:color w:val="000000"/>
                <w:sz w:val="18"/>
                <w:szCs w:val="18"/>
              </w:rPr>
            </w:pPr>
            <w:r w:rsidRPr="00E55E40">
              <w:rPr>
                <w:bCs/>
                <w:color w:val="000000"/>
                <w:sz w:val="18"/>
                <w:szCs w:val="18"/>
              </w:rPr>
              <w:t>бюджет</w:t>
            </w:r>
          </w:p>
        </w:tc>
        <w:tc>
          <w:tcPr>
            <w:tcW w:w="1100" w:type="dxa"/>
            <w:tcBorders>
              <w:top w:val="nil"/>
              <w:left w:val="nil"/>
              <w:bottom w:val="single" w:sz="4" w:space="0" w:color="auto"/>
              <w:right w:val="single" w:sz="4" w:space="0" w:color="auto"/>
            </w:tcBorders>
            <w:shd w:val="clear" w:color="auto" w:fill="auto"/>
            <w:vAlign w:val="center"/>
            <w:hideMark/>
          </w:tcPr>
          <w:p w14:paraId="7DC1F90F" w14:textId="77777777" w:rsidR="00A37017" w:rsidRPr="00E55E40" w:rsidRDefault="00A37017" w:rsidP="00A37017">
            <w:pPr>
              <w:jc w:val="center"/>
              <w:rPr>
                <w:color w:val="000000"/>
                <w:sz w:val="18"/>
                <w:szCs w:val="18"/>
              </w:rPr>
            </w:pPr>
            <w:r w:rsidRPr="00E55E40">
              <w:rPr>
                <w:bCs/>
                <w:color w:val="000000"/>
                <w:sz w:val="18"/>
                <w:szCs w:val="18"/>
              </w:rPr>
              <w:t>внебюджет</w:t>
            </w:r>
          </w:p>
        </w:tc>
      </w:tr>
      <w:tr w:rsidR="00A42B0C" w:rsidRPr="00E55E40" w14:paraId="17C4FCC9" w14:textId="77777777" w:rsidTr="00A37017">
        <w:trPr>
          <w:trHeight w:val="300"/>
        </w:trPr>
        <w:tc>
          <w:tcPr>
            <w:tcW w:w="809" w:type="dxa"/>
            <w:tcBorders>
              <w:top w:val="nil"/>
              <w:left w:val="single" w:sz="4" w:space="0" w:color="auto"/>
              <w:bottom w:val="single" w:sz="4" w:space="0" w:color="auto"/>
              <w:right w:val="single" w:sz="4" w:space="0" w:color="auto"/>
            </w:tcBorders>
            <w:shd w:val="clear" w:color="auto" w:fill="auto"/>
            <w:vAlign w:val="bottom"/>
            <w:hideMark/>
          </w:tcPr>
          <w:p w14:paraId="6B7064E5" w14:textId="77777777" w:rsidR="00A42B0C" w:rsidRPr="00E55E40" w:rsidRDefault="00A42B0C" w:rsidP="00A42B0C">
            <w:pPr>
              <w:jc w:val="center"/>
              <w:rPr>
                <w:color w:val="000000"/>
                <w:sz w:val="20"/>
                <w:szCs w:val="20"/>
              </w:rPr>
            </w:pPr>
            <w:r w:rsidRPr="00E55E40">
              <w:rPr>
                <w:color w:val="000000"/>
                <w:sz w:val="20"/>
                <w:szCs w:val="20"/>
              </w:rPr>
              <w:t>ПНИ</w:t>
            </w:r>
          </w:p>
        </w:tc>
        <w:tc>
          <w:tcPr>
            <w:tcW w:w="902" w:type="dxa"/>
            <w:tcBorders>
              <w:top w:val="nil"/>
              <w:left w:val="nil"/>
              <w:bottom w:val="single" w:sz="4" w:space="0" w:color="auto"/>
              <w:right w:val="single" w:sz="4" w:space="0" w:color="auto"/>
            </w:tcBorders>
            <w:shd w:val="clear" w:color="auto" w:fill="auto"/>
            <w:noWrap/>
            <w:vAlign w:val="bottom"/>
            <w:hideMark/>
          </w:tcPr>
          <w:p w14:paraId="51DB8BD8" w14:textId="77777777" w:rsidR="00A42B0C" w:rsidRPr="00E55E40" w:rsidRDefault="00A42B0C" w:rsidP="00A42B0C">
            <w:pPr>
              <w:jc w:val="center"/>
              <w:rPr>
                <w:color w:val="000000"/>
                <w:sz w:val="20"/>
                <w:szCs w:val="20"/>
              </w:rPr>
            </w:pPr>
            <w:r w:rsidRPr="00E55E40">
              <w:rPr>
                <w:bCs/>
                <w:color w:val="000000"/>
                <w:sz w:val="20"/>
                <w:szCs w:val="20"/>
              </w:rPr>
              <w:t>759,9</w:t>
            </w:r>
          </w:p>
        </w:tc>
        <w:tc>
          <w:tcPr>
            <w:tcW w:w="960" w:type="dxa"/>
            <w:tcBorders>
              <w:top w:val="nil"/>
              <w:left w:val="nil"/>
              <w:bottom w:val="single" w:sz="4" w:space="0" w:color="auto"/>
              <w:right w:val="single" w:sz="4" w:space="0" w:color="auto"/>
            </w:tcBorders>
            <w:shd w:val="clear" w:color="auto" w:fill="auto"/>
            <w:noWrap/>
            <w:vAlign w:val="bottom"/>
            <w:hideMark/>
          </w:tcPr>
          <w:p w14:paraId="6E90B19C" w14:textId="77777777" w:rsidR="00A42B0C" w:rsidRPr="00E55E40" w:rsidRDefault="00A42B0C" w:rsidP="00A42B0C">
            <w:pPr>
              <w:jc w:val="center"/>
              <w:rPr>
                <w:color w:val="000000"/>
                <w:sz w:val="20"/>
                <w:szCs w:val="20"/>
              </w:rPr>
            </w:pPr>
            <w:r w:rsidRPr="00E55E40">
              <w:rPr>
                <w:color w:val="000000"/>
                <w:sz w:val="20"/>
                <w:szCs w:val="20"/>
              </w:rPr>
              <w:t>567,2</w:t>
            </w:r>
          </w:p>
        </w:tc>
        <w:tc>
          <w:tcPr>
            <w:tcW w:w="1078" w:type="dxa"/>
            <w:tcBorders>
              <w:top w:val="nil"/>
              <w:left w:val="nil"/>
              <w:bottom w:val="single" w:sz="4" w:space="0" w:color="auto"/>
              <w:right w:val="single" w:sz="4" w:space="0" w:color="auto"/>
            </w:tcBorders>
            <w:shd w:val="clear" w:color="auto" w:fill="auto"/>
            <w:noWrap/>
            <w:vAlign w:val="bottom"/>
            <w:hideMark/>
          </w:tcPr>
          <w:p w14:paraId="3FFAAD33" w14:textId="77777777" w:rsidR="00A42B0C" w:rsidRPr="00E55E40" w:rsidRDefault="00A42B0C" w:rsidP="00A42B0C">
            <w:pPr>
              <w:jc w:val="center"/>
              <w:rPr>
                <w:color w:val="000000"/>
                <w:sz w:val="20"/>
                <w:szCs w:val="20"/>
              </w:rPr>
            </w:pPr>
            <w:r w:rsidRPr="00E55E40">
              <w:rPr>
                <w:color w:val="000000"/>
                <w:sz w:val="20"/>
                <w:szCs w:val="20"/>
              </w:rPr>
              <w:t>192,7</w:t>
            </w:r>
          </w:p>
        </w:tc>
        <w:tc>
          <w:tcPr>
            <w:tcW w:w="797" w:type="dxa"/>
            <w:tcBorders>
              <w:top w:val="nil"/>
              <w:left w:val="nil"/>
              <w:bottom w:val="single" w:sz="4" w:space="0" w:color="auto"/>
              <w:right w:val="single" w:sz="4" w:space="0" w:color="auto"/>
            </w:tcBorders>
            <w:shd w:val="clear" w:color="auto" w:fill="auto"/>
            <w:noWrap/>
            <w:vAlign w:val="bottom"/>
            <w:hideMark/>
          </w:tcPr>
          <w:p w14:paraId="0ED35D5D" w14:textId="77777777" w:rsidR="00A42B0C" w:rsidRPr="00E55E40" w:rsidRDefault="00A42B0C" w:rsidP="00A42B0C">
            <w:pPr>
              <w:jc w:val="center"/>
              <w:rPr>
                <w:color w:val="000000"/>
                <w:sz w:val="20"/>
                <w:szCs w:val="20"/>
              </w:rPr>
            </w:pPr>
            <w:r w:rsidRPr="00E55E40">
              <w:rPr>
                <w:bCs/>
                <w:color w:val="000000"/>
                <w:sz w:val="20"/>
                <w:szCs w:val="20"/>
              </w:rPr>
              <w:t>937,7</w:t>
            </w:r>
          </w:p>
        </w:tc>
        <w:tc>
          <w:tcPr>
            <w:tcW w:w="960" w:type="dxa"/>
            <w:tcBorders>
              <w:top w:val="nil"/>
              <w:left w:val="nil"/>
              <w:bottom w:val="single" w:sz="4" w:space="0" w:color="auto"/>
              <w:right w:val="single" w:sz="4" w:space="0" w:color="auto"/>
            </w:tcBorders>
            <w:shd w:val="clear" w:color="auto" w:fill="auto"/>
            <w:noWrap/>
            <w:vAlign w:val="bottom"/>
            <w:hideMark/>
          </w:tcPr>
          <w:p w14:paraId="5DB17879" w14:textId="77777777" w:rsidR="00A42B0C" w:rsidRPr="00E55E40" w:rsidRDefault="00A42B0C" w:rsidP="00A42B0C">
            <w:pPr>
              <w:jc w:val="center"/>
              <w:rPr>
                <w:color w:val="000000"/>
                <w:sz w:val="20"/>
                <w:szCs w:val="20"/>
              </w:rPr>
            </w:pPr>
            <w:r w:rsidRPr="00E55E40">
              <w:rPr>
                <w:color w:val="000000"/>
                <w:sz w:val="20"/>
                <w:szCs w:val="20"/>
              </w:rPr>
              <w:t>656,4</w:t>
            </w:r>
          </w:p>
        </w:tc>
        <w:tc>
          <w:tcPr>
            <w:tcW w:w="1145" w:type="dxa"/>
            <w:tcBorders>
              <w:top w:val="nil"/>
              <w:left w:val="nil"/>
              <w:bottom w:val="single" w:sz="4" w:space="0" w:color="auto"/>
              <w:right w:val="single" w:sz="4" w:space="0" w:color="auto"/>
            </w:tcBorders>
            <w:shd w:val="clear" w:color="auto" w:fill="auto"/>
            <w:noWrap/>
            <w:vAlign w:val="bottom"/>
            <w:hideMark/>
          </w:tcPr>
          <w:p w14:paraId="7C67A2EE" w14:textId="77777777" w:rsidR="00A42B0C" w:rsidRPr="00E55E40" w:rsidRDefault="00A42B0C" w:rsidP="00A42B0C">
            <w:pPr>
              <w:jc w:val="center"/>
              <w:rPr>
                <w:color w:val="000000"/>
                <w:sz w:val="20"/>
                <w:szCs w:val="20"/>
              </w:rPr>
            </w:pPr>
            <w:r w:rsidRPr="00E55E40">
              <w:rPr>
                <w:color w:val="000000"/>
                <w:sz w:val="20"/>
                <w:szCs w:val="20"/>
              </w:rPr>
              <w:t>281,3</w:t>
            </w:r>
          </w:p>
        </w:tc>
        <w:tc>
          <w:tcPr>
            <w:tcW w:w="872" w:type="dxa"/>
            <w:tcBorders>
              <w:top w:val="nil"/>
              <w:left w:val="nil"/>
              <w:bottom w:val="single" w:sz="4" w:space="0" w:color="auto"/>
              <w:right w:val="single" w:sz="4" w:space="0" w:color="auto"/>
            </w:tcBorders>
            <w:shd w:val="clear" w:color="auto" w:fill="auto"/>
            <w:noWrap/>
            <w:vAlign w:val="bottom"/>
            <w:hideMark/>
          </w:tcPr>
          <w:p w14:paraId="2EE270A9" w14:textId="77777777" w:rsidR="00A42B0C" w:rsidRPr="00E55E40" w:rsidRDefault="00A42B0C" w:rsidP="00A42B0C">
            <w:pPr>
              <w:jc w:val="center"/>
              <w:rPr>
                <w:color w:val="000000"/>
                <w:sz w:val="20"/>
                <w:szCs w:val="20"/>
              </w:rPr>
            </w:pPr>
            <w:r w:rsidRPr="00E55E40">
              <w:rPr>
                <w:bCs/>
                <w:color w:val="000000"/>
                <w:sz w:val="20"/>
                <w:szCs w:val="20"/>
              </w:rPr>
              <w:t>1370,1</w:t>
            </w:r>
          </w:p>
        </w:tc>
        <w:tc>
          <w:tcPr>
            <w:tcW w:w="960" w:type="dxa"/>
            <w:tcBorders>
              <w:top w:val="nil"/>
              <w:left w:val="nil"/>
              <w:bottom w:val="single" w:sz="4" w:space="0" w:color="auto"/>
              <w:right w:val="single" w:sz="4" w:space="0" w:color="auto"/>
            </w:tcBorders>
            <w:shd w:val="clear" w:color="auto" w:fill="auto"/>
            <w:noWrap/>
            <w:vAlign w:val="bottom"/>
            <w:hideMark/>
          </w:tcPr>
          <w:p w14:paraId="4008C1F6" w14:textId="77777777" w:rsidR="00A42B0C" w:rsidRPr="00E55E40" w:rsidRDefault="00A42B0C" w:rsidP="00A42B0C">
            <w:pPr>
              <w:jc w:val="center"/>
              <w:rPr>
                <w:color w:val="000000"/>
                <w:sz w:val="20"/>
                <w:szCs w:val="20"/>
              </w:rPr>
            </w:pPr>
            <w:r w:rsidRPr="00E55E40">
              <w:rPr>
                <w:color w:val="000000"/>
                <w:sz w:val="20"/>
                <w:szCs w:val="20"/>
              </w:rPr>
              <w:t>1058,4</w:t>
            </w:r>
          </w:p>
        </w:tc>
        <w:tc>
          <w:tcPr>
            <w:tcW w:w="1100" w:type="dxa"/>
            <w:tcBorders>
              <w:top w:val="nil"/>
              <w:left w:val="nil"/>
              <w:bottom w:val="single" w:sz="4" w:space="0" w:color="auto"/>
              <w:right w:val="single" w:sz="4" w:space="0" w:color="auto"/>
            </w:tcBorders>
            <w:shd w:val="clear" w:color="auto" w:fill="auto"/>
            <w:noWrap/>
            <w:vAlign w:val="bottom"/>
            <w:hideMark/>
          </w:tcPr>
          <w:p w14:paraId="2B05C78C" w14:textId="77777777" w:rsidR="00A42B0C" w:rsidRPr="00E55E40" w:rsidRDefault="00A42B0C" w:rsidP="00A42B0C">
            <w:pPr>
              <w:jc w:val="center"/>
              <w:rPr>
                <w:color w:val="000000"/>
                <w:sz w:val="20"/>
                <w:szCs w:val="20"/>
              </w:rPr>
            </w:pPr>
            <w:r w:rsidRPr="00E55E40">
              <w:rPr>
                <w:color w:val="000000"/>
                <w:sz w:val="20"/>
                <w:szCs w:val="20"/>
              </w:rPr>
              <w:t>311,7</w:t>
            </w:r>
          </w:p>
        </w:tc>
      </w:tr>
      <w:tr w:rsidR="00A42B0C" w:rsidRPr="00E55E40" w14:paraId="72E78E18" w14:textId="77777777" w:rsidTr="00A37017">
        <w:trPr>
          <w:trHeight w:val="300"/>
        </w:trPr>
        <w:tc>
          <w:tcPr>
            <w:tcW w:w="809" w:type="dxa"/>
            <w:tcBorders>
              <w:top w:val="nil"/>
              <w:left w:val="single" w:sz="4" w:space="0" w:color="auto"/>
              <w:bottom w:val="single" w:sz="4" w:space="0" w:color="auto"/>
              <w:right w:val="single" w:sz="4" w:space="0" w:color="auto"/>
            </w:tcBorders>
            <w:shd w:val="clear" w:color="auto" w:fill="auto"/>
            <w:vAlign w:val="bottom"/>
            <w:hideMark/>
          </w:tcPr>
          <w:p w14:paraId="7B2263F6" w14:textId="77777777" w:rsidR="00A42B0C" w:rsidRPr="00E55E40" w:rsidRDefault="00A42B0C" w:rsidP="00A42B0C">
            <w:pPr>
              <w:jc w:val="center"/>
              <w:rPr>
                <w:color w:val="000000"/>
                <w:sz w:val="20"/>
                <w:szCs w:val="20"/>
              </w:rPr>
            </w:pPr>
            <w:r w:rsidRPr="00E55E40">
              <w:rPr>
                <w:color w:val="000000"/>
                <w:sz w:val="20"/>
                <w:szCs w:val="20"/>
              </w:rPr>
              <w:t>ДПИ</w:t>
            </w:r>
          </w:p>
        </w:tc>
        <w:tc>
          <w:tcPr>
            <w:tcW w:w="902" w:type="dxa"/>
            <w:tcBorders>
              <w:top w:val="nil"/>
              <w:left w:val="nil"/>
              <w:bottom w:val="single" w:sz="4" w:space="0" w:color="auto"/>
              <w:right w:val="single" w:sz="4" w:space="0" w:color="auto"/>
            </w:tcBorders>
            <w:shd w:val="clear" w:color="auto" w:fill="auto"/>
            <w:noWrap/>
            <w:vAlign w:val="bottom"/>
            <w:hideMark/>
          </w:tcPr>
          <w:p w14:paraId="7161D65D" w14:textId="77777777" w:rsidR="00A42B0C" w:rsidRPr="00E55E40" w:rsidRDefault="00A42B0C" w:rsidP="00A42B0C">
            <w:pPr>
              <w:jc w:val="center"/>
              <w:rPr>
                <w:color w:val="000000"/>
                <w:sz w:val="20"/>
                <w:szCs w:val="20"/>
              </w:rPr>
            </w:pPr>
            <w:r w:rsidRPr="00E55E40">
              <w:rPr>
                <w:bCs/>
                <w:color w:val="000000"/>
                <w:sz w:val="20"/>
                <w:szCs w:val="20"/>
              </w:rPr>
              <w:t>421,2</w:t>
            </w:r>
          </w:p>
        </w:tc>
        <w:tc>
          <w:tcPr>
            <w:tcW w:w="960" w:type="dxa"/>
            <w:tcBorders>
              <w:top w:val="nil"/>
              <w:left w:val="nil"/>
              <w:bottom w:val="single" w:sz="4" w:space="0" w:color="auto"/>
              <w:right w:val="single" w:sz="4" w:space="0" w:color="auto"/>
            </w:tcBorders>
            <w:shd w:val="clear" w:color="auto" w:fill="auto"/>
            <w:noWrap/>
            <w:vAlign w:val="bottom"/>
            <w:hideMark/>
          </w:tcPr>
          <w:p w14:paraId="5169B3AE" w14:textId="77777777" w:rsidR="00A42B0C" w:rsidRPr="00E55E40" w:rsidRDefault="00A42B0C" w:rsidP="00A42B0C">
            <w:pPr>
              <w:jc w:val="center"/>
              <w:rPr>
                <w:color w:val="000000"/>
                <w:sz w:val="20"/>
                <w:szCs w:val="20"/>
              </w:rPr>
            </w:pPr>
            <w:r w:rsidRPr="00E55E40">
              <w:rPr>
                <w:color w:val="000000"/>
                <w:sz w:val="20"/>
                <w:szCs w:val="20"/>
              </w:rPr>
              <w:t>294,5</w:t>
            </w:r>
          </w:p>
        </w:tc>
        <w:tc>
          <w:tcPr>
            <w:tcW w:w="1078" w:type="dxa"/>
            <w:tcBorders>
              <w:top w:val="nil"/>
              <w:left w:val="nil"/>
              <w:bottom w:val="single" w:sz="4" w:space="0" w:color="auto"/>
              <w:right w:val="single" w:sz="4" w:space="0" w:color="auto"/>
            </w:tcBorders>
            <w:shd w:val="clear" w:color="auto" w:fill="auto"/>
            <w:noWrap/>
            <w:vAlign w:val="bottom"/>
            <w:hideMark/>
          </w:tcPr>
          <w:p w14:paraId="5F1F0AD4" w14:textId="77777777" w:rsidR="00A42B0C" w:rsidRPr="00E55E40" w:rsidRDefault="00A42B0C" w:rsidP="00A42B0C">
            <w:pPr>
              <w:jc w:val="center"/>
              <w:rPr>
                <w:color w:val="000000"/>
                <w:sz w:val="20"/>
                <w:szCs w:val="20"/>
              </w:rPr>
            </w:pPr>
            <w:r w:rsidRPr="00E55E40">
              <w:rPr>
                <w:color w:val="000000"/>
                <w:sz w:val="20"/>
                <w:szCs w:val="20"/>
              </w:rPr>
              <w:t>126,7</w:t>
            </w:r>
          </w:p>
        </w:tc>
        <w:tc>
          <w:tcPr>
            <w:tcW w:w="797" w:type="dxa"/>
            <w:tcBorders>
              <w:top w:val="nil"/>
              <w:left w:val="nil"/>
              <w:bottom w:val="single" w:sz="4" w:space="0" w:color="auto"/>
              <w:right w:val="single" w:sz="4" w:space="0" w:color="auto"/>
            </w:tcBorders>
            <w:shd w:val="clear" w:color="auto" w:fill="auto"/>
            <w:noWrap/>
            <w:vAlign w:val="bottom"/>
            <w:hideMark/>
          </w:tcPr>
          <w:p w14:paraId="44EF4114" w14:textId="77777777" w:rsidR="00A42B0C" w:rsidRPr="00E55E40" w:rsidRDefault="00A42B0C" w:rsidP="00A42B0C">
            <w:pPr>
              <w:jc w:val="center"/>
              <w:rPr>
                <w:color w:val="000000"/>
                <w:sz w:val="20"/>
                <w:szCs w:val="20"/>
              </w:rPr>
            </w:pPr>
            <w:r w:rsidRPr="00E55E40">
              <w:rPr>
                <w:bCs/>
                <w:color w:val="000000"/>
                <w:sz w:val="20"/>
                <w:szCs w:val="20"/>
              </w:rPr>
              <w:t>507</w:t>
            </w:r>
          </w:p>
        </w:tc>
        <w:tc>
          <w:tcPr>
            <w:tcW w:w="960" w:type="dxa"/>
            <w:tcBorders>
              <w:top w:val="nil"/>
              <w:left w:val="nil"/>
              <w:bottom w:val="single" w:sz="4" w:space="0" w:color="auto"/>
              <w:right w:val="single" w:sz="4" w:space="0" w:color="auto"/>
            </w:tcBorders>
            <w:shd w:val="clear" w:color="auto" w:fill="auto"/>
            <w:noWrap/>
            <w:vAlign w:val="bottom"/>
            <w:hideMark/>
          </w:tcPr>
          <w:p w14:paraId="29A082D8" w14:textId="77777777" w:rsidR="00A42B0C" w:rsidRPr="00E55E40" w:rsidRDefault="00A42B0C" w:rsidP="00A42B0C">
            <w:pPr>
              <w:jc w:val="center"/>
              <w:rPr>
                <w:color w:val="000000"/>
                <w:sz w:val="20"/>
                <w:szCs w:val="20"/>
              </w:rPr>
            </w:pPr>
            <w:r w:rsidRPr="00E55E40">
              <w:rPr>
                <w:color w:val="000000"/>
                <w:sz w:val="20"/>
                <w:szCs w:val="20"/>
              </w:rPr>
              <w:t>337,3</w:t>
            </w:r>
          </w:p>
        </w:tc>
        <w:tc>
          <w:tcPr>
            <w:tcW w:w="1145" w:type="dxa"/>
            <w:tcBorders>
              <w:top w:val="nil"/>
              <w:left w:val="nil"/>
              <w:bottom w:val="single" w:sz="4" w:space="0" w:color="auto"/>
              <w:right w:val="single" w:sz="4" w:space="0" w:color="auto"/>
            </w:tcBorders>
            <w:shd w:val="clear" w:color="auto" w:fill="auto"/>
            <w:noWrap/>
            <w:vAlign w:val="bottom"/>
            <w:hideMark/>
          </w:tcPr>
          <w:p w14:paraId="0DC86580" w14:textId="77777777" w:rsidR="00A42B0C" w:rsidRPr="00E55E40" w:rsidRDefault="00A42B0C" w:rsidP="00A42B0C">
            <w:pPr>
              <w:jc w:val="center"/>
              <w:rPr>
                <w:color w:val="000000"/>
                <w:sz w:val="20"/>
                <w:szCs w:val="20"/>
              </w:rPr>
            </w:pPr>
            <w:r w:rsidRPr="00E55E40">
              <w:rPr>
                <w:color w:val="000000"/>
                <w:sz w:val="20"/>
                <w:szCs w:val="20"/>
              </w:rPr>
              <w:t>169,7</w:t>
            </w:r>
          </w:p>
        </w:tc>
        <w:tc>
          <w:tcPr>
            <w:tcW w:w="872" w:type="dxa"/>
            <w:tcBorders>
              <w:top w:val="nil"/>
              <w:left w:val="nil"/>
              <w:bottom w:val="single" w:sz="4" w:space="0" w:color="auto"/>
              <w:right w:val="single" w:sz="4" w:space="0" w:color="auto"/>
            </w:tcBorders>
            <w:shd w:val="clear" w:color="auto" w:fill="auto"/>
            <w:noWrap/>
            <w:vAlign w:val="bottom"/>
            <w:hideMark/>
          </w:tcPr>
          <w:p w14:paraId="5BEA887C" w14:textId="77777777" w:rsidR="00A42B0C" w:rsidRPr="00E55E40" w:rsidRDefault="00A42B0C" w:rsidP="00A42B0C">
            <w:pPr>
              <w:jc w:val="center"/>
              <w:rPr>
                <w:color w:val="000000"/>
                <w:sz w:val="20"/>
                <w:szCs w:val="20"/>
              </w:rPr>
            </w:pPr>
            <w:r w:rsidRPr="00E55E40">
              <w:rPr>
                <w:bCs/>
                <w:color w:val="000000"/>
                <w:sz w:val="20"/>
                <w:szCs w:val="20"/>
              </w:rPr>
              <w:t>705</w:t>
            </w:r>
          </w:p>
        </w:tc>
        <w:tc>
          <w:tcPr>
            <w:tcW w:w="960" w:type="dxa"/>
            <w:tcBorders>
              <w:top w:val="nil"/>
              <w:left w:val="nil"/>
              <w:bottom w:val="single" w:sz="4" w:space="0" w:color="auto"/>
              <w:right w:val="single" w:sz="4" w:space="0" w:color="auto"/>
            </w:tcBorders>
            <w:shd w:val="clear" w:color="auto" w:fill="auto"/>
            <w:noWrap/>
            <w:vAlign w:val="bottom"/>
            <w:hideMark/>
          </w:tcPr>
          <w:p w14:paraId="4F82E499" w14:textId="77777777" w:rsidR="00A42B0C" w:rsidRPr="00E55E40" w:rsidRDefault="00A42B0C" w:rsidP="00A42B0C">
            <w:pPr>
              <w:jc w:val="center"/>
              <w:rPr>
                <w:color w:val="000000"/>
                <w:sz w:val="20"/>
                <w:szCs w:val="20"/>
              </w:rPr>
            </w:pPr>
            <w:r w:rsidRPr="00E55E40">
              <w:rPr>
                <w:color w:val="000000"/>
                <w:sz w:val="20"/>
                <w:szCs w:val="20"/>
              </w:rPr>
              <w:t>544,2</w:t>
            </w:r>
          </w:p>
        </w:tc>
        <w:tc>
          <w:tcPr>
            <w:tcW w:w="1100" w:type="dxa"/>
            <w:tcBorders>
              <w:top w:val="nil"/>
              <w:left w:val="nil"/>
              <w:bottom w:val="single" w:sz="4" w:space="0" w:color="auto"/>
              <w:right w:val="single" w:sz="4" w:space="0" w:color="auto"/>
            </w:tcBorders>
            <w:shd w:val="clear" w:color="auto" w:fill="auto"/>
            <w:noWrap/>
            <w:vAlign w:val="bottom"/>
            <w:hideMark/>
          </w:tcPr>
          <w:p w14:paraId="6B889C78" w14:textId="77777777" w:rsidR="00A42B0C" w:rsidRPr="00E55E40" w:rsidRDefault="00A42B0C" w:rsidP="00A42B0C">
            <w:pPr>
              <w:jc w:val="center"/>
              <w:rPr>
                <w:color w:val="000000"/>
                <w:sz w:val="20"/>
                <w:szCs w:val="20"/>
              </w:rPr>
            </w:pPr>
            <w:r w:rsidRPr="00E55E40">
              <w:rPr>
                <w:color w:val="000000"/>
                <w:sz w:val="20"/>
                <w:szCs w:val="20"/>
              </w:rPr>
              <w:t>160,8</w:t>
            </w:r>
          </w:p>
        </w:tc>
      </w:tr>
      <w:tr w:rsidR="00A42B0C" w:rsidRPr="00E55E40" w14:paraId="73C2203B" w14:textId="77777777" w:rsidTr="00A37017">
        <w:trPr>
          <w:trHeight w:val="300"/>
        </w:trPr>
        <w:tc>
          <w:tcPr>
            <w:tcW w:w="809" w:type="dxa"/>
            <w:tcBorders>
              <w:top w:val="nil"/>
              <w:left w:val="single" w:sz="4" w:space="0" w:color="auto"/>
              <w:bottom w:val="single" w:sz="4" w:space="0" w:color="auto"/>
              <w:right w:val="single" w:sz="4" w:space="0" w:color="auto"/>
            </w:tcBorders>
            <w:shd w:val="clear" w:color="auto" w:fill="auto"/>
            <w:vAlign w:val="bottom"/>
            <w:hideMark/>
          </w:tcPr>
          <w:p w14:paraId="38431B24" w14:textId="77777777" w:rsidR="00A42B0C" w:rsidRPr="00E55E40" w:rsidRDefault="00A42B0C" w:rsidP="00A42B0C">
            <w:pPr>
              <w:jc w:val="center"/>
              <w:rPr>
                <w:color w:val="000000"/>
                <w:sz w:val="20"/>
                <w:szCs w:val="20"/>
              </w:rPr>
            </w:pPr>
            <w:r w:rsidRPr="00E55E40">
              <w:rPr>
                <w:color w:val="000000"/>
                <w:sz w:val="20"/>
                <w:szCs w:val="20"/>
              </w:rPr>
              <w:t>ДИМВ</w:t>
            </w:r>
          </w:p>
        </w:tc>
        <w:tc>
          <w:tcPr>
            <w:tcW w:w="902" w:type="dxa"/>
            <w:tcBorders>
              <w:top w:val="nil"/>
              <w:left w:val="nil"/>
              <w:bottom w:val="single" w:sz="4" w:space="0" w:color="auto"/>
              <w:right w:val="single" w:sz="4" w:space="0" w:color="auto"/>
            </w:tcBorders>
            <w:shd w:val="clear" w:color="auto" w:fill="auto"/>
            <w:noWrap/>
            <w:vAlign w:val="bottom"/>
            <w:hideMark/>
          </w:tcPr>
          <w:p w14:paraId="017507A1" w14:textId="77777777" w:rsidR="00A42B0C" w:rsidRPr="00E55E40" w:rsidRDefault="00A42B0C" w:rsidP="00A42B0C">
            <w:pPr>
              <w:jc w:val="center"/>
              <w:rPr>
                <w:color w:val="000000"/>
                <w:sz w:val="20"/>
                <w:szCs w:val="20"/>
              </w:rPr>
            </w:pPr>
            <w:r w:rsidRPr="00E55E40">
              <w:rPr>
                <w:bCs/>
                <w:color w:val="000000"/>
                <w:sz w:val="20"/>
                <w:szCs w:val="20"/>
              </w:rPr>
              <w:t>23,1</w:t>
            </w:r>
          </w:p>
        </w:tc>
        <w:tc>
          <w:tcPr>
            <w:tcW w:w="960" w:type="dxa"/>
            <w:tcBorders>
              <w:top w:val="nil"/>
              <w:left w:val="nil"/>
              <w:bottom w:val="single" w:sz="4" w:space="0" w:color="auto"/>
              <w:right w:val="single" w:sz="4" w:space="0" w:color="auto"/>
            </w:tcBorders>
            <w:shd w:val="clear" w:color="auto" w:fill="auto"/>
            <w:noWrap/>
            <w:vAlign w:val="bottom"/>
            <w:hideMark/>
          </w:tcPr>
          <w:p w14:paraId="01B24CE9" w14:textId="77777777" w:rsidR="00A42B0C" w:rsidRPr="00E55E40" w:rsidRDefault="00A42B0C" w:rsidP="00A42B0C">
            <w:pPr>
              <w:jc w:val="center"/>
              <w:rPr>
                <w:color w:val="000000"/>
                <w:sz w:val="20"/>
                <w:szCs w:val="20"/>
              </w:rPr>
            </w:pPr>
            <w:r w:rsidRPr="00E55E40">
              <w:rPr>
                <w:color w:val="000000"/>
                <w:sz w:val="20"/>
                <w:szCs w:val="20"/>
              </w:rPr>
              <w:t>18,3</w:t>
            </w:r>
          </w:p>
        </w:tc>
        <w:tc>
          <w:tcPr>
            <w:tcW w:w="1078" w:type="dxa"/>
            <w:tcBorders>
              <w:top w:val="nil"/>
              <w:left w:val="nil"/>
              <w:bottom w:val="single" w:sz="4" w:space="0" w:color="auto"/>
              <w:right w:val="single" w:sz="4" w:space="0" w:color="auto"/>
            </w:tcBorders>
            <w:shd w:val="clear" w:color="auto" w:fill="auto"/>
            <w:noWrap/>
            <w:vAlign w:val="bottom"/>
            <w:hideMark/>
          </w:tcPr>
          <w:p w14:paraId="303D3A93" w14:textId="77777777" w:rsidR="00A42B0C" w:rsidRPr="00E55E40" w:rsidRDefault="00A42B0C" w:rsidP="00A42B0C">
            <w:pPr>
              <w:jc w:val="center"/>
              <w:rPr>
                <w:color w:val="000000"/>
                <w:sz w:val="20"/>
                <w:szCs w:val="20"/>
              </w:rPr>
            </w:pPr>
            <w:r w:rsidRPr="00E55E40">
              <w:rPr>
                <w:color w:val="000000"/>
                <w:sz w:val="20"/>
                <w:szCs w:val="20"/>
              </w:rPr>
              <w:t>4,8</w:t>
            </w:r>
          </w:p>
        </w:tc>
        <w:tc>
          <w:tcPr>
            <w:tcW w:w="797" w:type="dxa"/>
            <w:tcBorders>
              <w:top w:val="nil"/>
              <w:left w:val="nil"/>
              <w:bottom w:val="single" w:sz="4" w:space="0" w:color="auto"/>
              <w:right w:val="single" w:sz="4" w:space="0" w:color="auto"/>
            </w:tcBorders>
            <w:shd w:val="clear" w:color="auto" w:fill="auto"/>
            <w:noWrap/>
            <w:vAlign w:val="bottom"/>
            <w:hideMark/>
          </w:tcPr>
          <w:p w14:paraId="37FCD3A8" w14:textId="77777777" w:rsidR="00A42B0C" w:rsidRPr="00E55E40" w:rsidRDefault="00586A05" w:rsidP="00A42B0C">
            <w:pPr>
              <w:jc w:val="center"/>
              <w:rPr>
                <w:color w:val="000000"/>
                <w:sz w:val="20"/>
                <w:szCs w:val="20"/>
              </w:rPr>
            </w:pPr>
            <w:r w:rsidRPr="00E55E40">
              <w:rPr>
                <w:bCs/>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7950B2B3" w14:textId="77777777" w:rsidR="00A42B0C" w:rsidRPr="00E55E40" w:rsidRDefault="00586A05" w:rsidP="00A42B0C">
            <w:pPr>
              <w:jc w:val="center"/>
              <w:rPr>
                <w:color w:val="000000"/>
                <w:sz w:val="20"/>
                <w:szCs w:val="20"/>
              </w:rPr>
            </w:pPr>
            <w:r w:rsidRPr="00E55E40">
              <w:rPr>
                <w:color w:val="000000"/>
                <w:sz w:val="20"/>
                <w:szCs w:val="20"/>
              </w:rPr>
              <w:t>-</w:t>
            </w:r>
          </w:p>
        </w:tc>
        <w:tc>
          <w:tcPr>
            <w:tcW w:w="1145" w:type="dxa"/>
            <w:tcBorders>
              <w:top w:val="nil"/>
              <w:left w:val="nil"/>
              <w:bottom w:val="single" w:sz="4" w:space="0" w:color="auto"/>
              <w:right w:val="single" w:sz="4" w:space="0" w:color="auto"/>
            </w:tcBorders>
            <w:shd w:val="clear" w:color="auto" w:fill="auto"/>
            <w:noWrap/>
            <w:vAlign w:val="bottom"/>
            <w:hideMark/>
          </w:tcPr>
          <w:p w14:paraId="27E47D4E" w14:textId="77777777" w:rsidR="00A42B0C" w:rsidRPr="00E55E40" w:rsidRDefault="00586A05" w:rsidP="00A42B0C">
            <w:pPr>
              <w:jc w:val="center"/>
              <w:rPr>
                <w:color w:val="000000"/>
                <w:sz w:val="20"/>
                <w:szCs w:val="20"/>
              </w:rPr>
            </w:pPr>
            <w:r w:rsidRPr="00E55E40">
              <w:rPr>
                <w:color w:val="000000"/>
                <w:sz w:val="20"/>
                <w:szCs w:val="20"/>
              </w:rPr>
              <w:t>-</w:t>
            </w:r>
          </w:p>
        </w:tc>
        <w:tc>
          <w:tcPr>
            <w:tcW w:w="872" w:type="dxa"/>
            <w:tcBorders>
              <w:top w:val="nil"/>
              <w:left w:val="nil"/>
              <w:bottom w:val="single" w:sz="4" w:space="0" w:color="auto"/>
              <w:right w:val="single" w:sz="4" w:space="0" w:color="auto"/>
            </w:tcBorders>
            <w:shd w:val="clear" w:color="auto" w:fill="auto"/>
            <w:noWrap/>
            <w:vAlign w:val="bottom"/>
            <w:hideMark/>
          </w:tcPr>
          <w:p w14:paraId="03A7F1FB" w14:textId="77777777" w:rsidR="00A42B0C" w:rsidRPr="00E55E40" w:rsidRDefault="00586A05" w:rsidP="00A42B0C">
            <w:pPr>
              <w:jc w:val="center"/>
              <w:rPr>
                <w:color w:val="000000"/>
                <w:sz w:val="20"/>
                <w:szCs w:val="20"/>
              </w:rPr>
            </w:pPr>
            <w:r w:rsidRPr="00E55E40">
              <w:rPr>
                <w:bCs/>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5CFAD916" w14:textId="77777777" w:rsidR="00A42B0C" w:rsidRPr="00E55E40" w:rsidRDefault="00586A05" w:rsidP="00A42B0C">
            <w:pPr>
              <w:jc w:val="center"/>
              <w:rPr>
                <w:color w:val="000000"/>
                <w:sz w:val="20"/>
                <w:szCs w:val="20"/>
              </w:rPr>
            </w:pPr>
            <w:r w:rsidRPr="00E55E40">
              <w:rPr>
                <w:color w:val="000000"/>
                <w:sz w:val="20"/>
                <w:szCs w:val="20"/>
              </w:rPr>
              <w:t>-</w:t>
            </w:r>
          </w:p>
        </w:tc>
        <w:tc>
          <w:tcPr>
            <w:tcW w:w="1100" w:type="dxa"/>
            <w:tcBorders>
              <w:top w:val="nil"/>
              <w:left w:val="nil"/>
              <w:bottom w:val="single" w:sz="4" w:space="0" w:color="auto"/>
              <w:right w:val="single" w:sz="4" w:space="0" w:color="auto"/>
            </w:tcBorders>
            <w:shd w:val="clear" w:color="auto" w:fill="auto"/>
            <w:noWrap/>
            <w:vAlign w:val="bottom"/>
            <w:hideMark/>
          </w:tcPr>
          <w:p w14:paraId="1E6715F5" w14:textId="77777777" w:rsidR="00A42B0C" w:rsidRPr="00E55E40" w:rsidRDefault="00586A05" w:rsidP="00A42B0C">
            <w:pPr>
              <w:jc w:val="center"/>
              <w:rPr>
                <w:color w:val="000000"/>
                <w:sz w:val="20"/>
                <w:szCs w:val="20"/>
              </w:rPr>
            </w:pPr>
            <w:r w:rsidRPr="00E55E40">
              <w:rPr>
                <w:color w:val="000000"/>
                <w:sz w:val="20"/>
                <w:szCs w:val="20"/>
              </w:rPr>
              <w:t>-</w:t>
            </w:r>
          </w:p>
        </w:tc>
      </w:tr>
      <w:tr w:rsidR="00A42B0C" w:rsidRPr="00E55E40" w14:paraId="2C523C77" w14:textId="77777777" w:rsidTr="00A37017">
        <w:trPr>
          <w:trHeight w:val="300"/>
        </w:trPr>
        <w:tc>
          <w:tcPr>
            <w:tcW w:w="809" w:type="dxa"/>
            <w:tcBorders>
              <w:top w:val="nil"/>
              <w:left w:val="single" w:sz="4" w:space="0" w:color="auto"/>
              <w:bottom w:val="single" w:sz="4" w:space="0" w:color="auto"/>
              <w:right w:val="single" w:sz="4" w:space="0" w:color="auto"/>
            </w:tcBorders>
            <w:shd w:val="clear" w:color="auto" w:fill="auto"/>
            <w:vAlign w:val="bottom"/>
            <w:hideMark/>
          </w:tcPr>
          <w:p w14:paraId="795B7B87" w14:textId="77777777" w:rsidR="00A42B0C" w:rsidRPr="00E55E40" w:rsidRDefault="00A42B0C" w:rsidP="00A42B0C">
            <w:pPr>
              <w:jc w:val="center"/>
              <w:rPr>
                <w:color w:val="000000"/>
                <w:sz w:val="20"/>
                <w:szCs w:val="20"/>
              </w:rPr>
            </w:pPr>
            <w:r w:rsidRPr="00E55E40">
              <w:rPr>
                <w:color w:val="000000"/>
                <w:sz w:val="20"/>
                <w:szCs w:val="20"/>
              </w:rPr>
              <w:t>ГЦ</w:t>
            </w:r>
          </w:p>
        </w:tc>
        <w:tc>
          <w:tcPr>
            <w:tcW w:w="902" w:type="dxa"/>
            <w:tcBorders>
              <w:top w:val="nil"/>
              <w:left w:val="nil"/>
              <w:bottom w:val="single" w:sz="4" w:space="0" w:color="auto"/>
              <w:right w:val="single" w:sz="4" w:space="0" w:color="auto"/>
            </w:tcBorders>
            <w:shd w:val="clear" w:color="auto" w:fill="auto"/>
            <w:noWrap/>
            <w:vAlign w:val="bottom"/>
            <w:hideMark/>
          </w:tcPr>
          <w:p w14:paraId="459EF33D" w14:textId="77777777" w:rsidR="00A42B0C" w:rsidRPr="00E55E40" w:rsidRDefault="00A42B0C" w:rsidP="00A42B0C">
            <w:pPr>
              <w:jc w:val="center"/>
              <w:rPr>
                <w:color w:val="000000"/>
                <w:sz w:val="20"/>
                <w:szCs w:val="20"/>
              </w:rPr>
            </w:pPr>
            <w:r w:rsidRPr="00E55E40">
              <w:rPr>
                <w:bCs/>
                <w:color w:val="000000"/>
                <w:sz w:val="20"/>
                <w:szCs w:val="20"/>
              </w:rPr>
              <w:t>51,7</w:t>
            </w:r>
          </w:p>
        </w:tc>
        <w:tc>
          <w:tcPr>
            <w:tcW w:w="960" w:type="dxa"/>
            <w:tcBorders>
              <w:top w:val="nil"/>
              <w:left w:val="nil"/>
              <w:bottom w:val="single" w:sz="4" w:space="0" w:color="auto"/>
              <w:right w:val="single" w:sz="4" w:space="0" w:color="auto"/>
            </w:tcBorders>
            <w:shd w:val="clear" w:color="auto" w:fill="auto"/>
            <w:noWrap/>
            <w:vAlign w:val="bottom"/>
            <w:hideMark/>
          </w:tcPr>
          <w:p w14:paraId="7DE6351C" w14:textId="77777777" w:rsidR="00A42B0C" w:rsidRPr="00E55E40" w:rsidRDefault="00A42B0C" w:rsidP="00A42B0C">
            <w:pPr>
              <w:jc w:val="center"/>
              <w:rPr>
                <w:color w:val="000000"/>
                <w:sz w:val="20"/>
                <w:szCs w:val="20"/>
              </w:rPr>
            </w:pPr>
            <w:r w:rsidRPr="00E55E40">
              <w:rPr>
                <w:color w:val="000000"/>
                <w:sz w:val="20"/>
                <w:szCs w:val="20"/>
              </w:rPr>
              <w:t>39,4</w:t>
            </w:r>
          </w:p>
        </w:tc>
        <w:tc>
          <w:tcPr>
            <w:tcW w:w="1078" w:type="dxa"/>
            <w:tcBorders>
              <w:top w:val="nil"/>
              <w:left w:val="nil"/>
              <w:bottom w:val="single" w:sz="4" w:space="0" w:color="auto"/>
              <w:right w:val="single" w:sz="4" w:space="0" w:color="auto"/>
            </w:tcBorders>
            <w:shd w:val="clear" w:color="auto" w:fill="auto"/>
            <w:noWrap/>
            <w:vAlign w:val="bottom"/>
            <w:hideMark/>
          </w:tcPr>
          <w:p w14:paraId="03907E18" w14:textId="77777777" w:rsidR="00A42B0C" w:rsidRPr="00E55E40" w:rsidRDefault="00A42B0C" w:rsidP="00A42B0C">
            <w:pPr>
              <w:jc w:val="center"/>
              <w:rPr>
                <w:color w:val="000000"/>
                <w:sz w:val="20"/>
                <w:szCs w:val="20"/>
              </w:rPr>
            </w:pPr>
            <w:r w:rsidRPr="00E55E40">
              <w:rPr>
                <w:color w:val="000000"/>
                <w:sz w:val="20"/>
                <w:szCs w:val="20"/>
              </w:rPr>
              <w:t>12,3</w:t>
            </w:r>
          </w:p>
        </w:tc>
        <w:tc>
          <w:tcPr>
            <w:tcW w:w="797" w:type="dxa"/>
            <w:tcBorders>
              <w:top w:val="nil"/>
              <w:left w:val="nil"/>
              <w:bottom w:val="single" w:sz="4" w:space="0" w:color="auto"/>
              <w:right w:val="single" w:sz="4" w:space="0" w:color="auto"/>
            </w:tcBorders>
            <w:shd w:val="clear" w:color="auto" w:fill="auto"/>
            <w:noWrap/>
            <w:vAlign w:val="bottom"/>
            <w:hideMark/>
          </w:tcPr>
          <w:p w14:paraId="59420934" w14:textId="77777777" w:rsidR="00A42B0C" w:rsidRPr="00E55E40" w:rsidRDefault="00A42B0C" w:rsidP="00A42B0C">
            <w:pPr>
              <w:jc w:val="center"/>
              <w:rPr>
                <w:color w:val="000000"/>
                <w:sz w:val="20"/>
                <w:szCs w:val="20"/>
              </w:rPr>
            </w:pPr>
            <w:r w:rsidRPr="00E55E40">
              <w:rPr>
                <w:bCs/>
                <w:color w:val="000000"/>
                <w:sz w:val="20"/>
                <w:szCs w:val="20"/>
              </w:rPr>
              <w:t>54,5</w:t>
            </w:r>
          </w:p>
        </w:tc>
        <w:tc>
          <w:tcPr>
            <w:tcW w:w="960" w:type="dxa"/>
            <w:tcBorders>
              <w:top w:val="nil"/>
              <w:left w:val="nil"/>
              <w:bottom w:val="single" w:sz="4" w:space="0" w:color="auto"/>
              <w:right w:val="single" w:sz="4" w:space="0" w:color="auto"/>
            </w:tcBorders>
            <w:shd w:val="clear" w:color="auto" w:fill="auto"/>
            <w:noWrap/>
            <w:vAlign w:val="bottom"/>
            <w:hideMark/>
          </w:tcPr>
          <w:p w14:paraId="5567E95B" w14:textId="77777777" w:rsidR="00A42B0C" w:rsidRPr="00E55E40" w:rsidRDefault="00A42B0C" w:rsidP="00A42B0C">
            <w:pPr>
              <w:jc w:val="center"/>
              <w:rPr>
                <w:color w:val="000000"/>
                <w:sz w:val="20"/>
                <w:szCs w:val="20"/>
              </w:rPr>
            </w:pPr>
            <w:r w:rsidRPr="00E55E40">
              <w:rPr>
                <w:color w:val="000000"/>
                <w:sz w:val="20"/>
                <w:szCs w:val="20"/>
              </w:rPr>
              <w:t>40</w:t>
            </w:r>
          </w:p>
        </w:tc>
        <w:tc>
          <w:tcPr>
            <w:tcW w:w="1145" w:type="dxa"/>
            <w:tcBorders>
              <w:top w:val="nil"/>
              <w:left w:val="nil"/>
              <w:bottom w:val="single" w:sz="4" w:space="0" w:color="auto"/>
              <w:right w:val="single" w:sz="4" w:space="0" w:color="auto"/>
            </w:tcBorders>
            <w:shd w:val="clear" w:color="auto" w:fill="auto"/>
            <w:noWrap/>
            <w:vAlign w:val="bottom"/>
            <w:hideMark/>
          </w:tcPr>
          <w:p w14:paraId="0E701D41" w14:textId="77777777" w:rsidR="00A42B0C" w:rsidRPr="00E55E40" w:rsidRDefault="00A42B0C" w:rsidP="00A42B0C">
            <w:pPr>
              <w:jc w:val="center"/>
              <w:rPr>
                <w:color w:val="000000"/>
                <w:sz w:val="20"/>
                <w:szCs w:val="20"/>
              </w:rPr>
            </w:pPr>
            <w:r w:rsidRPr="00E55E40">
              <w:rPr>
                <w:color w:val="000000"/>
                <w:sz w:val="20"/>
                <w:szCs w:val="20"/>
              </w:rPr>
              <w:t>14,5</w:t>
            </w:r>
          </w:p>
        </w:tc>
        <w:tc>
          <w:tcPr>
            <w:tcW w:w="872" w:type="dxa"/>
            <w:tcBorders>
              <w:top w:val="nil"/>
              <w:left w:val="nil"/>
              <w:bottom w:val="single" w:sz="4" w:space="0" w:color="auto"/>
              <w:right w:val="single" w:sz="4" w:space="0" w:color="auto"/>
            </w:tcBorders>
            <w:shd w:val="clear" w:color="auto" w:fill="auto"/>
            <w:noWrap/>
            <w:vAlign w:val="bottom"/>
            <w:hideMark/>
          </w:tcPr>
          <w:p w14:paraId="7E1F0E3E" w14:textId="77777777" w:rsidR="00A42B0C" w:rsidRPr="00E55E40" w:rsidRDefault="00A42B0C" w:rsidP="00A42B0C">
            <w:pPr>
              <w:jc w:val="center"/>
              <w:rPr>
                <w:color w:val="000000"/>
                <w:sz w:val="20"/>
                <w:szCs w:val="20"/>
              </w:rPr>
            </w:pPr>
            <w:r w:rsidRPr="00E55E40">
              <w:rPr>
                <w:bCs/>
                <w:color w:val="000000"/>
                <w:sz w:val="20"/>
                <w:szCs w:val="20"/>
              </w:rPr>
              <w:t>78,7</w:t>
            </w:r>
          </w:p>
        </w:tc>
        <w:tc>
          <w:tcPr>
            <w:tcW w:w="960" w:type="dxa"/>
            <w:tcBorders>
              <w:top w:val="nil"/>
              <w:left w:val="nil"/>
              <w:bottom w:val="single" w:sz="4" w:space="0" w:color="auto"/>
              <w:right w:val="single" w:sz="4" w:space="0" w:color="auto"/>
            </w:tcBorders>
            <w:shd w:val="clear" w:color="auto" w:fill="auto"/>
            <w:noWrap/>
            <w:vAlign w:val="bottom"/>
            <w:hideMark/>
          </w:tcPr>
          <w:p w14:paraId="0872533E" w14:textId="77777777" w:rsidR="00A42B0C" w:rsidRPr="00E55E40" w:rsidRDefault="00A42B0C" w:rsidP="00A42B0C">
            <w:pPr>
              <w:jc w:val="center"/>
              <w:rPr>
                <w:color w:val="000000"/>
                <w:sz w:val="20"/>
                <w:szCs w:val="20"/>
              </w:rPr>
            </w:pPr>
            <w:r w:rsidRPr="00E55E40">
              <w:rPr>
                <w:color w:val="000000"/>
                <w:sz w:val="20"/>
                <w:szCs w:val="20"/>
              </w:rPr>
              <w:t>61,7</w:t>
            </w:r>
          </w:p>
        </w:tc>
        <w:tc>
          <w:tcPr>
            <w:tcW w:w="1100" w:type="dxa"/>
            <w:tcBorders>
              <w:top w:val="nil"/>
              <w:left w:val="nil"/>
              <w:bottom w:val="single" w:sz="4" w:space="0" w:color="auto"/>
              <w:right w:val="single" w:sz="4" w:space="0" w:color="auto"/>
            </w:tcBorders>
            <w:shd w:val="clear" w:color="auto" w:fill="auto"/>
            <w:noWrap/>
            <w:vAlign w:val="bottom"/>
            <w:hideMark/>
          </w:tcPr>
          <w:p w14:paraId="24F02899" w14:textId="77777777" w:rsidR="00A42B0C" w:rsidRPr="00E55E40" w:rsidRDefault="00A42B0C" w:rsidP="00A42B0C">
            <w:pPr>
              <w:jc w:val="center"/>
              <w:rPr>
                <w:color w:val="000000"/>
                <w:sz w:val="20"/>
                <w:szCs w:val="20"/>
              </w:rPr>
            </w:pPr>
            <w:r w:rsidRPr="00E55E40">
              <w:rPr>
                <w:color w:val="000000"/>
                <w:sz w:val="20"/>
                <w:szCs w:val="20"/>
              </w:rPr>
              <w:t>17</w:t>
            </w:r>
          </w:p>
        </w:tc>
      </w:tr>
      <w:tr w:rsidR="00A42B0C" w:rsidRPr="00E55E40" w14:paraId="586DF4B1" w14:textId="77777777" w:rsidTr="00A37017">
        <w:trPr>
          <w:trHeight w:val="300"/>
        </w:trPr>
        <w:tc>
          <w:tcPr>
            <w:tcW w:w="809" w:type="dxa"/>
            <w:tcBorders>
              <w:top w:val="nil"/>
              <w:left w:val="single" w:sz="4" w:space="0" w:color="auto"/>
              <w:bottom w:val="single" w:sz="4" w:space="0" w:color="auto"/>
              <w:right w:val="single" w:sz="4" w:space="0" w:color="auto"/>
            </w:tcBorders>
            <w:shd w:val="clear" w:color="auto" w:fill="auto"/>
            <w:vAlign w:val="bottom"/>
            <w:hideMark/>
          </w:tcPr>
          <w:p w14:paraId="69E674A0" w14:textId="77777777" w:rsidR="00A42B0C" w:rsidRPr="00E55E40" w:rsidRDefault="00A42B0C" w:rsidP="00A42B0C">
            <w:pPr>
              <w:jc w:val="center"/>
              <w:rPr>
                <w:b/>
                <w:bCs/>
                <w:color w:val="000000"/>
                <w:sz w:val="20"/>
                <w:szCs w:val="20"/>
              </w:rPr>
            </w:pPr>
            <w:r w:rsidRPr="00E55E40">
              <w:rPr>
                <w:b/>
                <w:bCs/>
                <w:color w:val="000000"/>
                <w:sz w:val="20"/>
                <w:szCs w:val="20"/>
              </w:rPr>
              <w:t>итого</w:t>
            </w:r>
          </w:p>
        </w:tc>
        <w:tc>
          <w:tcPr>
            <w:tcW w:w="902" w:type="dxa"/>
            <w:tcBorders>
              <w:top w:val="nil"/>
              <w:left w:val="nil"/>
              <w:bottom w:val="single" w:sz="4" w:space="0" w:color="auto"/>
              <w:right w:val="single" w:sz="4" w:space="0" w:color="auto"/>
            </w:tcBorders>
            <w:shd w:val="clear" w:color="auto" w:fill="auto"/>
            <w:noWrap/>
            <w:vAlign w:val="bottom"/>
            <w:hideMark/>
          </w:tcPr>
          <w:p w14:paraId="4914FE55" w14:textId="77777777" w:rsidR="00A42B0C" w:rsidRPr="00E55E40" w:rsidRDefault="00A42B0C" w:rsidP="00A42B0C">
            <w:pPr>
              <w:jc w:val="center"/>
              <w:rPr>
                <w:b/>
                <w:bCs/>
                <w:color w:val="000000"/>
                <w:sz w:val="20"/>
                <w:szCs w:val="20"/>
              </w:rPr>
            </w:pPr>
            <w:r w:rsidRPr="00E55E40">
              <w:rPr>
                <w:b/>
                <w:bCs/>
                <w:color w:val="000000"/>
                <w:sz w:val="20"/>
                <w:szCs w:val="20"/>
              </w:rPr>
              <w:t>1255,9</w:t>
            </w:r>
          </w:p>
        </w:tc>
        <w:tc>
          <w:tcPr>
            <w:tcW w:w="960" w:type="dxa"/>
            <w:tcBorders>
              <w:top w:val="nil"/>
              <w:left w:val="nil"/>
              <w:bottom w:val="single" w:sz="4" w:space="0" w:color="auto"/>
              <w:right w:val="single" w:sz="4" w:space="0" w:color="auto"/>
            </w:tcBorders>
            <w:shd w:val="clear" w:color="auto" w:fill="auto"/>
            <w:noWrap/>
            <w:vAlign w:val="bottom"/>
            <w:hideMark/>
          </w:tcPr>
          <w:p w14:paraId="456DE569" w14:textId="77777777" w:rsidR="00A42B0C" w:rsidRPr="00E55E40" w:rsidRDefault="00A42B0C" w:rsidP="00A42B0C">
            <w:pPr>
              <w:jc w:val="center"/>
              <w:rPr>
                <w:b/>
                <w:bCs/>
                <w:color w:val="000000"/>
                <w:sz w:val="20"/>
                <w:szCs w:val="20"/>
              </w:rPr>
            </w:pPr>
            <w:r w:rsidRPr="00E55E40">
              <w:rPr>
                <w:b/>
                <w:bCs/>
                <w:color w:val="000000"/>
                <w:sz w:val="20"/>
                <w:szCs w:val="20"/>
              </w:rPr>
              <w:t>919,4</w:t>
            </w:r>
          </w:p>
        </w:tc>
        <w:tc>
          <w:tcPr>
            <w:tcW w:w="1078" w:type="dxa"/>
            <w:tcBorders>
              <w:top w:val="nil"/>
              <w:left w:val="nil"/>
              <w:bottom w:val="single" w:sz="4" w:space="0" w:color="auto"/>
              <w:right w:val="single" w:sz="4" w:space="0" w:color="auto"/>
            </w:tcBorders>
            <w:shd w:val="clear" w:color="auto" w:fill="auto"/>
            <w:noWrap/>
            <w:vAlign w:val="bottom"/>
            <w:hideMark/>
          </w:tcPr>
          <w:p w14:paraId="2406C184" w14:textId="77777777" w:rsidR="00A42B0C" w:rsidRPr="00E55E40" w:rsidRDefault="00A42B0C" w:rsidP="00A42B0C">
            <w:pPr>
              <w:jc w:val="center"/>
              <w:rPr>
                <w:b/>
                <w:bCs/>
                <w:color w:val="000000"/>
                <w:sz w:val="20"/>
                <w:szCs w:val="20"/>
              </w:rPr>
            </w:pPr>
            <w:r w:rsidRPr="00E55E40">
              <w:rPr>
                <w:b/>
                <w:bCs/>
                <w:color w:val="000000"/>
                <w:sz w:val="20"/>
                <w:szCs w:val="20"/>
              </w:rPr>
              <w:t>336,5</w:t>
            </w:r>
          </w:p>
        </w:tc>
        <w:tc>
          <w:tcPr>
            <w:tcW w:w="797" w:type="dxa"/>
            <w:tcBorders>
              <w:top w:val="nil"/>
              <w:left w:val="nil"/>
              <w:bottom w:val="single" w:sz="4" w:space="0" w:color="auto"/>
              <w:right w:val="single" w:sz="4" w:space="0" w:color="auto"/>
            </w:tcBorders>
            <w:shd w:val="clear" w:color="auto" w:fill="auto"/>
            <w:noWrap/>
            <w:vAlign w:val="bottom"/>
            <w:hideMark/>
          </w:tcPr>
          <w:p w14:paraId="323AACA9" w14:textId="77777777" w:rsidR="00A42B0C" w:rsidRPr="00E55E40" w:rsidRDefault="00A42B0C" w:rsidP="00A42B0C">
            <w:pPr>
              <w:jc w:val="center"/>
              <w:rPr>
                <w:b/>
                <w:bCs/>
                <w:color w:val="000000"/>
                <w:sz w:val="20"/>
                <w:szCs w:val="20"/>
              </w:rPr>
            </w:pPr>
            <w:r w:rsidRPr="00E55E40">
              <w:rPr>
                <w:b/>
                <w:bCs/>
                <w:color w:val="000000"/>
                <w:sz w:val="20"/>
                <w:szCs w:val="20"/>
              </w:rPr>
              <w:t>1499,2</w:t>
            </w:r>
          </w:p>
        </w:tc>
        <w:tc>
          <w:tcPr>
            <w:tcW w:w="960" w:type="dxa"/>
            <w:tcBorders>
              <w:top w:val="nil"/>
              <w:left w:val="nil"/>
              <w:bottom w:val="single" w:sz="4" w:space="0" w:color="auto"/>
              <w:right w:val="single" w:sz="4" w:space="0" w:color="auto"/>
            </w:tcBorders>
            <w:shd w:val="clear" w:color="auto" w:fill="auto"/>
            <w:noWrap/>
            <w:vAlign w:val="bottom"/>
            <w:hideMark/>
          </w:tcPr>
          <w:p w14:paraId="0FFEA2B8" w14:textId="77777777" w:rsidR="00A42B0C" w:rsidRPr="00E55E40" w:rsidRDefault="00A42B0C" w:rsidP="00A42B0C">
            <w:pPr>
              <w:jc w:val="center"/>
              <w:rPr>
                <w:b/>
                <w:bCs/>
                <w:color w:val="000000"/>
                <w:sz w:val="20"/>
                <w:szCs w:val="20"/>
              </w:rPr>
            </w:pPr>
            <w:r w:rsidRPr="00E55E40">
              <w:rPr>
                <w:b/>
                <w:bCs/>
                <w:color w:val="000000"/>
                <w:sz w:val="20"/>
                <w:szCs w:val="20"/>
              </w:rPr>
              <w:t>1033,7</w:t>
            </w:r>
          </w:p>
        </w:tc>
        <w:tc>
          <w:tcPr>
            <w:tcW w:w="1145" w:type="dxa"/>
            <w:tcBorders>
              <w:top w:val="nil"/>
              <w:left w:val="nil"/>
              <w:bottom w:val="single" w:sz="4" w:space="0" w:color="auto"/>
              <w:right w:val="single" w:sz="4" w:space="0" w:color="auto"/>
            </w:tcBorders>
            <w:shd w:val="clear" w:color="auto" w:fill="auto"/>
            <w:noWrap/>
            <w:vAlign w:val="bottom"/>
            <w:hideMark/>
          </w:tcPr>
          <w:p w14:paraId="36B51FB9" w14:textId="77777777" w:rsidR="00A42B0C" w:rsidRPr="00E55E40" w:rsidRDefault="00A42B0C" w:rsidP="00A42B0C">
            <w:pPr>
              <w:jc w:val="center"/>
              <w:rPr>
                <w:b/>
                <w:bCs/>
                <w:color w:val="000000"/>
                <w:sz w:val="20"/>
                <w:szCs w:val="20"/>
              </w:rPr>
            </w:pPr>
            <w:r w:rsidRPr="00E55E40">
              <w:rPr>
                <w:b/>
                <w:bCs/>
                <w:color w:val="000000"/>
                <w:sz w:val="20"/>
                <w:szCs w:val="20"/>
              </w:rPr>
              <w:t>465,5</w:t>
            </w:r>
          </w:p>
        </w:tc>
        <w:tc>
          <w:tcPr>
            <w:tcW w:w="872" w:type="dxa"/>
            <w:tcBorders>
              <w:top w:val="nil"/>
              <w:left w:val="nil"/>
              <w:bottom w:val="single" w:sz="4" w:space="0" w:color="auto"/>
              <w:right w:val="single" w:sz="4" w:space="0" w:color="auto"/>
            </w:tcBorders>
            <w:shd w:val="clear" w:color="auto" w:fill="auto"/>
            <w:noWrap/>
            <w:vAlign w:val="bottom"/>
            <w:hideMark/>
          </w:tcPr>
          <w:p w14:paraId="5D8EBC7E" w14:textId="77777777" w:rsidR="00A42B0C" w:rsidRPr="00E55E40" w:rsidRDefault="00A42B0C" w:rsidP="00A42B0C">
            <w:pPr>
              <w:jc w:val="center"/>
              <w:rPr>
                <w:b/>
                <w:bCs/>
                <w:color w:val="000000"/>
                <w:sz w:val="20"/>
                <w:szCs w:val="20"/>
              </w:rPr>
            </w:pPr>
            <w:r w:rsidRPr="00E55E40">
              <w:rPr>
                <w:b/>
                <w:bCs/>
                <w:color w:val="000000"/>
                <w:sz w:val="20"/>
                <w:szCs w:val="20"/>
              </w:rPr>
              <w:t>2153,8</w:t>
            </w:r>
          </w:p>
        </w:tc>
        <w:tc>
          <w:tcPr>
            <w:tcW w:w="960" w:type="dxa"/>
            <w:tcBorders>
              <w:top w:val="nil"/>
              <w:left w:val="nil"/>
              <w:bottom w:val="single" w:sz="4" w:space="0" w:color="auto"/>
              <w:right w:val="single" w:sz="4" w:space="0" w:color="auto"/>
            </w:tcBorders>
            <w:shd w:val="clear" w:color="auto" w:fill="auto"/>
            <w:noWrap/>
            <w:vAlign w:val="bottom"/>
            <w:hideMark/>
          </w:tcPr>
          <w:p w14:paraId="47E22822" w14:textId="77777777" w:rsidR="00A42B0C" w:rsidRPr="00E55E40" w:rsidRDefault="00A42B0C" w:rsidP="00A42B0C">
            <w:pPr>
              <w:jc w:val="center"/>
              <w:rPr>
                <w:b/>
                <w:bCs/>
                <w:color w:val="000000"/>
                <w:sz w:val="20"/>
                <w:szCs w:val="20"/>
              </w:rPr>
            </w:pPr>
            <w:r w:rsidRPr="00E55E40">
              <w:rPr>
                <w:b/>
                <w:bCs/>
                <w:color w:val="000000"/>
                <w:sz w:val="20"/>
                <w:szCs w:val="20"/>
              </w:rPr>
              <w:t>1664,3</w:t>
            </w:r>
          </w:p>
        </w:tc>
        <w:tc>
          <w:tcPr>
            <w:tcW w:w="1100" w:type="dxa"/>
            <w:tcBorders>
              <w:top w:val="nil"/>
              <w:left w:val="nil"/>
              <w:bottom w:val="single" w:sz="4" w:space="0" w:color="auto"/>
              <w:right w:val="single" w:sz="4" w:space="0" w:color="auto"/>
            </w:tcBorders>
            <w:shd w:val="clear" w:color="auto" w:fill="auto"/>
            <w:noWrap/>
            <w:vAlign w:val="bottom"/>
            <w:hideMark/>
          </w:tcPr>
          <w:p w14:paraId="4A2A6B94" w14:textId="77777777" w:rsidR="00A42B0C" w:rsidRPr="00E55E40" w:rsidRDefault="00A42B0C" w:rsidP="00A42B0C">
            <w:pPr>
              <w:jc w:val="center"/>
              <w:rPr>
                <w:b/>
                <w:bCs/>
                <w:color w:val="000000"/>
                <w:sz w:val="20"/>
                <w:szCs w:val="20"/>
              </w:rPr>
            </w:pPr>
            <w:r w:rsidRPr="00E55E40">
              <w:rPr>
                <w:b/>
                <w:bCs/>
                <w:color w:val="000000"/>
                <w:sz w:val="20"/>
                <w:szCs w:val="20"/>
              </w:rPr>
              <w:t>489,5</w:t>
            </w:r>
          </w:p>
        </w:tc>
      </w:tr>
    </w:tbl>
    <w:p w14:paraId="0D5101AC" w14:textId="77777777" w:rsidR="00A42B0C" w:rsidRPr="00E55E40" w:rsidRDefault="00A42B0C" w:rsidP="0016482D">
      <w:pPr>
        <w:autoSpaceDE w:val="0"/>
        <w:autoSpaceDN w:val="0"/>
        <w:adjustRightInd w:val="0"/>
        <w:ind w:firstLine="709"/>
        <w:jc w:val="both"/>
      </w:pPr>
    </w:p>
    <w:p w14:paraId="77B9CF04" w14:textId="77777777" w:rsidR="00F238AC" w:rsidRPr="00E55E40" w:rsidRDefault="00881A01" w:rsidP="00F238AC">
      <w:pPr>
        <w:autoSpaceDE w:val="0"/>
        <w:autoSpaceDN w:val="0"/>
        <w:adjustRightInd w:val="0"/>
        <w:ind w:firstLine="709"/>
        <w:jc w:val="both"/>
        <w:rPr>
          <w:rFonts w:eastAsiaTheme="minorHAnsi"/>
          <w:lang w:eastAsia="en-US"/>
        </w:rPr>
      </w:pPr>
      <w:r w:rsidRPr="00E55E40">
        <w:t xml:space="preserve">Согласно </w:t>
      </w:r>
      <w:hyperlink r:id="rId8" w:history="1">
        <w:r w:rsidR="00F238AC" w:rsidRPr="00E55E40">
          <w:rPr>
            <w:rFonts w:eastAsiaTheme="minorHAnsi"/>
            <w:lang w:eastAsia="en-US"/>
          </w:rPr>
          <w:t>Положени</w:t>
        </w:r>
      </w:hyperlink>
      <w:r w:rsidRPr="00E55E40">
        <w:t>ю</w:t>
      </w:r>
      <w:r w:rsidR="00F238AC" w:rsidRPr="00E55E40">
        <w:rPr>
          <w:rFonts w:eastAsiaTheme="minorHAnsi"/>
          <w:lang w:eastAsia="en-US"/>
        </w:rPr>
        <w:t xml:space="preserve"> о формировании государственного задания на оказание государственных услуг (выполнение работ) в отношении государственных учреждений Волгоградской области и финансовом обеспечении выполнения государственного задания</w:t>
      </w:r>
      <w:r w:rsidR="007F1B3B" w:rsidRPr="00E55E40">
        <w:rPr>
          <w:rFonts w:eastAsiaTheme="minorHAnsi"/>
          <w:lang w:eastAsia="en-US"/>
        </w:rPr>
        <w:t>, утверждённ</w:t>
      </w:r>
      <w:r w:rsidRPr="00E55E40">
        <w:rPr>
          <w:rFonts w:eastAsiaTheme="minorHAnsi"/>
          <w:lang w:eastAsia="en-US"/>
        </w:rPr>
        <w:t xml:space="preserve">ому </w:t>
      </w:r>
      <w:r w:rsidR="007F1B3B" w:rsidRPr="00E55E40">
        <w:rPr>
          <w:rFonts w:eastAsiaTheme="minorHAnsi"/>
          <w:lang w:eastAsia="en-US"/>
        </w:rPr>
        <w:t>постановлением Администрации Волгоградской области от 30.12.2015 №</w:t>
      </w:r>
      <w:r w:rsidR="00874096" w:rsidRPr="00E55E40">
        <w:rPr>
          <w:rFonts w:eastAsiaTheme="minorHAnsi"/>
          <w:lang w:eastAsia="en-US"/>
        </w:rPr>
        <w:t> </w:t>
      </w:r>
      <w:r w:rsidR="007F1B3B" w:rsidRPr="00E55E40">
        <w:rPr>
          <w:rFonts w:eastAsiaTheme="minorHAnsi"/>
          <w:lang w:eastAsia="en-US"/>
        </w:rPr>
        <w:t>818-п</w:t>
      </w:r>
      <w:r w:rsidR="00F238AC" w:rsidRPr="00E55E40">
        <w:rPr>
          <w:rFonts w:eastAsiaTheme="minorHAnsi"/>
          <w:lang w:eastAsia="en-US"/>
        </w:rPr>
        <w:t xml:space="preserve"> (далее Положение № 818-п)</w:t>
      </w:r>
      <w:r w:rsidR="00FF1BE3" w:rsidRPr="00E55E40">
        <w:rPr>
          <w:rFonts w:eastAsiaTheme="minorHAnsi"/>
          <w:lang w:eastAsia="en-US"/>
        </w:rPr>
        <w:t>,</w:t>
      </w:r>
      <w:r w:rsidR="00F238AC" w:rsidRPr="00E55E40">
        <w:rPr>
          <w:rFonts w:eastAsiaTheme="minorHAnsi"/>
          <w:lang w:eastAsia="en-US"/>
        </w:rPr>
        <w:t xml:space="preserve"> государственн</w:t>
      </w:r>
      <w:r w:rsidR="00586A05" w:rsidRPr="00E55E40">
        <w:rPr>
          <w:rFonts w:eastAsiaTheme="minorHAnsi"/>
          <w:lang w:eastAsia="en-US"/>
        </w:rPr>
        <w:t>ы</w:t>
      </w:r>
      <w:r w:rsidRPr="00E55E40">
        <w:rPr>
          <w:rFonts w:eastAsiaTheme="minorHAnsi"/>
          <w:lang w:eastAsia="en-US"/>
        </w:rPr>
        <w:t>е</w:t>
      </w:r>
      <w:r w:rsidR="00F238AC" w:rsidRPr="00E55E40">
        <w:rPr>
          <w:rFonts w:eastAsiaTheme="minorHAnsi"/>
          <w:lang w:eastAsia="en-US"/>
        </w:rPr>
        <w:t xml:space="preserve"> задани</w:t>
      </w:r>
      <w:r w:rsidRPr="00E55E40">
        <w:rPr>
          <w:rFonts w:eastAsiaTheme="minorHAnsi"/>
          <w:lang w:eastAsia="en-US"/>
        </w:rPr>
        <w:t>я</w:t>
      </w:r>
      <w:r w:rsidR="00F238AC" w:rsidRPr="00E55E40">
        <w:rPr>
          <w:rFonts w:eastAsiaTheme="minorHAnsi"/>
          <w:lang w:eastAsia="en-US"/>
        </w:rPr>
        <w:t xml:space="preserve"> </w:t>
      </w:r>
      <w:r w:rsidRPr="00E55E40">
        <w:rPr>
          <w:rFonts w:eastAsiaTheme="minorHAnsi"/>
          <w:lang w:eastAsia="en-US"/>
        </w:rPr>
        <w:t xml:space="preserve">формируются </w:t>
      </w:r>
      <w:r w:rsidR="00F238AC" w:rsidRPr="00E55E40">
        <w:rPr>
          <w:rFonts w:eastAsiaTheme="minorHAnsi"/>
          <w:lang w:eastAsia="en-US"/>
        </w:rPr>
        <w:t>на оказание государственных услуг, содержащихся в общероссийских перечнях государственных услуг и региональном перечне государственных услуг, не включенных в общероссийские перечни.</w:t>
      </w:r>
    </w:p>
    <w:p w14:paraId="2E47BAC0" w14:textId="77777777" w:rsidR="00592E40" w:rsidRPr="00E55E40" w:rsidRDefault="000840EA" w:rsidP="000840EA">
      <w:pPr>
        <w:autoSpaceDE w:val="0"/>
        <w:autoSpaceDN w:val="0"/>
        <w:adjustRightInd w:val="0"/>
        <w:ind w:firstLine="709"/>
        <w:jc w:val="both"/>
      </w:pPr>
      <w:r w:rsidRPr="00E55E40">
        <w:t>В</w:t>
      </w:r>
      <w:r w:rsidR="0036122E" w:rsidRPr="00E55E40">
        <w:t xml:space="preserve"> </w:t>
      </w:r>
      <w:r w:rsidR="00812171" w:rsidRPr="00E55E40">
        <w:t>2016-2019 год</w:t>
      </w:r>
      <w:r w:rsidR="008C2FA1" w:rsidRPr="00E55E40">
        <w:t>ах</w:t>
      </w:r>
      <w:r w:rsidR="0036122E" w:rsidRPr="00E55E40">
        <w:t xml:space="preserve"> </w:t>
      </w:r>
      <w:r w:rsidRPr="00E55E40">
        <w:t xml:space="preserve">Комитетом до </w:t>
      </w:r>
      <w:r w:rsidR="00D1791E" w:rsidRPr="00E55E40">
        <w:t>подведомственных</w:t>
      </w:r>
      <w:r w:rsidRPr="00E55E40">
        <w:t xml:space="preserve"> </w:t>
      </w:r>
      <w:r w:rsidR="00812171" w:rsidRPr="00E55E40">
        <w:t>учреждений</w:t>
      </w:r>
      <w:r w:rsidR="00CE0FAC" w:rsidRPr="00E55E40">
        <w:t xml:space="preserve">, осуществляющих </w:t>
      </w:r>
      <w:r w:rsidR="00281494" w:rsidRPr="00E55E40">
        <w:t>деятельность по уходу за престарелыми и инвалидами с обеспечением проживания</w:t>
      </w:r>
      <w:r w:rsidR="00CE0FAC" w:rsidRPr="00E55E40">
        <w:t>,</w:t>
      </w:r>
      <w:r w:rsidRPr="00E55E40">
        <w:t xml:space="preserve"> доводились </w:t>
      </w:r>
      <w:r w:rsidR="0036122E" w:rsidRPr="00E55E40">
        <w:t>государственн</w:t>
      </w:r>
      <w:r w:rsidRPr="00E55E40">
        <w:t>ые</w:t>
      </w:r>
      <w:r w:rsidR="0036122E" w:rsidRPr="00E55E40">
        <w:t xml:space="preserve"> задания</w:t>
      </w:r>
      <w:r w:rsidR="001529D0" w:rsidRPr="00E55E40">
        <w:t xml:space="preserve"> на оказание </w:t>
      </w:r>
      <w:r w:rsidR="00870462" w:rsidRPr="00E55E40">
        <w:t>3-х</w:t>
      </w:r>
      <w:r w:rsidR="00F33261" w:rsidRPr="00E55E40">
        <w:t xml:space="preserve"> </w:t>
      </w:r>
      <w:r w:rsidR="001529D0" w:rsidRPr="00E55E40">
        <w:t>государственных услуг</w:t>
      </w:r>
      <w:r w:rsidR="00FE245C" w:rsidRPr="00E55E40">
        <w:t>,</w:t>
      </w:r>
      <w:r w:rsidR="001529D0" w:rsidRPr="00E55E40">
        <w:t xml:space="preserve"> </w:t>
      </w:r>
      <w:r w:rsidR="001529D0" w:rsidRPr="00E55E40">
        <w:rPr>
          <w:rFonts w:eastAsiaTheme="minorHAnsi"/>
          <w:lang w:eastAsia="en-US"/>
        </w:rPr>
        <w:t>содержащихся в общероссийских перечн</w:t>
      </w:r>
      <w:r w:rsidR="00F238AC" w:rsidRPr="00E55E40">
        <w:rPr>
          <w:rFonts w:eastAsiaTheme="minorHAnsi"/>
          <w:lang w:eastAsia="en-US"/>
        </w:rPr>
        <w:t>ях</w:t>
      </w:r>
      <w:r w:rsidR="00812171" w:rsidRPr="00E55E40">
        <w:rPr>
          <w:rFonts w:eastAsiaTheme="minorHAnsi"/>
          <w:lang w:eastAsia="en-US"/>
        </w:rPr>
        <w:t xml:space="preserve">, информация о которых приведена в таблице № 3. </w:t>
      </w:r>
      <w:r w:rsidR="005D6ECC" w:rsidRPr="00E55E40">
        <w:t xml:space="preserve"> </w:t>
      </w:r>
    </w:p>
    <w:p w14:paraId="10D4199D" w14:textId="77777777" w:rsidR="00813B3B" w:rsidRPr="00E55E40" w:rsidRDefault="00B6762F" w:rsidP="00B6762F">
      <w:pPr>
        <w:autoSpaceDE w:val="0"/>
        <w:autoSpaceDN w:val="0"/>
        <w:adjustRightInd w:val="0"/>
        <w:ind w:firstLine="709"/>
        <w:jc w:val="right"/>
      </w:pPr>
      <w:r w:rsidRPr="00E55E40">
        <w:t xml:space="preserve">Таблица № </w:t>
      </w:r>
      <w:r w:rsidR="00881A01" w:rsidRPr="00E55E40">
        <w:t>3</w:t>
      </w:r>
    </w:p>
    <w:tbl>
      <w:tblPr>
        <w:tblStyle w:val="a7"/>
        <w:tblW w:w="9747" w:type="dxa"/>
        <w:tblLook w:val="04A0" w:firstRow="1" w:lastRow="0" w:firstColumn="1" w:lastColumn="0" w:noHBand="0" w:noVBand="1"/>
      </w:tblPr>
      <w:tblGrid>
        <w:gridCol w:w="534"/>
        <w:gridCol w:w="2889"/>
        <w:gridCol w:w="2570"/>
        <w:gridCol w:w="3754"/>
      </w:tblGrid>
      <w:tr w:rsidR="00812171" w:rsidRPr="00E55E40" w14:paraId="52071FBC" w14:textId="77777777" w:rsidTr="00812171">
        <w:tc>
          <w:tcPr>
            <w:tcW w:w="534" w:type="dxa"/>
            <w:vAlign w:val="center"/>
          </w:tcPr>
          <w:p w14:paraId="33E768EA" w14:textId="77777777" w:rsidR="00812171" w:rsidRPr="00E55E40" w:rsidRDefault="00812171" w:rsidP="00812171">
            <w:pPr>
              <w:autoSpaceDE w:val="0"/>
              <w:autoSpaceDN w:val="0"/>
              <w:adjustRightInd w:val="0"/>
              <w:jc w:val="center"/>
              <w:rPr>
                <w:sz w:val="20"/>
                <w:szCs w:val="20"/>
              </w:rPr>
            </w:pPr>
            <w:r w:rsidRPr="00E55E40">
              <w:rPr>
                <w:sz w:val="20"/>
                <w:szCs w:val="20"/>
              </w:rPr>
              <w:t>№ п/п</w:t>
            </w:r>
          </w:p>
        </w:tc>
        <w:tc>
          <w:tcPr>
            <w:tcW w:w="2889" w:type="dxa"/>
            <w:vAlign w:val="center"/>
          </w:tcPr>
          <w:p w14:paraId="4FB09A6B" w14:textId="77777777" w:rsidR="00812171" w:rsidRPr="00E55E40" w:rsidRDefault="00812171" w:rsidP="00812171">
            <w:pPr>
              <w:autoSpaceDE w:val="0"/>
              <w:autoSpaceDN w:val="0"/>
              <w:adjustRightInd w:val="0"/>
              <w:jc w:val="center"/>
              <w:rPr>
                <w:sz w:val="20"/>
                <w:szCs w:val="20"/>
              </w:rPr>
            </w:pPr>
            <w:r w:rsidRPr="00E55E40">
              <w:rPr>
                <w:sz w:val="20"/>
                <w:szCs w:val="20"/>
              </w:rPr>
              <w:t>Уникальный номер госу</w:t>
            </w:r>
            <w:r w:rsidR="009B1862" w:rsidRPr="00E55E40">
              <w:rPr>
                <w:sz w:val="20"/>
                <w:szCs w:val="20"/>
              </w:rPr>
              <w:t>дарственной у</w:t>
            </w:r>
            <w:r w:rsidRPr="00E55E40">
              <w:rPr>
                <w:sz w:val="20"/>
                <w:szCs w:val="20"/>
              </w:rPr>
              <w:t>слуги</w:t>
            </w:r>
          </w:p>
        </w:tc>
        <w:tc>
          <w:tcPr>
            <w:tcW w:w="2570" w:type="dxa"/>
            <w:vAlign w:val="center"/>
          </w:tcPr>
          <w:p w14:paraId="4520EAAA" w14:textId="77777777" w:rsidR="00812171" w:rsidRPr="00E55E40" w:rsidRDefault="00812171" w:rsidP="00812171">
            <w:pPr>
              <w:autoSpaceDE w:val="0"/>
              <w:autoSpaceDN w:val="0"/>
              <w:adjustRightInd w:val="0"/>
              <w:jc w:val="center"/>
              <w:rPr>
                <w:sz w:val="20"/>
                <w:szCs w:val="20"/>
              </w:rPr>
            </w:pPr>
            <w:r w:rsidRPr="00E55E40">
              <w:rPr>
                <w:sz w:val="20"/>
                <w:szCs w:val="20"/>
              </w:rPr>
              <w:t>Наименование гос</w:t>
            </w:r>
            <w:r w:rsidR="009B1862" w:rsidRPr="00E55E40">
              <w:rPr>
                <w:sz w:val="20"/>
                <w:szCs w:val="20"/>
              </w:rPr>
              <w:t xml:space="preserve">ударственной </w:t>
            </w:r>
            <w:r w:rsidRPr="00E55E40">
              <w:rPr>
                <w:sz w:val="20"/>
                <w:szCs w:val="20"/>
              </w:rPr>
              <w:t>услуги</w:t>
            </w:r>
          </w:p>
        </w:tc>
        <w:tc>
          <w:tcPr>
            <w:tcW w:w="3754" w:type="dxa"/>
            <w:vAlign w:val="center"/>
          </w:tcPr>
          <w:p w14:paraId="1AD755E6" w14:textId="77777777" w:rsidR="00812171" w:rsidRPr="00E55E40" w:rsidRDefault="00812171" w:rsidP="00812171">
            <w:pPr>
              <w:autoSpaceDE w:val="0"/>
              <w:autoSpaceDN w:val="0"/>
              <w:adjustRightInd w:val="0"/>
              <w:jc w:val="center"/>
              <w:rPr>
                <w:sz w:val="20"/>
                <w:szCs w:val="20"/>
              </w:rPr>
            </w:pPr>
            <w:r w:rsidRPr="00E55E40">
              <w:rPr>
                <w:sz w:val="20"/>
                <w:szCs w:val="20"/>
              </w:rPr>
              <w:t>Категория получателей</w:t>
            </w:r>
          </w:p>
        </w:tc>
      </w:tr>
      <w:tr w:rsidR="00812171" w:rsidRPr="00E55E40" w14:paraId="1136B4CF" w14:textId="77777777" w:rsidTr="00DA3B29">
        <w:tc>
          <w:tcPr>
            <w:tcW w:w="534" w:type="dxa"/>
            <w:vAlign w:val="center"/>
          </w:tcPr>
          <w:p w14:paraId="76595E90" w14:textId="77777777" w:rsidR="00812171" w:rsidRPr="00E55E40" w:rsidRDefault="00812171" w:rsidP="00DA3B29">
            <w:pPr>
              <w:autoSpaceDE w:val="0"/>
              <w:autoSpaceDN w:val="0"/>
              <w:adjustRightInd w:val="0"/>
              <w:rPr>
                <w:sz w:val="20"/>
                <w:szCs w:val="20"/>
              </w:rPr>
            </w:pPr>
            <w:r w:rsidRPr="00E55E40">
              <w:rPr>
                <w:sz w:val="20"/>
                <w:szCs w:val="20"/>
              </w:rPr>
              <w:t>1</w:t>
            </w:r>
          </w:p>
        </w:tc>
        <w:tc>
          <w:tcPr>
            <w:tcW w:w="2889" w:type="dxa"/>
            <w:vAlign w:val="center"/>
          </w:tcPr>
          <w:p w14:paraId="5D8DB066" w14:textId="77777777" w:rsidR="00812171" w:rsidRPr="00E55E40" w:rsidRDefault="00812171" w:rsidP="00DA3B29">
            <w:pPr>
              <w:autoSpaceDE w:val="0"/>
              <w:autoSpaceDN w:val="0"/>
              <w:adjustRightInd w:val="0"/>
              <w:rPr>
                <w:sz w:val="20"/>
                <w:szCs w:val="20"/>
              </w:rPr>
            </w:pPr>
            <w:r w:rsidRPr="00E55E40">
              <w:rPr>
                <w:sz w:val="20"/>
                <w:szCs w:val="20"/>
              </w:rPr>
              <w:t>870000О.99.0.АЭ20АА00000</w:t>
            </w:r>
          </w:p>
        </w:tc>
        <w:tc>
          <w:tcPr>
            <w:tcW w:w="2570" w:type="dxa"/>
            <w:vAlign w:val="center"/>
          </w:tcPr>
          <w:p w14:paraId="1FB51D16" w14:textId="77777777" w:rsidR="00812171" w:rsidRPr="00E55E40" w:rsidRDefault="00812171" w:rsidP="00DA3B29">
            <w:pPr>
              <w:autoSpaceDE w:val="0"/>
              <w:autoSpaceDN w:val="0"/>
              <w:adjustRightInd w:val="0"/>
              <w:rPr>
                <w:sz w:val="20"/>
                <w:szCs w:val="20"/>
              </w:rPr>
            </w:pPr>
            <w:r w:rsidRPr="00E55E40">
              <w:rPr>
                <w:sz w:val="20"/>
                <w:szCs w:val="20"/>
              </w:rPr>
              <w:t xml:space="preserve">Предоставление социального обслуживания в </w:t>
            </w:r>
            <w:r w:rsidRPr="00E55E40">
              <w:rPr>
                <w:i/>
                <w:sz w:val="20"/>
                <w:szCs w:val="20"/>
              </w:rPr>
              <w:t>стационарной</w:t>
            </w:r>
            <w:r w:rsidRPr="00E55E40">
              <w:rPr>
                <w:sz w:val="20"/>
                <w:szCs w:val="20"/>
              </w:rPr>
              <w:t xml:space="preserve"> форме</w:t>
            </w:r>
          </w:p>
        </w:tc>
        <w:tc>
          <w:tcPr>
            <w:tcW w:w="3754" w:type="dxa"/>
            <w:vAlign w:val="center"/>
          </w:tcPr>
          <w:p w14:paraId="02299B47" w14:textId="77777777" w:rsidR="00812171" w:rsidRPr="00E55E40" w:rsidRDefault="00812171" w:rsidP="00DA3B29">
            <w:pPr>
              <w:autoSpaceDE w:val="0"/>
              <w:autoSpaceDN w:val="0"/>
              <w:adjustRightInd w:val="0"/>
              <w:jc w:val="both"/>
              <w:rPr>
                <w:sz w:val="20"/>
                <w:szCs w:val="20"/>
              </w:rPr>
            </w:pPr>
            <w:r w:rsidRPr="00E55E40">
              <w:rPr>
                <w:sz w:val="20"/>
                <w:szCs w:val="20"/>
              </w:rPr>
              <w:t>Гражданин</w:t>
            </w:r>
            <w:r w:rsidR="008C2FA1" w:rsidRPr="00E55E40">
              <w:rPr>
                <w:sz w:val="20"/>
                <w:szCs w:val="20"/>
              </w:rPr>
              <w:t>,</w:t>
            </w:r>
            <w:r w:rsidRPr="00E55E40">
              <w:rPr>
                <w:sz w:val="20"/>
                <w:szCs w:val="20"/>
              </w:rPr>
              <w:t xml:space="preserve"> </w:t>
            </w:r>
            <w:r w:rsidRPr="00E55E40">
              <w:rPr>
                <w:i/>
                <w:sz w:val="20"/>
                <w:szCs w:val="20"/>
              </w:rPr>
              <w:t>полностью</w:t>
            </w:r>
            <w:r w:rsidRPr="00E55E40">
              <w:rPr>
                <w:sz w:val="20"/>
                <w:szCs w:val="20"/>
              </w:rPr>
              <w:t xml:space="preserve">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r>
      <w:tr w:rsidR="00812171" w:rsidRPr="00E55E40" w14:paraId="258444C4" w14:textId="77777777" w:rsidTr="00DA3B29">
        <w:tc>
          <w:tcPr>
            <w:tcW w:w="534" w:type="dxa"/>
            <w:vAlign w:val="center"/>
          </w:tcPr>
          <w:p w14:paraId="7AC31DA6" w14:textId="77777777" w:rsidR="00812171" w:rsidRPr="00E55E40" w:rsidRDefault="00812171" w:rsidP="00DA3B29">
            <w:pPr>
              <w:autoSpaceDE w:val="0"/>
              <w:autoSpaceDN w:val="0"/>
              <w:adjustRightInd w:val="0"/>
              <w:rPr>
                <w:sz w:val="20"/>
                <w:szCs w:val="20"/>
              </w:rPr>
            </w:pPr>
            <w:r w:rsidRPr="00E55E40">
              <w:rPr>
                <w:sz w:val="20"/>
                <w:szCs w:val="20"/>
              </w:rPr>
              <w:t>2</w:t>
            </w:r>
          </w:p>
        </w:tc>
        <w:tc>
          <w:tcPr>
            <w:tcW w:w="2889" w:type="dxa"/>
            <w:vAlign w:val="center"/>
          </w:tcPr>
          <w:p w14:paraId="2A555FD8" w14:textId="77777777" w:rsidR="00812171" w:rsidRPr="00E55E40" w:rsidRDefault="00812171" w:rsidP="00DA3B29">
            <w:pPr>
              <w:autoSpaceDE w:val="0"/>
              <w:autoSpaceDN w:val="0"/>
              <w:adjustRightInd w:val="0"/>
              <w:rPr>
                <w:sz w:val="20"/>
                <w:szCs w:val="20"/>
              </w:rPr>
            </w:pPr>
            <w:r w:rsidRPr="00E55E40">
              <w:rPr>
                <w:sz w:val="20"/>
                <w:szCs w:val="20"/>
              </w:rPr>
              <w:t>870000О.99.0.АЭ20АА01000</w:t>
            </w:r>
          </w:p>
        </w:tc>
        <w:tc>
          <w:tcPr>
            <w:tcW w:w="2570" w:type="dxa"/>
            <w:vAlign w:val="center"/>
          </w:tcPr>
          <w:p w14:paraId="284AA2BC" w14:textId="77777777" w:rsidR="00812171" w:rsidRPr="00E55E40" w:rsidRDefault="00812171" w:rsidP="00DA3B29">
            <w:pPr>
              <w:autoSpaceDE w:val="0"/>
              <w:autoSpaceDN w:val="0"/>
              <w:adjustRightInd w:val="0"/>
              <w:rPr>
                <w:sz w:val="20"/>
                <w:szCs w:val="20"/>
              </w:rPr>
            </w:pPr>
            <w:r w:rsidRPr="00E55E40">
              <w:rPr>
                <w:sz w:val="20"/>
                <w:szCs w:val="20"/>
              </w:rPr>
              <w:t xml:space="preserve">Предоставление социального обслуживания в </w:t>
            </w:r>
            <w:r w:rsidRPr="00E55E40">
              <w:rPr>
                <w:i/>
                <w:sz w:val="20"/>
                <w:szCs w:val="20"/>
              </w:rPr>
              <w:t>стационарной</w:t>
            </w:r>
            <w:r w:rsidRPr="00E55E40">
              <w:rPr>
                <w:sz w:val="20"/>
                <w:szCs w:val="20"/>
              </w:rPr>
              <w:t xml:space="preserve"> форме</w:t>
            </w:r>
          </w:p>
        </w:tc>
        <w:tc>
          <w:tcPr>
            <w:tcW w:w="3754" w:type="dxa"/>
            <w:vAlign w:val="center"/>
          </w:tcPr>
          <w:p w14:paraId="5251C1CA" w14:textId="77777777" w:rsidR="00812171" w:rsidRPr="00E55E40" w:rsidRDefault="00812171" w:rsidP="00DA3B29">
            <w:pPr>
              <w:autoSpaceDE w:val="0"/>
              <w:autoSpaceDN w:val="0"/>
              <w:adjustRightInd w:val="0"/>
              <w:jc w:val="both"/>
              <w:rPr>
                <w:sz w:val="20"/>
                <w:szCs w:val="20"/>
              </w:rPr>
            </w:pPr>
            <w:r w:rsidRPr="00E55E40">
              <w:rPr>
                <w:sz w:val="20"/>
                <w:szCs w:val="20"/>
              </w:rPr>
              <w:t>Гражданин</w:t>
            </w:r>
            <w:r w:rsidR="008C2FA1" w:rsidRPr="00E55E40">
              <w:rPr>
                <w:sz w:val="20"/>
                <w:szCs w:val="20"/>
              </w:rPr>
              <w:t>,</w:t>
            </w:r>
            <w:r w:rsidRPr="00E55E40">
              <w:rPr>
                <w:sz w:val="20"/>
                <w:szCs w:val="20"/>
              </w:rPr>
              <w:t xml:space="preserve"> </w:t>
            </w:r>
            <w:r w:rsidRPr="00E55E40">
              <w:rPr>
                <w:i/>
                <w:sz w:val="20"/>
                <w:szCs w:val="20"/>
              </w:rPr>
              <w:t>частично</w:t>
            </w:r>
            <w:r w:rsidRPr="00E55E40">
              <w:rPr>
                <w:sz w:val="20"/>
                <w:szCs w:val="20"/>
              </w:rPr>
              <w:t xml:space="preserve">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w:t>
            </w:r>
            <w:r w:rsidRPr="00E55E40">
              <w:rPr>
                <w:sz w:val="20"/>
                <w:szCs w:val="20"/>
              </w:rPr>
              <w:lastRenderedPageBreak/>
              <w:t>травмы, возраста или наличия инвалидности</w:t>
            </w:r>
          </w:p>
        </w:tc>
      </w:tr>
      <w:tr w:rsidR="00812171" w:rsidRPr="00E55E40" w14:paraId="5A495D1B" w14:textId="77777777" w:rsidTr="00DA3B29">
        <w:tc>
          <w:tcPr>
            <w:tcW w:w="534" w:type="dxa"/>
            <w:vAlign w:val="center"/>
          </w:tcPr>
          <w:p w14:paraId="5E4ED9A2" w14:textId="77777777" w:rsidR="00812171" w:rsidRPr="00E55E40" w:rsidRDefault="00812171" w:rsidP="00DA3B29">
            <w:pPr>
              <w:autoSpaceDE w:val="0"/>
              <w:autoSpaceDN w:val="0"/>
              <w:adjustRightInd w:val="0"/>
              <w:rPr>
                <w:sz w:val="20"/>
                <w:szCs w:val="20"/>
              </w:rPr>
            </w:pPr>
            <w:r w:rsidRPr="00E55E40">
              <w:rPr>
                <w:sz w:val="20"/>
                <w:szCs w:val="20"/>
              </w:rPr>
              <w:lastRenderedPageBreak/>
              <w:t>3</w:t>
            </w:r>
          </w:p>
        </w:tc>
        <w:tc>
          <w:tcPr>
            <w:tcW w:w="2889" w:type="dxa"/>
            <w:vAlign w:val="center"/>
          </w:tcPr>
          <w:p w14:paraId="1200122B" w14:textId="77777777" w:rsidR="00812171" w:rsidRPr="00E55E40" w:rsidRDefault="00812171" w:rsidP="00DA3B29">
            <w:pPr>
              <w:autoSpaceDE w:val="0"/>
              <w:autoSpaceDN w:val="0"/>
              <w:adjustRightInd w:val="0"/>
              <w:rPr>
                <w:sz w:val="20"/>
                <w:szCs w:val="20"/>
              </w:rPr>
            </w:pPr>
            <w:r w:rsidRPr="00E55E40">
              <w:rPr>
                <w:sz w:val="20"/>
                <w:szCs w:val="20"/>
              </w:rPr>
              <w:t>870000О.99.0.АЭ21АА01000</w:t>
            </w:r>
          </w:p>
        </w:tc>
        <w:tc>
          <w:tcPr>
            <w:tcW w:w="2570" w:type="dxa"/>
            <w:vAlign w:val="center"/>
          </w:tcPr>
          <w:p w14:paraId="27C5A7D5" w14:textId="77777777" w:rsidR="00812171" w:rsidRPr="00E55E40" w:rsidRDefault="00812171" w:rsidP="00DA3B29">
            <w:pPr>
              <w:autoSpaceDE w:val="0"/>
              <w:autoSpaceDN w:val="0"/>
              <w:adjustRightInd w:val="0"/>
              <w:rPr>
                <w:sz w:val="20"/>
                <w:szCs w:val="20"/>
              </w:rPr>
            </w:pPr>
            <w:r w:rsidRPr="00E55E40">
              <w:rPr>
                <w:sz w:val="20"/>
                <w:szCs w:val="20"/>
              </w:rPr>
              <w:t xml:space="preserve">Предоставление социального обслуживания в </w:t>
            </w:r>
            <w:r w:rsidRPr="00E55E40">
              <w:rPr>
                <w:i/>
                <w:sz w:val="20"/>
                <w:szCs w:val="20"/>
              </w:rPr>
              <w:t>полустационарной</w:t>
            </w:r>
            <w:r w:rsidRPr="00E55E40">
              <w:rPr>
                <w:sz w:val="20"/>
                <w:szCs w:val="20"/>
              </w:rPr>
              <w:t xml:space="preserve"> форме</w:t>
            </w:r>
          </w:p>
        </w:tc>
        <w:tc>
          <w:tcPr>
            <w:tcW w:w="3754" w:type="dxa"/>
            <w:vAlign w:val="center"/>
          </w:tcPr>
          <w:p w14:paraId="64C4504C" w14:textId="77777777" w:rsidR="00812171" w:rsidRPr="00E55E40" w:rsidRDefault="00812171" w:rsidP="00DA3B29">
            <w:pPr>
              <w:autoSpaceDE w:val="0"/>
              <w:autoSpaceDN w:val="0"/>
              <w:adjustRightInd w:val="0"/>
              <w:jc w:val="both"/>
              <w:rPr>
                <w:sz w:val="20"/>
                <w:szCs w:val="20"/>
              </w:rPr>
            </w:pPr>
            <w:r w:rsidRPr="00E55E40">
              <w:rPr>
                <w:sz w:val="20"/>
                <w:szCs w:val="20"/>
              </w:rPr>
              <w:t>Гражданин</w:t>
            </w:r>
            <w:r w:rsidR="008C2FA1" w:rsidRPr="00E55E40">
              <w:rPr>
                <w:sz w:val="20"/>
                <w:szCs w:val="20"/>
              </w:rPr>
              <w:t>,</w:t>
            </w:r>
            <w:r w:rsidRPr="00E55E40">
              <w:rPr>
                <w:sz w:val="20"/>
                <w:szCs w:val="20"/>
              </w:rPr>
              <w:t xml:space="preserve"> частично утративший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r>
    </w:tbl>
    <w:p w14:paraId="4B85CB6B" w14:textId="77777777" w:rsidR="000C31B1" w:rsidRPr="00E55E40" w:rsidRDefault="000C31B1" w:rsidP="00881A01">
      <w:pPr>
        <w:autoSpaceDE w:val="0"/>
        <w:autoSpaceDN w:val="0"/>
        <w:adjustRightInd w:val="0"/>
        <w:ind w:firstLine="709"/>
        <w:jc w:val="both"/>
      </w:pPr>
    </w:p>
    <w:p w14:paraId="66D9B650" w14:textId="77777777" w:rsidR="00881A01" w:rsidRPr="00E55E40" w:rsidRDefault="00212385" w:rsidP="00881A01">
      <w:pPr>
        <w:autoSpaceDE w:val="0"/>
        <w:autoSpaceDN w:val="0"/>
        <w:adjustRightInd w:val="0"/>
        <w:ind w:firstLine="709"/>
        <w:jc w:val="both"/>
        <w:rPr>
          <w:rFonts w:eastAsiaTheme="minorHAnsi"/>
          <w:lang w:eastAsia="en-US"/>
        </w:rPr>
      </w:pPr>
      <w:r w:rsidRPr="00E55E40">
        <w:t>Г</w:t>
      </w:r>
      <w:r w:rsidR="00D2124A" w:rsidRPr="00E55E40">
        <w:t>осударственны</w:t>
      </w:r>
      <w:r w:rsidRPr="00E55E40">
        <w:t>е</w:t>
      </w:r>
      <w:r w:rsidR="00D2124A" w:rsidRPr="00E55E40">
        <w:t xml:space="preserve"> задания</w:t>
      </w:r>
      <w:r w:rsidRPr="00E55E40">
        <w:t xml:space="preserve"> в проверяемом периоде формировались Комитетом на оказание</w:t>
      </w:r>
      <w:r w:rsidR="00D2124A" w:rsidRPr="00E55E40">
        <w:t xml:space="preserve"> </w:t>
      </w:r>
      <w:r w:rsidRPr="00E55E40">
        <w:t xml:space="preserve">учреждениями </w:t>
      </w:r>
      <w:r w:rsidR="00D2124A" w:rsidRPr="00E55E40">
        <w:t>государственных услуг в соответстви</w:t>
      </w:r>
      <w:r w:rsidR="008C2FA1" w:rsidRPr="00E55E40">
        <w:t>и</w:t>
      </w:r>
      <w:r w:rsidR="00D2124A" w:rsidRPr="00E55E40">
        <w:t xml:space="preserve"> с </w:t>
      </w:r>
      <w:r w:rsidR="00881A01" w:rsidRPr="00E55E40">
        <w:rPr>
          <w:rFonts w:eastAsiaTheme="minorHAnsi"/>
          <w:lang w:eastAsia="en-US"/>
        </w:rPr>
        <w:t>утверждённы</w:t>
      </w:r>
      <w:r w:rsidR="00D2124A" w:rsidRPr="00E55E40">
        <w:rPr>
          <w:rFonts w:eastAsiaTheme="minorHAnsi"/>
          <w:lang w:eastAsia="en-US"/>
        </w:rPr>
        <w:t>ми</w:t>
      </w:r>
      <w:r w:rsidR="00881A01" w:rsidRPr="00E55E40">
        <w:rPr>
          <w:rFonts w:eastAsiaTheme="minorHAnsi"/>
          <w:lang w:eastAsia="en-US"/>
        </w:rPr>
        <w:t xml:space="preserve"> Комитетом порядк</w:t>
      </w:r>
      <w:r w:rsidR="00D2124A" w:rsidRPr="00E55E40">
        <w:rPr>
          <w:rFonts w:eastAsiaTheme="minorHAnsi"/>
          <w:lang w:eastAsia="en-US"/>
        </w:rPr>
        <w:t xml:space="preserve">ами </w:t>
      </w:r>
      <w:r w:rsidR="00881A01" w:rsidRPr="00E55E40">
        <w:rPr>
          <w:rFonts w:eastAsiaTheme="minorHAnsi"/>
          <w:lang w:eastAsia="en-US"/>
        </w:rPr>
        <w:t>предоставления социальных услуг, определ</w:t>
      </w:r>
      <w:r w:rsidR="00D2124A" w:rsidRPr="00E55E40">
        <w:rPr>
          <w:rFonts w:eastAsiaTheme="minorHAnsi"/>
          <w:lang w:eastAsia="en-US"/>
        </w:rPr>
        <w:t>яющими</w:t>
      </w:r>
      <w:r w:rsidR="00881A01" w:rsidRPr="00E55E40">
        <w:rPr>
          <w:rFonts w:eastAsiaTheme="minorHAnsi"/>
          <w:lang w:eastAsia="en-US"/>
        </w:rPr>
        <w:t xml:space="preserve"> </w:t>
      </w:r>
      <w:r w:rsidR="00D2124A" w:rsidRPr="00E55E40">
        <w:rPr>
          <w:rFonts w:eastAsiaTheme="minorHAnsi"/>
          <w:lang w:eastAsia="en-US"/>
        </w:rPr>
        <w:t xml:space="preserve">их </w:t>
      </w:r>
      <w:r w:rsidR="00881A01" w:rsidRPr="00E55E40">
        <w:rPr>
          <w:rFonts w:eastAsiaTheme="minorHAnsi"/>
          <w:lang w:eastAsia="en-US"/>
        </w:rPr>
        <w:t>виды и периодичность в зависимости от тип</w:t>
      </w:r>
      <w:r w:rsidR="00D2124A" w:rsidRPr="00E55E40">
        <w:rPr>
          <w:rFonts w:eastAsiaTheme="minorHAnsi"/>
          <w:lang w:eastAsia="en-US"/>
        </w:rPr>
        <w:t>ов</w:t>
      </w:r>
      <w:r w:rsidR="00881A01" w:rsidRPr="00E55E40">
        <w:rPr>
          <w:rFonts w:eastAsiaTheme="minorHAnsi"/>
          <w:lang w:eastAsia="en-US"/>
        </w:rPr>
        <w:t xml:space="preserve"> </w:t>
      </w:r>
      <w:r w:rsidR="00D2124A" w:rsidRPr="00E55E40">
        <w:rPr>
          <w:rFonts w:eastAsiaTheme="minorHAnsi"/>
          <w:lang w:eastAsia="en-US"/>
        </w:rPr>
        <w:t xml:space="preserve">и территориального расположения </w:t>
      </w:r>
      <w:r w:rsidR="00881A01" w:rsidRPr="00E55E40">
        <w:rPr>
          <w:rFonts w:eastAsiaTheme="minorHAnsi"/>
          <w:lang w:eastAsia="en-US"/>
        </w:rPr>
        <w:t>учреждений</w:t>
      </w:r>
      <w:r w:rsidR="00D2124A" w:rsidRPr="00E55E40">
        <w:rPr>
          <w:rFonts w:eastAsiaTheme="minorHAnsi"/>
          <w:lang w:eastAsia="en-US"/>
        </w:rPr>
        <w:t>, а также</w:t>
      </w:r>
      <w:r w:rsidR="00881A01" w:rsidRPr="00E55E40">
        <w:rPr>
          <w:rFonts w:eastAsiaTheme="minorHAnsi"/>
          <w:lang w:eastAsia="en-US"/>
        </w:rPr>
        <w:t xml:space="preserve"> наличием психических расстройств у получателей: </w:t>
      </w:r>
    </w:p>
    <w:p w14:paraId="49341139" w14:textId="77777777" w:rsidR="0025222D" w:rsidRPr="00E55E40" w:rsidRDefault="0025222D" w:rsidP="0025222D">
      <w:pPr>
        <w:autoSpaceDE w:val="0"/>
        <w:autoSpaceDN w:val="0"/>
        <w:adjustRightInd w:val="0"/>
        <w:ind w:firstLine="709"/>
        <w:jc w:val="both"/>
        <w:rPr>
          <w:rFonts w:eastAsiaTheme="minorHAnsi"/>
          <w:lang w:eastAsia="en-US"/>
        </w:rPr>
      </w:pPr>
      <w:r w:rsidRPr="00E55E40">
        <w:t>- </w:t>
      </w:r>
      <w:r w:rsidRPr="00E55E40">
        <w:rPr>
          <w:rFonts w:eastAsiaTheme="minorHAnsi"/>
          <w:lang w:eastAsia="en-US"/>
        </w:rPr>
        <w:t xml:space="preserve">№ 309 - </w:t>
      </w:r>
      <w:hyperlink r:id="rId9" w:history="1">
        <w:r w:rsidRPr="00E55E40">
          <w:rPr>
            <w:rFonts w:eastAsiaTheme="minorHAnsi"/>
            <w:lang w:eastAsia="en-US"/>
          </w:rPr>
          <w:t>Порядок</w:t>
        </w:r>
      </w:hyperlink>
      <w:r w:rsidRPr="00E55E40">
        <w:rPr>
          <w:rFonts w:eastAsiaTheme="minorHAnsi"/>
          <w:lang w:eastAsia="en-US"/>
        </w:rPr>
        <w:t xml:space="preserve"> предоставления социальных услуг в стационарной форме социального обслуживания гражданам пожилого возраста и инвалидам, </w:t>
      </w:r>
      <w:r w:rsidRPr="00E55E40">
        <w:rPr>
          <w:rFonts w:eastAsiaTheme="minorHAnsi"/>
          <w:i/>
          <w:lang w:eastAsia="en-US"/>
        </w:rPr>
        <w:t>страдающим психическими расстройствами</w:t>
      </w:r>
      <w:r w:rsidRPr="00E55E40">
        <w:rPr>
          <w:rFonts w:eastAsiaTheme="minorHAnsi"/>
          <w:lang w:eastAsia="en-US"/>
        </w:rPr>
        <w:t xml:space="preserve"> (далее Порядок </w:t>
      </w:r>
      <w:r w:rsidR="000C31B1" w:rsidRPr="00E55E40">
        <w:rPr>
          <w:rFonts w:eastAsiaTheme="minorHAnsi"/>
          <w:lang w:eastAsia="en-US"/>
        </w:rPr>
        <w:t>ПНИ</w:t>
      </w:r>
      <w:r w:rsidRPr="00E55E40">
        <w:rPr>
          <w:rFonts w:eastAsiaTheme="minorHAnsi"/>
          <w:lang w:eastAsia="en-US"/>
        </w:rPr>
        <w:t>);</w:t>
      </w:r>
    </w:p>
    <w:p w14:paraId="6D85A2B4" w14:textId="77777777" w:rsidR="0025222D" w:rsidRPr="00E55E40" w:rsidRDefault="0025222D" w:rsidP="0025222D">
      <w:pPr>
        <w:autoSpaceDE w:val="0"/>
        <w:autoSpaceDN w:val="0"/>
        <w:adjustRightInd w:val="0"/>
        <w:ind w:firstLine="709"/>
        <w:jc w:val="both"/>
        <w:rPr>
          <w:rFonts w:eastAsiaTheme="minorHAnsi"/>
          <w:lang w:eastAsia="en-US"/>
        </w:rPr>
      </w:pPr>
      <w:r w:rsidRPr="00E55E40">
        <w:rPr>
          <w:rFonts w:eastAsiaTheme="minorHAnsi"/>
          <w:lang w:eastAsia="en-US"/>
        </w:rPr>
        <w:t xml:space="preserve">- № 310 - </w:t>
      </w:r>
      <w:hyperlink r:id="rId10" w:history="1">
        <w:r w:rsidRPr="00E55E40">
          <w:rPr>
            <w:rFonts w:eastAsiaTheme="minorHAnsi"/>
            <w:lang w:eastAsia="en-US"/>
          </w:rPr>
          <w:t>Порядок</w:t>
        </w:r>
      </w:hyperlink>
      <w:r w:rsidRPr="00E55E40">
        <w:rPr>
          <w:rFonts w:eastAsiaTheme="minorHAnsi"/>
          <w:lang w:eastAsia="en-US"/>
        </w:rPr>
        <w:t xml:space="preserve"> предоставления социальных услуг в стационарной форме социального обслуживания гражданам пожилого возраста и инвалидам, частично или полностью утратившим способность к самообслуживанию, </w:t>
      </w:r>
      <w:r w:rsidRPr="00E55E40">
        <w:rPr>
          <w:rFonts w:eastAsiaTheme="minorHAnsi"/>
          <w:i/>
          <w:lang w:eastAsia="en-US"/>
        </w:rPr>
        <w:t>в домах-интернатах для престарелых и инвалидов</w:t>
      </w:r>
      <w:r w:rsidRPr="00E55E40">
        <w:rPr>
          <w:rFonts w:eastAsiaTheme="minorHAnsi"/>
          <w:lang w:eastAsia="en-US"/>
        </w:rPr>
        <w:t xml:space="preserve"> (далее Порядок </w:t>
      </w:r>
      <w:r w:rsidR="000C31B1" w:rsidRPr="00E55E40">
        <w:rPr>
          <w:rFonts w:eastAsiaTheme="minorHAnsi"/>
          <w:lang w:eastAsia="en-US"/>
        </w:rPr>
        <w:t>ДПИ</w:t>
      </w:r>
      <w:r w:rsidRPr="00E55E40">
        <w:rPr>
          <w:rFonts w:eastAsiaTheme="minorHAnsi"/>
          <w:lang w:eastAsia="en-US"/>
        </w:rPr>
        <w:t>);</w:t>
      </w:r>
    </w:p>
    <w:p w14:paraId="3ABFBBEB" w14:textId="77777777" w:rsidR="0025222D" w:rsidRPr="00E55E40" w:rsidRDefault="0025222D" w:rsidP="0025222D">
      <w:pPr>
        <w:autoSpaceDE w:val="0"/>
        <w:autoSpaceDN w:val="0"/>
        <w:adjustRightInd w:val="0"/>
        <w:ind w:firstLine="709"/>
        <w:jc w:val="both"/>
        <w:rPr>
          <w:rFonts w:eastAsiaTheme="minorHAnsi"/>
          <w:lang w:eastAsia="en-US"/>
        </w:rPr>
      </w:pPr>
      <w:r w:rsidRPr="00E55E40">
        <w:rPr>
          <w:rFonts w:eastAsiaTheme="minorHAnsi"/>
          <w:lang w:eastAsia="en-US"/>
        </w:rPr>
        <w:t xml:space="preserve">- № 311 - </w:t>
      </w:r>
      <w:hyperlink r:id="rId11" w:history="1">
        <w:r w:rsidRPr="00E55E40">
          <w:rPr>
            <w:rFonts w:eastAsiaTheme="minorHAnsi"/>
            <w:lang w:eastAsia="en-US"/>
          </w:rPr>
          <w:t>Порядок</w:t>
        </w:r>
      </w:hyperlink>
      <w:r w:rsidRPr="00E55E40">
        <w:rPr>
          <w:rFonts w:eastAsiaTheme="minorHAnsi"/>
          <w:lang w:eastAsia="en-US"/>
        </w:rPr>
        <w:t xml:space="preserve"> предоставления социальных услуг в стационарной форме социального обслуживания гражданам пожилого возраста и инвалидам, частично или полностью утратившим способность к самообслуживанию, </w:t>
      </w:r>
      <w:r w:rsidRPr="00E55E40">
        <w:rPr>
          <w:rFonts w:eastAsiaTheme="minorHAnsi"/>
          <w:i/>
          <w:lang w:eastAsia="en-US"/>
        </w:rPr>
        <w:t>в геронтологических центрах</w:t>
      </w:r>
      <w:r w:rsidRPr="00E55E40">
        <w:rPr>
          <w:rFonts w:eastAsiaTheme="minorHAnsi"/>
          <w:lang w:eastAsia="en-US"/>
        </w:rPr>
        <w:t xml:space="preserve"> (далее Порядок </w:t>
      </w:r>
      <w:r w:rsidR="000C31B1" w:rsidRPr="00E55E40">
        <w:rPr>
          <w:rFonts w:eastAsiaTheme="minorHAnsi"/>
          <w:lang w:eastAsia="en-US"/>
        </w:rPr>
        <w:t>ГЦ</w:t>
      </w:r>
      <w:r w:rsidRPr="00E55E40">
        <w:rPr>
          <w:rFonts w:eastAsiaTheme="minorHAnsi"/>
          <w:lang w:eastAsia="en-US"/>
        </w:rPr>
        <w:t>);</w:t>
      </w:r>
    </w:p>
    <w:p w14:paraId="6898E8D5" w14:textId="77777777" w:rsidR="0025222D" w:rsidRPr="00E55E40" w:rsidRDefault="0025222D" w:rsidP="0025222D">
      <w:pPr>
        <w:autoSpaceDE w:val="0"/>
        <w:autoSpaceDN w:val="0"/>
        <w:adjustRightInd w:val="0"/>
        <w:ind w:firstLine="709"/>
        <w:jc w:val="both"/>
      </w:pPr>
      <w:r w:rsidRPr="00E55E40">
        <w:rPr>
          <w:rFonts w:eastAsiaTheme="minorHAnsi"/>
          <w:lang w:eastAsia="en-US"/>
        </w:rPr>
        <w:t xml:space="preserve">- № 312 - </w:t>
      </w:r>
      <w:hyperlink r:id="rId12" w:history="1">
        <w:r w:rsidRPr="00E55E40">
          <w:rPr>
            <w:rFonts w:eastAsiaTheme="minorHAnsi"/>
            <w:lang w:eastAsia="en-US"/>
          </w:rPr>
          <w:t>Порядок</w:t>
        </w:r>
      </w:hyperlink>
      <w:r w:rsidRPr="00E55E40">
        <w:rPr>
          <w:rFonts w:eastAsiaTheme="minorHAnsi"/>
          <w:lang w:eastAsia="en-US"/>
        </w:rPr>
        <w:t xml:space="preserve"> предоставления социальных услуг в стационарной форме социального обслуживания гражданам пожилого возраста и инвалидам, частично или </w:t>
      </w:r>
      <w:r w:rsidRPr="00E55E40">
        <w:t xml:space="preserve">полностью утратившим способность к самообслуживанию, </w:t>
      </w:r>
      <w:r w:rsidRPr="00E55E40">
        <w:rPr>
          <w:i/>
        </w:rPr>
        <w:t>в домах-интернатах малой вместимости</w:t>
      </w:r>
      <w:r w:rsidRPr="00E55E40">
        <w:t xml:space="preserve"> </w:t>
      </w:r>
      <w:r w:rsidRPr="00E55E40">
        <w:rPr>
          <w:rFonts w:eastAsiaTheme="minorHAnsi"/>
          <w:lang w:eastAsia="en-US"/>
        </w:rPr>
        <w:t xml:space="preserve">(далее Порядок </w:t>
      </w:r>
      <w:r w:rsidR="000C31B1" w:rsidRPr="00E55E40">
        <w:rPr>
          <w:rFonts w:eastAsiaTheme="minorHAnsi"/>
          <w:lang w:eastAsia="en-US"/>
        </w:rPr>
        <w:t>ДИМВ</w:t>
      </w:r>
      <w:r w:rsidRPr="00E55E40">
        <w:rPr>
          <w:rFonts w:eastAsiaTheme="minorHAnsi"/>
          <w:lang w:eastAsia="en-US"/>
        </w:rPr>
        <w:t>)</w:t>
      </w:r>
      <w:r w:rsidRPr="00E55E40">
        <w:t>.</w:t>
      </w:r>
    </w:p>
    <w:p w14:paraId="4D2911A3" w14:textId="77777777" w:rsidR="00A76090" w:rsidRPr="00E55E40" w:rsidRDefault="00A76090" w:rsidP="00160E32">
      <w:pPr>
        <w:autoSpaceDE w:val="0"/>
        <w:autoSpaceDN w:val="0"/>
        <w:adjustRightInd w:val="0"/>
        <w:ind w:firstLine="709"/>
        <w:jc w:val="both"/>
        <w:rPr>
          <w:rFonts w:eastAsiaTheme="minorHAnsi"/>
          <w:lang w:eastAsia="en-US"/>
        </w:rPr>
      </w:pPr>
      <w:r w:rsidRPr="00E55E40">
        <w:rPr>
          <w:rFonts w:eastAsiaTheme="minorHAnsi"/>
          <w:lang w:eastAsia="en-US"/>
        </w:rPr>
        <w:t>В</w:t>
      </w:r>
      <w:r w:rsidR="007A63E1" w:rsidRPr="00E55E40">
        <w:rPr>
          <w:rFonts w:eastAsiaTheme="minorHAnsi"/>
          <w:lang w:eastAsia="en-US"/>
        </w:rPr>
        <w:t xml:space="preserve"> </w:t>
      </w:r>
      <w:r w:rsidR="00882526" w:rsidRPr="00E55E40">
        <w:rPr>
          <w:rFonts w:eastAsiaTheme="minorHAnsi"/>
          <w:lang w:eastAsia="en-US"/>
        </w:rPr>
        <w:t xml:space="preserve">соответствии с общероссийским перечнем государственных услуг в </w:t>
      </w:r>
      <w:r w:rsidR="007A63E1" w:rsidRPr="00E55E40">
        <w:rPr>
          <w:rFonts w:eastAsiaTheme="minorHAnsi"/>
          <w:lang w:eastAsia="en-US"/>
        </w:rPr>
        <w:t xml:space="preserve">качестве показателя, характеризующего объём государственного задания, </w:t>
      </w:r>
      <w:r w:rsidRPr="00E55E40">
        <w:rPr>
          <w:rFonts w:eastAsiaTheme="minorHAnsi"/>
          <w:lang w:eastAsia="en-US"/>
        </w:rPr>
        <w:t xml:space="preserve">в проверяемом периоде </w:t>
      </w:r>
      <w:r w:rsidR="007A63E1" w:rsidRPr="00E55E40">
        <w:rPr>
          <w:rFonts w:eastAsiaTheme="minorHAnsi"/>
          <w:lang w:eastAsia="en-US"/>
        </w:rPr>
        <w:t>использовалась численность граждан,</w:t>
      </w:r>
      <w:r w:rsidR="00D2124A" w:rsidRPr="00E55E40">
        <w:rPr>
          <w:rFonts w:eastAsiaTheme="minorHAnsi"/>
          <w:lang w:eastAsia="en-US"/>
        </w:rPr>
        <w:t xml:space="preserve"> получивших социальные услуги, </w:t>
      </w:r>
      <w:r w:rsidR="007A63E1" w:rsidRPr="00E55E40">
        <w:rPr>
          <w:rFonts w:eastAsiaTheme="minorHAnsi"/>
          <w:lang w:eastAsia="en-US"/>
        </w:rPr>
        <w:t>в качестве показателя, характеризующего качество государственной услуги,</w:t>
      </w:r>
      <w:r w:rsidR="00882526" w:rsidRPr="00E55E40">
        <w:rPr>
          <w:rFonts w:eastAsiaTheme="minorHAnsi"/>
          <w:lang w:eastAsia="en-US"/>
        </w:rPr>
        <w:t xml:space="preserve"> - </w:t>
      </w:r>
      <w:r w:rsidR="007A63E1" w:rsidRPr="00E55E40">
        <w:rPr>
          <w:rFonts w:eastAsiaTheme="minorHAnsi"/>
          <w:lang w:eastAsia="en-US"/>
        </w:rPr>
        <w:t>удовлетворённость получателей социальных услуг в оказанных социальных услугах.</w:t>
      </w:r>
    </w:p>
    <w:p w14:paraId="3B968763" w14:textId="77777777" w:rsidR="008C3FAE" w:rsidRPr="00E55E40" w:rsidRDefault="00BE2F31" w:rsidP="00A979B0">
      <w:pPr>
        <w:autoSpaceDE w:val="0"/>
        <w:autoSpaceDN w:val="0"/>
        <w:adjustRightInd w:val="0"/>
        <w:ind w:firstLine="709"/>
        <w:jc w:val="both"/>
        <w:rPr>
          <w:rFonts w:eastAsiaTheme="minorHAnsi"/>
          <w:lang w:eastAsia="en-US"/>
        </w:rPr>
      </w:pPr>
      <w:r w:rsidRPr="00E55E40">
        <w:rPr>
          <w:rFonts w:eastAsiaTheme="minorHAnsi"/>
          <w:lang w:eastAsia="en-US"/>
        </w:rPr>
        <w:t>П</w:t>
      </w:r>
      <w:r w:rsidR="007A63E1" w:rsidRPr="00E55E40">
        <w:rPr>
          <w:rFonts w:eastAsiaTheme="minorHAnsi"/>
          <w:lang w:eastAsia="en-US"/>
        </w:rPr>
        <w:t>редставленны</w:t>
      </w:r>
      <w:r w:rsidRPr="00E55E40">
        <w:rPr>
          <w:rFonts w:eastAsiaTheme="minorHAnsi"/>
          <w:lang w:eastAsia="en-US"/>
        </w:rPr>
        <w:t>е</w:t>
      </w:r>
      <w:r w:rsidR="007A63E1" w:rsidRPr="00E55E40">
        <w:rPr>
          <w:rFonts w:eastAsiaTheme="minorHAnsi"/>
          <w:lang w:eastAsia="en-US"/>
        </w:rPr>
        <w:t xml:space="preserve"> к проверке отчёт</w:t>
      </w:r>
      <w:r w:rsidRPr="00E55E40">
        <w:rPr>
          <w:rFonts w:eastAsiaTheme="minorHAnsi"/>
          <w:lang w:eastAsia="en-US"/>
        </w:rPr>
        <w:t>ы</w:t>
      </w:r>
      <w:r w:rsidR="005431C8" w:rsidRPr="00E55E40">
        <w:rPr>
          <w:rFonts w:eastAsiaTheme="minorHAnsi"/>
          <w:lang w:eastAsia="en-US"/>
        </w:rPr>
        <w:t xml:space="preserve"> </w:t>
      </w:r>
      <w:r w:rsidRPr="00E55E40">
        <w:rPr>
          <w:rFonts w:eastAsiaTheme="minorHAnsi"/>
          <w:lang w:eastAsia="en-US"/>
        </w:rPr>
        <w:t xml:space="preserve">о выполнении государственных заданий </w:t>
      </w:r>
      <w:r w:rsidR="005431C8" w:rsidRPr="00E55E40">
        <w:rPr>
          <w:rFonts w:eastAsiaTheme="minorHAnsi"/>
          <w:lang w:eastAsia="en-US"/>
        </w:rPr>
        <w:t>за 2016-2018 годы</w:t>
      </w:r>
      <w:r w:rsidR="007A63E1" w:rsidRPr="00E55E40">
        <w:rPr>
          <w:rFonts w:eastAsiaTheme="minorHAnsi"/>
          <w:lang w:eastAsia="en-US"/>
        </w:rPr>
        <w:t xml:space="preserve"> </w:t>
      </w:r>
      <w:r w:rsidRPr="00E55E40">
        <w:rPr>
          <w:rFonts w:eastAsiaTheme="minorHAnsi"/>
          <w:lang w:eastAsia="en-US"/>
        </w:rPr>
        <w:t>свидетельствуют о выполнении</w:t>
      </w:r>
      <w:r w:rsidR="00D2124A" w:rsidRPr="00E55E40">
        <w:rPr>
          <w:rFonts w:eastAsiaTheme="minorHAnsi"/>
          <w:lang w:eastAsia="en-US"/>
        </w:rPr>
        <w:t xml:space="preserve"> </w:t>
      </w:r>
      <w:r w:rsidR="005431C8" w:rsidRPr="00E55E40">
        <w:rPr>
          <w:rFonts w:eastAsiaTheme="minorHAnsi"/>
          <w:lang w:eastAsia="en-US"/>
        </w:rPr>
        <w:t>показател</w:t>
      </w:r>
      <w:r w:rsidRPr="00E55E40">
        <w:rPr>
          <w:rFonts w:eastAsiaTheme="minorHAnsi"/>
          <w:lang w:eastAsia="en-US"/>
        </w:rPr>
        <w:t>ей</w:t>
      </w:r>
      <w:r w:rsidR="005431C8" w:rsidRPr="00E55E40">
        <w:rPr>
          <w:rFonts w:eastAsiaTheme="minorHAnsi"/>
          <w:lang w:eastAsia="en-US"/>
        </w:rPr>
        <w:t>, характеризующи</w:t>
      </w:r>
      <w:r w:rsidRPr="00E55E40">
        <w:rPr>
          <w:rFonts w:eastAsiaTheme="minorHAnsi"/>
          <w:lang w:eastAsia="en-US"/>
        </w:rPr>
        <w:t>х</w:t>
      </w:r>
      <w:r w:rsidR="005431C8" w:rsidRPr="00E55E40">
        <w:rPr>
          <w:rFonts w:eastAsiaTheme="minorHAnsi"/>
          <w:lang w:eastAsia="en-US"/>
        </w:rPr>
        <w:t xml:space="preserve"> качество </w:t>
      </w:r>
      <w:r w:rsidRPr="00E55E40">
        <w:rPr>
          <w:rFonts w:eastAsiaTheme="minorHAnsi"/>
          <w:lang w:eastAsia="en-US"/>
        </w:rPr>
        <w:t xml:space="preserve">и объём </w:t>
      </w:r>
      <w:r w:rsidR="005431C8" w:rsidRPr="00E55E40">
        <w:rPr>
          <w:rFonts w:eastAsiaTheme="minorHAnsi"/>
          <w:lang w:eastAsia="en-US"/>
        </w:rPr>
        <w:t>государственных услуг</w:t>
      </w:r>
      <w:r w:rsidRPr="00E55E40">
        <w:rPr>
          <w:rFonts w:eastAsiaTheme="minorHAnsi"/>
          <w:lang w:eastAsia="en-US"/>
        </w:rPr>
        <w:t>.</w:t>
      </w:r>
    </w:p>
    <w:p w14:paraId="18D4AD65" w14:textId="77777777" w:rsidR="00222014" w:rsidRPr="00E55E40" w:rsidRDefault="00BE2F31" w:rsidP="00186E0E">
      <w:pPr>
        <w:autoSpaceDE w:val="0"/>
        <w:autoSpaceDN w:val="0"/>
        <w:adjustRightInd w:val="0"/>
        <w:ind w:firstLine="709"/>
        <w:jc w:val="both"/>
        <w:rPr>
          <w:rFonts w:eastAsiaTheme="minorHAnsi"/>
          <w:lang w:eastAsia="en-US"/>
        </w:rPr>
      </w:pPr>
      <w:r w:rsidRPr="00E55E40">
        <w:rPr>
          <w:rFonts w:eastAsiaTheme="minorHAnsi"/>
          <w:lang w:eastAsia="en-US"/>
        </w:rPr>
        <w:t xml:space="preserve">При этом </w:t>
      </w:r>
      <w:r w:rsidR="00677F79" w:rsidRPr="00E55E40">
        <w:rPr>
          <w:rFonts w:eastAsiaTheme="minorHAnsi"/>
          <w:lang w:eastAsia="en-US"/>
        </w:rPr>
        <w:t>социальны</w:t>
      </w:r>
      <w:r w:rsidR="00882526" w:rsidRPr="00E55E40">
        <w:rPr>
          <w:rFonts w:eastAsiaTheme="minorHAnsi"/>
          <w:lang w:eastAsia="en-US"/>
        </w:rPr>
        <w:t>е</w:t>
      </w:r>
      <w:r w:rsidR="00677F79" w:rsidRPr="00E55E40">
        <w:rPr>
          <w:rFonts w:eastAsiaTheme="minorHAnsi"/>
          <w:lang w:eastAsia="en-US"/>
        </w:rPr>
        <w:t xml:space="preserve"> услуг</w:t>
      </w:r>
      <w:r w:rsidR="00882526" w:rsidRPr="00E55E40">
        <w:rPr>
          <w:rFonts w:eastAsiaTheme="minorHAnsi"/>
          <w:lang w:eastAsia="en-US"/>
        </w:rPr>
        <w:t>и</w:t>
      </w:r>
      <w:r w:rsidR="00BA399E" w:rsidRPr="00E55E40">
        <w:rPr>
          <w:rFonts w:eastAsiaTheme="minorHAnsi"/>
          <w:lang w:eastAsia="en-US"/>
        </w:rPr>
        <w:t xml:space="preserve"> </w:t>
      </w:r>
      <w:r w:rsidR="00882526" w:rsidRPr="00E55E40">
        <w:rPr>
          <w:rFonts w:eastAsiaTheme="minorHAnsi"/>
          <w:lang w:eastAsia="en-US"/>
        </w:rPr>
        <w:t xml:space="preserve">предоставлялись </w:t>
      </w:r>
      <w:r w:rsidR="00BA399E" w:rsidRPr="00E55E40">
        <w:rPr>
          <w:rFonts w:eastAsiaTheme="minorHAnsi"/>
          <w:lang w:eastAsia="en-US"/>
        </w:rPr>
        <w:t xml:space="preserve">в ходе исполнения государственных заданий </w:t>
      </w:r>
      <w:r w:rsidR="00D13509" w:rsidRPr="00E55E40">
        <w:rPr>
          <w:rFonts w:eastAsiaTheme="minorHAnsi"/>
          <w:lang w:eastAsia="en-US"/>
        </w:rPr>
        <w:t xml:space="preserve">в </w:t>
      </w:r>
      <w:r w:rsidRPr="00E55E40">
        <w:rPr>
          <w:rFonts w:eastAsiaTheme="minorHAnsi"/>
          <w:lang w:eastAsia="en-US"/>
        </w:rPr>
        <w:t xml:space="preserve">существенно </w:t>
      </w:r>
      <w:r w:rsidR="00677F79" w:rsidRPr="00E55E40">
        <w:rPr>
          <w:rFonts w:eastAsiaTheme="minorHAnsi"/>
          <w:lang w:eastAsia="en-US"/>
        </w:rPr>
        <w:t>меньших</w:t>
      </w:r>
      <w:r w:rsidR="00882526" w:rsidRPr="00E55E40">
        <w:rPr>
          <w:rFonts w:eastAsiaTheme="minorHAnsi"/>
          <w:lang w:eastAsia="en-US"/>
        </w:rPr>
        <w:t xml:space="preserve"> объёмах</w:t>
      </w:r>
      <w:r w:rsidR="00677F79" w:rsidRPr="00E55E40">
        <w:rPr>
          <w:rFonts w:eastAsiaTheme="minorHAnsi"/>
          <w:lang w:eastAsia="en-US"/>
        </w:rPr>
        <w:t xml:space="preserve">, чем </w:t>
      </w:r>
      <w:r w:rsidR="009D1BC2" w:rsidRPr="00E55E40">
        <w:rPr>
          <w:rFonts w:eastAsiaTheme="minorHAnsi"/>
          <w:lang w:eastAsia="en-US"/>
        </w:rPr>
        <w:t>предусмотрен</w:t>
      </w:r>
      <w:r w:rsidR="00677F79" w:rsidRPr="00E55E40">
        <w:rPr>
          <w:rFonts w:eastAsiaTheme="minorHAnsi"/>
          <w:lang w:eastAsia="en-US"/>
        </w:rPr>
        <w:t>о</w:t>
      </w:r>
      <w:r w:rsidR="009D1BC2" w:rsidRPr="00E55E40">
        <w:rPr>
          <w:rFonts w:eastAsiaTheme="minorHAnsi"/>
          <w:lang w:eastAsia="en-US"/>
        </w:rPr>
        <w:t xml:space="preserve"> индивидуальными программами представления социальных услуг </w:t>
      </w:r>
      <w:r w:rsidR="00744463" w:rsidRPr="00E55E40">
        <w:rPr>
          <w:rFonts w:eastAsiaTheme="minorHAnsi"/>
          <w:lang w:eastAsia="en-US"/>
        </w:rPr>
        <w:t xml:space="preserve">(далее ИППСУ) </w:t>
      </w:r>
      <w:r w:rsidR="009D1BC2" w:rsidRPr="00E55E40">
        <w:rPr>
          <w:rFonts w:eastAsiaTheme="minorHAnsi"/>
          <w:lang w:eastAsia="en-US"/>
        </w:rPr>
        <w:t xml:space="preserve">и заключенными в соответствии с ними договорами </w:t>
      </w:r>
      <w:r w:rsidRPr="00E55E40">
        <w:rPr>
          <w:rFonts w:eastAsiaTheme="minorHAnsi"/>
          <w:lang w:eastAsia="en-US"/>
        </w:rPr>
        <w:t xml:space="preserve">с получателями </w:t>
      </w:r>
      <w:r w:rsidR="00677F79" w:rsidRPr="00E55E40">
        <w:rPr>
          <w:rFonts w:eastAsiaTheme="minorHAnsi"/>
          <w:lang w:eastAsia="en-US"/>
        </w:rPr>
        <w:t>социальных услуг.</w:t>
      </w:r>
      <w:r w:rsidR="00F13D9B" w:rsidRPr="00E55E40">
        <w:rPr>
          <w:rFonts w:eastAsiaTheme="minorHAnsi"/>
          <w:lang w:eastAsia="en-US"/>
        </w:rPr>
        <w:t xml:space="preserve"> </w:t>
      </w:r>
      <w:r w:rsidR="00222014" w:rsidRPr="00E55E40">
        <w:rPr>
          <w:rFonts w:eastAsiaTheme="minorHAnsi"/>
          <w:lang w:eastAsia="en-US"/>
        </w:rPr>
        <w:t xml:space="preserve">    </w:t>
      </w:r>
    </w:p>
    <w:p w14:paraId="320CB9A9" w14:textId="77777777" w:rsidR="00744463" w:rsidRPr="00E55E40" w:rsidRDefault="00186E0E" w:rsidP="00744463">
      <w:pPr>
        <w:autoSpaceDE w:val="0"/>
        <w:autoSpaceDN w:val="0"/>
        <w:adjustRightInd w:val="0"/>
        <w:ind w:firstLine="709"/>
        <w:jc w:val="both"/>
      </w:pPr>
      <w:r w:rsidRPr="00E55E40">
        <w:rPr>
          <w:rFonts w:eastAsiaTheme="minorHAnsi"/>
          <w:lang w:eastAsia="en-US"/>
        </w:rPr>
        <w:t xml:space="preserve">Например, </w:t>
      </w:r>
      <w:r w:rsidR="00882526" w:rsidRPr="00E55E40">
        <w:t xml:space="preserve">объёмы социальных услуг, </w:t>
      </w:r>
      <w:r w:rsidR="00744463" w:rsidRPr="00E55E40">
        <w:rPr>
          <w:rFonts w:eastAsiaTheme="minorHAnsi"/>
          <w:lang w:eastAsia="en-US"/>
        </w:rPr>
        <w:t>п</w:t>
      </w:r>
      <w:r w:rsidR="00744463" w:rsidRPr="00E55E40">
        <w:t xml:space="preserve">редусмотренные ИППСУ и договорами, заключенными </w:t>
      </w:r>
      <w:r w:rsidR="00744463" w:rsidRPr="00E55E40">
        <w:rPr>
          <w:rFonts w:eastAsiaTheme="minorHAnsi"/>
          <w:lang w:eastAsia="en-US"/>
        </w:rPr>
        <w:t xml:space="preserve">Волгоградским ДПИ </w:t>
      </w:r>
      <w:r w:rsidR="00744463" w:rsidRPr="00E55E40">
        <w:t>с 6 получателями социальных услуг</w:t>
      </w:r>
      <w:r w:rsidR="00882526" w:rsidRPr="00E55E40">
        <w:t xml:space="preserve"> на 2018 год</w:t>
      </w:r>
      <w:r w:rsidR="00744463" w:rsidRPr="00E55E40">
        <w:t xml:space="preserve">, в количественном выражении выполнены на 25,2%, в стоимостном - на 39,5 процента. </w:t>
      </w:r>
    </w:p>
    <w:p w14:paraId="2D3B4430" w14:textId="77777777" w:rsidR="00882526" w:rsidRPr="00E55E40" w:rsidRDefault="007849A0" w:rsidP="007849A0">
      <w:pPr>
        <w:autoSpaceDE w:val="0"/>
        <w:autoSpaceDN w:val="0"/>
        <w:adjustRightInd w:val="0"/>
        <w:ind w:firstLine="709"/>
        <w:jc w:val="both"/>
      </w:pPr>
      <w:r w:rsidRPr="00E55E40">
        <w:rPr>
          <w:rFonts w:eastAsiaTheme="minorHAnsi"/>
          <w:lang w:eastAsia="en-US"/>
        </w:rPr>
        <w:t xml:space="preserve">Аналогично, </w:t>
      </w:r>
      <w:r w:rsidR="00882526" w:rsidRPr="00E55E40">
        <w:t xml:space="preserve">объёмы социальных услуг, </w:t>
      </w:r>
      <w:r w:rsidRPr="00E55E40">
        <w:rPr>
          <w:rFonts w:eastAsiaTheme="minorHAnsi"/>
          <w:lang w:eastAsia="en-US"/>
        </w:rPr>
        <w:t>п</w:t>
      </w:r>
      <w:r w:rsidRPr="00E55E40">
        <w:t xml:space="preserve">редусмотренные ИППСУ и договорами, заключенными </w:t>
      </w:r>
      <w:r w:rsidRPr="00E55E40">
        <w:rPr>
          <w:rFonts w:eastAsiaTheme="minorHAnsi"/>
          <w:lang w:eastAsia="en-US"/>
        </w:rPr>
        <w:t xml:space="preserve">Царевским ПНИ </w:t>
      </w:r>
      <w:r w:rsidRPr="00E55E40">
        <w:t>с 3 получателями социальных услуг на 2018 год</w:t>
      </w:r>
      <w:r w:rsidR="00882526" w:rsidRPr="00E55E40">
        <w:t>,</w:t>
      </w:r>
      <w:r w:rsidRPr="00E55E40">
        <w:t xml:space="preserve"> в количественном выражении </w:t>
      </w:r>
      <w:r w:rsidR="00882526" w:rsidRPr="00E55E40">
        <w:t xml:space="preserve">выполнены </w:t>
      </w:r>
      <w:r w:rsidR="00744463" w:rsidRPr="00E55E40">
        <w:t xml:space="preserve">на 23,5%, в стоимостном - на 23 процента. </w:t>
      </w:r>
    </w:p>
    <w:p w14:paraId="55B3BD54" w14:textId="77777777" w:rsidR="009263D3" w:rsidRPr="00E55E40" w:rsidRDefault="007849A0" w:rsidP="007849A0">
      <w:pPr>
        <w:autoSpaceDE w:val="0"/>
        <w:autoSpaceDN w:val="0"/>
        <w:adjustRightInd w:val="0"/>
        <w:ind w:firstLine="709"/>
        <w:jc w:val="both"/>
      </w:pPr>
      <w:r w:rsidRPr="00E55E40">
        <w:t>По пояснениям директора Царевского ПНИ социальные услуги оказывались не в полном объёме из-за отсутствия необходимости и показаний.</w:t>
      </w:r>
    </w:p>
    <w:p w14:paraId="6B731BD3" w14:textId="77777777" w:rsidR="009263D3" w:rsidRPr="00E55E40" w:rsidRDefault="009263D3" w:rsidP="009263D3">
      <w:pPr>
        <w:autoSpaceDE w:val="0"/>
        <w:autoSpaceDN w:val="0"/>
        <w:adjustRightInd w:val="0"/>
        <w:ind w:firstLine="709"/>
        <w:jc w:val="both"/>
      </w:pPr>
      <w:r w:rsidRPr="00E55E40">
        <w:lastRenderedPageBreak/>
        <w:t xml:space="preserve">При этом документально оформленные отказы получателей социальных услуг в </w:t>
      </w:r>
      <w:r w:rsidR="00BA399E" w:rsidRPr="00E55E40">
        <w:t>нарушение</w:t>
      </w:r>
      <w:r w:rsidRPr="00E55E40">
        <w:t xml:space="preserve"> ст.16-17 Федерального закона от 28.12.2013 № 442-ФЗ «Об основах социального обслуживания граждан в РФ» (далее Закон № 442-ФЗ)</w:t>
      </w:r>
      <w:r w:rsidR="00852350" w:rsidRPr="00E55E40">
        <w:t xml:space="preserve"> </w:t>
      </w:r>
      <w:r w:rsidR="00BA399E" w:rsidRPr="00E55E40">
        <w:t>не оформлялись</w:t>
      </w:r>
      <w:r w:rsidR="00852350" w:rsidRPr="00E55E40">
        <w:t>.</w:t>
      </w:r>
    </w:p>
    <w:p w14:paraId="39FF6577" w14:textId="77777777" w:rsidR="004F7E60" w:rsidRPr="00E55E40" w:rsidRDefault="000F530A" w:rsidP="00C073C6">
      <w:pPr>
        <w:autoSpaceDE w:val="0"/>
        <w:autoSpaceDN w:val="0"/>
        <w:adjustRightInd w:val="0"/>
        <w:ind w:firstLine="709"/>
        <w:jc w:val="both"/>
        <w:rPr>
          <w:rFonts w:eastAsiaTheme="minorHAnsi"/>
          <w:lang w:eastAsia="en-US"/>
        </w:rPr>
      </w:pPr>
      <w:r w:rsidRPr="00E55E40">
        <w:rPr>
          <w:rFonts w:eastAsiaTheme="minorHAnsi"/>
          <w:lang w:eastAsia="en-US"/>
        </w:rPr>
        <w:t>В ходе проверки</w:t>
      </w:r>
      <w:r w:rsidR="00CC2E57" w:rsidRPr="00E55E40">
        <w:rPr>
          <w:rFonts w:eastAsiaTheme="minorHAnsi"/>
          <w:lang w:eastAsia="en-US"/>
        </w:rPr>
        <w:t xml:space="preserve"> на основании данных</w:t>
      </w:r>
      <w:r w:rsidR="008F28A4" w:rsidRPr="00E55E40">
        <w:rPr>
          <w:rFonts w:eastAsiaTheme="minorHAnsi"/>
          <w:lang w:eastAsia="en-US"/>
        </w:rPr>
        <w:t>, полученных</w:t>
      </w:r>
      <w:r w:rsidR="00290C93" w:rsidRPr="00E55E40">
        <w:rPr>
          <w:rFonts w:eastAsiaTheme="minorHAnsi"/>
          <w:lang w:eastAsia="en-US"/>
        </w:rPr>
        <w:t xml:space="preserve"> </w:t>
      </w:r>
      <w:r w:rsidR="008F28A4" w:rsidRPr="00E55E40">
        <w:rPr>
          <w:rFonts w:eastAsiaTheme="minorHAnsi"/>
          <w:lang w:eastAsia="en-US"/>
        </w:rPr>
        <w:t xml:space="preserve">от </w:t>
      </w:r>
      <w:r w:rsidR="00290C93" w:rsidRPr="00E55E40">
        <w:rPr>
          <w:rFonts w:eastAsiaTheme="minorHAnsi"/>
          <w:lang w:eastAsia="en-US"/>
        </w:rPr>
        <w:t xml:space="preserve">7 </w:t>
      </w:r>
      <w:r w:rsidR="008F28A4" w:rsidRPr="00E55E40">
        <w:rPr>
          <w:rFonts w:eastAsiaTheme="minorHAnsi"/>
          <w:lang w:eastAsia="en-US"/>
        </w:rPr>
        <w:t xml:space="preserve">учреждений, </w:t>
      </w:r>
      <w:r w:rsidR="008F28A4" w:rsidRPr="00E55E40">
        <w:t xml:space="preserve"> осуществляющих деятельность по уходу за престарелыми и инвалидами с обеспечением проживания,</w:t>
      </w:r>
      <w:r w:rsidR="00290C93" w:rsidRPr="00E55E40">
        <w:rPr>
          <w:rFonts w:eastAsiaTheme="minorHAnsi"/>
          <w:lang w:eastAsia="en-US"/>
        </w:rPr>
        <w:t xml:space="preserve"> </w:t>
      </w:r>
      <w:r w:rsidR="008C2FA1" w:rsidRPr="00E55E40">
        <w:rPr>
          <w:rFonts w:eastAsiaTheme="minorHAnsi"/>
          <w:lang w:eastAsia="en-US"/>
        </w:rPr>
        <w:t xml:space="preserve">проведено </w:t>
      </w:r>
      <w:r w:rsidRPr="00E55E40">
        <w:rPr>
          <w:rFonts w:eastAsiaTheme="minorHAnsi"/>
          <w:lang w:eastAsia="en-US"/>
        </w:rPr>
        <w:t>сравнен</w:t>
      </w:r>
      <w:r w:rsidR="008C2FA1" w:rsidRPr="00E55E40">
        <w:rPr>
          <w:rFonts w:eastAsiaTheme="minorHAnsi"/>
          <w:lang w:eastAsia="en-US"/>
        </w:rPr>
        <w:t>ие</w:t>
      </w:r>
      <w:r w:rsidR="00576DCF" w:rsidRPr="00E55E40">
        <w:rPr>
          <w:rFonts w:eastAsiaTheme="minorHAnsi"/>
          <w:lang w:eastAsia="en-US"/>
        </w:rPr>
        <w:t xml:space="preserve"> </w:t>
      </w:r>
      <w:r w:rsidR="007849A0" w:rsidRPr="00E55E40">
        <w:rPr>
          <w:rFonts w:eastAsiaTheme="minorHAnsi"/>
          <w:lang w:eastAsia="en-US"/>
        </w:rPr>
        <w:t>стоимост</w:t>
      </w:r>
      <w:r w:rsidR="00DF6709" w:rsidRPr="00E55E40">
        <w:rPr>
          <w:rFonts w:eastAsiaTheme="minorHAnsi"/>
          <w:lang w:eastAsia="en-US"/>
        </w:rPr>
        <w:t>и</w:t>
      </w:r>
      <w:r w:rsidR="007849A0" w:rsidRPr="00E55E40">
        <w:rPr>
          <w:rFonts w:eastAsiaTheme="minorHAnsi"/>
          <w:lang w:eastAsia="en-US"/>
        </w:rPr>
        <w:t xml:space="preserve"> социальных услуг, предусмотренных договорами, заключенными с получателями</w:t>
      </w:r>
      <w:r w:rsidR="00290C93" w:rsidRPr="00E55E40">
        <w:rPr>
          <w:rFonts w:eastAsiaTheme="minorHAnsi"/>
          <w:lang w:eastAsia="en-US"/>
        </w:rPr>
        <w:t xml:space="preserve">, и </w:t>
      </w:r>
      <w:r w:rsidR="008F28A4" w:rsidRPr="00E55E40">
        <w:rPr>
          <w:rFonts w:eastAsiaTheme="minorHAnsi"/>
          <w:lang w:eastAsia="en-US"/>
        </w:rPr>
        <w:t>стоимост</w:t>
      </w:r>
      <w:r w:rsidR="00DF6709" w:rsidRPr="00E55E40">
        <w:rPr>
          <w:rFonts w:eastAsiaTheme="minorHAnsi"/>
          <w:lang w:eastAsia="en-US"/>
        </w:rPr>
        <w:t>и</w:t>
      </w:r>
      <w:r w:rsidR="008F28A4" w:rsidRPr="00E55E40">
        <w:rPr>
          <w:rFonts w:eastAsiaTheme="minorHAnsi"/>
          <w:lang w:eastAsia="en-US"/>
        </w:rPr>
        <w:t xml:space="preserve"> фактически предоставленных социальных услуг </w:t>
      </w:r>
      <w:r w:rsidR="00290C93" w:rsidRPr="00E55E40">
        <w:rPr>
          <w:rFonts w:eastAsiaTheme="minorHAnsi"/>
          <w:lang w:eastAsia="en-US"/>
        </w:rPr>
        <w:t>в расчете на 1 получателя</w:t>
      </w:r>
      <w:r w:rsidR="008F28A4" w:rsidRPr="00E55E40">
        <w:rPr>
          <w:rFonts w:eastAsiaTheme="minorHAnsi"/>
          <w:lang w:eastAsia="en-US"/>
        </w:rPr>
        <w:t xml:space="preserve"> за 2018 год</w:t>
      </w:r>
      <w:r w:rsidR="00290C93" w:rsidRPr="00E55E40">
        <w:rPr>
          <w:rFonts w:eastAsiaTheme="minorHAnsi"/>
          <w:lang w:eastAsia="en-US"/>
        </w:rPr>
        <w:t xml:space="preserve">. Стоимость социальных услуг рассчитана исходя из их состава, количества и тарифов, утверждённых приказом </w:t>
      </w:r>
      <w:r w:rsidR="008C2FA1" w:rsidRPr="00E55E40">
        <w:rPr>
          <w:rFonts w:eastAsiaTheme="minorHAnsi"/>
          <w:lang w:eastAsia="en-US"/>
        </w:rPr>
        <w:t>к</w:t>
      </w:r>
      <w:r w:rsidR="00290C93" w:rsidRPr="00E55E40">
        <w:rPr>
          <w:rFonts w:eastAsiaTheme="minorHAnsi"/>
          <w:lang w:eastAsia="en-US"/>
        </w:rPr>
        <w:t xml:space="preserve">омитета тарифного регулирования Волгоградской области от 25.06.2015 № 23/8 «Об установлении тарифов на социальные услуги на основании подушевых нормативов финансирования социальных услуг на территории Волгоградской области». Сравнение представлено в </w:t>
      </w:r>
      <w:r w:rsidR="00DE6B13" w:rsidRPr="00E55E40">
        <w:rPr>
          <w:rFonts w:eastAsiaTheme="minorHAnsi"/>
          <w:lang w:eastAsia="en-US"/>
        </w:rPr>
        <w:t>таблиц</w:t>
      </w:r>
      <w:r w:rsidR="00290C93" w:rsidRPr="00E55E40">
        <w:rPr>
          <w:rFonts w:eastAsiaTheme="minorHAnsi"/>
          <w:lang w:eastAsia="en-US"/>
        </w:rPr>
        <w:t>е</w:t>
      </w:r>
      <w:r w:rsidR="00DE6B13" w:rsidRPr="00E55E40">
        <w:rPr>
          <w:rFonts w:eastAsiaTheme="minorHAnsi"/>
          <w:lang w:eastAsia="en-US"/>
        </w:rPr>
        <w:t xml:space="preserve"> № </w:t>
      </w:r>
      <w:r w:rsidR="00290C93" w:rsidRPr="00E55E40">
        <w:rPr>
          <w:rFonts w:eastAsiaTheme="minorHAnsi"/>
          <w:lang w:eastAsia="en-US"/>
        </w:rPr>
        <w:t>4</w:t>
      </w:r>
      <w:r w:rsidRPr="00E55E40">
        <w:rPr>
          <w:rFonts w:eastAsiaTheme="minorHAnsi"/>
          <w:lang w:eastAsia="en-US"/>
        </w:rPr>
        <w:t>.</w:t>
      </w:r>
    </w:p>
    <w:p w14:paraId="15E44ACB" w14:textId="77777777" w:rsidR="000F530A" w:rsidRPr="00E55E40" w:rsidRDefault="000F530A" w:rsidP="000F530A">
      <w:pPr>
        <w:autoSpaceDE w:val="0"/>
        <w:autoSpaceDN w:val="0"/>
        <w:adjustRightInd w:val="0"/>
        <w:ind w:firstLine="709"/>
        <w:jc w:val="right"/>
        <w:rPr>
          <w:rFonts w:eastAsiaTheme="minorHAnsi"/>
          <w:lang w:eastAsia="en-US"/>
        </w:rPr>
      </w:pPr>
      <w:r w:rsidRPr="00E55E40">
        <w:rPr>
          <w:rFonts w:eastAsiaTheme="minorHAnsi"/>
          <w:lang w:eastAsia="en-US"/>
        </w:rPr>
        <w:t xml:space="preserve">Таблица № </w:t>
      </w:r>
      <w:r w:rsidR="00CC0E92" w:rsidRPr="00E55E40">
        <w:rPr>
          <w:rFonts w:eastAsiaTheme="minorHAnsi"/>
          <w:lang w:eastAsia="en-US"/>
        </w:rPr>
        <w:t>4</w:t>
      </w:r>
    </w:p>
    <w:tbl>
      <w:tblPr>
        <w:tblStyle w:val="a7"/>
        <w:tblW w:w="9322" w:type="dxa"/>
        <w:jc w:val="center"/>
        <w:tblLayout w:type="fixed"/>
        <w:tblLook w:val="04A0" w:firstRow="1" w:lastRow="0" w:firstColumn="1" w:lastColumn="0" w:noHBand="0" w:noVBand="1"/>
      </w:tblPr>
      <w:tblGrid>
        <w:gridCol w:w="4644"/>
        <w:gridCol w:w="1809"/>
        <w:gridCol w:w="1737"/>
        <w:gridCol w:w="1132"/>
      </w:tblGrid>
      <w:tr w:rsidR="000F530A" w:rsidRPr="00E55E40" w14:paraId="0CDE3272" w14:textId="77777777" w:rsidTr="00BF18BA">
        <w:trPr>
          <w:jc w:val="center"/>
        </w:trPr>
        <w:tc>
          <w:tcPr>
            <w:tcW w:w="4644" w:type="dxa"/>
            <w:vMerge w:val="restart"/>
            <w:vAlign w:val="center"/>
          </w:tcPr>
          <w:p w14:paraId="721608F0" w14:textId="77777777" w:rsidR="000F530A" w:rsidRPr="00E55E40" w:rsidRDefault="000F530A" w:rsidP="00290C93">
            <w:pPr>
              <w:autoSpaceDE w:val="0"/>
              <w:autoSpaceDN w:val="0"/>
              <w:adjustRightInd w:val="0"/>
              <w:jc w:val="center"/>
              <w:rPr>
                <w:rFonts w:eastAsiaTheme="minorHAnsi"/>
                <w:sz w:val="18"/>
                <w:szCs w:val="18"/>
                <w:lang w:eastAsia="en-US"/>
              </w:rPr>
            </w:pPr>
            <w:r w:rsidRPr="00E55E40">
              <w:rPr>
                <w:bCs/>
                <w:color w:val="000000"/>
                <w:sz w:val="18"/>
                <w:szCs w:val="18"/>
              </w:rPr>
              <w:t xml:space="preserve">Порядок </w:t>
            </w:r>
            <w:r w:rsidR="00290C93" w:rsidRPr="00E55E40">
              <w:rPr>
                <w:bCs/>
                <w:color w:val="000000"/>
                <w:sz w:val="18"/>
                <w:szCs w:val="18"/>
              </w:rPr>
              <w:t>предоставления</w:t>
            </w:r>
            <w:r w:rsidRPr="00E55E40">
              <w:rPr>
                <w:bCs/>
                <w:color w:val="000000"/>
                <w:sz w:val="18"/>
                <w:szCs w:val="18"/>
              </w:rPr>
              <w:t xml:space="preserve"> социальных услуг, категория получателя (частично/полностью утративший способности к самообслуживанию)</w:t>
            </w:r>
          </w:p>
        </w:tc>
        <w:tc>
          <w:tcPr>
            <w:tcW w:w="4678" w:type="dxa"/>
            <w:gridSpan w:val="3"/>
            <w:vAlign w:val="center"/>
          </w:tcPr>
          <w:p w14:paraId="5261CC0F" w14:textId="77777777" w:rsidR="000F530A" w:rsidRPr="00E55E40" w:rsidRDefault="000F530A" w:rsidP="00D607AD">
            <w:pPr>
              <w:autoSpaceDE w:val="0"/>
              <w:autoSpaceDN w:val="0"/>
              <w:adjustRightInd w:val="0"/>
              <w:jc w:val="center"/>
              <w:rPr>
                <w:rFonts w:eastAsiaTheme="minorHAnsi"/>
                <w:sz w:val="18"/>
                <w:szCs w:val="18"/>
                <w:lang w:eastAsia="en-US"/>
              </w:rPr>
            </w:pPr>
            <w:r w:rsidRPr="00E55E40">
              <w:rPr>
                <w:bCs/>
                <w:color w:val="000000"/>
                <w:sz w:val="18"/>
                <w:szCs w:val="18"/>
              </w:rPr>
              <w:t>Средняя стоимость социального обслуживания, тыс. руб.</w:t>
            </w:r>
          </w:p>
        </w:tc>
      </w:tr>
      <w:tr w:rsidR="000F530A" w:rsidRPr="00E55E40" w14:paraId="3953B412" w14:textId="77777777" w:rsidTr="00BF18BA">
        <w:trPr>
          <w:jc w:val="center"/>
        </w:trPr>
        <w:tc>
          <w:tcPr>
            <w:tcW w:w="4644" w:type="dxa"/>
            <w:vMerge/>
            <w:vAlign w:val="center"/>
          </w:tcPr>
          <w:p w14:paraId="4341EE78" w14:textId="77777777" w:rsidR="000F530A" w:rsidRPr="00E55E40" w:rsidRDefault="000F530A" w:rsidP="00D607AD">
            <w:pPr>
              <w:autoSpaceDE w:val="0"/>
              <w:autoSpaceDN w:val="0"/>
              <w:adjustRightInd w:val="0"/>
              <w:jc w:val="center"/>
              <w:rPr>
                <w:rFonts w:eastAsiaTheme="minorHAnsi"/>
                <w:sz w:val="18"/>
                <w:szCs w:val="18"/>
                <w:lang w:eastAsia="en-US"/>
              </w:rPr>
            </w:pPr>
          </w:p>
        </w:tc>
        <w:tc>
          <w:tcPr>
            <w:tcW w:w="1809" w:type="dxa"/>
            <w:vAlign w:val="center"/>
          </w:tcPr>
          <w:p w14:paraId="53664E21" w14:textId="77777777" w:rsidR="000F530A" w:rsidRPr="00E55E40" w:rsidRDefault="00CC0E92" w:rsidP="00D607AD">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исходя из ИППСУ и договоров</w:t>
            </w:r>
            <w:r w:rsidR="00290C93" w:rsidRPr="00E55E40">
              <w:rPr>
                <w:rFonts w:eastAsiaTheme="minorHAnsi"/>
                <w:sz w:val="18"/>
                <w:szCs w:val="18"/>
                <w:lang w:eastAsia="en-US"/>
              </w:rPr>
              <w:t xml:space="preserve"> (расчетная)</w:t>
            </w:r>
          </w:p>
        </w:tc>
        <w:tc>
          <w:tcPr>
            <w:tcW w:w="1737" w:type="dxa"/>
            <w:vAlign w:val="center"/>
          </w:tcPr>
          <w:p w14:paraId="16D02E58" w14:textId="77777777" w:rsidR="000F530A" w:rsidRPr="00E55E40" w:rsidRDefault="000F530A" w:rsidP="00D607AD">
            <w:pPr>
              <w:autoSpaceDE w:val="0"/>
              <w:autoSpaceDN w:val="0"/>
              <w:adjustRightInd w:val="0"/>
              <w:jc w:val="center"/>
              <w:rPr>
                <w:rFonts w:eastAsiaTheme="minorHAnsi"/>
                <w:sz w:val="18"/>
                <w:szCs w:val="18"/>
                <w:lang w:eastAsia="en-US"/>
              </w:rPr>
            </w:pPr>
            <w:r w:rsidRPr="00E55E40">
              <w:rPr>
                <w:bCs/>
                <w:color w:val="000000"/>
                <w:sz w:val="18"/>
                <w:szCs w:val="18"/>
              </w:rPr>
              <w:t>по актам о предоставлении социальных услуг</w:t>
            </w:r>
            <w:r w:rsidR="00290C93" w:rsidRPr="00E55E40">
              <w:rPr>
                <w:bCs/>
                <w:color w:val="000000"/>
                <w:sz w:val="18"/>
                <w:szCs w:val="18"/>
              </w:rPr>
              <w:t xml:space="preserve"> (фактическая)</w:t>
            </w:r>
          </w:p>
        </w:tc>
        <w:tc>
          <w:tcPr>
            <w:tcW w:w="1132" w:type="dxa"/>
            <w:vAlign w:val="center"/>
          </w:tcPr>
          <w:p w14:paraId="4B8E9E17" w14:textId="77777777" w:rsidR="000F530A" w:rsidRPr="00E55E40" w:rsidRDefault="001A6D79" w:rsidP="001A6D79">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 испол</w:t>
            </w:r>
            <w:r w:rsidR="000F530A" w:rsidRPr="00E55E40">
              <w:rPr>
                <w:rFonts w:eastAsiaTheme="minorHAnsi"/>
                <w:sz w:val="18"/>
                <w:szCs w:val="18"/>
                <w:lang w:eastAsia="en-US"/>
              </w:rPr>
              <w:t>нени</w:t>
            </w:r>
            <w:r w:rsidRPr="00E55E40">
              <w:rPr>
                <w:rFonts w:eastAsiaTheme="minorHAnsi"/>
                <w:sz w:val="18"/>
                <w:szCs w:val="18"/>
                <w:lang w:eastAsia="en-US"/>
              </w:rPr>
              <w:t>я</w:t>
            </w:r>
          </w:p>
        </w:tc>
      </w:tr>
      <w:tr w:rsidR="000F530A" w:rsidRPr="00E55E40" w14:paraId="48AD2DF4" w14:textId="77777777" w:rsidTr="00BF18BA">
        <w:trPr>
          <w:jc w:val="center"/>
        </w:trPr>
        <w:tc>
          <w:tcPr>
            <w:tcW w:w="4644" w:type="dxa"/>
            <w:vAlign w:val="center"/>
          </w:tcPr>
          <w:p w14:paraId="5B2FD69A" w14:textId="77777777" w:rsidR="000F530A" w:rsidRPr="00E55E40" w:rsidRDefault="00B97364" w:rsidP="00B97364">
            <w:pPr>
              <w:jc w:val="center"/>
              <w:rPr>
                <w:color w:val="000000"/>
                <w:sz w:val="18"/>
                <w:szCs w:val="18"/>
              </w:rPr>
            </w:pPr>
            <w:r w:rsidRPr="00E55E40">
              <w:rPr>
                <w:color w:val="000000"/>
                <w:sz w:val="18"/>
                <w:szCs w:val="18"/>
              </w:rPr>
              <w:t>Порядок ПНИ</w:t>
            </w:r>
            <w:r w:rsidR="000F530A" w:rsidRPr="00E55E40">
              <w:rPr>
                <w:color w:val="000000"/>
                <w:sz w:val="18"/>
                <w:szCs w:val="18"/>
              </w:rPr>
              <w:t xml:space="preserve"> (частично)</w:t>
            </w:r>
          </w:p>
        </w:tc>
        <w:tc>
          <w:tcPr>
            <w:tcW w:w="1809" w:type="dxa"/>
          </w:tcPr>
          <w:p w14:paraId="5548B766" w14:textId="77777777" w:rsidR="000F530A" w:rsidRPr="00E55E40" w:rsidRDefault="000F530A" w:rsidP="007A6280">
            <w:pPr>
              <w:autoSpaceDE w:val="0"/>
              <w:autoSpaceDN w:val="0"/>
              <w:adjustRightInd w:val="0"/>
              <w:jc w:val="center"/>
              <w:rPr>
                <w:rFonts w:eastAsiaTheme="minorHAnsi"/>
                <w:sz w:val="18"/>
                <w:szCs w:val="18"/>
                <w:lang w:eastAsia="en-US"/>
              </w:rPr>
            </w:pPr>
          </w:p>
        </w:tc>
        <w:tc>
          <w:tcPr>
            <w:tcW w:w="1737" w:type="dxa"/>
          </w:tcPr>
          <w:p w14:paraId="61B09BA5" w14:textId="77777777" w:rsidR="000F530A" w:rsidRPr="00E55E40" w:rsidRDefault="000F530A" w:rsidP="00D607AD">
            <w:pPr>
              <w:autoSpaceDE w:val="0"/>
              <w:autoSpaceDN w:val="0"/>
              <w:adjustRightInd w:val="0"/>
              <w:jc w:val="right"/>
              <w:rPr>
                <w:rFonts w:eastAsiaTheme="minorHAnsi"/>
                <w:sz w:val="18"/>
                <w:szCs w:val="18"/>
                <w:lang w:eastAsia="en-US"/>
              </w:rPr>
            </w:pPr>
          </w:p>
        </w:tc>
        <w:tc>
          <w:tcPr>
            <w:tcW w:w="1132" w:type="dxa"/>
          </w:tcPr>
          <w:p w14:paraId="4F4FEFBE" w14:textId="77777777" w:rsidR="000F530A" w:rsidRPr="00E55E40" w:rsidRDefault="000F530A" w:rsidP="00D607AD">
            <w:pPr>
              <w:autoSpaceDE w:val="0"/>
              <w:autoSpaceDN w:val="0"/>
              <w:adjustRightInd w:val="0"/>
              <w:jc w:val="right"/>
              <w:rPr>
                <w:rFonts w:eastAsiaTheme="minorHAnsi"/>
                <w:sz w:val="18"/>
                <w:szCs w:val="18"/>
                <w:lang w:eastAsia="en-US"/>
              </w:rPr>
            </w:pPr>
          </w:p>
        </w:tc>
      </w:tr>
      <w:tr w:rsidR="002A1867" w:rsidRPr="00E55E40" w14:paraId="31D08893" w14:textId="77777777" w:rsidTr="00BF18BA">
        <w:trPr>
          <w:jc w:val="center"/>
        </w:trPr>
        <w:tc>
          <w:tcPr>
            <w:tcW w:w="4644" w:type="dxa"/>
          </w:tcPr>
          <w:p w14:paraId="36C8D2FE" w14:textId="77777777" w:rsidR="002A1867" w:rsidRPr="00E55E40" w:rsidRDefault="002A1867" w:rsidP="00D607AD">
            <w:pPr>
              <w:jc w:val="both"/>
              <w:rPr>
                <w:color w:val="000000"/>
                <w:sz w:val="18"/>
                <w:szCs w:val="18"/>
              </w:rPr>
            </w:pPr>
            <w:r w:rsidRPr="00E55E40">
              <w:rPr>
                <w:color w:val="000000"/>
                <w:sz w:val="18"/>
                <w:szCs w:val="18"/>
              </w:rPr>
              <w:t>Волгоградский ДПИ</w:t>
            </w:r>
          </w:p>
        </w:tc>
        <w:tc>
          <w:tcPr>
            <w:tcW w:w="1809" w:type="dxa"/>
          </w:tcPr>
          <w:p w14:paraId="51531C96"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586,5</w:t>
            </w:r>
          </w:p>
        </w:tc>
        <w:tc>
          <w:tcPr>
            <w:tcW w:w="1737" w:type="dxa"/>
            <w:vAlign w:val="center"/>
          </w:tcPr>
          <w:p w14:paraId="7C7C76D0" w14:textId="77777777" w:rsidR="002A1867" w:rsidRPr="00E55E40" w:rsidRDefault="002A1867" w:rsidP="00D607AD">
            <w:pPr>
              <w:jc w:val="center"/>
              <w:rPr>
                <w:color w:val="000000"/>
                <w:sz w:val="18"/>
                <w:szCs w:val="18"/>
              </w:rPr>
            </w:pPr>
            <w:r w:rsidRPr="00E55E40">
              <w:rPr>
                <w:color w:val="000000"/>
                <w:sz w:val="18"/>
                <w:szCs w:val="18"/>
              </w:rPr>
              <w:t>226,9</w:t>
            </w:r>
          </w:p>
        </w:tc>
        <w:tc>
          <w:tcPr>
            <w:tcW w:w="1132" w:type="dxa"/>
          </w:tcPr>
          <w:p w14:paraId="4DE6FEFA" w14:textId="77777777" w:rsidR="002A1867" w:rsidRPr="00E55E40" w:rsidRDefault="002A1867" w:rsidP="002A1867">
            <w:pPr>
              <w:jc w:val="center"/>
              <w:rPr>
                <w:color w:val="000000"/>
                <w:sz w:val="18"/>
                <w:szCs w:val="18"/>
              </w:rPr>
            </w:pPr>
            <w:r w:rsidRPr="00E55E40">
              <w:rPr>
                <w:color w:val="000000"/>
                <w:sz w:val="18"/>
                <w:szCs w:val="18"/>
              </w:rPr>
              <w:t>38,7</w:t>
            </w:r>
          </w:p>
        </w:tc>
      </w:tr>
      <w:tr w:rsidR="002A1867" w:rsidRPr="00E55E40" w14:paraId="4EE06920" w14:textId="77777777" w:rsidTr="00BF18BA">
        <w:trPr>
          <w:jc w:val="center"/>
        </w:trPr>
        <w:tc>
          <w:tcPr>
            <w:tcW w:w="4644" w:type="dxa"/>
          </w:tcPr>
          <w:p w14:paraId="28143B62" w14:textId="77777777" w:rsidR="002A1867" w:rsidRPr="00E55E40" w:rsidRDefault="002A1867" w:rsidP="00D607AD">
            <w:pPr>
              <w:jc w:val="both"/>
              <w:rPr>
                <w:color w:val="000000"/>
                <w:sz w:val="18"/>
                <w:szCs w:val="18"/>
              </w:rPr>
            </w:pPr>
            <w:r w:rsidRPr="00E55E40">
              <w:rPr>
                <w:color w:val="000000"/>
                <w:sz w:val="18"/>
                <w:szCs w:val="18"/>
              </w:rPr>
              <w:t>Калачевский ПНИ</w:t>
            </w:r>
          </w:p>
        </w:tc>
        <w:tc>
          <w:tcPr>
            <w:tcW w:w="1809" w:type="dxa"/>
          </w:tcPr>
          <w:p w14:paraId="2B36D91F"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1013,5</w:t>
            </w:r>
          </w:p>
        </w:tc>
        <w:tc>
          <w:tcPr>
            <w:tcW w:w="1737" w:type="dxa"/>
            <w:vAlign w:val="center"/>
          </w:tcPr>
          <w:p w14:paraId="72344EC7" w14:textId="77777777" w:rsidR="002A1867" w:rsidRPr="00E55E40" w:rsidRDefault="002A1867" w:rsidP="00D607AD">
            <w:pPr>
              <w:jc w:val="center"/>
              <w:rPr>
                <w:color w:val="000000"/>
                <w:sz w:val="18"/>
                <w:szCs w:val="18"/>
              </w:rPr>
            </w:pPr>
            <w:r w:rsidRPr="00E55E40">
              <w:rPr>
                <w:color w:val="000000"/>
                <w:sz w:val="18"/>
                <w:szCs w:val="18"/>
              </w:rPr>
              <w:t>257,5</w:t>
            </w:r>
          </w:p>
        </w:tc>
        <w:tc>
          <w:tcPr>
            <w:tcW w:w="1132" w:type="dxa"/>
          </w:tcPr>
          <w:p w14:paraId="5BBF244C" w14:textId="77777777" w:rsidR="002A1867" w:rsidRPr="00E55E40" w:rsidRDefault="002A1867" w:rsidP="002A1867">
            <w:pPr>
              <w:jc w:val="center"/>
              <w:rPr>
                <w:color w:val="000000"/>
                <w:sz w:val="18"/>
                <w:szCs w:val="18"/>
              </w:rPr>
            </w:pPr>
            <w:r w:rsidRPr="00E55E40">
              <w:rPr>
                <w:color w:val="000000"/>
                <w:sz w:val="18"/>
                <w:szCs w:val="18"/>
              </w:rPr>
              <w:t>25,4</w:t>
            </w:r>
          </w:p>
        </w:tc>
      </w:tr>
      <w:tr w:rsidR="002A1867" w:rsidRPr="00E55E40" w14:paraId="0C3C7DE9" w14:textId="77777777" w:rsidTr="00BF18BA">
        <w:trPr>
          <w:jc w:val="center"/>
        </w:trPr>
        <w:tc>
          <w:tcPr>
            <w:tcW w:w="4644" w:type="dxa"/>
          </w:tcPr>
          <w:p w14:paraId="122DD196" w14:textId="77777777" w:rsidR="002A1867" w:rsidRPr="00E55E40" w:rsidRDefault="002A1867" w:rsidP="00D607AD">
            <w:pPr>
              <w:jc w:val="both"/>
              <w:rPr>
                <w:color w:val="000000"/>
                <w:sz w:val="18"/>
                <w:szCs w:val="18"/>
              </w:rPr>
            </w:pPr>
            <w:r w:rsidRPr="00E55E40">
              <w:rPr>
                <w:color w:val="000000"/>
                <w:sz w:val="18"/>
                <w:szCs w:val="18"/>
              </w:rPr>
              <w:t>Заплавинский ПНИ</w:t>
            </w:r>
          </w:p>
        </w:tc>
        <w:tc>
          <w:tcPr>
            <w:tcW w:w="1809" w:type="dxa"/>
          </w:tcPr>
          <w:p w14:paraId="02CE1C9F"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804,9</w:t>
            </w:r>
          </w:p>
        </w:tc>
        <w:tc>
          <w:tcPr>
            <w:tcW w:w="1737" w:type="dxa"/>
            <w:vAlign w:val="center"/>
          </w:tcPr>
          <w:p w14:paraId="382CAAEC" w14:textId="77777777" w:rsidR="002A1867" w:rsidRPr="00E55E40" w:rsidRDefault="002A1867" w:rsidP="00D607AD">
            <w:pPr>
              <w:jc w:val="center"/>
              <w:rPr>
                <w:color w:val="000000"/>
                <w:sz w:val="18"/>
                <w:szCs w:val="18"/>
              </w:rPr>
            </w:pPr>
            <w:r w:rsidRPr="00E55E40">
              <w:rPr>
                <w:color w:val="000000"/>
                <w:sz w:val="18"/>
                <w:szCs w:val="18"/>
              </w:rPr>
              <w:t>209,1</w:t>
            </w:r>
          </w:p>
        </w:tc>
        <w:tc>
          <w:tcPr>
            <w:tcW w:w="1132" w:type="dxa"/>
          </w:tcPr>
          <w:p w14:paraId="24A5EB31" w14:textId="77777777" w:rsidR="002A1867" w:rsidRPr="00E55E40" w:rsidRDefault="002A1867" w:rsidP="002A1867">
            <w:pPr>
              <w:jc w:val="center"/>
              <w:rPr>
                <w:color w:val="000000"/>
                <w:sz w:val="18"/>
                <w:szCs w:val="18"/>
              </w:rPr>
            </w:pPr>
            <w:r w:rsidRPr="00E55E40">
              <w:rPr>
                <w:color w:val="000000"/>
                <w:sz w:val="18"/>
                <w:szCs w:val="18"/>
              </w:rPr>
              <w:t>26,0</w:t>
            </w:r>
          </w:p>
        </w:tc>
      </w:tr>
      <w:tr w:rsidR="002A1867" w:rsidRPr="00E55E40" w14:paraId="6B40F638" w14:textId="77777777" w:rsidTr="00BF18BA">
        <w:trPr>
          <w:jc w:val="center"/>
        </w:trPr>
        <w:tc>
          <w:tcPr>
            <w:tcW w:w="4644" w:type="dxa"/>
          </w:tcPr>
          <w:p w14:paraId="07B71596" w14:textId="77777777" w:rsidR="002A1867" w:rsidRPr="00E55E40" w:rsidRDefault="002A1867" w:rsidP="00D607AD">
            <w:pPr>
              <w:jc w:val="both"/>
              <w:rPr>
                <w:color w:val="000000"/>
                <w:sz w:val="18"/>
                <w:szCs w:val="18"/>
              </w:rPr>
            </w:pPr>
            <w:r w:rsidRPr="00E55E40">
              <w:rPr>
                <w:color w:val="000000"/>
                <w:sz w:val="18"/>
                <w:szCs w:val="18"/>
              </w:rPr>
              <w:t>Царевский ПНИ</w:t>
            </w:r>
          </w:p>
        </w:tc>
        <w:tc>
          <w:tcPr>
            <w:tcW w:w="1809" w:type="dxa"/>
          </w:tcPr>
          <w:p w14:paraId="15C3C8FA" w14:textId="77777777" w:rsidR="002A1867" w:rsidRPr="00E55E40" w:rsidRDefault="002A1867" w:rsidP="00BA399E">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95</w:t>
            </w:r>
            <w:r w:rsidR="00BA399E" w:rsidRPr="00E55E40">
              <w:rPr>
                <w:rFonts w:eastAsiaTheme="minorHAnsi"/>
                <w:sz w:val="18"/>
                <w:szCs w:val="18"/>
                <w:lang w:eastAsia="en-US"/>
              </w:rPr>
              <w:t>3</w:t>
            </w:r>
            <w:r w:rsidRPr="00E55E40">
              <w:rPr>
                <w:rFonts w:eastAsiaTheme="minorHAnsi"/>
                <w:sz w:val="18"/>
                <w:szCs w:val="18"/>
                <w:lang w:eastAsia="en-US"/>
              </w:rPr>
              <w:t>,</w:t>
            </w:r>
            <w:r w:rsidR="00BA399E" w:rsidRPr="00E55E40">
              <w:rPr>
                <w:rFonts w:eastAsiaTheme="minorHAnsi"/>
                <w:sz w:val="18"/>
                <w:szCs w:val="18"/>
                <w:lang w:eastAsia="en-US"/>
              </w:rPr>
              <w:t>7</w:t>
            </w:r>
          </w:p>
        </w:tc>
        <w:tc>
          <w:tcPr>
            <w:tcW w:w="1737" w:type="dxa"/>
            <w:vAlign w:val="center"/>
          </w:tcPr>
          <w:p w14:paraId="1301DC1D" w14:textId="77777777" w:rsidR="002A1867" w:rsidRPr="00E55E40" w:rsidRDefault="002A1867" w:rsidP="00BA399E">
            <w:pPr>
              <w:jc w:val="center"/>
              <w:rPr>
                <w:color w:val="000000"/>
                <w:sz w:val="18"/>
                <w:szCs w:val="18"/>
              </w:rPr>
            </w:pPr>
            <w:r w:rsidRPr="00E55E40">
              <w:rPr>
                <w:color w:val="000000"/>
                <w:sz w:val="18"/>
                <w:szCs w:val="18"/>
              </w:rPr>
              <w:t>19</w:t>
            </w:r>
            <w:r w:rsidR="00BA399E" w:rsidRPr="00E55E40">
              <w:rPr>
                <w:color w:val="000000"/>
                <w:sz w:val="18"/>
                <w:szCs w:val="18"/>
              </w:rPr>
              <w:t>9</w:t>
            </w:r>
            <w:r w:rsidRPr="00E55E40">
              <w:rPr>
                <w:color w:val="000000"/>
                <w:sz w:val="18"/>
                <w:szCs w:val="18"/>
              </w:rPr>
              <w:t>,</w:t>
            </w:r>
            <w:r w:rsidR="00BA399E" w:rsidRPr="00E55E40">
              <w:rPr>
                <w:color w:val="000000"/>
                <w:sz w:val="18"/>
                <w:szCs w:val="18"/>
              </w:rPr>
              <w:t>3</w:t>
            </w:r>
          </w:p>
        </w:tc>
        <w:tc>
          <w:tcPr>
            <w:tcW w:w="1132" w:type="dxa"/>
          </w:tcPr>
          <w:p w14:paraId="49660E57" w14:textId="77777777" w:rsidR="002A1867" w:rsidRPr="00E55E40" w:rsidRDefault="002A1867" w:rsidP="00BA399E">
            <w:pPr>
              <w:jc w:val="center"/>
              <w:rPr>
                <w:color w:val="000000"/>
                <w:sz w:val="18"/>
                <w:szCs w:val="18"/>
              </w:rPr>
            </w:pPr>
            <w:r w:rsidRPr="00E55E40">
              <w:rPr>
                <w:color w:val="000000"/>
                <w:sz w:val="18"/>
                <w:szCs w:val="18"/>
              </w:rPr>
              <w:t>20,</w:t>
            </w:r>
            <w:r w:rsidR="00BA399E" w:rsidRPr="00E55E40">
              <w:rPr>
                <w:color w:val="000000"/>
                <w:sz w:val="18"/>
                <w:szCs w:val="18"/>
              </w:rPr>
              <w:t>9</w:t>
            </w:r>
          </w:p>
        </w:tc>
      </w:tr>
      <w:tr w:rsidR="002A1867" w:rsidRPr="00E55E40" w14:paraId="374DAEC5" w14:textId="77777777" w:rsidTr="00BF18BA">
        <w:trPr>
          <w:jc w:val="center"/>
        </w:trPr>
        <w:tc>
          <w:tcPr>
            <w:tcW w:w="4644" w:type="dxa"/>
          </w:tcPr>
          <w:p w14:paraId="3632C1A6" w14:textId="77777777" w:rsidR="002A1867" w:rsidRPr="00E55E40" w:rsidRDefault="002A1867" w:rsidP="00D607AD">
            <w:pPr>
              <w:jc w:val="both"/>
              <w:rPr>
                <w:color w:val="000000"/>
                <w:sz w:val="18"/>
                <w:szCs w:val="18"/>
              </w:rPr>
            </w:pPr>
            <w:r w:rsidRPr="00E55E40">
              <w:rPr>
                <w:color w:val="000000"/>
                <w:sz w:val="18"/>
                <w:szCs w:val="18"/>
              </w:rPr>
              <w:t>Урюпинский ПНИ</w:t>
            </w:r>
          </w:p>
        </w:tc>
        <w:tc>
          <w:tcPr>
            <w:tcW w:w="1809" w:type="dxa"/>
          </w:tcPr>
          <w:p w14:paraId="543BC828"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435</w:t>
            </w:r>
          </w:p>
        </w:tc>
        <w:tc>
          <w:tcPr>
            <w:tcW w:w="1737" w:type="dxa"/>
            <w:vAlign w:val="center"/>
          </w:tcPr>
          <w:p w14:paraId="147A91FB" w14:textId="77777777" w:rsidR="002A1867" w:rsidRPr="00E55E40" w:rsidRDefault="002A1867" w:rsidP="00D607AD">
            <w:pPr>
              <w:jc w:val="center"/>
              <w:rPr>
                <w:color w:val="000000"/>
                <w:sz w:val="18"/>
                <w:szCs w:val="18"/>
              </w:rPr>
            </w:pPr>
            <w:r w:rsidRPr="00E55E40">
              <w:rPr>
                <w:color w:val="000000"/>
                <w:sz w:val="18"/>
                <w:szCs w:val="18"/>
              </w:rPr>
              <w:t>186,8</w:t>
            </w:r>
          </w:p>
        </w:tc>
        <w:tc>
          <w:tcPr>
            <w:tcW w:w="1132" w:type="dxa"/>
          </w:tcPr>
          <w:p w14:paraId="3D3F0FCB" w14:textId="77777777" w:rsidR="002A1867" w:rsidRPr="00E55E40" w:rsidRDefault="002A1867" w:rsidP="002A1867">
            <w:pPr>
              <w:jc w:val="center"/>
              <w:rPr>
                <w:color w:val="000000"/>
                <w:sz w:val="18"/>
                <w:szCs w:val="18"/>
              </w:rPr>
            </w:pPr>
            <w:r w:rsidRPr="00E55E40">
              <w:rPr>
                <w:color w:val="000000"/>
                <w:sz w:val="18"/>
                <w:szCs w:val="18"/>
              </w:rPr>
              <w:t>42,9</w:t>
            </w:r>
          </w:p>
        </w:tc>
      </w:tr>
      <w:tr w:rsidR="002A1867" w:rsidRPr="00E55E40" w14:paraId="237DC321" w14:textId="77777777" w:rsidTr="00BF18BA">
        <w:trPr>
          <w:jc w:val="center"/>
        </w:trPr>
        <w:tc>
          <w:tcPr>
            <w:tcW w:w="4644" w:type="dxa"/>
          </w:tcPr>
          <w:p w14:paraId="3A36951B" w14:textId="77777777" w:rsidR="002A1867" w:rsidRPr="00E55E40" w:rsidRDefault="002A1867" w:rsidP="00D607AD">
            <w:pPr>
              <w:jc w:val="both"/>
              <w:rPr>
                <w:color w:val="000000"/>
                <w:sz w:val="18"/>
                <w:szCs w:val="18"/>
              </w:rPr>
            </w:pPr>
            <w:r w:rsidRPr="00E55E40">
              <w:rPr>
                <w:color w:val="000000"/>
                <w:sz w:val="18"/>
                <w:szCs w:val="18"/>
              </w:rPr>
              <w:t>Нижнедобринский ПНИ</w:t>
            </w:r>
          </w:p>
        </w:tc>
        <w:tc>
          <w:tcPr>
            <w:tcW w:w="1809" w:type="dxa"/>
          </w:tcPr>
          <w:p w14:paraId="5B0308F8"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462,3</w:t>
            </w:r>
          </w:p>
        </w:tc>
        <w:tc>
          <w:tcPr>
            <w:tcW w:w="1737" w:type="dxa"/>
            <w:vAlign w:val="center"/>
          </w:tcPr>
          <w:p w14:paraId="1E7BFBF8" w14:textId="77777777" w:rsidR="002A1867" w:rsidRPr="00E55E40" w:rsidRDefault="002A1867" w:rsidP="00D607AD">
            <w:pPr>
              <w:jc w:val="center"/>
              <w:rPr>
                <w:color w:val="000000"/>
                <w:sz w:val="18"/>
                <w:szCs w:val="18"/>
              </w:rPr>
            </w:pPr>
            <w:r w:rsidRPr="00E55E40">
              <w:rPr>
                <w:color w:val="000000"/>
                <w:sz w:val="18"/>
                <w:szCs w:val="18"/>
              </w:rPr>
              <w:t>262,5</w:t>
            </w:r>
          </w:p>
        </w:tc>
        <w:tc>
          <w:tcPr>
            <w:tcW w:w="1132" w:type="dxa"/>
          </w:tcPr>
          <w:p w14:paraId="157E25D3" w14:textId="77777777" w:rsidR="002A1867" w:rsidRPr="00E55E40" w:rsidRDefault="002A1867" w:rsidP="002A1867">
            <w:pPr>
              <w:jc w:val="center"/>
              <w:rPr>
                <w:color w:val="000000"/>
                <w:sz w:val="18"/>
                <w:szCs w:val="18"/>
              </w:rPr>
            </w:pPr>
            <w:r w:rsidRPr="00E55E40">
              <w:rPr>
                <w:color w:val="000000"/>
                <w:sz w:val="18"/>
                <w:szCs w:val="18"/>
              </w:rPr>
              <w:t>56,8</w:t>
            </w:r>
          </w:p>
        </w:tc>
      </w:tr>
      <w:tr w:rsidR="002A1867" w:rsidRPr="00E55E40" w14:paraId="1583D68F" w14:textId="77777777" w:rsidTr="00BF18BA">
        <w:trPr>
          <w:jc w:val="center"/>
        </w:trPr>
        <w:tc>
          <w:tcPr>
            <w:tcW w:w="4644" w:type="dxa"/>
          </w:tcPr>
          <w:p w14:paraId="2AB39AA9" w14:textId="77777777" w:rsidR="002A1867" w:rsidRPr="00E55E40" w:rsidRDefault="002A1867" w:rsidP="00D607AD">
            <w:pPr>
              <w:jc w:val="both"/>
              <w:rPr>
                <w:color w:val="000000"/>
                <w:sz w:val="18"/>
                <w:szCs w:val="18"/>
              </w:rPr>
            </w:pPr>
            <w:r w:rsidRPr="00E55E40">
              <w:rPr>
                <w:bCs/>
                <w:i/>
                <w:color w:val="000000"/>
                <w:sz w:val="18"/>
                <w:szCs w:val="18"/>
              </w:rPr>
              <w:t>средняя стоимость</w:t>
            </w:r>
          </w:p>
        </w:tc>
        <w:tc>
          <w:tcPr>
            <w:tcW w:w="1809" w:type="dxa"/>
          </w:tcPr>
          <w:p w14:paraId="47411EC9" w14:textId="77777777" w:rsidR="002A1867" w:rsidRPr="00E55E40" w:rsidRDefault="00BA399E" w:rsidP="007A6280">
            <w:pPr>
              <w:autoSpaceDE w:val="0"/>
              <w:autoSpaceDN w:val="0"/>
              <w:adjustRightInd w:val="0"/>
              <w:jc w:val="center"/>
              <w:rPr>
                <w:rFonts w:eastAsiaTheme="minorHAnsi"/>
                <w:i/>
                <w:sz w:val="18"/>
                <w:szCs w:val="18"/>
                <w:lang w:eastAsia="en-US"/>
              </w:rPr>
            </w:pPr>
            <w:r w:rsidRPr="00E55E40">
              <w:rPr>
                <w:rFonts w:eastAsiaTheme="minorHAnsi"/>
                <w:i/>
                <w:sz w:val="18"/>
                <w:szCs w:val="18"/>
                <w:lang w:eastAsia="en-US"/>
              </w:rPr>
              <w:t>709,3</w:t>
            </w:r>
          </w:p>
        </w:tc>
        <w:tc>
          <w:tcPr>
            <w:tcW w:w="1737" w:type="dxa"/>
            <w:vAlign w:val="center"/>
          </w:tcPr>
          <w:p w14:paraId="2846D33F" w14:textId="77777777" w:rsidR="002A1867" w:rsidRPr="00E55E40" w:rsidRDefault="002A1867" w:rsidP="00BA399E">
            <w:pPr>
              <w:jc w:val="center"/>
              <w:rPr>
                <w:bCs/>
                <w:i/>
                <w:color w:val="000000"/>
                <w:sz w:val="18"/>
                <w:szCs w:val="18"/>
              </w:rPr>
            </w:pPr>
            <w:r w:rsidRPr="00E55E40">
              <w:rPr>
                <w:bCs/>
                <w:i/>
                <w:color w:val="000000"/>
                <w:sz w:val="18"/>
                <w:szCs w:val="18"/>
              </w:rPr>
              <w:t>22</w:t>
            </w:r>
            <w:r w:rsidR="00BA399E" w:rsidRPr="00E55E40">
              <w:rPr>
                <w:bCs/>
                <w:i/>
                <w:color w:val="000000"/>
                <w:sz w:val="18"/>
                <w:szCs w:val="18"/>
              </w:rPr>
              <w:t>3</w:t>
            </w:r>
            <w:r w:rsidRPr="00E55E40">
              <w:rPr>
                <w:bCs/>
                <w:i/>
                <w:color w:val="000000"/>
                <w:sz w:val="18"/>
                <w:szCs w:val="18"/>
              </w:rPr>
              <w:t>,</w:t>
            </w:r>
            <w:r w:rsidR="00BA399E" w:rsidRPr="00E55E40">
              <w:rPr>
                <w:bCs/>
                <w:i/>
                <w:color w:val="000000"/>
                <w:sz w:val="18"/>
                <w:szCs w:val="18"/>
              </w:rPr>
              <w:t>7</w:t>
            </w:r>
          </w:p>
        </w:tc>
        <w:tc>
          <w:tcPr>
            <w:tcW w:w="1132" w:type="dxa"/>
          </w:tcPr>
          <w:p w14:paraId="4022E3A4" w14:textId="77777777" w:rsidR="002A1867" w:rsidRPr="00E55E40" w:rsidRDefault="002A1867" w:rsidP="00BA399E">
            <w:pPr>
              <w:jc w:val="center"/>
              <w:rPr>
                <w:i/>
                <w:color w:val="000000"/>
                <w:sz w:val="18"/>
                <w:szCs w:val="18"/>
              </w:rPr>
            </w:pPr>
            <w:r w:rsidRPr="00E55E40">
              <w:rPr>
                <w:i/>
                <w:color w:val="000000"/>
                <w:sz w:val="18"/>
                <w:szCs w:val="18"/>
              </w:rPr>
              <w:t>3</w:t>
            </w:r>
            <w:r w:rsidR="00BA399E" w:rsidRPr="00E55E40">
              <w:rPr>
                <w:i/>
                <w:color w:val="000000"/>
                <w:sz w:val="18"/>
                <w:szCs w:val="18"/>
              </w:rPr>
              <w:t>1</w:t>
            </w:r>
            <w:r w:rsidRPr="00E55E40">
              <w:rPr>
                <w:i/>
                <w:color w:val="000000"/>
                <w:sz w:val="18"/>
                <w:szCs w:val="18"/>
              </w:rPr>
              <w:t>,</w:t>
            </w:r>
            <w:r w:rsidR="00BA399E" w:rsidRPr="00E55E40">
              <w:rPr>
                <w:i/>
                <w:color w:val="000000"/>
                <w:sz w:val="18"/>
                <w:szCs w:val="18"/>
              </w:rPr>
              <w:t>5</w:t>
            </w:r>
          </w:p>
        </w:tc>
      </w:tr>
      <w:tr w:rsidR="000F530A" w:rsidRPr="00E55E40" w14:paraId="3E0B863E" w14:textId="77777777" w:rsidTr="00BF18BA">
        <w:trPr>
          <w:jc w:val="center"/>
        </w:trPr>
        <w:tc>
          <w:tcPr>
            <w:tcW w:w="4644" w:type="dxa"/>
            <w:vAlign w:val="center"/>
          </w:tcPr>
          <w:p w14:paraId="7DCAE677" w14:textId="77777777" w:rsidR="000F530A" w:rsidRPr="00E55E40" w:rsidRDefault="00B97364" w:rsidP="00D607AD">
            <w:pPr>
              <w:jc w:val="center"/>
              <w:rPr>
                <w:color w:val="000000"/>
                <w:sz w:val="18"/>
                <w:szCs w:val="18"/>
              </w:rPr>
            </w:pPr>
            <w:r w:rsidRPr="00E55E40">
              <w:rPr>
                <w:color w:val="000000"/>
                <w:sz w:val="18"/>
                <w:szCs w:val="18"/>
              </w:rPr>
              <w:t>Порядок ПНИ</w:t>
            </w:r>
            <w:r w:rsidR="000F530A" w:rsidRPr="00E55E40">
              <w:rPr>
                <w:color w:val="000000"/>
                <w:sz w:val="18"/>
                <w:szCs w:val="18"/>
              </w:rPr>
              <w:t xml:space="preserve"> (полностью)</w:t>
            </w:r>
          </w:p>
        </w:tc>
        <w:tc>
          <w:tcPr>
            <w:tcW w:w="1809" w:type="dxa"/>
          </w:tcPr>
          <w:p w14:paraId="6BF85E1C" w14:textId="77777777" w:rsidR="000F530A" w:rsidRPr="00E55E40" w:rsidRDefault="000F530A" w:rsidP="007A6280">
            <w:pPr>
              <w:autoSpaceDE w:val="0"/>
              <w:autoSpaceDN w:val="0"/>
              <w:adjustRightInd w:val="0"/>
              <w:jc w:val="center"/>
              <w:rPr>
                <w:rFonts w:eastAsiaTheme="minorHAnsi"/>
                <w:sz w:val="18"/>
                <w:szCs w:val="18"/>
                <w:lang w:eastAsia="en-US"/>
              </w:rPr>
            </w:pPr>
          </w:p>
        </w:tc>
        <w:tc>
          <w:tcPr>
            <w:tcW w:w="1737" w:type="dxa"/>
          </w:tcPr>
          <w:p w14:paraId="323F542E" w14:textId="77777777" w:rsidR="000F530A" w:rsidRPr="00E55E40" w:rsidRDefault="000F530A" w:rsidP="00D607AD">
            <w:pPr>
              <w:autoSpaceDE w:val="0"/>
              <w:autoSpaceDN w:val="0"/>
              <w:adjustRightInd w:val="0"/>
              <w:jc w:val="right"/>
              <w:rPr>
                <w:rFonts w:eastAsiaTheme="minorHAnsi"/>
                <w:sz w:val="18"/>
                <w:szCs w:val="18"/>
                <w:lang w:eastAsia="en-US"/>
              </w:rPr>
            </w:pPr>
          </w:p>
        </w:tc>
        <w:tc>
          <w:tcPr>
            <w:tcW w:w="1132" w:type="dxa"/>
          </w:tcPr>
          <w:p w14:paraId="428D33DD" w14:textId="77777777" w:rsidR="000F530A" w:rsidRPr="00E55E40" w:rsidRDefault="000F530A" w:rsidP="002A1867">
            <w:pPr>
              <w:autoSpaceDE w:val="0"/>
              <w:autoSpaceDN w:val="0"/>
              <w:adjustRightInd w:val="0"/>
              <w:jc w:val="center"/>
              <w:rPr>
                <w:rFonts w:eastAsiaTheme="minorHAnsi"/>
                <w:sz w:val="18"/>
                <w:szCs w:val="18"/>
                <w:lang w:eastAsia="en-US"/>
              </w:rPr>
            </w:pPr>
          </w:p>
        </w:tc>
      </w:tr>
      <w:tr w:rsidR="002A1867" w:rsidRPr="00E55E40" w14:paraId="2511D99D" w14:textId="77777777" w:rsidTr="00BF18BA">
        <w:trPr>
          <w:jc w:val="center"/>
        </w:trPr>
        <w:tc>
          <w:tcPr>
            <w:tcW w:w="4644" w:type="dxa"/>
          </w:tcPr>
          <w:p w14:paraId="5B29D402" w14:textId="77777777" w:rsidR="002A1867" w:rsidRPr="00E55E40" w:rsidRDefault="002A1867" w:rsidP="00D607AD">
            <w:pPr>
              <w:jc w:val="both"/>
              <w:rPr>
                <w:color w:val="000000"/>
                <w:sz w:val="18"/>
                <w:szCs w:val="18"/>
              </w:rPr>
            </w:pPr>
            <w:r w:rsidRPr="00E55E40">
              <w:rPr>
                <w:color w:val="000000"/>
                <w:sz w:val="18"/>
                <w:szCs w:val="18"/>
              </w:rPr>
              <w:t>Волгоградский ДПИ</w:t>
            </w:r>
          </w:p>
        </w:tc>
        <w:tc>
          <w:tcPr>
            <w:tcW w:w="1809" w:type="dxa"/>
          </w:tcPr>
          <w:p w14:paraId="6EB7489C"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379,7</w:t>
            </w:r>
          </w:p>
        </w:tc>
        <w:tc>
          <w:tcPr>
            <w:tcW w:w="1737" w:type="dxa"/>
            <w:vAlign w:val="center"/>
          </w:tcPr>
          <w:p w14:paraId="08697A7E" w14:textId="77777777" w:rsidR="002A1867" w:rsidRPr="00E55E40" w:rsidRDefault="002A1867" w:rsidP="00D607AD">
            <w:pPr>
              <w:jc w:val="center"/>
              <w:rPr>
                <w:color w:val="000000"/>
                <w:sz w:val="18"/>
                <w:szCs w:val="18"/>
              </w:rPr>
            </w:pPr>
            <w:r w:rsidRPr="00E55E40">
              <w:rPr>
                <w:color w:val="000000"/>
                <w:sz w:val="18"/>
                <w:szCs w:val="18"/>
              </w:rPr>
              <w:t>147,4</w:t>
            </w:r>
          </w:p>
        </w:tc>
        <w:tc>
          <w:tcPr>
            <w:tcW w:w="1132" w:type="dxa"/>
          </w:tcPr>
          <w:p w14:paraId="518CE3F4" w14:textId="77777777" w:rsidR="002A1867" w:rsidRPr="00E55E40" w:rsidRDefault="002A1867" w:rsidP="002A1867">
            <w:pPr>
              <w:jc w:val="center"/>
              <w:rPr>
                <w:color w:val="000000"/>
                <w:sz w:val="18"/>
                <w:szCs w:val="18"/>
              </w:rPr>
            </w:pPr>
            <w:r w:rsidRPr="00E55E40">
              <w:rPr>
                <w:color w:val="000000"/>
                <w:sz w:val="18"/>
                <w:szCs w:val="18"/>
              </w:rPr>
              <w:t>38,8</w:t>
            </w:r>
          </w:p>
        </w:tc>
      </w:tr>
      <w:tr w:rsidR="002A1867" w:rsidRPr="00E55E40" w14:paraId="1B2896B4" w14:textId="77777777" w:rsidTr="00BF18BA">
        <w:trPr>
          <w:jc w:val="center"/>
        </w:trPr>
        <w:tc>
          <w:tcPr>
            <w:tcW w:w="4644" w:type="dxa"/>
          </w:tcPr>
          <w:p w14:paraId="38D62AEF" w14:textId="77777777" w:rsidR="002A1867" w:rsidRPr="00E55E40" w:rsidRDefault="002A1867" w:rsidP="00D607AD">
            <w:pPr>
              <w:jc w:val="both"/>
              <w:rPr>
                <w:color w:val="000000"/>
                <w:sz w:val="18"/>
                <w:szCs w:val="18"/>
              </w:rPr>
            </w:pPr>
            <w:r w:rsidRPr="00E55E40">
              <w:rPr>
                <w:color w:val="000000"/>
                <w:sz w:val="18"/>
                <w:szCs w:val="18"/>
              </w:rPr>
              <w:t>Калачевский ПНИ</w:t>
            </w:r>
          </w:p>
        </w:tc>
        <w:tc>
          <w:tcPr>
            <w:tcW w:w="1809" w:type="dxa"/>
          </w:tcPr>
          <w:p w14:paraId="0B39F6EF"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805,7</w:t>
            </w:r>
          </w:p>
        </w:tc>
        <w:tc>
          <w:tcPr>
            <w:tcW w:w="1737" w:type="dxa"/>
            <w:vAlign w:val="center"/>
          </w:tcPr>
          <w:p w14:paraId="49C2D5B6" w14:textId="77777777" w:rsidR="002A1867" w:rsidRPr="00E55E40" w:rsidRDefault="002A1867" w:rsidP="00D607AD">
            <w:pPr>
              <w:jc w:val="center"/>
              <w:rPr>
                <w:color w:val="000000"/>
                <w:sz w:val="18"/>
                <w:szCs w:val="18"/>
              </w:rPr>
            </w:pPr>
            <w:r w:rsidRPr="00E55E40">
              <w:rPr>
                <w:color w:val="000000"/>
                <w:sz w:val="18"/>
                <w:szCs w:val="18"/>
              </w:rPr>
              <w:t>253</w:t>
            </w:r>
          </w:p>
        </w:tc>
        <w:tc>
          <w:tcPr>
            <w:tcW w:w="1132" w:type="dxa"/>
          </w:tcPr>
          <w:p w14:paraId="528D8B5F" w14:textId="77777777" w:rsidR="002A1867" w:rsidRPr="00E55E40" w:rsidRDefault="002A1867" w:rsidP="002A1867">
            <w:pPr>
              <w:jc w:val="center"/>
              <w:rPr>
                <w:color w:val="000000"/>
                <w:sz w:val="18"/>
                <w:szCs w:val="18"/>
              </w:rPr>
            </w:pPr>
            <w:r w:rsidRPr="00E55E40">
              <w:rPr>
                <w:color w:val="000000"/>
                <w:sz w:val="18"/>
                <w:szCs w:val="18"/>
              </w:rPr>
              <w:t>31,4</w:t>
            </w:r>
          </w:p>
        </w:tc>
      </w:tr>
      <w:tr w:rsidR="002A1867" w:rsidRPr="00E55E40" w14:paraId="323F6F88" w14:textId="77777777" w:rsidTr="00BF18BA">
        <w:trPr>
          <w:jc w:val="center"/>
        </w:trPr>
        <w:tc>
          <w:tcPr>
            <w:tcW w:w="4644" w:type="dxa"/>
          </w:tcPr>
          <w:p w14:paraId="7F2A2D09" w14:textId="77777777" w:rsidR="002A1867" w:rsidRPr="00E55E40" w:rsidRDefault="002A1867" w:rsidP="00D607AD">
            <w:pPr>
              <w:jc w:val="both"/>
              <w:rPr>
                <w:color w:val="000000"/>
                <w:sz w:val="18"/>
                <w:szCs w:val="18"/>
              </w:rPr>
            </w:pPr>
            <w:r w:rsidRPr="00E55E40">
              <w:rPr>
                <w:color w:val="000000"/>
                <w:sz w:val="18"/>
                <w:szCs w:val="18"/>
              </w:rPr>
              <w:t>Заплавинский ПНИ</w:t>
            </w:r>
          </w:p>
        </w:tc>
        <w:tc>
          <w:tcPr>
            <w:tcW w:w="1809" w:type="dxa"/>
          </w:tcPr>
          <w:p w14:paraId="100EB493"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615,8</w:t>
            </w:r>
          </w:p>
        </w:tc>
        <w:tc>
          <w:tcPr>
            <w:tcW w:w="1737" w:type="dxa"/>
            <w:vAlign w:val="center"/>
          </w:tcPr>
          <w:p w14:paraId="1F321A16" w14:textId="77777777" w:rsidR="002A1867" w:rsidRPr="00E55E40" w:rsidRDefault="002A1867" w:rsidP="00D607AD">
            <w:pPr>
              <w:jc w:val="center"/>
              <w:rPr>
                <w:color w:val="000000"/>
                <w:sz w:val="18"/>
                <w:szCs w:val="18"/>
              </w:rPr>
            </w:pPr>
            <w:r w:rsidRPr="00E55E40">
              <w:rPr>
                <w:color w:val="000000"/>
                <w:sz w:val="18"/>
                <w:szCs w:val="18"/>
              </w:rPr>
              <w:t>172,3</w:t>
            </w:r>
          </w:p>
        </w:tc>
        <w:tc>
          <w:tcPr>
            <w:tcW w:w="1132" w:type="dxa"/>
          </w:tcPr>
          <w:p w14:paraId="601F77AF" w14:textId="77777777" w:rsidR="002A1867" w:rsidRPr="00E55E40" w:rsidRDefault="002A1867" w:rsidP="002A1867">
            <w:pPr>
              <w:jc w:val="center"/>
              <w:rPr>
                <w:color w:val="000000"/>
                <w:sz w:val="18"/>
                <w:szCs w:val="18"/>
              </w:rPr>
            </w:pPr>
            <w:r w:rsidRPr="00E55E40">
              <w:rPr>
                <w:color w:val="000000"/>
                <w:sz w:val="18"/>
                <w:szCs w:val="18"/>
              </w:rPr>
              <w:t>28,0</w:t>
            </w:r>
          </w:p>
        </w:tc>
      </w:tr>
      <w:tr w:rsidR="002A1867" w:rsidRPr="00E55E40" w14:paraId="162EA987" w14:textId="77777777" w:rsidTr="00BF18BA">
        <w:trPr>
          <w:jc w:val="center"/>
        </w:trPr>
        <w:tc>
          <w:tcPr>
            <w:tcW w:w="4644" w:type="dxa"/>
          </w:tcPr>
          <w:p w14:paraId="46A69104" w14:textId="77777777" w:rsidR="002A1867" w:rsidRPr="00E55E40" w:rsidRDefault="002A1867" w:rsidP="00D607AD">
            <w:pPr>
              <w:jc w:val="both"/>
              <w:rPr>
                <w:color w:val="000000"/>
                <w:sz w:val="18"/>
                <w:szCs w:val="18"/>
              </w:rPr>
            </w:pPr>
            <w:r w:rsidRPr="00E55E40">
              <w:rPr>
                <w:color w:val="000000"/>
                <w:sz w:val="18"/>
                <w:szCs w:val="18"/>
              </w:rPr>
              <w:t>Урюпинский ПНИ</w:t>
            </w:r>
          </w:p>
        </w:tc>
        <w:tc>
          <w:tcPr>
            <w:tcW w:w="1809" w:type="dxa"/>
          </w:tcPr>
          <w:p w14:paraId="7F1633C5"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474,1</w:t>
            </w:r>
          </w:p>
        </w:tc>
        <w:tc>
          <w:tcPr>
            <w:tcW w:w="1737" w:type="dxa"/>
            <w:vAlign w:val="center"/>
          </w:tcPr>
          <w:p w14:paraId="11CD0D4C" w14:textId="77777777" w:rsidR="002A1867" w:rsidRPr="00E55E40" w:rsidRDefault="002A1867" w:rsidP="00D607AD">
            <w:pPr>
              <w:jc w:val="center"/>
              <w:rPr>
                <w:color w:val="000000"/>
                <w:sz w:val="18"/>
                <w:szCs w:val="18"/>
              </w:rPr>
            </w:pPr>
            <w:r w:rsidRPr="00E55E40">
              <w:rPr>
                <w:color w:val="000000"/>
                <w:sz w:val="18"/>
                <w:szCs w:val="18"/>
              </w:rPr>
              <w:t>252,8</w:t>
            </w:r>
          </w:p>
        </w:tc>
        <w:tc>
          <w:tcPr>
            <w:tcW w:w="1132" w:type="dxa"/>
          </w:tcPr>
          <w:p w14:paraId="0283D27D" w14:textId="77777777" w:rsidR="002A1867" w:rsidRPr="00E55E40" w:rsidRDefault="002A1867" w:rsidP="002A1867">
            <w:pPr>
              <w:jc w:val="center"/>
              <w:rPr>
                <w:color w:val="000000"/>
                <w:sz w:val="18"/>
                <w:szCs w:val="18"/>
              </w:rPr>
            </w:pPr>
            <w:r w:rsidRPr="00E55E40">
              <w:rPr>
                <w:color w:val="000000"/>
                <w:sz w:val="18"/>
                <w:szCs w:val="18"/>
              </w:rPr>
              <w:t>53,3</w:t>
            </w:r>
          </w:p>
        </w:tc>
      </w:tr>
      <w:tr w:rsidR="002A1867" w:rsidRPr="00E55E40" w14:paraId="7E4E6D95" w14:textId="77777777" w:rsidTr="00BF18BA">
        <w:trPr>
          <w:jc w:val="center"/>
        </w:trPr>
        <w:tc>
          <w:tcPr>
            <w:tcW w:w="4644" w:type="dxa"/>
          </w:tcPr>
          <w:p w14:paraId="172A68A7" w14:textId="77777777" w:rsidR="002A1867" w:rsidRPr="00E55E40" w:rsidRDefault="002A1867" w:rsidP="00D607AD">
            <w:pPr>
              <w:jc w:val="both"/>
              <w:rPr>
                <w:bCs/>
                <w:i/>
                <w:color w:val="000000"/>
                <w:sz w:val="18"/>
                <w:szCs w:val="18"/>
              </w:rPr>
            </w:pPr>
            <w:r w:rsidRPr="00E55E40">
              <w:rPr>
                <w:bCs/>
                <w:i/>
                <w:color w:val="000000"/>
                <w:sz w:val="18"/>
                <w:szCs w:val="18"/>
              </w:rPr>
              <w:t>средняя стоимость</w:t>
            </w:r>
          </w:p>
        </w:tc>
        <w:tc>
          <w:tcPr>
            <w:tcW w:w="1809" w:type="dxa"/>
          </w:tcPr>
          <w:p w14:paraId="50FD9985" w14:textId="77777777" w:rsidR="002A1867" w:rsidRPr="00E55E40" w:rsidRDefault="00BA399E" w:rsidP="007A6280">
            <w:pPr>
              <w:autoSpaceDE w:val="0"/>
              <w:autoSpaceDN w:val="0"/>
              <w:adjustRightInd w:val="0"/>
              <w:jc w:val="center"/>
              <w:rPr>
                <w:rFonts w:eastAsiaTheme="minorHAnsi"/>
                <w:i/>
                <w:sz w:val="18"/>
                <w:szCs w:val="18"/>
                <w:lang w:eastAsia="en-US"/>
              </w:rPr>
            </w:pPr>
            <w:r w:rsidRPr="00E55E40">
              <w:rPr>
                <w:rFonts w:eastAsiaTheme="minorHAnsi"/>
                <w:i/>
                <w:sz w:val="18"/>
                <w:szCs w:val="18"/>
                <w:lang w:eastAsia="en-US"/>
              </w:rPr>
              <w:t>568,8</w:t>
            </w:r>
          </w:p>
        </w:tc>
        <w:tc>
          <w:tcPr>
            <w:tcW w:w="1737" w:type="dxa"/>
            <w:vAlign w:val="center"/>
          </w:tcPr>
          <w:p w14:paraId="2BF76EC4" w14:textId="77777777" w:rsidR="002A1867" w:rsidRPr="00E55E40" w:rsidRDefault="002A1867" w:rsidP="00BA399E">
            <w:pPr>
              <w:jc w:val="center"/>
              <w:rPr>
                <w:bCs/>
                <w:i/>
                <w:color w:val="000000"/>
                <w:sz w:val="18"/>
                <w:szCs w:val="18"/>
              </w:rPr>
            </w:pPr>
            <w:r w:rsidRPr="00E55E40">
              <w:rPr>
                <w:bCs/>
                <w:i/>
                <w:color w:val="000000"/>
                <w:sz w:val="18"/>
                <w:szCs w:val="18"/>
              </w:rPr>
              <w:t>206,</w:t>
            </w:r>
            <w:r w:rsidR="00BA399E" w:rsidRPr="00E55E40">
              <w:rPr>
                <w:bCs/>
                <w:i/>
                <w:color w:val="000000"/>
                <w:sz w:val="18"/>
                <w:szCs w:val="18"/>
              </w:rPr>
              <w:t>4</w:t>
            </w:r>
          </w:p>
        </w:tc>
        <w:tc>
          <w:tcPr>
            <w:tcW w:w="1132" w:type="dxa"/>
          </w:tcPr>
          <w:p w14:paraId="4E611AD0" w14:textId="77777777" w:rsidR="002A1867" w:rsidRPr="00E55E40" w:rsidRDefault="002A1867" w:rsidP="00BA399E">
            <w:pPr>
              <w:jc w:val="center"/>
              <w:rPr>
                <w:i/>
                <w:color w:val="000000"/>
                <w:sz w:val="18"/>
                <w:szCs w:val="18"/>
              </w:rPr>
            </w:pPr>
            <w:r w:rsidRPr="00E55E40">
              <w:rPr>
                <w:i/>
                <w:color w:val="000000"/>
                <w:sz w:val="18"/>
                <w:szCs w:val="18"/>
              </w:rPr>
              <w:t>3</w:t>
            </w:r>
            <w:r w:rsidR="00BA399E" w:rsidRPr="00E55E40">
              <w:rPr>
                <w:i/>
                <w:color w:val="000000"/>
                <w:sz w:val="18"/>
                <w:szCs w:val="18"/>
              </w:rPr>
              <w:t>6</w:t>
            </w:r>
            <w:r w:rsidRPr="00E55E40">
              <w:rPr>
                <w:i/>
                <w:color w:val="000000"/>
                <w:sz w:val="18"/>
                <w:szCs w:val="18"/>
              </w:rPr>
              <w:t>,</w:t>
            </w:r>
            <w:r w:rsidR="00BA399E" w:rsidRPr="00E55E40">
              <w:rPr>
                <w:i/>
                <w:color w:val="000000"/>
                <w:sz w:val="18"/>
                <w:szCs w:val="18"/>
              </w:rPr>
              <w:t>3</w:t>
            </w:r>
          </w:p>
        </w:tc>
      </w:tr>
      <w:tr w:rsidR="000F530A" w:rsidRPr="00E55E40" w14:paraId="31AA36D2" w14:textId="77777777" w:rsidTr="00BF18BA">
        <w:trPr>
          <w:jc w:val="center"/>
        </w:trPr>
        <w:tc>
          <w:tcPr>
            <w:tcW w:w="4644" w:type="dxa"/>
            <w:vAlign w:val="center"/>
          </w:tcPr>
          <w:p w14:paraId="21CEED09" w14:textId="77777777" w:rsidR="000F530A" w:rsidRPr="00E55E40" w:rsidRDefault="00B97364" w:rsidP="00D607AD">
            <w:pPr>
              <w:jc w:val="center"/>
              <w:rPr>
                <w:color w:val="000000"/>
                <w:sz w:val="18"/>
                <w:szCs w:val="18"/>
              </w:rPr>
            </w:pPr>
            <w:r w:rsidRPr="00E55E40">
              <w:rPr>
                <w:color w:val="000000"/>
                <w:sz w:val="18"/>
                <w:szCs w:val="18"/>
              </w:rPr>
              <w:t>Порядок ДПИ</w:t>
            </w:r>
            <w:r w:rsidR="000F530A" w:rsidRPr="00E55E40">
              <w:rPr>
                <w:color w:val="000000"/>
                <w:sz w:val="18"/>
                <w:szCs w:val="18"/>
              </w:rPr>
              <w:t xml:space="preserve"> (частично)</w:t>
            </w:r>
          </w:p>
        </w:tc>
        <w:tc>
          <w:tcPr>
            <w:tcW w:w="1809" w:type="dxa"/>
          </w:tcPr>
          <w:p w14:paraId="1A682825" w14:textId="77777777" w:rsidR="000F530A" w:rsidRPr="00E55E40" w:rsidRDefault="000F530A" w:rsidP="007A6280">
            <w:pPr>
              <w:autoSpaceDE w:val="0"/>
              <w:autoSpaceDN w:val="0"/>
              <w:adjustRightInd w:val="0"/>
              <w:jc w:val="center"/>
              <w:rPr>
                <w:rFonts w:eastAsiaTheme="minorHAnsi"/>
                <w:sz w:val="18"/>
                <w:szCs w:val="18"/>
                <w:lang w:eastAsia="en-US"/>
              </w:rPr>
            </w:pPr>
          </w:p>
        </w:tc>
        <w:tc>
          <w:tcPr>
            <w:tcW w:w="1737" w:type="dxa"/>
          </w:tcPr>
          <w:p w14:paraId="28D8DDEC" w14:textId="77777777" w:rsidR="000F530A" w:rsidRPr="00E55E40" w:rsidRDefault="000F530A" w:rsidP="00D607AD">
            <w:pPr>
              <w:autoSpaceDE w:val="0"/>
              <w:autoSpaceDN w:val="0"/>
              <w:adjustRightInd w:val="0"/>
              <w:jc w:val="right"/>
              <w:rPr>
                <w:rFonts w:eastAsiaTheme="minorHAnsi"/>
                <w:sz w:val="18"/>
                <w:szCs w:val="18"/>
                <w:lang w:eastAsia="en-US"/>
              </w:rPr>
            </w:pPr>
          </w:p>
        </w:tc>
        <w:tc>
          <w:tcPr>
            <w:tcW w:w="1132" w:type="dxa"/>
          </w:tcPr>
          <w:p w14:paraId="22C66F58" w14:textId="77777777" w:rsidR="000F530A" w:rsidRPr="00E55E40" w:rsidRDefault="000F530A" w:rsidP="002A1867">
            <w:pPr>
              <w:autoSpaceDE w:val="0"/>
              <w:autoSpaceDN w:val="0"/>
              <w:adjustRightInd w:val="0"/>
              <w:jc w:val="center"/>
              <w:rPr>
                <w:rFonts w:eastAsiaTheme="minorHAnsi"/>
                <w:sz w:val="18"/>
                <w:szCs w:val="18"/>
                <w:lang w:eastAsia="en-US"/>
              </w:rPr>
            </w:pPr>
          </w:p>
        </w:tc>
      </w:tr>
      <w:tr w:rsidR="002A1867" w:rsidRPr="00E55E40" w14:paraId="356A42F3" w14:textId="77777777" w:rsidTr="00BF18BA">
        <w:trPr>
          <w:jc w:val="center"/>
        </w:trPr>
        <w:tc>
          <w:tcPr>
            <w:tcW w:w="4644" w:type="dxa"/>
          </w:tcPr>
          <w:p w14:paraId="6A05E470" w14:textId="77777777" w:rsidR="002A1867" w:rsidRPr="00E55E40" w:rsidRDefault="002A1867" w:rsidP="00D607AD">
            <w:pPr>
              <w:jc w:val="both"/>
              <w:rPr>
                <w:color w:val="000000"/>
                <w:sz w:val="18"/>
                <w:szCs w:val="18"/>
              </w:rPr>
            </w:pPr>
            <w:r w:rsidRPr="00E55E40">
              <w:rPr>
                <w:color w:val="000000"/>
                <w:sz w:val="18"/>
                <w:szCs w:val="18"/>
              </w:rPr>
              <w:t>Волгоградский ДПИ</w:t>
            </w:r>
          </w:p>
        </w:tc>
        <w:tc>
          <w:tcPr>
            <w:tcW w:w="1809" w:type="dxa"/>
          </w:tcPr>
          <w:p w14:paraId="7F1987D5"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494,7</w:t>
            </w:r>
          </w:p>
        </w:tc>
        <w:tc>
          <w:tcPr>
            <w:tcW w:w="1737" w:type="dxa"/>
            <w:vAlign w:val="center"/>
          </w:tcPr>
          <w:p w14:paraId="117CECD8" w14:textId="77777777" w:rsidR="002A1867" w:rsidRPr="00E55E40" w:rsidRDefault="002A1867" w:rsidP="00D607AD">
            <w:pPr>
              <w:jc w:val="center"/>
              <w:rPr>
                <w:color w:val="000000"/>
                <w:sz w:val="18"/>
                <w:szCs w:val="18"/>
              </w:rPr>
            </w:pPr>
            <w:r w:rsidRPr="00E55E40">
              <w:rPr>
                <w:color w:val="000000"/>
                <w:sz w:val="18"/>
                <w:szCs w:val="18"/>
              </w:rPr>
              <w:t>209,6</w:t>
            </w:r>
          </w:p>
        </w:tc>
        <w:tc>
          <w:tcPr>
            <w:tcW w:w="1132" w:type="dxa"/>
          </w:tcPr>
          <w:p w14:paraId="0096D4B1" w14:textId="77777777" w:rsidR="002A1867" w:rsidRPr="00E55E40" w:rsidRDefault="002A1867" w:rsidP="002A1867">
            <w:pPr>
              <w:jc w:val="center"/>
              <w:rPr>
                <w:color w:val="000000"/>
                <w:sz w:val="18"/>
                <w:szCs w:val="18"/>
              </w:rPr>
            </w:pPr>
            <w:r w:rsidRPr="00E55E40">
              <w:rPr>
                <w:color w:val="000000"/>
                <w:sz w:val="18"/>
                <w:szCs w:val="18"/>
              </w:rPr>
              <w:t>42,4</w:t>
            </w:r>
          </w:p>
        </w:tc>
      </w:tr>
      <w:tr w:rsidR="002A1867" w:rsidRPr="00E55E40" w14:paraId="568341CD" w14:textId="77777777" w:rsidTr="00BF18BA">
        <w:trPr>
          <w:jc w:val="center"/>
        </w:trPr>
        <w:tc>
          <w:tcPr>
            <w:tcW w:w="4644" w:type="dxa"/>
          </w:tcPr>
          <w:p w14:paraId="4897240B" w14:textId="77777777" w:rsidR="002A1867" w:rsidRPr="00E55E40" w:rsidRDefault="002A1867" w:rsidP="00D607AD">
            <w:pPr>
              <w:jc w:val="both"/>
              <w:rPr>
                <w:color w:val="000000"/>
                <w:sz w:val="18"/>
                <w:szCs w:val="18"/>
              </w:rPr>
            </w:pPr>
            <w:r w:rsidRPr="00E55E40">
              <w:rPr>
                <w:color w:val="000000"/>
                <w:sz w:val="18"/>
                <w:szCs w:val="18"/>
              </w:rPr>
              <w:t>Даниловский ДПИ</w:t>
            </w:r>
          </w:p>
        </w:tc>
        <w:tc>
          <w:tcPr>
            <w:tcW w:w="1809" w:type="dxa"/>
          </w:tcPr>
          <w:p w14:paraId="694E8F0A"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460,6</w:t>
            </w:r>
          </w:p>
        </w:tc>
        <w:tc>
          <w:tcPr>
            <w:tcW w:w="1737" w:type="dxa"/>
            <w:vAlign w:val="center"/>
          </w:tcPr>
          <w:p w14:paraId="05D252B2" w14:textId="77777777" w:rsidR="002A1867" w:rsidRPr="00E55E40" w:rsidRDefault="002A1867" w:rsidP="00D607AD">
            <w:pPr>
              <w:jc w:val="center"/>
              <w:rPr>
                <w:color w:val="000000"/>
                <w:sz w:val="18"/>
                <w:szCs w:val="18"/>
              </w:rPr>
            </w:pPr>
            <w:r w:rsidRPr="00E55E40">
              <w:rPr>
                <w:color w:val="000000"/>
                <w:sz w:val="18"/>
                <w:szCs w:val="18"/>
              </w:rPr>
              <w:t>182,8</w:t>
            </w:r>
          </w:p>
        </w:tc>
        <w:tc>
          <w:tcPr>
            <w:tcW w:w="1132" w:type="dxa"/>
          </w:tcPr>
          <w:p w14:paraId="70BB24E4" w14:textId="77777777" w:rsidR="002A1867" w:rsidRPr="00E55E40" w:rsidRDefault="002A1867" w:rsidP="002A1867">
            <w:pPr>
              <w:jc w:val="center"/>
              <w:rPr>
                <w:color w:val="000000"/>
                <w:sz w:val="18"/>
                <w:szCs w:val="18"/>
              </w:rPr>
            </w:pPr>
            <w:r w:rsidRPr="00E55E40">
              <w:rPr>
                <w:color w:val="000000"/>
                <w:sz w:val="18"/>
                <w:szCs w:val="18"/>
              </w:rPr>
              <w:t>39,7</w:t>
            </w:r>
          </w:p>
        </w:tc>
      </w:tr>
      <w:tr w:rsidR="002A1867" w:rsidRPr="00E55E40" w14:paraId="2D5EDAF3" w14:textId="77777777" w:rsidTr="00BF18BA">
        <w:trPr>
          <w:jc w:val="center"/>
        </w:trPr>
        <w:tc>
          <w:tcPr>
            <w:tcW w:w="4644" w:type="dxa"/>
          </w:tcPr>
          <w:p w14:paraId="048042CC" w14:textId="77777777" w:rsidR="002A1867" w:rsidRPr="00E55E40" w:rsidRDefault="002A1867" w:rsidP="00D607AD">
            <w:pPr>
              <w:jc w:val="both"/>
              <w:rPr>
                <w:bCs/>
                <w:i/>
                <w:color w:val="000000"/>
                <w:sz w:val="18"/>
                <w:szCs w:val="18"/>
              </w:rPr>
            </w:pPr>
            <w:r w:rsidRPr="00E55E40">
              <w:rPr>
                <w:bCs/>
                <w:i/>
                <w:color w:val="000000"/>
                <w:sz w:val="18"/>
                <w:szCs w:val="18"/>
              </w:rPr>
              <w:t>средняя стоимость</w:t>
            </w:r>
          </w:p>
        </w:tc>
        <w:tc>
          <w:tcPr>
            <w:tcW w:w="1809" w:type="dxa"/>
          </w:tcPr>
          <w:p w14:paraId="478F401C" w14:textId="77777777" w:rsidR="002A1867" w:rsidRPr="00E55E40" w:rsidRDefault="00550FE4" w:rsidP="007A6280">
            <w:pPr>
              <w:autoSpaceDE w:val="0"/>
              <w:autoSpaceDN w:val="0"/>
              <w:adjustRightInd w:val="0"/>
              <w:jc w:val="center"/>
              <w:rPr>
                <w:rFonts w:eastAsiaTheme="minorHAnsi"/>
                <w:i/>
                <w:sz w:val="18"/>
                <w:szCs w:val="18"/>
                <w:lang w:eastAsia="en-US"/>
              </w:rPr>
            </w:pPr>
            <w:r w:rsidRPr="00E55E40">
              <w:rPr>
                <w:rFonts w:eastAsiaTheme="minorHAnsi"/>
                <w:i/>
                <w:sz w:val="18"/>
                <w:szCs w:val="18"/>
                <w:lang w:eastAsia="en-US"/>
              </w:rPr>
              <w:t>477,7</w:t>
            </w:r>
          </w:p>
        </w:tc>
        <w:tc>
          <w:tcPr>
            <w:tcW w:w="1737" w:type="dxa"/>
            <w:vAlign w:val="center"/>
          </w:tcPr>
          <w:p w14:paraId="5D9B4E42" w14:textId="77777777" w:rsidR="002A1867" w:rsidRPr="00E55E40" w:rsidRDefault="00550FE4" w:rsidP="00D607AD">
            <w:pPr>
              <w:jc w:val="center"/>
              <w:rPr>
                <w:bCs/>
                <w:i/>
                <w:color w:val="000000"/>
                <w:sz w:val="18"/>
                <w:szCs w:val="18"/>
              </w:rPr>
            </w:pPr>
            <w:r w:rsidRPr="00E55E40">
              <w:rPr>
                <w:bCs/>
                <w:i/>
                <w:color w:val="000000"/>
                <w:sz w:val="18"/>
                <w:szCs w:val="18"/>
              </w:rPr>
              <w:t>196,2</w:t>
            </w:r>
          </w:p>
        </w:tc>
        <w:tc>
          <w:tcPr>
            <w:tcW w:w="1132" w:type="dxa"/>
          </w:tcPr>
          <w:p w14:paraId="2A161CE2" w14:textId="77777777" w:rsidR="002A1867" w:rsidRPr="00E55E40" w:rsidRDefault="002A1867" w:rsidP="002A1867">
            <w:pPr>
              <w:jc w:val="center"/>
              <w:rPr>
                <w:i/>
                <w:color w:val="000000"/>
                <w:sz w:val="18"/>
                <w:szCs w:val="18"/>
              </w:rPr>
            </w:pPr>
            <w:r w:rsidRPr="00E55E40">
              <w:rPr>
                <w:i/>
                <w:color w:val="000000"/>
                <w:sz w:val="18"/>
                <w:szCs w:val="18"/>
              </w:rPr>
              <w:t>41,8</w:t>
            </w:r>
          </w:p>
        </w:tc>
      </w:tr>
      <w:tr w:rsidR="000F530A" w:rsidRPr="00E55E40" w14:paraId="3C789A6C" w14:textId="77777777" w:rsidTr="00BF18BA">
        <w:trPr>
          <w:jc w:val="center"/>
        </w:trPr>
        <w:tc>
          <w:tcPr>
            <w:tcW w:w="4644" w:type="dxa"/>
            <w:vAlign w:val="center"/>
          </w:tcPr>
          <w:p w14:paraId="2B0275BE" w14:textId="77777777" w:rsidR="000F530A" w:rsidRPr="00E55E40" w:rsidRDefault="00B97364" w:rsidP="00D607AD">
            <w:pPr>
              <w:jc w:val="center"/>
              <w:rPr>
                <w:color w:val="000000"/>
                <w:sz w:val="18"/>
                <w:szCs w:val="18"/>
              </w:rPr>
            </w:pPr>
            <w:r w:rsidRPr="00E55E40">
              <w:rPr>
                <w:color w:val="000000"/>
                <w:sz w:val="18"/>
                <w:szCs w:val="18"/>
              </w:rPr>
              <w:t>Порядок ДПИ</w:t>
            </w:r>
            <w:r w:rsidR="000F530A" w:rsidRPr="00E55E40">
              <w:rPr>
                <w:color w:val="000000"/>
                <w:sz w:val="18"/>
                <w:szCs w:val="18"/>
              </w:rPr>
              <w:t xml:space="preserve"> (полностью)</w:t>
            </w:r>
          </w:p>
        </w:tc>
        <w:tc>
          <w:tcPr>
            <w:tcW w:w="1809" w:type="dxa"/>
          </w:tcPr>
          <w:p w14:paraId="186BCF38" w14:textId="77777777" w:rsidR="000F530A" w:rsidRPr="00E55E40" w:rsidRDefault="000F530A" w:rsidP="007A6280">
            <w:pPr>
              <w:autoSpaceDE w:val="0"/>
              <w:autoSpaceDN w:val="0"/>
              <w:adjustRightInd w:val="0"/>
              <w:jc w:val="center"/>
              <w:rPr>
                <w:rFonts w:eastAsiaTheme="minorHAnsi"/>
                <w:sz w:val="18"/>
                <w:szCs w:val="18"/>
                <w:lang w:eastAsia="en-US"/>
              </w:rPr>
            </w:pPr>
          </w:p>
        </w:tc>
        <w:tc>
          <w:tcPr>
            <w:tcW w:w="1737" w:type="dxa"/>
          </w:tcPr>
          <w:p w14:paraId="7AF95EF9" w14:textId="77777777" w:rsidR="000F530A" w:rsidRPr="00E55E40" w:rsidRDefault="000F530A" w:rsidP="00D607AD">
            <w:pPr>
              <w:autoSpaceDE w:val="0"/>
              <w:autoSpaceDN w:val="0"/>
              <w:adjustRightInd w:val="0"/>
              <w:jc w:val="right"/>
              <w:rPr>
                <w:rFonts w:eastAsiaTheme="minorHAnsi"/>
                <w:sz w:val="18"/>
                <w:szCs w:val="18"/>
                <w:lang w:eastAsia="en-US"/>
              </w:rPr>
            </w:pPr>
          </w:p>
        </w:tc>
        <w:tc>
          <w:tcPr>
            <w:tcW w:w="1132" w:type="dxa"/>
          </w:tcPr>
          <w:p w14:paraId="4BBD692C" w14:textId="77777777" w:rsidR="000F530A" w:rsidRPr="00E55E40" w:rsidRDefault="000F530A" w:rsidP="002A1867">
            <w:pPr>
              <w:autoSpaceDE w:val="0"/>
              <w:autoSpaceDN w:val="0"/>
              <w:adjustRightInd w:val="0"/>
              <w:jc w:val="center"/>
              <w:rPr>
                <w:rFonts w:eastAsiaTheme="minorHAnsi"/>
                <w:sz w:val="18"/>
                <w:szCs w:val="18"/>
                <w:lang w:eastAsia="en-US"/>
              </w:rPr>
            </w:pPr>
          </w:p>
        </w:tc>
      </w:tr>
      <w:tr w:rsidR="002A1867" w:rsidRPr="00E55E40" w14:paraId="7F9F7FBE" w14:textId="77777777" w:rsidTr="00BF18BA">
        <w:trPr>
          <w:jc w:val="center"/>
        </w:trPr>
        <w:tc>
          <w:tcPr>
            <w:tcW w:w="4644" w:type="dxa"/>
          </w:tcPr>
          <w:p w14:paraId="79C8E81D" w14:textId="77777777" w:rsidR="002A1867" w:rsidRPr="00E55E40" w:rsidRDefault="002A1867" w:rsidP="00D607AD">
            <w:pPr>
              <w:jc w:val="both"/>
              <w:rPr>
                <w:color w:val="000000"/>
                <w:sz w:val="18"/>
                <w:szCs w:val="18"/>
              </w:rPr>
            </w:pPr>
            <w:r w:rsidRPr="00E55E40">
              <w:rPr>
                <w:color w:val="000000"/>
                <w:sz w:val="18"/>
                <w:szCs w:val="18"/>
              </w:rPr>
              <w:t>Волгоградский ДПИ</w:t>
            </w:r>
          </w:p>
        </w:tc>
        <w:tc>
          <w:tcPr>
            <w:tcW w:w="1809" w:type="dxa"/>
          </w:tcPr>
          <w:p w14:paraId="2B7D9A4C"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467,2</w:t>
            </w:r>
          </w:p>
        </w:tc>
        <w:tc>
          <w:tcPr>
            <w:tcW w:w="1737" w:type="dxa"/>
            <w:vAlign w:val="center"/>
          </w:tcPr>
          <w:p w14:paraId="0C950F88" w14:textId="77777777" w:rsidR="002A1867" w:rsidRPr="00E55E40" w:rsidRDefault="002A1867" w:rsidP="00D607AD">
            <w:pPr>
              <w:jc w:val="center"/>
              <w:rPr>
                <w:color w:val="000000"/>
                <w:sz w:val="18"/>
                <w:szCs w:val="18"/>
              </w:rPr>
            </w:pPr>
            <w:r w:rsidRPr="00E55E40">
              <w:rPr>
                <w:color w:val="000000"/>
                <w:sz w:val="18"/>
                <w:szCs w:val="18"/>
              </w:rPr>
              <w:t>236</w:t>
            </w:r>
          </w:p>
        </w:tc>
        <w:tc>
          <w:tcPr>
            <w:tcW w:w="1132" w:type="dxa"/>
          </w:tcPr>
          <w:p w14:paraId="4D81978B" w14:textId="77777777" w:rsidR="002A1867" w:rsidRPr="00E55E40" w:rsidRDefault="002A1867" w:rsidP="002A1867">
            <w:pPr>
              <w:jc w:val="center"/>
              <w:rPr>
                <w:color w:val="000000"/>
                <w:sz w:val="18"/>
                <w:szCs w:val="18"/>
              </w:rPr>
            </w:pPr>
            <w:r w:rsidRPr="00E55E40">
              <w:rPr>
                <w:color w:val="000000"/>
                <w:sz w:val="18"/>
                <w:szCs w:val="18"/>
              </w:rPr>
              <w:t>50,5</w:t>
            </w:r>
          </w:p>
        </w:tc>
      </w:tr>
      <w:tr w:rsidR="002A1867" w:rsidRPr="00E55E40" w14:paraId="2ED46E01" w14:textId="77777777" w:rsidTr="00BF18BA">
        <w:trPr>
          <w:jc w:val="center"/>
        </w:trPr>
        <w:tc>
          <w:tcPr>
            <w:tcW w:w="4644" w:type="dxa"/>
          </w:tcPr>
          <w:p w14:paraId="24F48A78" w14:textId="77777777" w:rsidR="002A1867" w:rsidRPr="00E55E40" w:rsidRDefault="002A1867" w:rsidP="00D607AD">
            <w:pPr>
              <w:jc w:val="both"/>
              <w:rPr>
                <w:color w:val="000000"/>
                <w:sz w:val="18"/>
                <w:szCs w:val="18"/>
              </w:rPr>
            </w:pPr>
            <w:r w:rsidRPr="00E55E40">
              <w:rPr>
                <w:color w:val="000000"/>
                <w:sz w:val="18"/>
                <w:szCs w:val="18"/>
              </w:rPr>
              <w:t>Даниловский ДПИ</w:t>
            </w:r>
          </w:p>
        </w:tc>
        <w:tc>
          <w:tcPr>
            <w:tcW w:w="1809" w:type="dxa"/>
          </w:tcPr>
          <w:p w14:paraId="5470ED8B" w14:textId="77777777" w:rsidR="002A1867" w:rsidRPr="00E55E40" w:rsidRDefault="002A1867" w:rsidP="007A628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451,7</w:t>
            </w:r>
          </w:p>
        </w:tc>
        <w:tc>
          <w:tcPr>
            <w:tcW w:w="1737" w:type="dxa"/>
            <w:vAlign w:val="center"/>
          </w:tcPr>
          <w:p w14:paraId="0B55C012" w14:textId="77777777" w:rsidR="002A1867" w:rsidRPr="00E55E40" w:rsidRDefault="002A1867" w:rsidP="00D607AD">
            <w:pPr>
              <w:jc w:val="center"/>
              <w:rPr>
                <w:color w:val="000000"/>
                <w:sz w:val="18"/>
                <w:szCs w:val="18"/>
              </w:rPr>
            </w:pPr>
            <w:r w:rsidRPr="00E55E40">
              <w:rPr>
                <w:color w:val="000000"/>
                <w:sz w:val="18"/>
                <w:szCs w:val="18"/>
              </w:rPr>
              <w:t>225,4</w:t>
            </w:r>
          </w:p>
        </w:tc>
        <w:tc>
          <w:tcPr>
            <w:tcW w:w="1132" w:type="dxa"/>
          </w:tcPr>
          <w:p w14:paraId="73B62C75" w14:textId="77777777" w:rsidR="002A1867" w:rsidRPr="00E55E40" w:rsidRDefault="002A1867" w:rsidP="002A1867">
            <w:pPr>
              <w:jc w:val="center"/>
              <w:rPr>
                <w:color w:val="000000"/>
                <w:sz w:val="18"/>
                <w:szCs w:val="18"/>
              </w:rPr>
            </w:pPr>
            <w:r w:rsidRPr="00E55E40">
              <w:rPr>
                <w:color w:val="000000"/>
                <w:sz w:val="18"/>
                <w:szCs w:val="18"/>
              </w:rPr>
              <w:t>49,9</w:t>
            </w:r>
          </w:p>
        </w:tc>
      </w:tr>
      <w:tr w:rsidR="002A1867" w:rsidRPr="00E55E40" w14:paraId="408C8BEB" w14:textId="77777777" w:rsidTr="00BF18BA">
        <w:trPr>
          <w:jc w:val="center"/>
        </w:trPr>
        <w:tc>
          <w:tcPr>
            <w:tcW w:w="4644" w:type="dxa"/>
          </w:tcPr>
          <w:p w14:paraId="268CEC9D" w14:textId="77777777" w:rsidR="002A1867" w:rsidRPr="00E55E40" w:rsidRDefault="002A1867" w:rsidP="00D607AD">
            <w:pPr>
              <w:jc w:val="both"/>
              <w:rPr>
                <w:bCs/>
                <w:i/>
                <w:color w:val="000000"/>
                <w:sz w:val="18"/>
                <w:szCs w:val="18"/>
              </w:rPr>
            </w:pPr>
            <w:r w:rsidRPr="00E55E40">
              <w:rPr>
                <w:bCs/>
                <w:i/>
                <w:color w:val="000000"/>
                <w:sz w:val="18"/>
                <w:szCs w:val="18"/>
              </w:rPr>
              <w:t>средняя стоимость</w:t>
            </w:r>
          </w:p>
        </w:tc>
        <w:tc>
          <w:tcPr>
            <w:tcW w:w="1809" w:type="dxa"/>
          </w:tcPr>
          <w:p w14:paraId="075E0B1F" w14:textId="77777777" w:rsidR="002A1867" w:rsidRPr="00E55E40" w:rsidRDefault="00550FE4" w:rsidP="00BA399E">
            <w:pPr>
              <w:autoSpaceDE w:val="0"/>
              <w:autoSpaceDN w:val="0"/>
              <w:adjustRightInd w:val="0"/>
              <w:jc w:val="center"/>
              <w:rPr>
                <w:rFonts w:eastAsiaTheme="minorHAnsi"/>
                <w:i/>
                <w:sz w:val="18"/>
                <w:szCs w:val="18"/>
                <w:lang w:eastAsia="en-US"/>
              </w:rPr>
            </w:pPr>
            <w:r w:rsidRPr="00E55E40">
              <w:rPr>
                <w:rFonts w:eastAsiaTheme="minorHAnsi"/>
                <w:i/>
                <w:sz w:val="18"/>
                <w:szCs w:val="18"/>
                <w:lang w:eastAsia="en-US"/>
              </w:rPr>
              <w:t>459,5</w:t>
            </w:r>
          </w:p>
        </w:tc>
        <w:tc>
          <w:tcPr>
            <w:tcW w:w="1737" w:type="dxa"/>
            <w:vAlign w:val="center"/>
          </w:tcPr>
          <w:p w14:paraId="3DDD4DB3" w14:textId="77777777" w:rsidR="002A1867" w:rsidRPr="00E55E40" w:rsidRDefault="00550FE4" w:rsidP="00BA399E">
            <w:pPr>
              <w:jc w:val="center"/>
              <w:rPr>
                <w:bCs/>
                <w:i/>
                <w:color w:val="000000"/>
                <w:sz w:val="18"/>
                <w:szCs w:val="18"/>
              </w:rPr>
            </w:pPr>
            <w:r w:rsidRPr="00E55E40">
              <w:rPr>
                <w:bCs/>
                <w:i/>
                <w:color w:val="000000"/>
                <w:sz w:val="18"/>
                <w:szCs w:val="18"/>
              </w:rPr>
              <w:t>230,7</w:t>
            </w:r>
          </w:p>
        </w:tc>
        <w:tc>
          <w:tcPr>
            <w:tcW w:w="1132" w:type="dxa"/>
          </w:tcPr>
          <w:p w14:paraId="6DFA90A9" w14:textId="77777777" w:rsidR="002A1867" w:rsidRPr="00E55E40" w:rsidRDefault="00550FE4" w:rsidP="00BA399E">
            <w:pPr>
              <w:jc w:val="center"/>
              <w:rPr>
                <w:i/>
                <w:color w:val="000000"/>
                <w:sz w:val="18"/>
                <w:szCs w:val="18"/>
              </w:rPr>
            </w:pPr>
            <w:r w:rsidRPr="00E55E40">
              <w:rPr>
                <w:i/>
                <w:color w:val="000000"/>
                <w:sz w:val="18"/>
                <w:szCs w:val="18"/>
              </w:rPr>
              <w:t>50,2</w:t>
            </w:r>
          </w:p>
        </w:tc>
      </w:tr>
      <w:tr w:rsidR="000F530A" w:rsidRPr="00E55E40" w14:paraId="77A4DA5C" w14:textId="77777777" w:rsidTr="00BF18BA">
        <w:trPr>
          <w:jc w:val="center"/>
        </w:trPr>
        <w:tc>
          <w:tcPr>
            <w:tcW w:w="4644" w:type="dxa"/>
            <w:vAlign w:val="center"/>
          </w:tcPr>
          <w:p w14:paraId="6AE09F32" w14:textId="77777777" w:rsidR="000F530A" w:rsidRPr="00E55E40" w:rsidRDefault="00B97364" w:rsidP="00D607AD">
            <w:pPr>
              <w:jc w:val="center"/>
              <w:rPr>
                <w:color w:val="000000"/>
                <w:sz w:val="18"/>
                <w:szCs w:val="18"/>
              </w:rPr>
            </w:pPr>
            <w:r w:rsidRPr="00E55E40">
              <w:rPr>
                <w:color w:val="000000"/>
                <w:sz w:val="18"/>
                <w:szCs w:val="18"/>
              </w:rPr>
              <w:t>Порядок ДИМВ</w:t>
            </w:r>
            <w:r w:rsidR="000F530A" w:rsidRPr="00E55E40">
              <w:rPr>
                <w:color w:val="000000"/>
                <w:sz w:val="18"/>
                <w:szCs w:val="18"/>
              </w:rPr>
              <w:t xml:space="preserve"> (частично)</w:t>
            </w:r>
          </w:p>
        </w:tc>
        <w:tc>
          <w:tcPr>
            <w:tcW w:w="1809" w:type="dxa"/>
          </w:tcPr>
          <w:p w14:paraId="46481F6C" w14:textId="77777777" w:rsidR="000F530A" w:rsidRPr="00E55E40" w:rsidRDefault="000F530A" w:rsidP="007A6280">
            <w:pPr>
              <w:autoSpaceDE w:val="0"/>
              <w:autoSpaceDN w:val="0"/>
              <w:adjustRightInd w:val="0"/>
              <w:jc w:val="center"/>
              <w:rPr>
                <w:rFonts w:eastAsiaTheme="minorHAnsi"/>
                <w:sz w:val="18"/>
                <w:szCs w:val="18"/>
                <w:lang w:eastAsia="en-US"/>
              </w:rPr>
            </w:pPr>
          </w:p>
        </w:tc>
        <w:tc>
          <w:tcPr>
            <w:tcW w:w="1737" w:type="dxa"/>
          </w:tcPr>
          <w:p w14:paraId="57EA5F8E" w14:textId="77777777" w:rsidR="000F530A" w:rsidRPr="00E55E40" w:rsidRDefault="000F530A" w:rsidP="00D607AD">
            <w:pPr>
              <w:autoSpaceDE w:val="0"/>
              <w:autoSpaceDN w:val="0"/>
              <w:adjustRightInd w:val="0"/>
              <w:jc w:val="right"/>
              <w:rPr>
                <w:rFonts w:eastAsiaTheme="minorHAnsi"/>
                <w:sz w:val="18"/>
                <w:szCs w:val="18"/>
                <w:lang w:eastAsia="en-US"/>
              </w:rPr>
            </w:pPr>
          </w:p>
        </w:tc>
        <w:tc>
          <w:tcPr>
            <w:tcW w:w="1132" w:type="dxa"/>
          </w:tcPr>
          <w:p w14:paraId="5560A4F3" w14:textId="77777777" w:rsidR="000F530A" w:rsidRPr="00E55E40" w:rsidRDefault="000F530A" w:rsidP="002A1867">
            <w:pPr>
              <w:autoSpaceDE w:val="0"/>
              <w:autoSpaceDN w:val="0"/>
              <w:adjustRightInd w:val="0"/>
              <w:jc w:val="center"/>
              <w:rPr>
                <w:rFonts w:eastAsiaTheme="minorHAnsi"/>
                <w:sz w:val="18"/>
                <w:szCs w:val="18"/>
                <w:lang w:eastAsia="en-US"/>
              </w:rPr>
            </w:pPr>
          </w:p>
        </w:tc>
      </w:tr>
      <w:tr w:rsidR="002A1867" w:rsidRPr="00E55E40" w14:paraId="2E0DE7F9" w14:textId="77777777" w:rsidTr="00863EFD">
        <w:trPr>
          <w:jc w:val="center"/>
        </w:trPr>
        <w:tc>
          <w:tcPr>
            <w:tcW w:w="4644" w:type="dxa"/>
            <w:vAlign w:val="center"/>
          </w:tcPr>
          <w:p w14:paraId="0A5A04B2" w14:textId="77777777" w:rsidR="002A1867" w:rsidRPr="00E55E40" w:rsidRDefault="002A1867" w:rsidP="00D607AD">
            <w:pPr>
              <w:rPr>
                <w:color w:val="000000"/>
                <w:sz w:val="18"/>
                <w:szCs w:val="18"/>
              </w:rPr>
            </w:pPr>
            <w:r w:rsidRPr="00E55E40">
              <w:rPr>
                <w:color w:val="000000"/>
                <w:sz w:val="18"/>
                <w:szCs w:val="18"/>
              </w:rPr>
              <w:t xml:space="preserve">Калачевский ПНИ </w:t>
            </w:r>
            <w:r w:rsidRPr="00E55E40">
              <w:rPr>
                <w:i/>
                <w:iCs/>
                <w:color w:val="000000"/>
                <w:sz w:val="18"/>
                <w:szCs w:val="18"/>
              </w:rPr>
              <w:t>(Зимняцкий ДИМВ и Серафимовический ДИМВ)</w:t>
            </w:r>
          </w:p>
        </w:tc>
        <w:tc>
          <w:tcPr>
            <w:tcW w:w="1809" w:type="dxa"/>
            <w:vAlign w:val="center"/>
          </w:tcPr>
          <w:p w14:paraId="3A72CB26" w14:textId="77777777" w:rsidR="002A1867" w:rsidRPr="00E55E40" w:rsidRDefault="002A1867" w:rsidP="00863EFD">
            <w:pPr>
              <w:autoSpaceDE w:val="0"/>
              <w:autoSpaceDN w:val="0"/>
              <w:adjustRightInd w:val="0"/>
              <w:jc w:val="center"/>
              <w:rPr>
                <w:rFonts w:eastAsiaTheme="minorHAnsi"/>
                <w:i/>
                <w:sz w:val="18"/>
                <w:szCs w:val="18"/>
                <w:lang w:eastAsia="en-US"/>
              </w:rPr>
            </w:pPr>
            <w:r w:rsidRPr="00E55E40">
              <w:rPr>
                <w:rFonts w:eastAsiaTheme="minorHAnsi"/>
                <w:i/>
                <w:sz w:val="18"/>
                <w:szCs w:val="18"/>
                <w:lang w:eastAsia="en-US"/>
              </w:rPr>
              <w:t>376,1</w:t>
            </w:r>
          </w:p>
        </w:tc>
        <w:tc>
          <w:tcPr>
            <w:tcW w:w="1737" w:type="dxa"/>
            <w:vAlign w:val="center"/>
          </w:tcPr>
          <w:p w14:paraId="60E84A44" w14:textId="77777777" w:rsidR="002A1867" w:rsidRPr="00E55E40" w:rsidRDefault="002A1867" w:rsidP="00863EFD">
            <w:pPr>
              <w:autoSpaceDE w:val="0"/>
              <w:autoSpaceDN w:val="0"/>
              <w:adjustRightInd w:val="0"/>
              <w:jc w:val="center"/>
              <w:rPr>
                <w:rFonts w:eastAsiaTheme="minorHAnsi"/>
                <w:i/>
                <w:sz w:val="18"/>
                <w:szCs w:val="18"/>
                <w:lang w:eastAsia="en-US"/>
              </w:rPr>
            </w:pPr>
            <w:r w:rsidRPr="00E55E40">
              <w:rPr>
                <w:i/>
                <w:color w:val="000000"/>
                <w:sz w:val="18"/>
                <w:szCs w:val="18"/>
              </w:rPr>
              <w:t>214,2</w:t>
            </w:r>
          </w:p>
        </w:tc>
        <w:tc>
          <w:tcPr>
            <w:tcW w:w="1132" w:type="dxa"/>
            <w:vAlign w:val="center"/>
          </w:tcPr>
          <w:p w14:paraId="4A760E42" w14:textId="77777777" w:rsidR="002A1867" w:rsidRPr="00E55E40" w:rsidRDefault="002A1867" w:rsidP="00863EFD">
            <w:pPr>
              <w:jc w:val="center"/>
              <w:rPr>
                <w:i/>
                <w:color w:val="000000"/>
                <w:sz w:val="18"/>
                <w:szCs w:val="18"/>
              </w:rPr>
            </w:pPr>
            <w:r w:rsidRPr="00E55E40">
              <w:rPr>
                <w:i/>
                <w:color w:val="000000"/>
                <w:sz w:val="18"/>
                <w:szCs w:val="18"/>
              </w:rPr>
              <w:t>57,0</w:t>
            </w:r>
          </w:p>
        </w:tc>
      </w:tr>
    </w:tbl>
    <w:p w14:paraId="668907CF" w14:textId="77777777" w:rsidR="00CC0E92" w:rsidRPr="00E55E40" w:rsidRDefault="00CC0E92" w:rsidP="00186E0E">
      <w:pPr>
        <w:autoSpaceDE w:val="0"/>
        <w:autoSpaceDN w:val="0"/>
        <w:adjustRightInd w:val="0"/>
        <w:ind w:firstLine="709"/>
        <w:jc w:val="both"/>
        <w:rPr>
          <w:rFonts w:eastAsiaTheme="minorHAnsi"/>
          <w:lang w:eastAsia="en-US"/>
        </w:rPr>
      </w:pPr>
    </w:p>
    <w:p w14:paraId="31FD6D90" w14:textId="77777777" w:rsidR="00D607AD" w:rsidRPr="00E55E40" w:rsidRDefault="00D607AD" w:rsidP="00186E0E">
      <w:pPr>
        <w:autoSpaceDE w:val="0"/>
        <w:autoSpaceDN w:val="0"/>
        <w:adjustRightInd w:val="0"/>
        <w:ind w:firstLine="709"/>
        <w:jc w:val="both"/>
        <w:rPr>
          <w:rFonts w:eastAsiaTheme="minorHAnsi"/>
          <w:lang w:eastAsia="en-US"/>
        </w:rPr>
      </w:pPr>
      <w:r w:rsidRPr="00E55E40">
        <w:rPr>
          <w:rFonts w:eastAsiaTheme="minorHAnsi"/>
          <w:lang w:eastAsia="en-US"/>
        </w:rPr>
        <w:t>Как видно из таблицы</w:t>
      </w:r>
      <w:r w:rsidR="00576DCF" w:rsidRPr="00E55E40">
        <w:rPr>
          <w:rFonts w:eastAsiaTheme="minorHAnsi"/>
          <w:lang w:eastAsia="en-US"/>
        </w:rPr>
        <w:t xml:space="preserve"> № </w:t>
      </w:r>
      <w:r w:rsidR="00290C93" w:rsidRPr="00E55E40">
        <w:rPr>
          <w:rFonts w:eastAsiaTheme="minorHAnsi"/>
          <w:lang w:eastAsia="en-US"/>
        </w:rPr>
        <w:t>4</w:t>
      </w:r>
      <w:r w:rsidR="00142155" w:rsidRPr="00E55E40">
        <w:rPr>
          <w:rFonts w:eastAsiaTheme="minorHAnsi"/>
          <w:lang w:eastAsia="en-US"/>
        </w:rPr>
        <w:t>,</w:t>
      </w:r>
      <w:r w:rsidR="004F7E60" w:rsidRPr="00E55E40">
        <w:rPr>
          <w:rFonts w:eastAsiaTheme="minorHAnsi"/>
          <w:lang w:eastAsia="en-US"/>
        </w:rPr>
        <w:t xml:space="preserve"> </w:t>
      </w:r>
      <w:r w:rsidR="007A6280" w:rsidRPr="00E55E40">
        <w:rPr>
          <w:rFonts w:eastAsiaTheme="minorHAnsi"/>
          <w:lang w:eastAsia="en-US"/>
        </w:rPr>
        <w:t xml:space="preserve">стоимость </w:t>
      </w:r>
      <w:r w:rsidR="001A70B4" w:rsidRPr="00E55E40">
        <w:rPr>
          <w:rFonts w:eastAsiaTheme="minorHAnsi"/>
          <w:lang w:eastAsia="en-US"/>
        </w:rPr>
        <w:t xml:space="preserve">фактически предоставленных </w:t>
      </w:r>
      <w:r w:rsidR="007A6280" w:rsidRPr="00E55E40">
        <w:rPr>
          <w:rFonts w:eastAsiaTheme="minorHAnsi"/>
          <w:lang w:eastAsia="en-US"/>
        </w:rPr>
        <w:t>социальн</w:t>
      </w:r>
      <w:r w:rsidR="001A70B4" w:rsidRPr="00E55E40">
        <w:rPr>
          <w:rFonts w:eastAsiaTheme="minorHAnsi"/>
          <w:lang w:eastAsia="en-US"/>
        </w:rPr>
        <w:t>ых услуг</w:t>
      </w:r>
      <w:r w:rsidR="007A6280" w:rsidRPr="00E55E40">
        <w:rPr>
          <w:rFonts w:eastAsiaTheme="minorHAnsi"/>
          <w:lang w:eastAsia="en-US"/>
        </w:rPr>
        <w:t xml:space="preserve"> ниже </w:t>
      </w:r>
      <w:r w:rsidR="00CC0E92" w:rsidRPr="00E55E40">
        <w:rPr>
          <w:rFonts w:eastAsiaTheme="minorHAnsi"/>
          <w:lang w:eastAsia="en-US"/>
        </w:rPr>
        <w:t xml:space="preserve">расчетной </w:t>
      </w:r>
      <w:r w:rsidR="004F7E60" w:rsidRPr="00E55E40">
        <w:rPr>
          <w:rFonts w:eastAsiaTheme="minorHAnsi"/>
          <w:lang w:eastAsia="en-US"/>
        </w:rPr>
        <w:t xml:space="preserve">по всем порядкам </w:t>
      </w:r>
      <w:r w:rsidR="00290C93" w:rsidRPr="00E55E40">
        <w:rPr>
          <w:rFonts w:eastAsiaTheme="minorHAnsi"/>
          <w:lang w:eastAsia="en-US"/>
        </w:rPr>
        <w:t>предоставления</w:t>
      </w:r>
      <w:r w:rsidR="004F7E60" w:rsidRPr="00E55E40">
        <w:rPr>
          <w:rFonts w:eastAsiaTheme="minorHAnsi"/>
          <w:lang w:eastAsia="en-US"/>
        </w:rPr>
        <w:t>.</w:t>
      </w:r>
    </w:p>
    <w:p w14:paraId="6260ED39" w14:textId="77777777" w:rsidR="008C515E" w:rsidRPr="00E55E40" w:rsidRDefault="008C515E" w:rsidP="008C515E">
      <w:pPr>
        <w:autoSpaceDE w:val="0"/>
        <w:autoSpaceDN w:val="0"/>
        <w:adjustRightInd w:val="0"/>
        <w:ind w:firstLine="709"/>
        <w:jc w:val="both"/>
        <w:rPr>
          <w:rFonts w:eastAsiaTheme="minorHAnsi"/>
          <w:lang w:eastAsia="en-US"/>
        </w:rPr>
      </w:pPr>
      <w:r w:rsidRPr="00E55E40">
        <w:rPr>
          <w:rFonts w:eastAsiaTheme="minorHAnsi"/>
          <w:lang w:eastAsia="en-US"/>
        </w:rPr>
        <w:t xml:space="preserve">Согласно ст.16 </w:t>
      </w:r>
      <w:r w:rsidRPr="00E55E40">
        <w:t xml:space="preserve">Федерального закона от 28.12.2013 № 442-ФЗ «Об основах социального обслуживания граждан в РФ» (далее Закон № 442-ФЗ) </w:t>
      </w:r>
      <w:r w:rsidRPr="00E55E40">
        <w:rPr>
          <w:rFonts w:eastAsiaTheme="minorHAnsi"/>
          <w:lang w:eastAsia="en-US"/>
        </w:rPr>
        <w:t>ИППСУ составляется исходя из потребности гражданина в социальных услугах.</w:t>
      </w:r>
    </w:p>
    <w:p w14:paraId="3B79A196" w14:textId="77777777" w:rsidR="008C515E" w:rsidRPr="00E55E40" w:rsidRDefault="00A57C70" w:rsidP="008C515E">
      <w:pPr>
        <w:autoSpaceDE w:val="0"/>
        <w:autoSpaceDN w:val="0"/>
        <w:adjustRightInd w:val="0"/>
        <w:ind w:firstLine="709"/>
        <w:jc w:val="both"/>
        <w:rPr>
          <w:rFonts w:eastAsiaTheme="minorHAnsi"/>
          <w:lang w:eastAsia="en-US"/>
        </w:rPr>
      </w:pPr>
      <w:r w:rsidRPr="00E55E40">
        <w:rPr>
          <w:rFonts w:eastAsiaTheme="minorHAnsi"/>
          <w:lang w:eastAsia="en-US"/>
        </w:rPr>
        <w:t>В связи с этим</w:t>
      </w:r>
      <w:r w:rsidR="008C515E" w:rsidRPr="00E55E40">
        <w:rPr>
          <w:rFonts w:eastAsiaTheme="minorHAnsi"/>
          <w:lang w:eastAsia="en-US"/>
        </w:rPr>
        <w:t xml:space="preserve"> </w:t>
      </w:r>
      <w:r w:rsidR="00B97364" w:rsidRPr="00E55E40">
        <w:rPr>
          <w:rFonts w:eastAsiaTheme="minorHAnsi"/>
          <w:lang w:eastAsia="en-US"/>
        </w:rPr>
        <w:t xml:space="preserve">факт </w:t>
      </w:r>
      <w:r w:rsidR="008C515E" w:rsidRPr="00E55E40">
        <w:rPr>
          <w:rFonts w:eastAsiaTheme="minorHAnsi"/>
          <w:lang w:eastAsia="en-US"/>
        </w:rPr>
        <w:t>достижени</w:t>
      </w:r>
      <w:r w:rsidR="00B97364" w:rsidRPr="00E55E40">
        <w:rPr>
          <w:rFonts w:eastAsiaTheme="minorHAnsi"/>
          <w:lang w:eastAsia="en-US"/>
        </w:rPr>
        <w:t>я</w:t>
      </w:r>
      <w:r w:rsidR="008C515E" w:rsidRPr="00E55E40">
        <w:rPr>
          <w:rFonts w:eastAsiaTheme="minorHAnsi"/>
          <w:lang w:eastAsia="en-US"/>
        </w:rPr>
        <w:t xml:space="preserve"> запланированного государственным заданием уровня удовлетворенности получателей социальных услуг в оказанных социальных услугах свидетельствует об отсутствии у получателей потребности в социальных услугах в объёмах, установленных ИППСУ, </w:t>
      </w:r>
      <w:r w:rsidR="009814EA" w:rsidRPr="00E55E40">
        <w:rPr>
          <w:rFonts w:eastAsiaTheme="minorHAnsi"/>
          <w:lang w:eastAsia="en-US"/>
        </w:rPr>
        <w:t>а,</w:t>
      </w:r>
      <w:r w:rsidR="00677823" w:rsidRPr="00E55E40">
        <w:rPr>
          <w:rFonts w:eastAsiaTheme="minorHAnsi"/>
          <w:lang w:eastAsia="en-US"/>
        </w:rPr>
        <w:t xml:space="preserve"> с</w:t>
      </w:r>
      <w:r w:rsidR="009814EA" w:rsidRPr="00E55E40">
        <w:rPr>
          <w:rFonts w:eastAsiaTheme="minorHAnsi"/>
          <w:lang w:eastAsia="en-US"/>
        </w:rPr>
        <w:t>ледовательно,</w:t>
      </w:r>
      <w:r w:rsidR="00677823" w:rsidRPr="00E55E40">
        <w:rPr>
          <w:rFonts w:eastAsiaTheme="minorHAnsi"/>
          <w:lang w:eastAsia="en-US"/>
        </w:rPr>
        <w:t xml:space="preserve"> о формальном подходе к формированию</w:t>
      </w:r>
      <w:r w:rsidR="009814EA" w:rsidRPr="00E55E40">
        <w:rPr>
          <w:rFonts w:eastAsiaTheme="minorHAnsi"/>
          <w:lang w:eastAsia="en-US"/>
        </w:rPr>
        <w:t xml:space="preserve"> ИППСУ</w:t>
      </w:r>
      <w:r w:rsidR="00677823" w:rsidRPr="00E55E40">
        <w:rPr>
          <w:rFonts w:eastAsiaTheme="minorHAnsi"/>
          <w:lang w:eastAsia="en-US"/>
        </w:rPr>
        <w:t xml:space="preserve">. </w:t>
      </w:r>
      <w:r w:rsidR="008C515E" w:rsidRPr="00E55E40">
        <w:rPr>
          <w:rFonts w:eastAsiaTheme="minorHAnsi"/>
          <w:lang w:eastAsia="en-US"/>
        </w:rPr>
        <w:t xml:space="preserve"> </w:t>
      </w:r>
    </w:p>
    <w:p w14:paraId="4438D753" w14:textId="77777777" w:rsidR="00A31A3D" w:rsidRPr="00E55E40" w:rsidRDefault="00944653" w:rsidP="001B0A73">
      <w:pPr>
        <w:autoSpaceDE w:val="0"/>
        <w:autoSpaceDN w:val="0"/>
        <w:adjustRightInd w:val="0"/>
        <w:ind w:firstLine="709"/>
        <w:jc w:val="both"/>
      </w:pPr>
      <w:r w:rsidRPr="00E55E40">
        <w:rPr>
          <w:rFonts w:eastAsiaTheme="minorHAnsi"/>
          <w:lang w:eastAsia="en-US"/>
        </w:rPr>
        <w:t xml:space="preserve">Следует отметить, что </w:t>
      </w:r>
      <w:r w:rsidR="002E2656" w:rsidRPr="00E55E40">
        <w:rPr>
          <w:rFonts w:eastAsiaTheme="minorHAnsi"/>
          <w:lang w:eastAsia="en-US"/>
        </w:rPr>
        <w:t>согласно</w:t>
      </w:r>
      <w:r w:rsidR="004650B0" w:rsidRPr="00E55E40">
        <w:rPr>
          <w:rFonts w:eastAsiaTheme="minorHAnsi"/>
          <w:lang w:eastAsia="en-US"/>
        </w:rPr>
        <w:t xml:space="preserve"> Порядк</w:t>
      </w:r>
      <w:r w:rsidR="002E2656" w:rsidRPr="00E55E40">
        <w:rPr>
          <w:rFonts w:eastAsiaTheme="minorHAnsi"/>
          <w:lang w:eastAsia="en-US"/>
        </w:rPr>
        <w:t>у</w:t>
      </w:r>
      <w:r w:rsidR="004650B0" w:rsidRPr="00E55E40">
        <w:rPr>
          <w:rFonts w:eastAsiaTheme="minorHAnsi"/>
          <w:lang w:eastAsia="en-US"/>
        </w:rPr>
        <w:t xml:space="preserve"> </w:t>
      </w:r>
      <w:r w:rsidR="004650B0" w:rsidRPr="00E55E40">
        <w:t>утверждения тарифов на социальные услуги на основании подушевых нормативов финансирования социальных услуг, утверждённ</w:t>
      </w:r>
      <w:r w:rsidR="002E2656" w:rsidRPr="00E55E40">
        <w:t>о</w:t>
      </w:r>
      <w:r w:rsidR="004650B0" w:rsidRPr="00E55E40">
        <w:t>м</w:t>
      </w:r>
      <w:r w:rsidR="002E2656" w:rsidRPr="00E55E40">
        <w:t>у</w:t>
      </w:r>
      <w:r w:rsidR="004650B0" w:rsidRPr="00E55E40">
        <w:t xml:space="preserve"> постановлением Администрации Волгоградской области от 24.02.2015 № 82-п</w:t>
      </w:r>
      <w:r w:rsidR="00A57C70" w:rsidRPr="00E55E40">
        <w:t xml:space="preserve"> (далее </w:t>
      </w:r>
      <w:r w:rsidR="00A57C70" w:rsidRPr="00E55E40">
        <w:lastRenderedPageBreak/>
        <w:t>порядок № 82-п)</w:t>
      </w:r>
      <w:r w:rsidR="004650B0" w:rsidRPr="00E55E40">
        <w:t xml:space="preserve">, расчёт тарифов </w:t>
      </w:r>
      <w:r w:rsidR="00B97364" w:rsidRPr="00E55E40">
        <w:t xml:space="preserve">Комитетом </w:t>
      </w:r>
      <w:r w:rsidR="004650B0" w:rsidRPr="00E55E40">
        <w:t>осуществляется на основании подушевых нормативов финансирования социальных услуг, утверждаемых Комитетом.</w:t>
      </w:r>
    </w:p>
    <w:p w14:paraId="53A97134" w14:textId="77777777" w:rsidR="002E2656" w:rsidRPr="00E55E40" w:rsidRDefault="00A31A3D" w:rsidP="001B0A73">
      <w:pPr>
        <w:autoSpaceDE w:val="0"/>
        <w:autoSpaceDN w:val="0"/>
        <w:adjustRightInd w:val="0"/>
        <w:ind w:firstLine="709"/>
        <w:jc w:val="both"/>
      </w:pPr>
      <w:r w:rsidRPr="00E55E40">
        <w:t xml:space="preserve">В соответствии с методическими рекомендациями по расчёту подушевых нормативов финансирования социальных услуг, утверждёнными </w:t>
      </w:r>
      <w:hyperlink r:id="rId13" w:tooltip="Постановление Правительства РФ от 01.12.2014 N 1285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КонсультантПлюс}" w:history="1">
        <w:r w:rsidRPr="00E55E40">
          <w:t>постановлением</w:t>
        </w:r>
      </w:hyperlink>
      <w:r w:rsidRPr="00E55E40">
        <w:t xml:space="preserve"> Правительства РФ от 01.12.2014 № 1285</w:t>
      </w:r>
      <w:r w:rsidR="00D26642" w:rsidRPr="00E55E40">
        <w:t xml:space="preserve"> (далее Методические рекомендации № 1285)</w:t>
      </w:r>
      <w:r w:rsidRPr="00E55E40">
        <w:t xml:space="preserve">, подушевые нормативы социальных услуг устанавливаются в расчёте на 1 получателя социальных услуг </w:t>
      </w:r>
      <w:r w:rsidRPr="00E55E40">
        <w:rPr>
          <w:rFonts w:eastAsiaTheme="minorHAnsi"/>
          <w:lang w:eastAsia="en-US"/>
        </w:rPr>
        <w:t>исходя из прямых и косвенных расходов на предоставление социальных услуг за период (не менее одного года), предшествующий расчетному, с применением индекса роста цен (тарифов) на соответствующие товары и услуги.</w:t>
      </w:r>
    </w:p>
    <w:p w14:paraId="2668C0DE" w14:textId="77777777" w:rsidR="002E2656" w:rsidRPr="00E55E40" w:rsidRDefault="00A57C70" w:rsidP="001B0A73">
      <w:pPr>
        <w:autoSpaceDE w:val="0"/>
        <w:autoSpaceDN w:val="0"/>
        <w:adjustRightInd w:val="0"/>
        <w:ind w:firstLine="709"/>
        <w:jc w:val="both"/>
        <w:rPr>
          <w:rFonts w:eastAsiaTheme="minorHAnsi"/>
          <w:lang w:eastAsia="en-US"/>
        </w:rPr>
      </w:pPr>
      <w:r w:rsidRPr="00E55E40">
        <w:t>Согласно Порядку № 82-п н</w:t>
      </w:r>
      <w:r w:rsidR="004650B0" w:rsidRPr="00E55E40">
        <w:t>есоответстви</w:t>
      </w:r>
      <w:r w:rsidR="002E2656" w:rsidRPr="00E55E40">
        <w:t xml:space="preserve">е </w:t>
      </w:r>
      <w:r w:rsidR="004650B0" w:rsidRPr="00E55E40">
        <w:t>расчётов тарифов подушевым нормативам</w:t>
      </w:r>
      <w:r w:rsidR="002E2656" w:rsidRPr="00E55E40">
        <w:t xml:space="preserve"> финансирования социальных услуг является основанием для отказа в утверждении тарифов. В связи с </w:t>
      </w:r>
      <w:r w:rsidR="00B97364" w:rsidRPr="00E55E40">
        <w:t>вышеизложенны</w:t>
      </w:r>
      <w:r w:rsidR="002E2656" w:rsidRPr="00E55E40">
        <w:t xml:space="preserve">м </w:t>
      </w:r>
      <w:r w:rsidR="00A31A3D" w:rsidRPr="00E55E40">
        <w:t xml:space="preserve">утверждение </w:t>
      </w:r>
      <w:r w:rsidR="002E2656" w:rsidRPr="00E55E40">
        <w:t>тариф</w:t>
      </w:r>
      <w:r w:rsidR="00A31A3D" w:rsidRPr="00E55E40">
        <w:t>ов</w:t>
      </w:r>
      <w:r w:rsidR="004650B0" w:rsidRPr="00E55E40">
        <w:t xml:space="preserve"> </w:t>
      </w:r>
      <w:r w:rsidR="002E2656" w:rsidRPr="00E55E40">
        <w:rPr>
          <w:rFonts w:eastAsiaTheme="minorHAnsi"/>
          <w:lang w:eastAsia="en-US"/>
        </w:rPr>
        <w:t>на социальные услуги</w:t>
      </w:r>
      <w:r w:rsidR="00A31A3D" w:rsidRPr="00E55E40">
        <w:rPr>
          <w:rFonts w:eastAsiaTheme="minorHAnsi"/>
          <w:lang w:eastAsia="en-US"/>
        </w:rPr>
        <w:t xml:space="preserve"> </w:t>
      </w:r>
      <w:r w:rsidR="008C2FA1" w:rsidRPr="00E55E40">
        <w:rPr>
          <w:rFonts w:eastAsiaTheme="minorHAnsi"/>
          <w:lang w:eastAsia="en-US"/>
        </w:rPr>
        <w:t>к</w:t>
      </w:r>
      <w:r w:rsidR="002E2656" w:rsidRPr="00E55E40">
        <w:rPr>
          <w:rFonts w:eastAsiaTheme="minorHAnsi"/>
          <w:lang w:eastAsia="en-US"/>
        </w:rPr>
        <w:t>омитет</w:t>
      </w:r>
      <w:r w:rsidR="00A31A3D" w:rsidRPr="00E55E40">
        <w:rPr>
          <w:rFonts w:eastAsiaTheme="minorHAnsi"/>
          <w:lang w:eastAsia="en-US"/>
        </w:rPr>
        <w:t>ом</w:t>
      </w:r>
      <w:r w:rsidR="002E2656" w:rsidRPr="00E55E40">
        <w:rPr>
          <w:rFonts w:eastAsiaTheme="minorHAnsi"/>
          <w:lang w:eastAsia="en-US"/>
        </w:rPr>
        <w:t xml:space="preserve"> тарифного регулирования Волгоградской области от 25.06.2015 № 23/8</w:t>
      </w:r>
      <w:r w:rsidR="00A31A3D" w:rsidRPr="00E55E40">
        <w:rPr>
          <w:rFonts w:eastAsiaTheme="minorHAnsi"/>
          <w:lang w:eastAsia="en-US"/>
        </w:rPr>
        <w:t xml:space="preserve"> свидетельствует об их соответствии подушевым нормативам финансирования социальных услуг, </w:t>
      </w:r>
      <w:r w:rsidR="002E2656" w:rsidRPr="00E55E40">
        <w:rPr>
          <w:rFonts w:eastAsiaTheme="minorHAnsi"/>
          <w:lang w:eastAsia="en-US"/>
        </w:rPr>
        <w:t>утверждённым Комитетом.</w:t>
      </w:r>
    </w:p>
    <w:p w14:paraId="1BBBCA7C" w14:textId="77777777" w:rsidR="002E2656" w:rsidRPr="00E55E40" w:rsidRDefault="002E2656" w:rsidP="001B0A73">
      <w:pPr>
        <w:autoSpaceDE w:val="0"/>
        <w:autoSpaceDN w:val="0"/>
        <w:adjustRightInd w:val="0"/>
        <w:ind w:firstLine="709"/>
        <w:jc w:val="both"/>
        <w:rPr>
          <w:rFonts w:eastAsiaTheme="minorHAnsi"/>
          <w:lang w:eastAsia="en-US"/>
        </w:rPr>
      </w:pPr>
      <w:r w:rsidRPr="00E55E40">
        <w:rPr>
          <w:rFonts w:eastAsiaTheme="minorHAnsi"/>
          <w:lang w:eastAsia="en-US"/>
        </w:rPr>
        <w:t xml:space="preserve">Вместе с тем стоимость фактически предоставленных социальных услуг в расчете на 1 получателя, </w:t>
      </w:r>
      <w:r w:rsidR="00336293" w:rsidRPr="00E55E40">
        <w:rPr>
          <w:rFonts w:eastAsiaTheme="minorHAnsi"/>
          <w:lang w:eastAsia="en-US"/>
        </w:rPr>
        <w:t xml:space="preserve">приведенная в таблице № 4, </w:t>
      </w:r>
      <w:r w:rsidRPr="00E55E40">
        <w:rPr>
          <w:rFonts w:eastAsiaTheme="minorHAnsi"/>
          <w:lang w:eastAsia="en-US"/>
        </w:rPr>
        <w:t>рассчитанная исходя из тарифов на социальные услуги, не соответствует подушевым нормативам финансирования социальных услуг.</w:t>
      </w:r>
    </w:p>
    <w:p w14:paraId="0E53B59E" w14:textId="77777777" w:rsidR="002E2656" w:rsidRPr="00E55E40" w:rsidRDefault="002E2656" w:rsidP="001B0A73">
      <w:pPr>
        <w:autoSpaceDE w:val="0"/>
        <w:autoSpaceDN w:val="0"/>
        <w:adjustRightInd w:val="0"/>
        <w:ind w:firstLine="709"/>
        <w:jc w:val="both"/>
        <w:rPr>
          <w:rFonts w:eastAsiaTheme="minorHAnsi"/>
          <w:lang w:eastAsia="en-US"/>
        </w:rPr>
      </w:pPr>
      <w:r w:rsidRPr="00E55E40">
        <w:rPr>
          <w:rFonts w:eastAsiaTheme="minorHAnsi"/>
          <w:lang w:eastAsia="en-US"/>
        </w:rPr>
        <w:t xml:space="preserve">Сравнение </w:t>
      </w:r>
      <w:r w:rsidR="00F076EB" w:rsidRPr="00E55E40">
        <w:rPr>
          <w:rFonts w:eastAsiaTheme="minorHAnsi"/>
          <w:lang w:eastAsia="en-US"/>
        </w:rPr>
        <w:t xml:space="preserve">средней </w:t>
      </w:r>
      <w:r w:rsidRPr="00E55E40">
        <w:rPr>
          <w:rFonts w:eastAsiaTheme="minorHAnsi"/>
          <w:lang w:eastAsia="en-US"/>
        </w:rPr>
        <w:t xml:space="preserve">стоимости фактически предоставленных социальных услуг </w:t>
      </w:r>
      <w:r w:rsidR="00F076EB" w:rsidRPr="00E55E40">
        <w:rPr>
          <w:rFonts w:eastAsiaTheme="minorHAnsi"/>
          <w:lang w:eastAsia="en-US"/>
        </w:rPr>
        <w:t>на 1 получателя на 2018 год и</w:t>
      </w:r>
      <w:r w:rsidRPr="00E55E40">
        <w:rPr>
          <w:rFonts w:eastAsiaTheme="minorHAnsi"/>
          <w:lang w:eastAsia="en-US"/>
        </w:rPr>
        <w:t xml:space="preserve"> утверждённых Комитетом размеров подушевых нормативов социальных услуг представлена в таблице № 5.</w:t>
      </w:r>
    </w:p>
    <w:p w14:paraId="3C6B1536" w14:textId="77777777" w:rsidR="004E287E" w:rsidRPr="00E55E40" w:rsidRDefault="004E287E" w:rsidP="001B0A73">
      <w:pPr>
        <w:autoSpaceDE w:val="0"/>
        <w:autoSpaceDN w:val="0"/>
        <w:adjustRightInd w:val="0"/>
        <w:ind w:firstLine="709"/>
        <w:jc w:val="both"/>
        <w:rPr>
          <w:rFonts w:eastAsiaTheme="minorHAnsi"/>
          <w:lang w:eastAsia="en-US"/>
        </w:rPr>
      </w:pPr>
    </w:p>
    <w:p w14:paraId="731995E6" w14:textId="77777777" w:rsidR="00F076EB" w:rsidRPr="00E55E40" w:rsidRDefault="00F076EB" w:rsidP="00F076EB">
      <w:pPr>
        <w:autoSpaceDE w:val="0"/>
        <w:autoSpaceDN w:val="0"/>
        <w:adjustRightInd w:val="0"/>
        <w:ind w:firstLine="709"/>
        <w:jc w:val="right"/>
        <w:rPr>
          <w:rFonts w:eastAsiaTheme="minorHAnsi"/>
          <w:lang w:eastAsia="en-US"/>
        </w:rPr>
      </w:pPr>
      <w:r w:rsidRPr="00E55E40">
        <w:rPr>
          <w:rFonts w:eastAsiaTheme="minorHAnsi"/>
          <w:lang w:eastAsia="en-US"/>
        </w:rPr>
        <w:t>Таблица № 5</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1134"/>
        <w:gridCol w:w="1027"/>
        <w:gridCol w:w="3226"/>
        <w:gridCol w:w="2126"/>
      </w:tblGrid>
      <w:tr w:rsidR="00F076EB" w:rsidRPr="00E55E40" w14:paraId="76823CC1" w14:textId="77777777" w:rsidTr="00F076EB">
        <w:trPr>
          <w:trHeight w:val="854"/>
        </w:trPr>
        <w:tc>
          <w:tcPr>
            <w:tcW w:w="2277" w:type="dxa"/>
            <w:vMerge w:val="restart"/>
            <w:shd w:val="clear" w:color="auto" w:fill="auto"/>
            <w:vAlign w:val="center"/>
            <w:hideMark/>
          </w:tcPr>
          <w:p w14:paraId="37989E3A" w14:textId="77777777" w:rsidR="00F076EB" w:rsidRPr="00E55E40" w:rsidRDefault="00F076EB" w:rsidP="00D26642">
            <w:pPr>
              <w:jc w:val="center"/>
              <w:rPr>
                <w:bCs/>
                <w:sz w:val="18"/>
                <w:szCs w:val="18"/>
              </w:rPr>
            </w:pPr>
            <w:r w:rsidRPr="00E55E40">
              <w:rPr>
                <w:bCs/>
                <w:sz w:val="18"/>
                <w:szCs w:val="18"/>
              </w:rPr>
              <w:t>Порядок предоставления социальных услуг, категория получателя (частично/полностью утративший способности к самообслуживанию)</w:t>
            </w:r>
          </w:p>
        </w:tc>
        <w:tc>
          <w:tcPr>
            <w:tcW w:w="1134" w:type="dxa"/>
            <w:vMerge w:val="restart"/>
            <w:shd w:val="clear" w:color="auto" w:fill="auto"/>
            <w:vAlign w:val="center"/>
            <w:hideMark/>
          </w:tcPr>
          <w:p w14:paraId="74FAF2B4" w14:textId="77777777" w:rsidR="00F076EB" w:rsidRPr="00E55E40" w:rsidRDefault="00F076EB" w:rsidP="00D26642">
            <w:pPr>
              <w:jc w:val="center"/>
              <w:rPr>
                <w:bCs/>
                <w:sz w:val="18"/>
                <w:szCs w:val="18"/>
              </w:rPr>
            </w:pPr>
            <w:r w:rsidRPr="00E55E40">
              <w:rPr>
                <w:bCs/>
                <w:sz w:val="18"/>
                <w:szCs w:val="18"/>
              </w:rPr>
              <w:t>Подушевой норматив затрат, тыс. руб.</w:t>
            </w:r>
          </w:p>
        </w:tc>
        <w:tc>
          <w:tcPr>
            <w:tcW w:w="4253" w:type="dxa"/>
            <w:gridSpan w:val="2"/>
            <w:shd w:val="clear" w:color="auto" w:fill="auto"/>
            <w:vAlign w:val="center"/>
            <w:hideMark/>
          </w:tcPr>
          <w:p w14:paraId="5A3DE936" w14:textId="77777777" w:rsidR="00F076EB" w:rsidRPr="00E55E40" w:rsidRDefault="00F076EB" w:rsidP="00F076EB">
            <w:pPr>
              <w:jc w:val="center"/>
              <w:rPr>
                <w:bCs/>
                <w:sz w:val="18"/>
                <w:szCs w:val="18"/>
              </w:rPr>
            </w:pPr>
            <w:r w:rsidRPr="00E55E40">
              <w:rPr>
                <w:bCs/>
                <w:sz w:val="18"/>
                <w:szCs w:val="18"/>
              </w:rPr>
              <w:t>Средняя стоимость фактически предоставленных социальных услуг на 1 получателя</w:t>
            </w:r>
          </w:p>
        </w:tc>
        <w:tc>
          <w:tcPr>
            <w:tcW w:w="2126" w:type="dxa"/>
            <w:vMerge w:val="restart"/>
            <w:shd w:val="clear" w:color="auto" w:fill="auto"/>
            <w:vAlign w:val="center"/>
            <w:hideMark/>
          </w:tcPr>
          <w:p w14:paraId="1428A658" w14:textId="77777777" w:rsidR="00F076EB" w:rsidRPr="00E55E40" w:rsidRDefault="00F076EB" w:rsidP="00F076EB">
            <w:pPr>
              <w:jc w:val="center"/>
              <w:rPr>
                <w:bCs/>
                <w:sz w:val="18"/>
                <w:szCs w:val="18"/>
              </w:rPr>
            </w:pPr>
            <w:r w:rsidRPr="00E55E40">
              <w:rPr>
                <w:bCs/>
                <w:sz w:val="18"/>
                <w:szCs w:val="18"/>
              </w:rPr>
              <w:t>Отклонение стоимости социального обслуживания от подушевого норматива, %</w:t>
            </w:r>
          </w:p>
        </w:tc>
      </w:tr>
      <w:tr w:rsidR="00F076EB" w:rsidRPr="00E55E40" w14:paraId="321AFB46" w14:textId="77777777" w:rsidTr="00F076EB">
        <w:trPr>
          <w:trHeight w:val="300"/>
        </w:trPr>
        <w:tc>
          <w:tcPr>
            <w:tcW w:w="2277" w:type="dxa"/>
            <w:vMerge/>
            <w:vAlign w:val="center"/>
            <w:hideMark/>
          </w:tcPr>
          <w:p w14:paraId="7D61C08E" w14:textId="77777777" w:rsidR="00F076EB" w:rsidRPr="00E55E40" w:rsidRDefault="00F076EB" w:rsidP="00D26642">
            <w:pPr>
              <w:jc w:val="center"/>
              <w:rPr>
                <w:bCs/>
                <w:sz w:val="18"/>
                <w:szCs w:val="18"/>
              </w:rPr>
            </w:pPr>
          </w:p>
        </w:tc>
        <w:tc>
          <w:tcPr>
            <w:tcW w:w="1134" w:type="dxa"/>
            <w:vMerge/>
            <w:shd w:val="clear" w:color="auto" w:fill="auto"/>
            <w:vAlign w:val="center"/>
            <w:hideMark/>
          </w:tcPr>
          <w:p w14:paraId="2A24FEF3" w14:textId="77777777" w:rsidR="00F076EB" w:rsidRPr="00E55E40" w:rsidRDefault="00F076EB" w:rsidP="00D26642">
            <w:pPr>
              <w:jc w:val="center"/>
              <w:rPr>
                <w:bCs/>
                <w:sz w:val="18"/>
                <w:szCs w:val="18"/>
              </w:rPr>
            </w:pPr>
          </w:p>
        </w:tc>
        <w:tc>
          <w:tcPr>
            <w:tcW w:w="1027" w:type="dxa"/>
            <w:shd w:val="clear" w:color="auto" w:fill="auto"/>
            <w:vAlign w:val="center"/>
            <w:hideMark/>
          </w:tcPr>
          <w:p w14:paraId="68557163" w14:textId="77777777" w:rsidR="00F076EB" w:rsidRPr="00E55E40" w:rsidRDefault="00F076EB" w:rsidP="00D26642">
            <w:pPr>
              <w:jc w:val="center"/>
              <w:rPr>
                <w:bCs/>
                <w:sz w:val="18"/>
                <w:szCs w:val="18"/>
              </w:rPr>
            </w:pPr>
            <w:r w:rsidRPr="00E55E40">
              <w:rPr>
                <w:bCs/>
                <w:sz w:val="18"/>
                <w:szCs w:val="18"/>
              </w:rPr>
              <w:t>тыс. руб.</w:t>
            </w:r>
          </w:p>
        </w:tc>
        <w:tc>
          <w:tcPr>
            <w:tcW w:w="3226" w:type="dxa"/>
            <w:shd w:val="clear" w:color="auto" w:fill="auto"/>
            <w:vAlign w:val="center"/>
            <w:hideMark/>
          </w:tcPr>
          <w:p w14:paraId="30EBDD40" w14:textId="77777777" w:rsidR="00F076EB" w:rsidRPr="00E55E40" w:rsidRDefault="00F076EB" w:rsidP="00D26642">
            <w:pPr>
              <w:jc w:val="center"/>
              <w:rPr>
                <w:bCs/>
                <w:sz w:val="18"/>
                <w:szCs w:val="18"/>
              </w:rPr>
            </w:pPr>
            <w:r w:rsidRPr="00E55E40">
              <w:rPr>
                <w:bCs/>
                <w:sz w:val="18"/>
                <w:szCs w:val="18"/>
              </w:rPr>
              <w:t>учреждение</w:t>
            </w:r>
          </w:p>
        </w:tc>
        <w:tc>
          <w:tcPr>
            <w:tcW w:w="2126" w:type="dxa"/>
            <w:vMerge/>
            <w:shd w:val="clear" w:color="auto" w:fill="auto"/>
            <w:hideMark/>
          </w:tcPr>
          <w:p w14:paraId="6393A482" w14:textId="77777777" w:rsidR="00F076EB" w:rsidRPr="00E55E40" w:rsidRDefault="00F076EB" w:rsidP="00D26642">
            <w:pPr>
              <w:jc w:val="center"/>
              <w:rPr>
                <w:bCs/>
                <w:sz w:val="18"/>
                <w:szCs w:val="18"/>
              </w:rPr>
            </w:pPr>
          </w:p>
        </w:tc>
      </w:tr>
      <w:tr w:rsidR="00336293" w:rsidRPr="00E55E40" w14:paraId="529F6A54" w14:textId="77777777" w:rsidTr="00CA372F">
        <w:trPr>
          <w:trHeight w:val="145"/>
        </w:trPr>
        <w:tc>
          <w:tcPr>
            <w:tcW w:w="2277" w:type="dxa"/>
            <w:vMerge w:val="restart"/>
            <w:shd w:val="clear" w:color="auto" w:fill="auto"/>
            <w:vAlign w:val="center"/>
            <w:hideMark/>
          </w:tcPr>
          <w:p w14:paraId="5026836C" w14:textId="77777777" w:rsidR="00336293" w:rsidRPr="00E55E40" w:rsidRDefault="004F4DA6" w:rsidP="00D26642">
            <w:pPr>
              <w:jc w:val="center"/>
              <w:rPr>
                <w:sz w:val="18"/>
                <w:szCs w:val="18"/>
              </w:rPr>
            </w:pPr>
            <w:r w:rsidRPr="00E55E40">
              <w:rPr>
                <w:sz w:val="18"/>
                <w:szCs w:val="18"/>
              </w:rPr>
              <w:t>Порядок ПНИ</w:t>
            </w:r>
            <w:r w:rsidR="00336293" w:rsidRPr="00E55E40">
              <w:rPr>
                <w:sz w:val="18"/>
                <w:szCs w:val="18"/>
              </w:rPr>
              <w:t xml:space="preserve"> (частично)</w:t>
            </w:r>
          </w:p>
        </w:tc>
        <w:tc>
          <w:tcPr>
            <w:tcW w:w="1134" w:type="dxa"/>
            <w:vMerge w:val="restart"/>
            <w:shd w:val="clear" w:color="auto" w:fill="auto"/>
            <w:vAlign w:val="center"/>
            <w:hideMark/>
          </w:tcPr>
          <w:p w14:paraId="708C9BA6" w14:textId="77777777" w:rsidR="00336293" w:rsidRPr="00E55E40" w:rsidRDefault="00336293" w:rsidP="00D26642">
            <w:pPr>
              <w:jc w:val="center"/>
              <w:rPr>
                <w:sz w:val="18"/>
                <w:szCs w:val="18"/>
              </w:rPr>
            </w:pPr>
            <w:r w:rsidRPr="00E55E40">
              <w:rPr>
                <w:sz w:val="18"/>
                <w:szCs w:val="18"/>
              </w:rPr>
              <w:t>321,7</w:t>
            </w:r>
          </w:p>
        </w:tc>
        <w:tc>
          <w:tcPr>
            <w:tcW w:w="1027" w:type="dxa"/>
            <w:shd w:val="clear" w:color="auto" w:fill="auto"/>
            <w:vAlign w:val="center"/>
            <w:hideMark/>
          </w:tcPr>
          <w:p w14:paraId="5D3C3234" w14:textId="77777777" w:rsidR="00336293" w:rsidRPr="00E55E40" w:rsidRDefault="00336293" w:rsidP="00CA372F">
            <w:pPr>
              <w:jc w:val="center"/>
              <w:rPr>
                <w:color w:val="000000"/>
                <w:sz w:val="18"/>
                <w:szCs w:val="18"/>
              </w:rPr>
            </w:pPr>
            <w:r w:rsidRPr="00E55E40">
              <w:rPr>
                <w:color w:val="000000"/>
                <w:sz w:val="18"/>
                <w:szCs w:val="18"/>
              </w:rPr>
              <w:t>226,9</w:t>
            </w:r>
          </w:p>
        </w:tc>
        <w:tc>
          <w:tcPr>
            <w:tcW w:w="3226" w:type="dxa"/>
            <w:shd w:val="clear" w:color="auto" w:fill="auto"/>
            <w:hideMark/>
          </w:tcPr>
          <w:p w14:paraId="695EDB51" w14:textId="77777777" w:rsidR="00336293" w:rsidRPr="00E55E40" w:rsidRDefault="00336293" w:rsidP="00D26642">
            <w:pPr>
              <w:jc w:val="both"/>
              <w:rPr>
                <w:sz w:val="18"/>
                <w:szCs w:val="18"/>
              </w:rPr>
            </w:pPr>
            <w:r w:rsidRPr="00E55E40">
              <w:rPr>
                <w:sz w:val="18"/>
                <w:szCs w:val="18"/>
              </w:rPr>
              <w:t>Волгоградский ДПИ</w:t>
            </w:r>
          </w:p>
        </w:tc>
        <w:tc>
          <w:tcPr>
            <w:tcW w:w="2126" w:type="dxa"/>
            <w:shd w:val="clear" w:color="auto" w:fill="auto"/>
            <w:vAlign w:val="bottom"/>
            <w:hideMark/>
          </w:tcPr>
          <w:p w14:paraId="771097E0" w14:textId="77777777" w:rsidR="00336293" w:rsidRPr="00E55E40" w:rsidRDefault="00336293" w:rsidP="00336293">
            <w:pPr>
              <w:jc w:val="center"/>
              <w:rPr>
                <w:color w:val="000000"/>
                <w:sz w:val="18"/>
                <w:szCs w:val="18"/>
              </w:rPr>
            </w:pPr>
            <w:r w:rsidRPr="00E55E40">
              <w:rPr>
                <w:color w:val="000000"/>
                <w:sz w:val="18"/>
                <w:szCs w:val="18"/>
              </w:rPr>
              <w:t>-29,5</w:t>
            </w:r>
          </w:p>
        </w:tc>
      </w:tr>
      <w:tr w:rsidR="00336293" w:rsidRPr="00E55E40" w14:paraId="7A7E60B6" w14:textId="77777777" w:rsidTr="00CA372F">
        <w:trPr>
          <w:trHeight w:val="78"/>
        </w:trPr>
        <w:tc>
          <w:tcPr>
            <w:tcW w:w="2277" w:type="dxa"/>
            <w:vMerge/>
            <w:vAlign w:val="center"/>
            <w:hideMark/>
          </w:tcPr>
          <w:p w14:paraId="48BEFF64" w14:textId="77777777" w:rsidR="00336293" w:rsidRPr="00E55E40" w:rsidRDefault="00336293" w:rsidP="00D26642">
            <w:pPr>
              <w:rPr>
                <w:sz w:val="18"/>
                <w:szCs w:val="18"/>
              </w:rPr>
            </w:pPr>
          </w:p>
        </w:tc>
        <w:tc>
          <w:tcPr>
            <w:tcW w:w="1134" w:type="dxa"/>
            <w:vMerge/>
            <w:vAlign w:val="center"/>
            <w:hideMark/>
          </w:tcPr>
          <w:p w14:paraId="6258883A" w14:textId="77777777" w:rsidR="00336293" w:rsidRPr="00E55E40" w:rsidRDefault="00336293" w:rsidP="00D26642">
            <w:pPr>
              <w:rPr>
                <w:sz w:val="18"/>
                <w:szCs w:val="18"/>
              </w:rPr>
            </w:pPr>
          </w:p>
        </w:tc>
        <w:tc>
          <w:tcPr>
            <w:tcW w:w="1027" w:type="dxa"/>
            <w:shd w:val="clear" w:color="auto" w:fill="auto"/>
            <w:vAlign w:val="center"/>
            <w:hideMark/>
          </w:tcPr>
          <w:p w14:paraId="796EFE4C" w14:textId="77777777" w:rsidR="00336293" w:rsidRPr="00E55E40" w:rsidRDefault="00336293" w:rsidP="00CA372F">
            <w:pPr>
              <w:jc w:val="center"/>
              <w:rPr>
                <w:color w:val="000000"/>
                <w:sz w:val="18"/>
                <w:szCs w:val="18"/>
              </w:rPr>
            </w:pPr>
            <w:r w:rsidRPr="00E55E40">
              <w:rPr>
                <w:color w:val="000000"/>
                <w:sz w:val="18"/>
                <w:szCs w:val="18"/>
              </w:rPr>
              <w:t>257,5</w:t>
            </w:r>
          </w:p>
        </w:tc>
        <w:tc>
          <w:tcPr>
            <w:tcW w:w="3226" w:type="dxa"/>
            <w:shd w:val="clear" w:color="auto" w:fill="auto"/>
            <w:hideMark/>
          </w:tcPr>
          <w:p w14:paraId="321E92A9" w14:textId="77777777" w:rsidR="00336293" w:rsidRPr="00E55E40" w:rsidRDefault="00336293" w:rsidP="00D26642">
            <w:pPr>
              <w:jc w:val="both"/>
              <w:rPr>
                <w:sz w:val="18"/>
                <w:szCs w:val="18"/>
              </w:rPr>
            </w:pPr>
            <w:r w:rsidRPr="00E55E40">
              <w:rPr>
                <w:sz w:val="18"/>
                <w:szCs w:val="18"/>
              </w:rPr>
              <w:t>Калачевский ПНИ</w:t>
            </w:r>
          </w:p>
        </w:tc>
        <w:tc>
          <w:tcPr>
            <w:tcW w:w="2126" w:type="dxa"/>
            <w:shd w:val="clear" w:color="auto" w:fill="auto"/>
            <w:vAlign w:val="bottom"/>
            <w:hideMark/>
          </w:tcPr>
          <w:p w14:paraId="59ED2A58" w14:textId="77777777" w:rsidR="00336293" w:rsidRPr="00E55E40" w:rsidRDefault="00336293" w:rsidP="00336293">
            <w:pPr>
              <w:jc w:val="center"/>
              <w:rPr>
                <w:color w:val="000000"/>
                <w:sz w:val="18"/>
                <w:szCs w:val="18"/>
              </w:rPr>
            </w:pPr>
            <w:r w:rsidRPr="00E55E40">
              <w:rPr>
                <w:color w:val="000000"/>
                <w:sz w:val="18"/>
                <w:szCs w:val="18"/>
              </w:rPr>
              <w:t>-20</w:t>
            </w:r>
          </w:p>
        </w:tc>
      </w:tr>
      <w:tr w:rsidR="00336293" w:rsidRPr="00E55E40" w14:paraId="4089E1EC" w14:textId="77777777" w:rsidTr="00CA372F">
        <w:trPr>
          <w:trHeight w:val="138"/>
        </w:trPr>
        <w:tc>
          <w:tcPr>
            <w:tcW w:w="2277" w:type="dxa"/>
            <w:vMerge/>
            <w:vAlign w:val="center"/>
            <w:hideMark/>
          </w:tcPr>
          <w:p w14:paraId="5D5111CA" w14:textId="77777777" w:rsidR="00336293" w:rsidRPr="00E55E40" w:rsidRDefault="00336293" w:rsidP="00D26642">
            <w:pPr>
              <w:rPr>
                <w:sz w:val="18"/>
                <w:szCs w:val="18"/>
              </w:rPr>
            </w:pPr>
          </w:p>
        </w:tc>
        <w:tc>
          <w:tcPr>
            <w:tcW w:w="1134" w:type="dxa"/>
            <w:vMerge/>
            <w:vAlign w:val="center"/>
            <w:hideMark/>
          </w:tcPr>
          <w:p w14:paraId="0A244CFA" w14:textId="77777777" w:rsidR="00336293" w:rsidRPr="00E55E40" w:rsidRDefault="00336293" w:rsidP="00D26642">
            <w:pPr>
              <w:rPr>
                <w:sz w:val="18"/>
                <w:szCs w:val="18"/>
              </w:rPr>
            </w:pPr>
          </w:p>
        </w:tc>
        <w:tc>
          <w:tcPr>
            <w:tcW w:w="1027" w:type="dxa"/>
            <w:shd w:val="clear" w:color="auto" w:fill="auto"/>
            <w:vAlign w:val="center"/>
            <w:hideMark/>
          </w:tcPr>
          <w:p w14:paraId="2DA9B716" w14:textId="77777777" w:rsidR="00336293" w:rsidRPr="00E55E40" w:rsidRDefault="00336293" w:rsidP="00CA372F">
            <w:pPr>
              <w:jc w:val="center"/>
              <w:rPr>
                <w:color w:val="000000"/>
                <w:sz w:val="18"/>
                <w:szCs w:val="18"/>
              </w:rPr>
            </w:pPr>
            <w:r w:rsidRPr="00E55E40">
              <w:rPr>
                <w:color w:val="000000"/>
                <w:sz w:val="18"/>
                <w:szCs w:val="18"/>
              </w:rPr>
              <w:t>209,1</w:t>
            </w:r>
          </w:p>
        </w:tc>
        <w:tc>
          <w:tcPr>
            <w:tcW w:w="3226" w:type="dxa"/>
            <w:shd w:val="clear" w:color="auto" w:fill="auto"/>
            <w:hideMark/>
          </w:tcPr>
          <w:p w14:paraId="62E19D88" w14:textId="77777777" w:rsidR="00336293" w:rsidRPr="00E55E40" w:rsidRDefault="00336293" w:rsidP="00D26642">
            <w:pPr>
              <w:jc w:val="both"/>
              <w:rPr>
                <w:sz w:val="18"/>
                <w:szCs w:val="18"/>
              </w:rPr>
            </w:pPr>
            <w:r w:rsidRPr="00E55E40">
              <w:rPr>
                <w:sz w:val="18"/>
                <w:szCs w:val="18"/>
              </w:rPr>
              <w:t>Заплавинский ПНИ</w:t>
            </w:r>
          </w:p>
        </w:tc>
        <w:tc>
          <w:tcPr>
            <w:tcW w:w="2126" w:type="dxa"/>
            <w:shd w:val="clear" w:color="auto" w:fill="auto"/>
            <w:vAlign w:val="bottom"/>
            <w:hideMark/>
          </w:tcPr>
          <w:p w14:paraId="046562BF" w14:textId="77777777" w:rsidR="00336293" w:rsidRPr="00E55E40" w:rsidRDefault="00336293" w:rsidP="00336293">
            <w:pPr>
              <w:jc w:val="center"/>
              <w:rPr>
                <w:color w:val="000000"/>
                <w:sz w:val="18"/>
                <w:szCs w:val="18"/>
              </w:rPr>
            </w:pPr>
            <w:r w:rsidRPr="00E55E40">
              <w:rPr>
                <w:color w:val="000000"/>
                <w:sz w:val="18"/>
                <w:szCs w:val="18"/>
              </w:rPr>
              <w:t>-35</w:t>
            </w:r>
          </w:p>
        </w:tc>
      </w:tr>
      <w:tr w:rsidR="00336293" w:rsidRPr="00E55E40" w14:paraId="5F46F70E" w14:textId="77777777" w:rsidTr="00CA372F">
        <w:trPr>
          <w:trHeight w:val="211"/>
        </w:trPr>
        <w:tc>
          <w:tcPr>
            <w:tcW w:w="2277" w:type="dxa"/>
            <w:vMerge/>
            <w:vAlign w:val="center"/>
            <w:hideMark/>
          </w:tcPr>
          <w:p w14:paraId="04ACFED8" w14:textId="77777777" w:rsidR="00336293" w:rsidRPr="00E55E40" w:rsidRDefault="00336293" w:rsidP="00D26642">
            <w:pPr>
              <w:rPr>
                <w:sz w:val="18"/>
                <w:szCs w:val="18"/>
              </w:rPr>
            </w:pPr>
          </w:p>
        </w:tc>
        <w:tc>
          <w:tcPr>
            <w:tcW w:w="1134" w:type="dxa"/>
            <w:vMerge/>
            <w:vAlign w:val="center"/>
            <w:hideMark/>
          </w:tcPr>
          <w:p w14:paraId="7BB94B5A" w14:textId="77777777" w:rsidR="00336293" w:rsidRPr="00E55E40" w:rsidRDefault="00336293" w:rsidP="00D26642">
            <w:pPr>
              <w:rPr>
                <w:sz w:val="18"/>
                <w:szCs w:val="18"/>
              </w:rPr>
            </w:pPr>
          </w:p>
        </w:tc>
        <w:tc>
          <w:tcPr>
            <w:tcW w:w="1027" w:type="dxa"/>
            <w:shd w:val="clear" w:color="auto" w:fill="auto"/>
            <w:vAlign w:val="center"/>
            <w:hideMark/>
          </w:tcPr>
          <w:p w14:paraId="0E8CC651" w14:textId="77777777" w:rsidR="00336293" w:rsidRPr="00E55E40" w:rsidRDefault="00336293" w:rsidP="00CA372F">
            <w:pPr>
              <w:jc w:val="center"/>
              <w:rPr>
                <w:color w:val="000000"/>
                <w:sz w:val="18"/>
                <w:szCs w:val="18"/>
              </w:rPr>
            </w:pPr>
            <w:r w:rsidRPr="00E55E40">
              <w:rPr>
                <w:color w:val="000000"/>
                <w:sz w:val="18"/>
                <w:szCs w:val="18"/>
              </w:rPr>
              <w:t>199,3</w:t>
            </w:r>
          </w:p>
        </w:tc>
        <w:tc>
          <w:tcPr>
            <w:tcW w:w="3226" w:type="dxa"/>
            <w:shd w:val="clear" w:color="auto" w:fill="auto"/>
            <w:hideMark/>
          </w:tcPr>
          <w:p w14:paraId="49A0C666" w14:textId="77777777" w:rsidR="00336293" w:rsidRPr="00E55E40" w:rsidRDefault="00336293" w:rsidP="00D26642">
            <w:pPr>
              <w:jc w:val="both"/>
              <w:rPr>
                <w:sz w:val="18"/>
                <w:szCs w:val="18"/>
              </w:rPr>
            </w:pPr>
            <w:r w:rsidRPr="00E55E40">
              <w:rPr>
                <w:sz w:val="18"/>
                <w:szCs w:val="18"/>
              </w:rPr>
              <w:t>Царевский ПНИ</w:t>
            </w:r>
          </w:p>
        </w:tc>
        <w:tc>
          <w:tcPr>
            <w:tcW w:w="2126" w:type="dxa"/>
            <w:shd w:val="clear" w:color="auto" w:fill="auto"/>
            <w:vAlign w:val="bottom"/>
            <w:hideMark/>
          </w:tcPr>
          <w:p w14:paraId="37E82101" w14:textId="77777777" w:rsidR="00336293" w:rsidRPr="00E55E40" w:rsidRDefault="00336293" w:rsidP="00336293">
            <w:pPr>
              <w:jc w:val="center"/>
              <w:rPr>
                <w:color w:val="000000"/>
                <w:sz w:val="18"/>
                <w:szCs w:val="18"/>
              </w:rPr>
            </w:pPr>
            <w:r w:rsidRPr="00E55E40">
              <w:rPr>
                <w:color w:val="000000"/>
                <w:sz w:val="18"/>
                <w:szCs w:val="18"/>
              </w:rPr>
              <w:t>-38</w:t>
            </w:r>
          </w:p>
        </w:tc>
      </w:tr>
      <w:tr w:rsidR="00336293" w:rsidRPr="00E55E40" w14:paraId="36DA75A9" w14:textId="77777777" w:rsidTr="00CA372F">
        <w:trPr>
          <w:trHeight w:val="130"/>
        </w:trPr>
        <w:tc>
          <w:tcPr>
            <w:tcW w:w="2277" w:type="dxa"/>
            <w:vMerge/>
            <w:vAlign w:val="center"/>
            <w:hideMark/>
          </w:tcPr>
          <w:p w14:paraId="4080D02B" w14:textId="77777777" w:rsidR="00336293" w:rsidRPr="00E55E40" w:rsidRDefault="00336293" w:rsidP="00D26642">
            <w:pPr>
              <w:rPr>
                <w:sz w:val="18"/>
                <w:szCs w:val="18"/>
              </w:rPr>
            </w:pPr>
          </w:p>
        </w:tc>
        <w:tc>
          <w:tcPr>
            <w:tcW w:w="1134" w:type="dxa"/>
            <w:vMerge/>
            <w:vAlign w:val="center"/>
            <w:hideMark/>
          </w:tcPr>
          <w:p w14:paraId="28BED3AB" w14:textId="77777777" w:rsidR="00336293" w:rsidRPr="00E55E40" w:rsidRDefault="00336293" w:rsidP="00D26642">
            <w:pPr>
              <w:rPr>
                <w:sz w:val="18"/>
                <w:szCs w:val="18"/>
              </w:rPr>
            </w:pPr>
          </w:p>
        </w:tc>
        <w:tc>
          <w:tcPr>
            <w:tcW w:w="1027" w:type="dxa"/>
            <w:shd w:val="clear" w:color="auto" w:fill="auto"/>
            <w:vAlign w:val="center"/>
            <w:hideMark/>
          </w:tcPr>
          <w:p w14:paraId="3BCB1CFD" w14:textId="77777777" w:rsidR="00336293" w:rsidRPr="00E55E40" w:rsidRDefault="00336293" w:rsidP="00CA372F">
            <w:pPr>
              <w:jc w:val="center"/>
              <w:rPr>
                <w:color w:val="000000"/>
                <w:sz w:val="18"/>
                <w:szCs w:val="18"/>
              </w:rPr>
            </w:pPr>
            <w:r w:rsidRPr="00E55E40">
              <w:rPr>
                <w:color w:val="000000"/>
                <w:sz w:val="18"/>
                <w:szCs w:val="18"/>
              </w:rPr>
              <w:t>186,8</w:t>
            </w:r>
          </w:p>
        </w:tc>
        <w:tc>
          <w:tcPr>
            <w:tcW w:w="3226" w:type="dxa"/>
            <w:shd w:val="clear" w:color="auto" w:fill="auto"/>
            <w:hideMark/>
          </w:tcPr>
          <w:p w14:paraId="7A23F5E4" w14:textId="77777777" w:rsidR="00336293" w:rsidRPr="00E55E40" w:rsidRDefault="00336293" w:rsidP="00D26642">
            <w:pPr>
              <w:jc w:val="both"/>
              <w:rPr>
                <w:sz w:val="18"/>
                <w:szCs w:val="18"/>
              </w:rPr>
            </w:pPr>
            <w:r w:rsidRPr="00E55E40">
              <w:rPr>
                <w:sz w:val="18"/>
                <w:szCs w:val="18"/>
              </w:rPr>
              <w:t>Урюпинский ПНИ</w:t>
            </w:r>
          </w:p>
        </w:tc>
        <w:tc>
          <w:tcPr>
            <w:tcW w:w="2126" w:type="dxa"/>
            <w:shd w:val="clear" w:color="auto" w:fill="auto"/>
            <w:vAlign w:val="bottom"/>
            <w:hideMark/>
          </w:tcPr>
          <w:p w14:paraId="509D1FD1" w14:textId="77777777" w:rsidR="00336293" w:rsidRPr="00E55E40" w:rsidRDefault="00336293" w:rsidP="00336293">
            <w:pPr>
              <w:jc w:val="center"/>
              <w:rPr>
                <w:color w:val="000000"/>
                <w:sz w:val="18"/>
                <w:szCs w:val="18"/>
              </w:rPr>
            </w:pPr>
            <w:r w:rsidRPr="00E55E40">
              <w:rPr>
                <w:color w:val="000000"/>
                <w:sz w:val="18"/>
                <w:szCs w:val="18"/>
              </w:rPr>
              <w:t>-42</w:t>
            </w:r>
          </w:p>
        </w:tc>
      </w:tr>
      <w:tr w:rsidR="00336293" w:rsidRPr="00E55E40" w14:paraId="7BBC77CC" w14:textId="77777777" w:rsidTr="00CA372F">
        <w:trPr>
          <w:trHeight w:val="204"/>
        </w:trPr>
        <w:tc>
          <w:tcPr>
            <w:tcW w:w="2277" w:type="dxa"/>
            <w:vMerge/>
            <w:vAlign w:val="center"/>
            <w:hideMark/>
          </w:tcPr>
          <w:p w14:paraId="75E09AF9" w14:textId="77777777" w:rsidR="00336293" w:rsidRPr="00E55E40" w:rsidRDefault="00336293" w:rsidP="00D26642">
            <w:pPr>
              <w:rPr>
                <w:sz w:val="18"/>
                <w:szCs w:val="18"/>
              </w:rPr>
            </w:pPr>
          </w:p>
        </w:tc>
        <w:tc>
          <w:tcPr>
            <w:tcW w:w="1134" w:type="dxa"/>
            <w:vMerge/>
            <w:vAlign w:val="center"/>
            <w:hideMark/>
          </w:tcPr>
          <w:p w14:paraId="44A646B5" w14:textId="77777777" w:rsidR="00336293" w:rsidRPr="00E55E40" w:rsidRDefault="00336293" w:rsidP="00D26642">
            <w:pPr>
              <w:rPr>
                <w:sz w:val="18"/>
                <w:szCs w:val="18"/>
              </w:rPr>
            </w:pPr>
          </w:p>
        </w:tc>
        <w:tc>
          <w:tcPr>
            <w:tcW w:w="1027" w:type="dxa"/>
            <w:shd w:val="clear" w:color="auto" w:fill="auto"/>
            <w:vAlign w:val="center"/>
            <w:hideMark/>
          </w:tcPr>
          <w:p w14:paraId="39F35829" w14:textId="77777777" w:rsidR="00336293" w:rsidRPr="00E55E40" w:rsidRDefault="00336293" w:rsidP="00CA372F">
            <w:pPr>
              <w:jc w:val="center"/>
              <w:rPr>
                <w:color w:val="000000"/>
                <w:sz w:val="18"/>
                <w:szCs w:val="18"/>
              </w:rPr>
            </w:pPr>
            <w:r w:rsidRPr="00E55E40">
              <w:rPr>
                <w:color w:val="000000"/>
                <w:sz w:val="18"/>
                <w:szCs w:val="18"/>
              </w:rPr>
              <w:t>262,5</w:t>
            </w:r>
          </w:p>
        </w:tc>
        <w:tc>
          <w:tcPr>
            <w:tcW w:w="3226" w:type="dxa"/>
            <w:shd w:val="clear" w:color="auto" w:fill="auto"/>
            <w:hideMark/>
          </w:tcPr>
          <w:p w14:paraId="4789DE88" w14:textId="77777777" w:rsidR="00336293" w:rsidRPr="00E55E40" w:rsidRDefault="00336293" w:rsidP="00D26642">
            <w:pPr>
              <w:jc w:val="both"/>
              <w:rPr>
                <w:sz w:val="18"/>
                <w:szCs w:val="18"/>
              </w:rPr>
            </w:pPr>
            <w:r w:rsidRPr="00E55E40">
              <w:rPr>
                <w:sz w:val="18"/>
                <w:szCs w:val="18"/>
              </w:rPr>
              <w:t>Нижнедобринский ПНИ</w:t>
            </w:r>
          </w:p>
        </w:tc>
        <w:tc>
          <w:tcPr>
            <w:tcW w:w="2126" w:type="dxa"/>
            <w:shd w:val="clear" w:color="auto" w:fill="auto"/>
            <w:vAlign w:val="bottom"/>
            <w:hideMark/>
          </w:tcPr>
          <w:p w14:paraId="0F2AE5BF" w14:textId="77777777" w:rsidR="00336293" w:rsidRPr="00E55E40" w:rsidRDefault="00336293" w:rsidP="00336293">
            <w:pPr>
              <w:jc w:val="center"/>
              <w:rPr>
                <w:color w:val="000000"/>
                <w:sz w:val="18"/>
                <w:szCs w:val="18"/>
              </w:rPr>
            </w:pPr>
            <w:r w:rsidRPr="00E55E40">
              <w:rPr>
                <w:color w:val="000000"/>
                <w:sz w:val="18"/>
                <w:szCs w:val="18"/>
              </w:rPr>
              <w:t>-18,4</w:t>
            </w:r>
          </w:p>
        </w:tc>
      </w:tr>
      <w:tr w:rsidR="00336293" w:rsidRPr="00E55E40" w14:paraId="2C36B855" w14:textId="77777777" w:rsidTr="00CA372F">
        <w:trPr>
          <w:trHeight w:val="136"/>
        </w:trPr>
        <w:tc>
          <w:tcPr>
            <w:tcW w:w="2277" w:type="dxa"/>
            <w:vMerge/>
            <w:vAlign w:val="center"/>
            <w:hideMark/>
          </w:tcPr>
          <w:p w14:paraId="084CBBC8" w14:textId="77777777" w:rsidR="00336293" w:rsidRPr="00E55E40" w:rsidRDefault="00336293" w:rsidP="00D26642">
            <w:pPr>
              <w:rPr>
                <w:sz w:val="18"/>
                <w:szCs w:val="18"/>
              </w:rPr>
            </w:pPr>
          </w:p>
        </w:tc>
        <w:tc>
          <w:tcPr>
            <w:tcW w:w="1134" w:type="dxa"/>
            <w:vMerge/>
            <w:vAlign w:val="center"/>
            <w:hideMark/>
          </w:tcPr>
          <w:p w14:paraId="02CCA613" w14:textId="77777777" w:rsidR="00336293" w:rsidRPr="00E55E40" w:rsidRDefault="00336293" w:rsidP="00D26642">
            <w:pPr>
              <w:rPr>
                <w:sz w:val="18"/>
                <w:szCs w:val="18"/>
              </w:rPr>
            </w:pPr>
          </w:p>
        </w:tc>
        <w:tc>
          <w:tcPr>
            <w:tcW w:w="1027" w:type="dxa"/>
            <w:shd w:val="clear" w:color="auto" w:fill="auto"/>
            <w:vAlign w:val="center"/>
            <w:hideMark/>
          </w:tcPr>
          <w:p w14:paraId="000BE625" w14:textId="77777777" w:rsidR="00336293" w:rsidRPr="00E55E40" w:rsidRDefault="00336293" w:rsidP="00CA372F">
            <w:pPr>
              <w:jc w:val="center"/>
              <w:rPr>
                <w:bCs/>
                <w:i/>
                <w:color w:val="000000"/>
                <w:sz w:val="18"/>
                <w:szCs w:val="18"/>
              </w:rPr>
            </w:pPr>
            <w:r w:rsidRPr="00E55E40">
              <w:rPr>
                <w:bCs/>
                <w:i/>
                <w:color w:val="000000"/>
                <w:sz w:val="18"/>
                <w:szCs w:val="18"/>
              </w:rPr>
              <w:t>223,7</w:t>
            </w:r>
          </w:p>
        </w:tc>
        <w:tc>
          <w:tcPr>
            <w:tcW w:w="3226" w:type="dxa"/>
            <w:shd w:val="clear" w:color="auto" w:fill="auto"/>
            <w:hideMark/>
          </w:tcPr>
          <w:p w14:paraId="6388D89B" w14:textId="77777777" w:rsidR="00336293" w:rsidRPr="00E55E40" w:rsidRDefault="00336293" w:rsidP="00D26642">
            <w:pPr>
              <w:jc w:val="both"/>
              <w:rPr>
                <w:bCs/>
                <w:i/>
                <w:sz w:val="18"/>
                <w:szCs w:val="18"/>
              </w:rPr>
            </w:pPr>
            <w:r w:rsidRPr="00E55E40">
              <w:rPr>
                <w:bCs/>
                <w:i/>
                <w:sz w:val="18"/>
                <w:szCs w:val="18"/>
              </w:rPr>
              <w:t>средняя стоимость</w:t>
            </w:r>
          </w:p>
        </w:tc>
        <w:tc>
          <w:tcPr>
            <w:tcW w:w="2126" w:type="dxa"/>
            <w:shd w:val="clear" w:color="auto" w:fill="auto"/>
            <w:vAlign w:val="bottom"/>
            <w:hideMark/>
          </w:tcPr>
          <w:p w14:paraId="13EAA7DE" w14:textId="77777777" w:rsidR="00336293" w:rsidRPr="00E55E40" w:rsidRDefault="00336293" w:rsidP="00336293">
            <w:pPr>
              <w:jc w:val="center"/>
              <w:rPr>
                <w:i/>
                <w:color w:val="000000"/>
                <w:sz w:val="18"/>
                <w:szCs w:val="18"/>
              </w:rPr>
            </w:pPr>
            <w:r w:rsidRPr="00E55E40">
              <w:rPr>
                <w:bCs/>
                <w:i/>
                <w:color w:val="000000"/>
                <w:sz w:val="18"/>
                <w:szCs w:val="18"/>
              </w:rPr>
              <w:t>-30,5</w:t>
            </w:r>
          </w:p>
        </w:tc>
      </w:tr>
      <w:tr w:rsidR="00336293" w:rsidRPr="00E55E40" w14:paraId="314921E6" w14:textId="77777777" w:rsidTr="00CA372F">
        <w:trPr>
          <w:trHeight w:val="196"/>
        </w:trPr>
        <w:tc>
          <w:tcPr>
            <w:tcW w:w="2277" w:type="dxa"/>
            <w:vMerge w:val="restart"/>
            <w:shd w:val="clear" w:color="auto" w:fill="auto"/>
            <w:vAlign w:val="center"/>
            <w:hideMark/>
          </w:tcPr>
          <w:p w14:paraId="4A4A4FB3" w14:textId="77777777" w:rsidR="00336293" w:rsidRPr="00E55E40" w:rsidRDefault="004F4DA6" w:rsidP="00D26642">
            <w:pPr>
              <w:jc w:val="center"/>
              <w:rPr>
                <w:sz w:val="18"/>
                <w:szCs w:val="18"/>
              </w:rPr>
            </w:pPr>
            <w:r w:rsidRPr="00E55E40">
              <w:rPr>
                <w:sz w:val="18"/>
                <w:szCs w:val="18"/>
              </w:rPr>
              <w:t>Порядок ПНИ</w:t>
            </w:r>
            <w:r w:rsidR="00336293" w:rsidRPr="00E55E40">
              <w:rPr>
                <w:sz w:val="18"/>
                <w:szCs w:val="18"/>
              </w:rPr>
              <w:t xml:space="preserve"> (полностью)</w:t>
            </w:r>
          </w:p>
        </w:tc>
        <w:tc>
          <w:tcPr>
            <w:tcW w:w="1134" w:type="dxa"/>
            <w:vMerge w:val="restart"/>
            <w:shd w:val="clear" w:color="auto" w:fill="auto"/>
            <w:vAlign w:val="center"/>
            <w:hideMark/>
          </w:tcPr>
          <w:p w14:paraId="1FE0500F" w14:textId="77777777" w:rsidR="00336293" w:rsidRPr="00E55E40" w:rsidRDefault="00336293" w:rsidP="00D26642">
            <w:pPr>
              <w:jc w:val="center"/>
              <w:rPr>
                <w:sz w:val="18"/>
                <w:szCs w:val="18"/>
              </w:rPr>
            </w:pPr>
            <w:r w:rsidRPr="00E55E40">
              <w:rPr>
                <w:sz w:val="18"/>
                <w:szCs w:val="18"/>
              </w:rPr>
              <w:t>365</w:t>
            </w:r>
          </w:p>
        </w:tc>
        <w:tc>
          <w:tcPr>
            <w:tcW w:w="1027" w:type="dxa"/>
            <w:shd w:val="clear" w:color="auto" w:fill="auto"/>
            <w:vAlign w:val="center"/>
            <w:hideMark/>
          </w:tcPr>
          <w:p w14:paraId="7B6C149B" w14:textId="77777777" w:rsidR="00336293" w:rsidRPr="00E55E40" w:rsidRDefault="00336293" w:rsidP="00CA372F">
            <w:pPr>
              <w:jc w:val="center"/>
              <w:rPr>
                <w:color w:val="000000"/>
                <w:sz w:val="18"/>
                <w:szCs w:val="18"/>
              </w:rPr>
            </w:pPr>
            <w:r w:rsidRPr="00E55E40">
              <w:rPr>
                <w:color w:val="000000"/>
                <w:sz w:val="18"/>
                <w:szCs w:val="18"/>
              </w:rPr>
              <w:t>147,4</w:t>
            </w:r>
          </w:p>
        </w:tc>
        <w:tc>
          <w:tcPr>
            <w:tcW w:w="3226" w:type="dxa"/>
            <w:shd w:val="clear" w:color="auto" w:fill="auto"/>
            <w:hideMark/>
          </w:tcPr>
          <w:p w14:paraId="7C5F713F" w14:textId="77777777" w:rsidR="00336293" w:rsidRPr="00E55E40" w:rsidRDefault="00336293" w:rsidP="00D26642">
            <w:pPr>
              <w:jc w:val="both"/>
              <w:rPr>
                <w:sz w:val="18"/>
                <w:szCs w:val="18"/>
              </w:rPr>
            </w:pPr>
            <w:r w:rsidRPr="00E55E40">
              <w:rPr>
                <w:sz w:val="18"/>
                <w:szCs w:val="18"/>
              </w:rPr>
              <w:t>Волгоградский ДПИ</w:t>
            </w:r>
          </w:p>
        </w:tc>
        <w:tc>
          <w:tcPr>
            <w:tcW w:w="2126" w:type="dxa"/>
            <w:shd w:val="clear" w:color="auto" w:fill="auto"/>
            <w:vAlign w:val="bottom"/>
            <w:hideMark/>
          </w:tcPr>
          <w:p w14:paraId="7488704D" w14:textId="77777777" w:rsidR="00336293" w:rsidRPr="00E55E40" w:rsidRDefault="00336293" w:rsidP="00336293">
            <w:pPr>
              <w:jc w:val="center"/>
              <w:rPr>
                <w:color w:val="000000"/>
                <w:sz w:val="18"/>
                <w:szCs w:val="18"/>
              </w:rPr>
            </w:pPr>
            <w:r w:rsidRPr="00E55E40">
              <w:rPr>
                <w:color w:val="000000"/>
                <w:sz w:val="18"/>
                <w:szCs w:val="18"/>
              </w:rPr>
              <w:t>-59,6</w:t>
            </w:r>
          </w:p>
        </w:tc>
      </w:tr>
      <w:tr w:rsidR="00336293" w:rsidRPr="00E55E40" w14:paraId="12C25781" w14:textId="77777777" w:rsidTr="00CA372F">
        <w:trPr>
          <w:trHeight w:val="113"/>
        </w:trPr>
        <w:tc>
          <w:tcPr>
            <w:tcW w:w="2277" w:type="dxa"/>
            <w:vMerge/>
            <w:vAlign w:val="center"/>
            <w:hideMark/>
          </w:tcPr>
          <w:p w14:paraId="5DA64BFF" w14:textId="77777777" w:rsidR="00336293" w:rsidRPr="00E55E40" w:rsidRDefault="00336293" w:rsidP="00D26642">
            <w:pPr>
              <w:rPr>
                <w:sz w:val="18"/>
                <w:szCs w:val="18"/>
              </w:rPr>
            </w:pPr>
          </w:p>
        </w:tc>
        <w:tc>
          <w:tcPr>
            <w:tcW w:w="1134" w:type="dxa"/>
            <w:vMerge/>
            <w:vAlign w:val="center"/>
            <w:hideMark/>
          </w:tcPr>
          <w:p w14:paraId="4FBE4E80" w14:textId="77777777" w:rsidR="00336293" w:rsidRPr="00E55E40" w:rsidRDefault="00336293" w:rsidP="00D26642">
            <w:pPr>
              <w:rPr>
                <w:sz w:val="18"/>
                <w:szCs w:val="18"/>
              </w:rPr>
            </w:pPr>
          </w:p>
        </w:tc>
        <w:tc>
          <w:tcPr>
            <w:tcW w:w="1027" w:type="dxa"/>
            <w:shd w:val="clear" w:color="auto" w:fill="auto"/>
            <w:vAlign w:val="center"/>
            <w:hideMark/>
          </w:tcPr>
          <w:p w14:paraId="52D66EAC" w14:textId="77777777" w:rsidR="00336293" w:rsidRPr="00E55E40" w:rsidRDefault="00336293" w:rsidP="00CA372F">
            <w:pPr>
              <w:jc w:val="center"/>
              <w:rPr>
                <w:color w:val="000000"/>
                <w:sz w:val="18"/>
                <w:szCs w:val="18"/>
              </w:rPr>
            </w:pPr>
            <w:r w:rsidRPr="00E55E40">
              <w:rPr>
                <w:color w:val="000000"/>
                <w:sz w:val="18"/>
                <w:szCs w:val="18"/>
              </w:rPr>
              <w:t>253</w:t>
            </w:r>
          </w:p>
        </w:tc>
        <w:tc>
          <w:tcPr>
            <w:tcW w:w="3226" w:type="dxa"/>
            <w:shd w:val="clear" w:color="auto" w:fill="auto"/>
            <w:hideMark/>
          </w:tcPr>
          <w:p w14:paraId="0760A517" w14:textId="77777777" w:rsidR="00336293" w:rsidRPr="00E55E40" w:rsidRDefault="00336293" w:rsidP="00D26642">
            <w:pPr>
              <w:jc w:val="both"/>
              <w:rPr>
                <w:sz w:val="18"/>
                <w:szCs w:val="18"/>
              </w:rPr>
            </w:pPr>
            <w:r w:rsidRPr="00E55E40">
              <w:rPr>
                <w:sz w:val="18"/>
                <w:szCs w:val="18"/>
              </w:rPr>
              <w:t>Калачевский ПНИ</w:t>
            </w:r>
          </w:p>
        </w:tc>
        <w:tc>
          <w:tcPr>
            <w:tcW w:w="2126" w:type="dxa"/>
            <w:shd w:val="clear" w:color="auto" w:fill="auto"/>
            <w:vAlign w:val="bottom"/>
            <w:hideMark/>
          </w:tcPr>
          <w:p w14:paraId="21AA0659" w14:textId="77777777" w:rsidR="00336293" w:rsidRPr="00E55E40" w:rsidRDefault="00336293" w:rsidP="00336293">
            <w:pPr>
              <w:jc w:val="center"/>
              <w:rPr>
                <w:color w:val="000000"/>
                <w:sz w:val="18"/>
                <w:szCs w:val="18"/>
              </w:rPr>
            </w:pPr>
            <w:r w:rsidRPr="00E55E40">
              <w:rPr>
                <w:color w:val="000000"/>
                <w:sz w:val="18"/>
                <w:szCs w:val="18"/>
              </w:rPr>
              <w:t>-30,7</w:t>
            </w:r>
          </w:p>
        </w:tc>
      </w:tr>
      <w:tr w:rsidR="00336293" w:rsidRPr="00E55E40" w14:paraId="1FF72CCC" w14:textId="77777777" w:rsidTr="00CA372F">
        <w:trPr>
          <w:trHeight w:val="201"/>
        </w:trPr>
        <w:tc>
          <w:tcPr>
            <w:tcW w:w="2277" w:type="dxa"/>
            <w:vMerge/>
            <w:vAlign w:val="center"/>
            <w:hideMark/>
          </w:tcPr>
          <w:p w14:paraId="44A3BB2B" w14:textId="77777777" w:rsidR="00336293" w:rsidRPr="00E55E40" w:rsidRDefault="00336293" w:rsidP="00D26642">
            <w:pPr>
              <w:rPr>
                <w:sz w:val="18"/>
                <w:szCs w:val="18"/>
              </w:rPr>
            </w:pPr>
          </w:p>
        </w:tc>
        <w:tc>
          <w:tcPr>
            <w:tcW w:w="1134" w:type="dxa"/>
            <w:vMerge/>
            <w:vAlign w:val="center"/>
            <w:hideMark/>
          </w:tcPr>
          <w:p w14:paraId="58502927" w14:textId="77777777" w:rsidR="00336293" w:rsidRPr="00E55E40" w:rsidRDefault="00336293" w:rsidP="00D26642">
            <w:pPr>
              <w:rPr>
                <w:sz w:val="18"/>
                <w:szCs w:val="18"/>
              </w:rPr>
            </w:pPr>
          </w:p>
        </w:tc>
        <w:tc>
          <w:tcPr>
            <w:tcW w:w="1027" w:type="dxa"/>
            <w:shd w:val="clear" w:color="auto" w:fill="auto"/>
            <w:vAlign w:val="center"/>
            <w:hideMark/>
          </w:tcPr>
          <w:p w14:paraId="1647906B" w14:textId="77777777" w:rsidR="00336293" w:rsidRPr="00E55E40" w:rsidRDefault="00336293" w:rsidP="00CA372F">
            <w:pPr>
              <w:jc w:val="center"/>
              <w:rPr>
                <w:color w:val="000000"/>
                <w:sz w:val="18"/>
                <w:szCs w:val="18"/>
              </w:rPr>
            </w:pPr>
            <w:r w:rsidRPr="00E55E40">
              <w:rPr>
                <w:color w:val="000000"/>
                <w:sz w:val="18"/>
                <w:szCs w:val="18"/>
              </w:rPr>
              <w:t>172,3</w:t>
            </w:r>
          </w:p>
        </w:tc>
        <w:tc>
          <w:tcPr>
            <w:tcW w:w="3226" w:type="dxa"/>
            <w:shd w:val="clear" w:color="auto" w:fill="auto"/>
            <w:hideMark/>
          </w:tcPr>
          <w:p w14:paraId="527C04C7" w14:textId="77777777" w:rsidR="00336293" w:rsidRPr="00E55E40" w:rsidRDefault="00336293" w:rsidP="00D26642">
            <w:pPr>
              <w:jc w:val="both"/>
              <w:rPr>
                <w:sz w:val="18"/>
                <w:szCs w:val="18"/>
              </w:rPr>
            </w:pPr>
            <w:r w:rsidRPr="00E55E40">
              <w:rPr>
                <w:sz w:val="18"/>
                <w:szCs w:val="18"/>
              </w:rPr>
              <w:t>Заплавинский ПНИ</w:t>
            </w:r>
          </w:p>
        </w:tc>
        <w:tc>
          <w:tcPr>
            <w:tcW w:w="2126" w:type="dxa"/>
            <w:shd w:val="clear" w:color="auto" w:fill="auto"/>
            <w:vAlign w:val="bottom"/>
            <w:hideMark/>
          </w:tcPr>
          <w:p w14:paraId="7AD03110" w14:textId="77777777" w:rsidR="00336293" w:rsidRPr="00E55E40" w:rsidRDefault="00336293" w:rsidP="00336293">
            <w:pPr>
              <w:jc w:val="center"/>
              <w:rPr>
                <w:color w:val="000000"/>
                <w:sz w:val="18"/>
                <w:szCs w:val="18"/>
              </w:rPr>
            </w:pPr>
            <w:r w:rsidRPr="00E55E40">
              <w:rPr>
                <w:color w:val="000000"/>
                <w:sz w:val="18"/>
                <w:szCs w:val="18"/>
              </w:rPr>
              <w:t>-52,8</w:t>
            </w:r>
          </w:p>
        </w:tc>
      </w:tr>
      <w:tr w:rsidR="00336293" w:rsidRPr="00E55E40" w14:paraId="6DC3F6D0" w14:textId="77777777" w:rsidTr="00CA372F">
        <w:trPr>
          <w:trHeight w:val="179"/>
        </w:trPr>
        <w:tc>
          <w:tcPr>
            <w:tcW w:w="2277" w:type="dxa"/>
            <w:vMerge/>
            <w:vAlign w:val="center"/>
            <w:hideMark/>
          </w:tcPr>
          <w:p w14:paraId="687E5CDB" w14:textId="77777777" w:rsidR="00336293" w:rsidRPr="00E55E40" w:rsidRDefault="00336293" w:rsidP="00D26642">
            <w:pPr>
              <w:rPr>
                <w:sz w:val="18"/>
                <w:szCs w:val="18"/>
              </w:rPr>
            </w:pPr>
          </w:p>
        </w:tc>
        <w:tc>
          <w:tcPr>
            <w:tcW w:w="1134" w:type="dxa"/>
            <w:vMerge/>
            <w:vAlign w:val="center"/>
            <w:hideMark/>
          </w:tcPr>
          <w:p w14:paraId="52BD3A17" w14:textId="77777777" w:rsidR="00336293" w:rsidRPr="00E55E40" w:rsidRDefault="00336293" w:rsidP="00D26642">
            <w:pPr>
              <w:rPr>
                <w:sz w:val="18"/>
                <w:szCs w:val="18"/>
              </w:rPr>
            </w:pPr>
          </w:p>
        </w:tc>
        <w:tc>
          <w:tcPr>
            <w:tcW w:w="1027" w:type="dxa"/>
            <w:shd w:val="clear" w:color="auto" w:fill="auto"/>
            <w:vAlign w:val="center"/>
            <w:hideMark/>
          </w:tcPr>
          <w:p w14:paraId="406A59D9" w14:textId="77777777" w:rsidR="00336293" w:rsidRPr="00E55E40" w:rsidRDefault="00336293" w:rsidP="00CA372F">
            <w:pPr>
              <w:jc w:val="center"/>
              <w:rPr>
                <w:color w:val="000000"/>
                <w:sz w:val="18"/>
                <w:szCs w:val="18"/>
              </w:rPr>
            </w:pPr>
            <w:r w:rsidRPr="00E55E40">
              <w:rPr>
                <w:color w:val="000000"/>
                <w:sz w:val="18"/>
                <w:szCs w:val="18"/>
              </w:rPr>
              <w:t>252,8</w:t>
            </w:r>
          </w:p>
        </w:tc>
        <w:tc>
          <w:tcPr>
            <w:tcW w:w="3226" w:type="dxa"/>
            <w:shd w:val="clear" w:color="auto" w:fill="auto"/>
            <w:hideMark/>
          </w:tcPr>
          <w:p w14:paraId="4B05BD56" w14:textId="77777777" w:rsidR="00336293" w:rsidRPr="00E55E40" w:rsidRDefault="00336293" w:rsidP="00D26642">
            <w:pPr>
              <w:jc w:val="both"/>
              <w:rPr>
                <w:sz w:val="18"/>
                <w:szCs w:val="18"/>
              </w:rPr>
            </w:pPr>
            <w:r w:rsidRPr="00E55E40">
              <w:rPr>
                <w:sz w:val="18"/>
                <w:szCs w:val="18"/>
              </w:rPr>
              <w:t>Урюпинский ПНИ</w:t>
            </w:r>
          </w:p>
        </w:tc>
        <w:tc>
          <w:tcPr>
            <w:tcW w:w="2126" w:type="dxa"/>
            <w:shd w:val="clear" w:color="auto" w:fill="auto"/>
            <w:vAlign w:val="bottom"/>
            <w:hideMark/>
          </w:tcPr>
          <w:p w14:paraId="363D6E79" w14:textId="77777777" w:rsidR="00336293" w:rsidRPr="00E55E40" w:rsidRDefault="00336293" w:rsidP="00336293">
            <w:pPr>
              <w:jc w:val="center"/>
              <w:rPr>
                <w:color w:val="000000"/>
                <w:sz w:val="18"/>
                <w:szCs w:val="18"/>
              </w:rPr>
            </w:pPr>
            <w:r w:rsidRPr="00E55E40">
              <w:rPr>
                <w:color w:val="000000"/>
                <w:sz w:val="18"/>
                <w:szCs w:val="18"/>
              </w:rPr>
              <w:t>-30,7</w:t>
            </w:r>
          </w:p>
        </w:tc>
      </w:tr>
      <w:tr w:rsidR="00336293" w:rsidRPr="00E55E40" w14:paraId="0476870A" w14:textId="77777777" w:rsidTr="00CA372F">
        <w:trPr>
          <w:trHeight w:val="98"/>
        </w:trPr>
        <w:tc>
          <w:tcPr>
            <w:tcW w:w="2277" w:type="dxa"/>
            <w:vMerge/>
            <w:vAlign w:val="center"/>
            <w:hideMark/>
          </w:tcPr>
          <w:p w14:paraId="11E0881F" w14:textId="77777777" w:rsidR="00336293" w:rsidRPr="00E55E40" w:rsidRDefault="00336293" w:rsidP="00D26642">
            <w:pPr>
              <w:rPr>
                <w:sz w:val="18"/>
                <w:szCs w:val="18"/>
              </w:rPr>
            </w:pPr>
          </w:p>
        </w:tc>
        <w:tc>
          <w:tcPr>
            <w:tcW w:w="1134" w:type="dxa"/>
            <w:vMerge/>
            <w:vAlign w:val="center"/>
            <w:hideMark/>
          </w:tcPr>
          <w:p w14:paraId="6DD2B8CB" w14:textId="77777777" w:rsidR="00336293" w:rsidRPr="00E55E40" w:rsidRDefault="00336293" w:rsidP="00D26642">
            <w:pPr>
              <w:rPr>
                <w:sz w:val="18"/>
                <w:szCs w:val="18"/>
              </w:rPr>
            </w:pPr>
          </w:p>
        </w:tc>
        <w:tc>
          <w:tcPr>
            <w:tcW w:w="1027" w:type="dxa"/>
            <w:shd w:val="clear" w:color="auto" w:fill="auto"/>
            <w:vAlign w:val="center"/>
            <w:hideMark/>
          </w:tcPr>
          <w:p w14:paraId="4808320A" w14:textId="77777777" w:rsidR="00336293" w:rsidRPr="00E55E40" w:rsidRDefault="00336293" w:rsidP="00CA372F">
            <w:pPr>
              <w:jc w:val="center"/>
              <w:rPr>
                <w:bCs/>
                <w:i/>
                <w:color w:val="000000"/>
                <w:sz w:val="18"/>
                <w:szCs w:val="18"/>
              </w:rPr>
            </w:pPr>
            <w:r w:rsidRPr="00E55E40">
              <w:rPr>
                <w:bCs/>
                <w:i/>
                <w:color w:val="000000"/>
                <w:sz w:val="18"/>
                <w:szCs w:val="18"/>
              </w:rPr>
              <w:t>206,4</w:t>
            </w:r>
          </w:p>
        </w:tc>
        <w:tc>
          <w:tcPr>
            <w:tcW w:w="3226" w:type="dxa"/>
            <w:shd w:val="clear" w:color="auto" w:fill="auto"/>
            <w:hideMark/>
          </w:tcPr>
          <w:p w14:paraId="7D7491DB" w14:textId="77777777" w:rsidR="00336293" w:rsidRPr="00E55E40" w:rsidRDefault="00336293" w:rsidP="00D26642">
            <w:pPr>
              <w:jc w:val="both"/>
              <w:rPr>
                <w:bCs/>
                <w:i/>
                <w:sz w:val="18"/>
                <w:szCs w:val="18"/>
              </w:rPr>
            </w:pPr>
            <w:r w:rsidRPr="00E55E40">
              <w:rPr>
                <w:bCs/>
                <w:i/>
                <w:sz w:val="18"/>
                <w:szCs w:val="18"/>
              </w:rPr>
              <w:t>средняя стоимость</w:t>
            </w:r>
          </w:p>
        </w:tc>
        <w:tc>
          <w:tcPr>
            <w:tcW w:w="2126" w:type="dxa"/>
            <w:shd w:val="clear" w:color="auto" w:fill="auto"/>
            <w:vAlign w:val="bottom"/>
            <w:hideMark/>
          </w:tcPr>
          <w:p w14:paraId="7C0C71CC" w14:textId="77777777" w:rsidR="00336293" w:rsidRPr="00E55E40" w:rsidRDefault="00336293" w:rsidP="00336293">
            <w:pPr>
              <w:jc w:val="center"/>
              <w:rPr>
                <w:i/>
                <w:color w:val="000000"/>
                <w:sz w:val="18"/>
                <w:szCs w:val="18"/>
              </w:rPr>
            </w:pPr>
            <w:r w:rsidRPr="00E55E40">
              <w:rPr>
                <w:bCs/>
                <w:i/>
                <w:color w:val="000000"/>
                <w:sz w:val="18"/>
                <w:szCs w:val="18"/>
              </w:rPr>
              <w:t>-43,5</w:t>
            </w:r>
          </w:p>
        </w:tc>
      </w:tr>
      <w:tr w:rsidR="00550FE4" w:rsidRPr="00E55E40" w14:paraId="038CA7ED" w14:textId="77777777" w:rsidTr="00CA372F">
        <w:trPr>
          <w:trHeight w:val="172"/>
        </w:trPr>
        <w:tc>
          <w:tcPr>
            <w:tcW w:w="2277" w:type="dxa"/>
            <w:vMerge w:val="restart"/>
            <w:shd w:val="clear" w:color="auto" w:fill="auto"/>
            <w:vAlign w:val="center"/>
            <w:hideMark/>
          </w:tcPr>
          <w:p w14:paraId="52273BB6" w14:textId="77777777" w:rsidR="00550FE4" w:rsidRPr="00E55E40" w:rsidRDefault="004F4DA6" w:rsidP="00D26642">
            <w:pPr>
              <w:jc w:val="center"/>
              <w:rPr>
                <w:sz w:val="18"/>
                <w:szCs w:val="18"/>
              </w:rPr>
            </w:pPr>
            <w:r w:rsidRPr="00E55E40">
              <w:rPr>
                <w:sz w:val="18"/>
                <w:szCs w:val="18"/>
              </w:rPr>
              <w:t>Порядок ДПИ</w:t>
            </w:r>
            <w:r w:rsidR="00550FE4" w:rsidRPr="00E55E40">
              <w:rPr>
                <w:sz w:val="18"/>
                <w:szCs w:val="18"/>
              </w:rPr>
              <w:t xml:space="preserve"> (частично)</w:t>
            </w:r>
          </w:p>
        </w:tc>
        <w:tc>
          <w:tcPr>
            <w:tcW w:w="1134" w:type="dxa"/>
            <w:vMerge w:val="restart"/>
            <w:shd w:val="clear" w:color="auto" w:fill="auto"/>
            <w:vAlign w:val="center"/>
            <w:hideMark/>
          </w:tcPr>
          <w:p w14:paraId="462A8DFB" w14:textId="77777777" w:rsidR="00550FE4" w:rsidRPr="00E55E40" w:rsidRDefault="00550FE4" w:rsidP="00D26642">
            <w:pPr>
              <w:jc w:val="center"/>
              <w:rPr>
                <w:sz w:val="18"/>
                <w:szCs w:val="18"/>
              </w:rPr>
            </w:pPr>
            <w:r w:rsidRPr="00E55E40">
              <w:rPr>
                <w:sz w:val="18"/>
                <w:szCs w:val="18"/>
              </w:rPr>
              <w:t>331,7</w:t>
            </w:r>
          </w:p>
        </w:tc>
        <w:tc>
          <w:tcPr>
            <w:tcW w:w="1027" w:type="dxa"/>
            <w:shd w:val="clear" w:color="auto" w:fill="auto"/>
            <w:vAlign w:val="center"/>
            <w:hideMark/>
          </w:tcPr>
          <w:p w14:paraId="6995C05B" w14:textId="77777777" w:rsidR="00550FE4" w:rsidRPr="00E55E40" w:rsidRDefault="00550FE4" w:rsidP="00CA372F">
            <w:pPr>
              <w:jc w:val="center"/>
              <w:rPr>
                <w:color w:val="000000"/>
                <w:sz w:val="18"/>
                <w:szCs w:val="18"/>
              </w:rPr>
            </w:pPr>
            <w:r w:rsidRPr="00E55E40">
              <w:rPr>
                <w:color w:val="000000"/>
                <w:sz w:val="18"/>
                <w:szCs w:val="18"/>
              </w:rPr>
              <w:t>209,6</w:t>
            </w:r>
          </w:p>
        </w:tc>
        <w:tc>
          <w:tcPr>
            <w:tcW w:w="3226" w:type="dxa"/>
            <w:shd w:val="clear" w:color="auto" w:fill="auto"/>
            <w:hideMark/>
          </w:tcPr>
          <w:p w14:paraId="31014BA9" w14:textId="77777777" w:rsidR="00550FE4" w:rsidRPr="00E55E40" w:rsidRDefault="00550FE4" w:rsidP="00D26642">
            <w:pPr>
              <w:jc w:val="both"/>
              <w:rPr>
                <w:sz w:val="18"/>
                <w:szCs w:val="18"/>
              </w:rPr>
            </w:pPr>
            <w:r w:rsidRPr="00E55E40">
              <w:rPr>
                <w:sz w:val="18"/>
                <w:szCs w:val="18"/>
              </w:rPr>
              <w:t>Волгоградский ДПИ</w:t>
            </w:r>
          </w:p>
        </w:tc>
        <w:tc>
          <w:tcPr>
            <w:tcW w:w="2126" w:type="dxa"/>
            <w:shd w:val="clear" w:color="auto" w:fill="auto"/>
            <w:vAlign w:val="bottom"/>
            <w:hideMark/>
          </w:tcPr>
          <w:p w14:paraId="19C05BC1" w14:textId="77777777" w:rsidR="00550FE4" w:rsidRPr="00E55E40" w:rsidRDefault="00550FE4" w:rsidP="00336293">
            <w:pPr>
              <w:jc w:val="center"/>
              <w:rPr>
                <w:color w:val="000000"/>
                <w:sz w:val="18"/>
                <w:szCs w:val="18"/>
              </w:rPr>
            </w:pPr>
            <w:r w:rsidRPr="00E55E40">
              <w:rPr>
                <w:color w:val="000000"/>
                <w:sz w:val="18"/>
                <w:szCs w:val="18"/>
              </w:rPr>
              <w:t>-36,8</w:t>
            </w:r>
          </w:p>
        </w:tc>
      </w:tr>
      <w:tr w:rsidR="00550FE4" w:rsidRPr="00E55E40" w14:paraId="10A6F740" w14:textId="77777777" w:rsidTr="00CA372F">
        <w:trPr>
          <w:trHeight w:val="90"/>
        </w:trPr>
        <w:tc>
          <w:tcPr>
            <w:tcW w:w="2277" w:type="dxa"/>
            <w:vMerge/>
            <w:vAlign w:val="center"/>
            <w:hideMark/>
          </w:tcPr>
          <w:p w14:paraId="4612D40A" w14:textId="77777777" w:rsidR="00550FE4" w:rsidRPr="00E55E40" w:rsidRDefault="00550FE4" w:rsidP="00D26642">
            <w:pPr>
              <w:rPr>
                <w:sz w:val="18"/>
                <w:szCs w:val="18"/>
              </w:rPr>
            </w:pPr>
          </w:p>
        </w:tc>
        <w:tc>
          <w:tcPr>
            <w:tcW w:w="1134" w:type="dxa"/>
            <w:vMerge/>
            <w:vAlign w:val="center"/>
            <w:hideMark/>
          </w:tcPr>
          <w:p w14:paraId="5B5D4C29" w14:textId="77777777" w:rsidR="00550FE4" w:rsidRPr="00E55E40" w:rsidRDefault="00550FE4" w:rsidP="00D26642">
            <w:pPr>
              <w:rPr>
                <w:sz w:val="18"/>
                <w:szCs w:val="18"/>
              </w:rPr>
            </w:pPr>
          </w:p>
        </w:tc>
        <w:tc>
          <w:tcPr>
            <w:tcW w:w="1027" w:type="dxa"/>
            <w:shd w:val="clear" w:color="auto" w:fill="auto"/>
            <w:vAlign w:val="center"/>
            <w:hideMark/>
          </w:tcPr>
          <w:p w14:paraId="253FBA81" w14:textId="77777777" w:rsidR="00550FE4" w:rsidRPr="00E55E40" w:rsidRDefault="00550FE4" w:rsidP="00CA372F">
            <w:pPr>
              <w:jc w:val="center"/>
              <w:rPr>
                <w:color w:val="000000"/>
                <w:sz w:val="18"/>
                <w:szCs w:val="18"/>
              </w:rPr>
            </w:pPr>
            <w:r w:rsidRPr="00E55E40">
              <w:rPr>
                <w:color w:val="000000"/>
                <w:sz w:val="18"/>
                <w:szCs w:val="18"/>
              </w:rPr>
              <w:t>182,8</w:t>
            </w:r>
          </w:p>
        </w:tc>
        <w:tc>
          <w:tcPr>
            <w:tcW w:w="3226" w:type="dxa"/>
            <w:shd w:val="clear" w:color="auto" w:fill="auto"/>
            <w:hideMark/>
          </w:tcPr>
          <w:p w14:paraId="18E2B923" w14:textId="77777777" w:rsidR="00550FE4" w:rsidRPr="00E55E40" w:rsidRDefault="00550FE4" w:rsidP="00D26642">
            <w:pPr>
              <w:jc w:val="both"/>
              <w:rPr>
                <w:sz w:val="18"/>
                <w:szCs w:val="18"/>
              </w:rPr>
            </w:pPr>
            <w:r w:rsidRPr="00E55E40">
              <w:rPr>
                <w:sz w:val="18"/>
                <w:szCs w:val="18"/>
              </w:rPr>
              <w:t>Даниловский ДПИ</w:t>
            </w:r>
          </w:p>
        </w:tc>
        <w:tc>
          <w:tcPr>
            <w:tcW w:w="2126" w:type="dxa"/>
            <w:shd w:val="clear" w:color="auto" w:fill="auto"/>
            <w:vAlign w:val="bottom"/>
            <w:hideMark/>
          </w:tcPr>
          <w:p w14:paraId="4CE53820" w14:textId="77777777" w:rsidR="00550FE4" w:rsidRPr="00E55E40" w:rsidRDefault="00550FE4" w:rsidP="00336293">
            <w:pPr>
              <w:jc w:val="center"/>
              <w:rPr>
                <w:color w:val="000000"/>
                <w:sz w:val="18"/>
                <w:szCs w:val="18"/>
              </w:rPr>
            </w:pPr>
            <w:r w:rsidRPr="00E55E40">
              <w:rPr>
                <w:color w:val="000000"/>
                <w:sz w:val="18"/>
                <w:szCs w:val="18"/>
              </w:rPr>
              <w:t>-44,9</w:t>
            </w:r>
          </w:p>
        </w:tc>
      </w:tr>
      <w:tr w:rsidR="00550FE4" w:rsidRPr="00E55E40" w14:paraId="1BC3CC74" w14:textId="77777777" w:rsidTr="00CA372F">
        <w:trPr>
          <w:trHeight w:val="164"/>
        </w:trPr>
        <w:tc>
          <w:tcPr>
            <w:tcW w:w="2277" w:type="dxa"/>
            <w:vMerge/>
            <w:vAlign w:val="center"/>
            <w:hideMark/>
          </w:tcPr>
          <w:p w14:paraId="7067FAA2" w14:textId="77777777" w:rsidR="00550FE4" w:rsidRPr="00E55E40" w:rsidRDefault="00550FE4" w:rsidP="00D26642">
            <w:pPr>
              <w:rPr>
                <w:sz w:val="18"/>
                <w:szCs w:val="18"/>
              </w:rPr>
            </w:pPr>
          </w:p>
        </w:tc>
        <w:tc>
          <w:tcPr>
            <w:tcW w:w="1134" w:type="dxa"/>
            <w:vMerge/>
            <w:vAlign w:val="center"/>
            <w:hideMark/>
          </w:tcPr>
          <w:p w14:paraId="60071561" w14:textId="77777777" w:rsidR="00550FE4" w:rsidRPr="00E55E40" w:rsidRDefault="00550FE4" w:rsidP="00D26642">
            <w:pPr>
              <w:rPr>
                <w:sz w:val="18"/>
                <w:szCs w:val="18"/>
              </w:rPr>
            </w:pPr>
          </w:p>
        </w:tc>
        <w:tc>
          <w:tcPr>
            <w:tcW w:w="1027" w:type="dxa"/>
            <w:shd w:val="clear" w:color="auto" w:fill="auto"/>
            <w:vAlign w:val="center"/>
            <w:hideMark/>
          </w:tcPr>
          <w:p w14:paraId="0ACC2640" w14:textId="77777777" w:rsidR="00550FE4" w:rsidRPr="00E55E40" w:rsidRDefault="00550FE4" w:rsidP="00CA372F">
            <w:pPr>
              <w:jc w:val="center"/>
              <w:rPr>
                <w:bCs/>
                <w:i/>
                <w:color w:val="000000"/>
                <w:sz w:val="18"/>
                <w:szCs w:val="18"/>
              </w:rPr>
            </w:pPr>
            <w:r w:rsidRPr="00E55E40">
              <w:rPr>
                <w:bCs/>
                <w:i/>
                <w:color w:val="000000"/>
                <w:sz w:val="18"/>
                <w:szCs w:val="18"/>
              </w:rPr>
              <w:t>196,2</w:t>
            </w:r>
          </w:p>
        </w:tc>
        <w:tc>
          <w:tcPr>
            <w:tcW w:w="3226" w:type="dxa"/>
            <w:shd w:val="clear" w:color="auto" w:fill="auto"/>
            <w:hideMark/>
          </w:tcPr>
          <w:p w14:paraId="54E409F7" w14:textId="77777777" w:rsidR="00550FE4" w:rsidRPr="00E55E40" w:rsidRDefault="00550FE4" w:rsidP="00D26642">
            <w:pPr>
              <w:jc w:val="both"/>
              <w:rPr>
                <w:bCs/>
                <w:i/>
                <w:sz w:val="18"/>
                <w:szCs w:val="18"/>
              </w:rPr>
            </w:pPr>
            <w:r w:rsidRPr="00E55E40">
              <w:rPr>
                <w:bCs/>
                <w:i/>
                <w:sz w:val="18"/>
                <w:szCs w:val="18"/>
              </w:rPr>
              <w:t>средняя стоимость</w:t>
            </w:r>
          </w:p>
        </w:tc>
        <w:tc>
          <w:tcPr>
            <w:tcW w:w="2126" w:type="dxa"/>
            <w:shd w:val="clear" w:color="auto" w:fill="auto"/>
            <w:vAlign w:val="bottom"/>
            <w:hideMark/>
          </w:tcPr>
          <w:p w14:paraId="4B5F22B8" w14:textId="77777777" w:rsidR="00550FE4" w:rsidRPr="00E55E40" w:rsidRDefault="00550FE4" w:rsidP="00550FE4">
            <w:pPr>
              <w:jc w:val="center"/>
              <w:rPr>
                <w:i/>
                <w:color w:val="000000"/>
                <w:sz w:val="18"/>
                <w:szCs w:val="18"/>
              </w:rPr>
            </w:pPr>
            <w:r w:rsidRPr="00E55E40">
              <w:rPr>
                <w:bCs/>
                <w:i/>
                <w:color w:val="000000"/>
                <w:sz w:val="18"/>
                <w:szCs w:val="18"/>
              </w:rPr>
              <w:t>-40,9</w:t>
            </w:r>
          </w:p>
        </w:tc>
      </w:tr>
      <w:tr w:rsidR="00550FE4" w:rsidRPr="00E55E40" w14:paraId="13CED51F" w14:textId="77777777" w:rsidTr="00CA372F">
        <w:trPr>
          <w:trHeight w:val="223"/>
        </w:trPr>
        <w:tc>
          <w:tcPr>
            <w:tcW w:w="2277" w:type="dxa"/>
            <w:vMerge w:val="restart"/>
            <w:shd w:val="clear" w:color="auto" w:fill="auto"/>
            <w:vAlign w:val="center"/>
            <w:hideMark/>
          </w:tcPr>
          <w:p w14:paraId="41874F4A" w14:textId="77777777" w:rsidR="00550FE4" w:rsidRPr="00E55E40" w:rsidRDefault="004F4DA6" w:rsidP="00D26642">
            <w:pPr>
              <w:jc w:val="center"/>
              <w:rPr>
                <w:sz w:val="18"/>
                <w:szCs w:val="18"/>
              </w:rPr>
            </w:pPr>
            <w:r w:rsidRPr="00E55E40">
              <w:rPr>
                <w:sz w:val="18"/>
                <w:szCs w:val="18"/>
              </w:rPr>
              <w:t>Порядок ДПИ</w:t>
            </w:r>
            <w:r w:rsidR="00550FE4" w:rsidRPr="00E55E40">
              <w:rPr>
                <w:sz w:val="18"/>
                <w:szCs w:val="18"/>
              </w:rPr>
              <w:t xml:space="preserve"> (полностью)</w:t>
            </w:r>
          </w:p>
        </w:tc>
        <w:tc>
          <w:tcPr>
            <w:tcW w:w="1134" w:type="dxa"/>
            <w:vMerge w:val="restart"/>
            <w:shd w:val="clear" w:color="auto" w:fill="auto"/>
            <w:vAlign w:val="center"/>
            <w:hideMark/>
          </w:tcPr>
          <w:p w14:paraId="7EF998DB" w14:textId="77777777" w:rsidR="00550FE4" w:rsidRPr="00E55E40" w:rsidRDefault="00550FE4" w:rsidP="00D26642">
            <w:pPr>
              <w:jc w:val="center"/>
              <w:rPr>
                <w:sz w:val="18"/>
                <w:szCs w:val="18"/>
              </w:rPr>
            </w:pPr>
            <w:r w:rsidRPr="00E55E40">
              <w:rPr>
                <w:sz w:val="18"/>
                <w:szCs w:val="18"/>
              </w:rPr>
              <w:t>332,7</w:t>
            </w:r>
          </w:p>
        </w:tc>
        <w:tc>
          <w:tcPr>
            <w:tcW w:w="1027" w:type="dxa"/>
            <w:shd w:val="clear" w:color="auto" w:fill="auto"/>
            <w:vAlign w:val="center"/>
            <w:hideMark/>
          </w:tcPr>
          <w:p w14:paraId="4869F4A2" w14:textId="77777777" w:rsidR="00550FE4" w:rsidRPr="00E55E40" w:rsidRDefault="00550FE4" w:rsidP="00CA372F">
            <w:pPr>
              <w:jc w:val="center"/>
              <w:rPr>
                <w:color w:val="000000"/>
                <w:sz w:val="18"/>
                <w:szCs w:val="18"/>
              </w:rPr>
            </w:pPr>
            <w:r w:rsidRPr="00E55E40">
              <w:rPr>
                <w:color w:val="000000"/>
                <w:sz w:val="18"/>
                <w:szCs w:val="18"/>
              </w:rPr>
              <w:t>236</w:t>
            </w:r>
          </w:p>
        </w:tc>
        <w:tc>
          <w:tcPr>
            <w:tcW w:w="3226" w:type="dxa"/>
            <w:shd w:val="clear" w:color="auto" w:fill="auto"/>
            <w:hideMark/>
          </w:tcPr>
          <w:p w14:paraId="23DAB40F" w14:textId="77777777" w:rsidR="00550FE4" w:rsidRPr="00E55E40" w:rsidRDefault="00550FE4" w:rsidP="00D26642">
            <w:pPr>
              <w:jc w:val="both"/>
              <w:rPr>
                <w:sz w:val="18"/>
                <w:szCs w:val="18"/>
              </w:rPr>
            </w:pPr>
            <w:r w:rsidRPr="00E55E40">
              <w:rPr>
                <w:sz w:val="18"/>
                <w:szCs w:val="18"/>
              </w:rPr>
              <w:t>Волгоградский ДПИ</w:t>
            </w:r>
          </w:p>
        </w:tc>
        <w:tc>
          <w:tcPr>
            <w:tcW w:w="2126" w:type="dxa"/>
            <w:shd w:val="clear" w:color="auto" w:fill="auto"/>
            <w:vAlign w:val="bottom"/>
            <w:hideMark/>
          </w:tcPr>
          <w:p w14:paraId="183A68B0" w14:textId="77777777" w:rsidR="00550FE4" w:rsidRPr="00E55E40" w:rsidRDefault="00550FE4" w:rsidP="00336293">
            <w:pPr>
              <w:jc w:val="center"/>
              <w:rPr>
                <w:color w:val="000000"/>
                <w:sz w:val="18"/>
                <w:szCs w:val="18"/>
              </w:rPr>
            </w:pPr>
            <w:r w:rsidRPr="00E55E40">
              <w:rPr>
                <w:color w:val="000000"/>
                <w:sz w:val="18"/>
                <w:szCs w:val="18"/>
              </w:rPr>
              <w:t>-29,1</w:t>
            </w:r>
          </w:p>
        </w:tc>
      </w:tr>
      <w:tr w:rsidR="00550FE4" w:rsidRPr="00E55E40" w14:paraId="5FC806E0" w14:textId="77777777" w:rsidTr="00CA372F">
        <w:trPr>
          <w:trHeight w:val="142"/>
        </w:trPr>
        <w:tc>
          <w:tcPr>
            <w:tcW w:w="2277" w:type="dxa"/>
            <w:vMerge/>
            <w:vAlign w:val="center"/>
            <w:hideMark/>
          </w:tcPr>
          <w:p w14:paraId="00D2CE0C" w14:textId="77777777" w:rsidR="00550FE4" w:rsidRPr="00E55E40" w:rsidRDefault="00550FE4" w:rsidP="00D26642">
            <w:pPr>
              <w:rPr>
                <w:sz w:val="18"/>
                <w:szCs w:val="18"/>
              </w:rPr>
            </w:pPr>
          </w:p>
        </w:tc>
        <w:tc>
          <w:tcPr>
            <w:tcW w:w="1134" w:type="dxa"/>
            <w:vMerge/>
            <w:vAlign w:val="center"/>
            <w:hideMark/>
          </w:tcPr>
          <w:p w14:paraId="32375649" w14:textId="77777777" w:rsidR="00550FE4" w:rsidRPr="00E55E40" w:rsidRDefault="00550FE4" w:rsidP="00D26642">
            <w:pPr>
              <w:rPr>
                <w:sz w:val="18"/>
                <w:szCs w:val="18"/>
              </w:rPr>
            </w:pPr>
          </w:p>
        </w:tc>
        <w:tc>
          <w:tcPr>
            <w:tcW w:w="1027" w:type="dxa"/>
            <w:shd w:val="clear" w:color="auto" w:fill="auto"/>
            <w:vAlign w:val="center"/>
            <w:hideMark/>
          </w:tcPr>
          <w:p w14:paraId="0FF603A4" w14:textId="77777777" w:rsidR="00550FE4" w:rsidRPr="00E55E40" w:rsidRDefault="00550FE4" w:rsidP="00CA372F">
            <w:pPr>
              <w:jc w:val="center"/>
              <w:rPr>
                <w:color w:val="000000"/>
                <w:sz w:val="18"/>
                <w:szCs w:val="18"/>
              </w:rPr>
            </w:pPr>
            <w:r w:rsidRPr="00E55E40">
              <w:rPr>
                <w:color w:val="000000"/>
                <w:sz w:val="18"/>
                <w:szCs w:val="18"/>
              </w:rPr>
              <w:t>225,4</w:t>
            </w:r>
          </w:p>
        </w:tc>
        <w:tc>
          <w:tcPr>
            <w:tcW w:w="3226" w:type="dxa"/>
            <w:shd w:val="clear" w:color="auto" w:fill="auto"/>
            <w:hideMark/>
          </w:tcPr>
          <w:p w14:paraId="6BF676BE" w14:textId="77777777" w:rsidR="00550FE4" w:rsidRPr="00E55E40" w:rsidRDefault="00550FE4" w:rsidP="00D26642">
            <w:pPr>
              <w:jc w:val="both"/>
              <w:rPr>
                <w:sz w:val="18"/>
                <w:szCs w:val="18"/>
              </w:rPr>
            </w:pPr>
            <w:r w:rsidRPr="00E55E40">
              <w:rPr>
                <w:sz w:val="18"/>
                <w:szCs w:val="18"/>
              </w:rPr>
              <w:t>Даниловский ДПИ</w:t>
            </w:r>
          </w:p>
        </w:tc>
        <w:tc>
          <w:tcPr>
            <w:tcW w:w="2126" w:type="dxa"/>
            <w:shd w:val="clear" w:color="auto" w:fill="auto"/>
            <w:vAlign w:val="bottom"/>
            <w:hideMark/>
          </w:tcPr>
          <w:p w14:paraId="69363625" w14:textId="77777777" w:rsidR="00550FE4" w:rsidRPr="00E55E40" w:rsidRDefault="00550FE4" w:rsidP="00336293">
            <w:pPr>
              <w:jc w:val="center"/>
              <w:rPr>
                <w:color w:val="000000"/>
                <w:sz w:val="18"/>
                <w:szCs w:val="18"/>
              </w:rPr>
            </w:pPr>
            <w:r w:rsidRPr="00E55E40">
              <w:rPr>
                <w:color w:val="000000"/>
                <w:sz w:val="18"/>
                <w:szCs w:val="18"/>
              </w:rPr>
              <w:t>-32,3</w:t>
            </w:r>
          </w:p>
        </w:tc>
      </w:tr>
      <w:tr w:rsidR="00550FE4" w:rsidRPr="00E55E40" w14:paraId="3151E1B1" w14:textId="77777777" w:rsidTr="00CA372F">
        <w:trPr>
          <w:trHeight w:val="202"/>
        </w:trPr>
        <w:tc>
          <w:tcPr>
            <w:tcW w:w="2277" w:type="dxa"/>
            <w:vMerge/>
            <w:vAlign w:val="center"/>
            <w:hideMark/>
          </w:tcPr>
          <w:p w14:paraId="17BCACA0" w14:textId="77777777" w:rsidR="00550FE4" w:rsidRPr="00E55E40" w:rsidRDefault="00550FE4" w:rsidP="00D26642">
            <w:pPr>
              <w:rPr>
                <w:sz w:val="18"/>
                <w:szCs w:val="18"/>
              </w:rPr>
            </w:pPr>
          </w:p>
        </w:tc>
        <w:tc>
          <w:tcPr>
            <w:tcW w:w="1134" w:type="dxa"/>
            <w:vMerge/>
            <w:vAlign w:val="center"/>
            <w:hideMark/>
          </w:tcPr>
          <w:p w14:paraId="3C372328" w14:textId="77777777" w:rsidR="00550FE4" w:rsidRPr="00E55E40" w:rsidRDefault="00550FE4" w:rsidP="00D26642">
            <w:pPr>
              <w:rPr>
                <w:sz w:val="18"/>
                <w:szCs w:val="18"/>
              </w:rPr>
            </w:pPr>
          </w:p>
        </w:tc>
        <w:tc>
          <w:tcPr>
            <w:tcW w:w="1027" w:type="dxa"/>
            <w:shd w:val="clear" w:color="auto" w:fill="auto"/>
            <w:vAlign w:val="center"/>
            <w:hideMark/>
          </w:tcPr>
          <w:p w14:paraId="2A4C95BE" w14:textId="77777777" w:rsidR="00550FE4" w:rsidRPr="00E55E40" w:rsidRDefault="00550FE4" w:rsidP="00CA372F">
            <w:pPr>
              <w:jc w:val="center"/>
              <w:rPr>
                <w:bCs/>
                <w:i/>
                <w:color w:val="000000"/>
                <w:sz w:val="18"/>
                <w:szCs w:val="18"/>
              </w:rPr>
            </w:pPr>
            <w:r w:rsidRPr="00E55E40">
              <w:rPr>
                <w:bCs/>
                <w:i/>
                <w:color w:val="000000"/>
                <w:sz w:val="18"/>
                <w:szCs w:val="18"/>
              </w:rPr>
              <w:t>230,7</w:t>
            </w:r>
          </w:p>
        </w:tc>
        <w:tc>
          <w:tcPr>
            <w:tcW w:w="3226" w:type="dxa"/>
            <w:shd w:val="clear" w:color="auto" w:fill="auto"/>
            <w:hideMark/>
          </w:tcPr>
          <w:p w14:paraId="57195631" w14:textId="77777777" w:rsidR="00550FE4" w:rsidRPr="00E55E40" w:rsidRDefault="00550FE4" w:rsidP="00D26642">
            <w:pPr>
              <w:jc w:val="both"/>
              <w:rPr>
                <w:bCs/>
                <w:i/>
                <w:sz w:val="18"/>
                <w:szCs w:val="18"/>
              </w:rPr>
            </w:pPr>
            <w:r w:rsidRPr="00E55E40">
              <w:rPr>
                <w:bCs/>
                <w:i/>
                <w:sz w:val="18"/>
                <w:szCs w:val="18"/>
              </w:rPr>
              <w:t>средняя стоимость</w:t>
            </w:r>
          </w:p>
        </w:tc>
        <w:tc>
          <w:tcPr>
            <w:tcW w:w="2126" w:type="dxa"/>
            <w:shd w:val="clear" w:color="auto" w:fill="auto"/>
            <w:vAlign w:val="bottom"/>
            <w:hideMark/>
          </w:tcPr>
          <w:p w14:paraId="020C6A2D" w14:textId="77777777" w:rsidR="00550FE4" w:rsidRPr="00E55E40" w:rsidRDefault="00550FE4" w:rsidP="00550FE4">
            <w:pPr>
              <w:jc w:val="center"/>
              <w:rPr>
                <w:i/>
                <w:color w:val="000000"/>
                <w:sz w:val="18"/>
                <w:szCs w:val="18"/>
              </w:rPr>
            </w:pPr>
            <w:r w:rsidRPr="00E55E40">
              <w:rPr>
                <w:bCs/>
                <w:i/>
                <w:color w:val="000000"/>
                <w:sz w:val="18"/>
                <w:szCs w:val="18"/>
              </w:rPr>
              <w:t>-30,6</w:t>
            </w:r>
          </w:p>
        </w:tc>
      </w:tr>
      <w:tr w:rsidR="00F076EB" w:rsidRPr="00E55E40" w14:paraId="7CD2E8C0" w14:textId="77777777" w:rsidTr="00F076EB">
        <w:trPr>
          <w:trHeight w:val="461"/>
        </w:trPr>
        <w:tc>
          <w:tcPr>
            <w:tcW w:w="2277" w:type="dxa"/>
            <w:shd w:val="clear" w:color="auto" w:fill="auto"/>
            <w:vAlign w:val="center"/>
            <w:hideMark/>
          </w:tcPr>
          <w:p w14:paraId="2D4C16A0" w14:textId="77777777" w:rsidR="00F076EB" w:rsidRPr="00E55E40" w:rsidRDefault="004F4DA6" w:rsidP="00D26642">
            <w:pPr>
              <w:jc w:val="center"/>
              <w:rPr>
                <w:sz w:val="18"/>
                <w:szCs w:val="18"/>
              </w:rPr>
            </w:pPr>
            <w:r w:rsidRPr="00E55E40">
              <w:rPr>
                <w:sz w:val="18"/>
                <w:szCs w:val="18"/>
              </w:rPr>
              <w:t>Порядок ДИМВ</w:t>
            </w:r>
            <w:r w:rsidR="00F076EB" w:rsidRPr="00E55E40">
              <w:rPr>
                <w:sz w:val="18"/>
                <w:szCs w:val="18"/>
              </w:rPr>
              <w:t xml:space="preserve"> (частично)</w:t>
            </w:r>
          </w:p>
        </w:tc>
        <w:tc>
          <w:tcPr>
            <w:tcW w:w="1134" w:type="dxa"/>
            <w:shd w:val="clear" w:color="auto" w:fill="auto"/>
            <w:vAlign w:val="center"/>
            <w:hideMark/>
          </w:tcPr>
          <w:p w14:paraId="5B0CC201" w14:textId="77777777" w:rsidR="00F076EB" w:rsidRPr="00E55E40" w:rsidRDefault="00F076EB" w:rsidP="00D26642">
            <w:pPr>
              <w:jc w:val="center"/>
              <w:rPr>
                <w:i/>
                <w:sz w:val="18"/>
                <w:szCs w:val="18"/>
              </w:rPr>
            </w:pPr>
            <w:r w:rsidRPr="00E55E40">
              <w:rPr>
                <w:i/>
                <w:sz w:val="18"/>
                <w:szCs w:val="18"/>
              </w:rPr>
              <w:t>481,3</w:t>
            </w:r>
          </w:p>
        </w:tc>
        <w:tc>
          <w:tcPr>
            <w:tcW w:w="1027" w:type="dxa"/>
            <w:shd w:val="clear" w:color="auto" w:fill="auto"/>
            <w:vAlign w:val="center"/>
            <w:hideMark/>
          </w:tcPr>
          <w:p w14:paraId="137B7DF4" w14:textId="77777777" w:rsidR="00F076EB" w:rsidRPr="00E55E40" w:rsidRDefault="00F076EB" w:rsidP="00D26642">
            <w:pPr>
              <w:jc w:val="center"/>
              <w:rPr>
                <w:i/>
                <w:sz w:val="18"/>
                <w:szCs w:val="18"/>
              </w:rPr>
            </w:pPr>
            <w:r w:rsidRPr="00E55E40">
              <w:rPr>
                <w:i/>
                <w:sz w:val="18"/>
                <w:szCs w:val="18"/>
              </w:rPr>
              <w:t>214,2</w:t>
            </w:r>
          </w:p>
        </w:tc>
        <w:tc>
          <w:tcPr>
            <w:tcW w:w="3226" w:type="dxa"/>
            <w:shd w:val="clear" w:color="auto" w:fill="auto"/>
            <w:hideMark/>
          </w:tcPr>
          <w:p w14:paraId="039BA81A" w14:textId="77777777" w:rsidR="00F076EB" w:rsidRPr="00E55E40" w:rsidRDefault="00F076EB" w:rsidP="00D26642">
            <w:pPr>
              <w:rPr>
                <w:sz w:val="18"/>
                <w:szCs w:val="18"/>
              </w:rPr>
            </w:pPr>
            <w:r w:rsidRPr="00E55E40">
              <w:rPr>
                <w:sz w:val="18"/>
                <w:szCs w:val="18"/>
              </w:rPr>
              <w:t xml:space="preserve">Калачевский ПНИ </w:t>
            </w:r>
            <w:r w:rsidRPr="00E55E40">
              <w:rPr>
                <w:i/>
                <w:iCs/>
                <w:sz w:val="18"/>
                <w:szCs w:val="18"/>
              </w:rPr>
              <w:t>(Зимняцкий ДИМВ и Серафимовический ДИМВ)</w:t>
            </w:r>
            <w:r w:rsidRPr="00E55E40">
              <w:rPr>
                <w:sz w:val="18"/>
                <w:szCs w:val="18"/>
              </w:rPr>
              <w:t xml:space="preserve"> </w:t>
            </w:r>
          </w:p>
        </w:tc>
        <w:tc>
          <w:tcPr>
            <w:tcW w:w="2126" w:type="dxa"/>
            <w:shd w:val="clear" w:color="auto" w:fill="auto"/>
            <w:vAlign w:val="center"/>
            <w:hideMark/>
          </w:tcPr>
          <w:p w14:paraId="058C923D" w14:textId="77777777" w:rsidR="00F076EB" w:rsidRPr="00E55E40" w:rsidRDefault="00F076EB" w:rsidP="00336293">
            <w:pPr>
              <w:jc w:val="center"/>
              <w:rPr>
                <w:i/>
                <w:sz w:val="18"/>
                <w:szCs w:val="18"/>
              </w:rPr>
            </w:pPr>
            <w:r w:rsidRPr="00E55E40">
              <w:rPr>
                <w:i/>
                <w:sz w:val="18"/>
                <w:szCs w:val="18"/>
              </w:rPr>
              <w:t>-55,5</w:t>
            </w:r>
          </w:p>
        </w:tc>
      </w:tr>
    </w:tbl>
    <w:p w14:paraId="42380F9A" w14:textId="77777777" w:rsidR="004650B0" w:rsidRPr="00E55E40" w:rsidRDefault="002E2656" w:rsidP="001B0A73">
      <w:pPr>
        <w:autoSpaceDE w:val="0"/>
        <w:autoSpaceDN w:val="0"/>
        <w:adjustRightInd w:val="0"/>
        <w:ind w:firstLine="709"/>
        <w:jc w:val="both"/>
        <w:rPr>
          <w:rFonts w:eastAsiaTheme="minorHAnsi"/>
          <w:lang w:eastAsia="en-US"/>
        </w:rPr>
      </w:pPr>
      <w:r w:rsidRPr="00E55E40">
        <w:rPr>
          <w:rFonts w:eastAsiaTheme="minorHAnsi"/>
          <w:lang w:eastAsia="en-US"/>
        </w:rPr>
        <w:t xml:space="preserve">  </w:t>
      </w:r>
    </w:p>
    <w:p w14:paraId="7BBB588A" w14:textId="77777777" w:rsidR="007B3975" w:rsidRPr="00E55E40" w:rsidRDefault="007B3975" w:rsidP="007B3975">
      <w:pPr>
        <w:autoSpaceDE w:val="0"/>
        <w:autoSpaceDN w:val="0"/>
        <w:adjustRightInd w:val="0"/>
        <w:ind w:firstLine="709"/>
        <w:jc w:val="both"/>
        <w:rPr>
          <w:rFonts w:eastAsiaTheme="minorHAnsi"/>
          <w:lang w:eastAsia="en-US"/>
        </w:rPr>
      </w:pPr>
      <w:r w:rsidRPr="00E55E40">
        <w:rPr>
          <w:rFonts w:eastAsiaTheme="minorHAnsi"/>
          <w:lang w:eastAsia="en-US"/>
        </w:rPr>
        <w:t xml:space="preserve">Как видно из таблицы № 5, средняя стоимость фактически предоставляемых социальных услуг 1 получателю в государственных учреждениях, исчисленная из количества социальных услуг и тарифов, меньше утверждённых подушевых нормативов затрат по всем порядкам предоставления социальных услуг, в наибольшей степени по Порядку </w:t>
      </w:r>
      <w:r w:rsidR="004F4DA6" w:rsidRPr="00E55E40">
        <w:rPr>
          <w:rFonts w:eastAsiaTheme="minorHAnsi"/>
          <w:lang w:eastAsia="en-US"/>
        </w:rPr>
        <w:t>ДИМВ</w:t>
      </w:r>
      <w:r w:rsidRPr="00E55E40">
        <w:rPr>
          <w:rFonts w:eastAsiaTheme="minorHAnsi"/>
          <w:lang w:eastAsia="en-US"/>
        </w:rPr>
        <w:t xml:space="preserve"> - на 55,5 процента. </w:t>
      </w:r>
    </w:p>
    <w:p w14:paraId="5D409EEA" w14:textId="77777777" w:rsidR="00D26642" w:rsidRPr="00E55E40" w:rsidRDefault="00D26642" w:rsidP="00D26642">
      <w:pPr>
        <w:autoSpaceDE w:val="0"/>
        <w:autoSpaceDN w:val="0"/>
        <w:adjustRightInd w:val="0"/>
        <w:ind w:firstLine="709"/>
        <w:jc w:val="both"/>
        <w:rPr>
          <w:rFonts w:eastAsiaTheme="minorHAnsi"/>
          <w:lang w:eastAsia="en-US"/>
        </w:rPr>
      </w:pPr>
      <w:r w:rsidRPr="00E55E40">
        <w:rPr>
          <w:rFonts w:eastAsiaTheme="minorHAnsi"/>
          <w:lang w:eastAsia="en-US"/>
        </w:rPr>
        <w:t xml:space="preserve">Необходимо отметить, что согласно Порядку организации работы по формированию и финансовому обеспечению выполнения государственных заданий для государственных </w:t>
      </w:r>
      <w:r w:rsidRPr="00E55E40">
        <w:rPr>
          <w:rFonts w:eastAsiaTheme="minorHAnsi"/>
          <w:lang w:eastAsia="en-US"/>
        </w:rPr>
        <w:lastRenderedPageBreak/>
        <w:t>организаций социального обслуживания, подведомственных Комитету, утверждённому приказом Комитета от 09.12.2016 № 1663</w:t>
      </w:r>
      <w:r w:rsidR="00780CD6" w:rsidRPr="00E55E40">
        <w:rPr>
          <w:rFonts w:eastAsiaTheme="minorHAnsi"/>
          <w:lang w:eastAsia="en-US"/>
        </w:rPr>
        <w:t xml:space="preserve"> (далее приказ Комитета № 1663))</w:t>
      </w:r>
      <w:r w:rsidRPr="00E55E40">
        <w:rPr>
          <w:rFonts w:eastAsiaTheme="minorHAnsi"/>
          <w:lang w:eastAsia="en-US"/>
        </w:rPr>
        <w:t xml:space="preserve">, нормативные затраты на оказание государственных услуг в соответствии с абзацем четвертым пункта 2 Общих требований </w:t>
      </w:r>
      <w:r w:rsidRPr="00E55E40">
        <w:t>к определению нормативных затрат на оказание государственных услуг в сфере социальной защиты населения, применяемых при расчете объема субсидии на финансовое обеспечение выполнения государственного задания на оказание государственных услуг государственным учреждением, утверждённые приказом Минтрудсоцзащиты РФ от 13.07.2015 № 445н (далее Общие требования № 445н)</w:t>
      </w:r>
      <w:r w:rsidRPr="00E55E40">
        <w:rPr>
          <w:rFonts w:eastAsiaTheme="minorHAnsi"/>
          <w:lang w:eastAsia="en-US"/>
        </w:rPr>
        <w:t xml:space="preserve"> рассчитываются с учетом Методических </w:t>
      </w:r>
      <w:hyperlink r:id="rId14" w:history="1">
        <w:r w:rsidRPr="00E55E40">
          <w:rPr>
            <w:rFonts w:eastAsiaTheme="minorHAnsi"/>
            <w:lang w:eastAsia="en-US"/>
          </w:rPr>
          <w:t>рекомендаций</w:t>
        </w:r>
      </w:hyperlink>
      <w:r w:rsidRPr="00E55E40">
        <w:rPr>
          <w:rFonts w:eastAsiaTheme="minorHAnsi"/>
          <w:lang w:eastAsia="en-US"/>
        </w:rPr>
        <w:t xml:space="preserve"> по расчету подушевых нормативов № 1285.</w:t>
      </w:r>
    </w:p>
    <w:p w14:paraId="131D6FB8" w14:textId="77777777" w:rsidR="00847B28" w:rsidRPr="00E55E40" w:rsidRDefault="00DC0DA7" w:rsidP="007B3975">
      <w:pPr>
        <w:autoSpaceDE w:val="0"/>
        <w:autoSpaceDN w:val="0"/>
        <w:adjustRightInd w:val="0"/>
        <w:ind w:firstLine="709"/>
        <w:jc w:val="both"/>
        <w:rPr>
          <w:rFonts w:eastAsiaTheme="minorHAnsi"/>
          <w:lang w:eastAsia="en-US"/>
        </w:rPr>
      </w:pPr>
      <w:r w:rsidRPr="00E55E40">
        <w:rPr>
          <w:rFonts w:eastAsiaTheme="minorHAnsi"/>
          <w:lang w:eastAsia="en-US"/>
        </w:rPr>
        <w:t xml:space="preserve">В связи с этим расчет базовых нормативов затрат осуществлялся Комитетом по тому же механизму, что и расчет </w:t>
      </w:r>
      <w:r w:rsidR="00550FE4" w:rsidRPr="00E55E40">
        <w:rPr>
          <w:rFonts w:eastAsiaTheme="minorHAnsi"/>
          <w:lang w:eastAsia="en-US"/>
        </w:rPr>
        <w:t xml:space="preserve">подушевых нормативов. В результате </w:t>
      </w:r>
      <w:r w:rsidR="00D26642" w:rsidRPr="00E55E40">
        <w:rPr>
          <w:rFonts w:eastAsiaTheme="minorHAnsi"/>
          <w:lang w:eastAsia="en-US"/>
        </w:rPr>
        <w:t xml:space="preserve">базовые нормативы затрат </w:t>
      </w:r>
      <w:r w:rsidR="00847B28" w:rsidRPr="00E55E40">
        <w:rPr>
          <w:rFonts w:eastAsiaTheme="minorHAnsi"/>
          <w:lang w:eastAsia="en-US"/>
        </w:rPr>
        <w:t>на оказание государственных услуг</w:t>
      </w:r>
      <w:r w:rsidR="00550FE4" w:rsidRPr="00E55E40">
        <w:rPr>
          <w:rFonts w:eastAsiaTheme="minorHAnsi"/>
          <w:lang w:eastAsia="en-US"/>
        </w:rPr>
        <w:t xml:space="preserve"> в проверяемом периоде</w:t>
      </w:r>
      <w:r w:rsidR="00847B28" w:rsidRPr="00E55E40">
        <w:rPr>
          <w:rFonts w:eastAsiaTheme="minorHAnsi"/>
          <w:lang w:eastAsia="en-US"/>
        </w:rPr>
        <w:t xml:space="preserve"> </w:t>
      </w:r>
      <w:r w:rsidR="00550FE4" w:rsidRPr="00E55E40">
        <w:rPr>
          <w:rFonts w:eastAsiaTheme="minorHAnsi"/>
          <w:lang w:eastAsia="en-US"/>
        </w:rPr>
        <w:t>утверждены в размерах</w:t>
      </w:r>
      <w:r w:rsidR="00847B28" w:rsidRPr="00E55E40">
        <w:rPr>
          <w:rFonts w:eastAsiaTheme="minorHAnsi"/>
          <w:lang w:eastAsia="en-US"/>
        </w:rPr>
        <w:t xml:space="preserve">, равных </w:t>
      </w:r>
      <w:r w:rsidR="00D26642" w:rsidRPr="00E55E40">
        <w:rPr>
          <w:rFonts w:eastAsiaTheme="minorHAnsi"/>
          <w:lang w:eastAsia="en-US"/>
        </w:rPr>
        <w:t>подушевым нормативам</w:t>
      </w:r>
      <w:r w:rsidR="00550FE4" w:rsidRPr="00E55E40">
        <w:rPr>
          <w:rFonts w:eastAsiaTheme="minorHAnsi"/>
          <w:lang w:eastAsia="en-US"/>
        </w:rPr>
        <w:t xml:space="preserve"> финансирования социальных услуг</w:t>
      </w:r>
      <w:r w:rsidR="00D26642" w:rsidRPr="00E55E40">
        <w:rPr>
          <w:rFonts w:eastAsiaTheme="minorHAnsi"/>
          <w:lang w:eastAsia="en-US"/>
        </w:rPr>
        <w:t>.</w:t>
      </w:r>
    </w:p>
    <w:p w14:paraId="6B53B138" w14:textId="77777777" w:rsidR="004A1C0F" w:rsidRPr="00E55E40" w:rsidRDefault="00847B28" w:rsidP="007B3975">
      <w:pPr>
        <w:autoSpaceDE w:val="0"/>
        <w:autoSpaceDN w:val="0"/>
        <w:adjustRightInd w:val="0"/>
        <w:ind w:firstLine="709"/>
        <w:jc w:val="both"/>
        <w:rPr>
          <w:rFonts w:eastAsiaTheme="minorHAnsi"/>
          <w:lang w:eastAsia="en-US"/>
        </w:rPr>
      </w:pPr>
      <w:r w:rsidRPr="00E55E40">
        <w:rPr>
          <w:rFonts w:eastAsiaTheme="minorHAnsi"/>
          <w:lang w:eastAsia="en-US"/>
        </w:rPr>
        <w:t>Таким образом</w:t>
      </w:r>
      <w:r w:rsidR="004A1C0F" w:rsidRPr="00E55E40">
        <w:rPr>
          <w:rFonts w:eastAsiaTheme="minorHAnsi"/>
          <w:lang w:eastAsia="en-US"/>
        </w:rPr>
        <w:t>,</w:t>
      </w:r>
      <w:r w:rsidRPr="00E55E40">
        <w:rPr>
          <w:rFonts w:eastAsiaTheme="minorHAnsi"/>
          <w:lang w:eastAsia="en-US"/>
        </w:rPr>
        <w:t xml:space="preserve"> </w:t>
      </w:r>
      <w:r w:rsidR="00F37E9D" w:rsidRPr="00E55E40">
        <w:rPr>
          <w:rFonts w:eastAsiaTheme="minorHAnsi"/>
          <w:lang w:eastAsia="en-US"/>
        </w:rPr>
        <w:t xml:space="preserve">гражданам фактически оказывались социальные услуги на более низкую стоимость, чем размеры утверждённых </w:t>
      </w:r>
      <w:r w:rsidRPr="00E55E40">
        <w:rPr>
          <w:rFonts w:eastAsiaTheme="minorHAnsi"/>
          <w:lang w:eastAsia="en-US"/>
        </w:rPr>
        <w:t>базовы</w:t>
      </w:r>
      <w:r w:rsidR="00F37E9D" w:rsidRPr="00E55E40">
        <w:rPr>
          <w:rFonts w:eastAsiaTheme="minorHAnsi"/>
          <w:lang w:eastAsia="en-US"/>
        </w:rPr>
        <w:t>х</w:t>
      </w:r>
      <w:r w:rsidRPr="00E55E40">
        <w:rPr>
          <w:rFonts w:eastAsiaTheme="minorHAnsi"/>
          <w:lang w:eastAsia="en-US"/>
        </w:rPr>
        <w:t xml:space="preserve"> норматив</w:t>
      </w:r>
      <w:r w:rsidR="00F37E9D" w:rsidRPr="00E55E40">
        <w:rPr>
          <w:rFonts w:eastAsiaTheme="minorHAnsi"/>
          <w:lang w:eastAsia="en-US"/>
        </w:rPr>
        <w:t>ов</w:t>
      </w:r>
      <w:r w:rsidRPr="00E55E40">
        <w:rPr>
          <w:rFonts w:eastAsiaTheme="minorHAnsi"/>
          <w:lang w:eastAsia="en-US"/>
        </w:rPr>
        <w:t xml:space="preserve"> затрат</w:t>
      </w:r>
      <w:r w:rsidR="00F37E9D" w:rsidRPr="00E55E40">
        <w:rPr>
          <w:rFonts w:eastAsiaTheme="minorHAnsi"/>
          <w:lang w:eastAsia="en-US"/>
        </w:rPr>
        <w:t>.</w:t>
      </w:r>
    </w:p>
    <w:p w14:paraId="04C2A736" w14:textId="77777777" w:rsidR="0044073D" w:rsidRPr="00E55E40" w:rsidRDefault="00157AFB" w:rsidP="007B3975">
      <w:pPr>
        <w:autoSpaceDE w:val="0"/>
        <w:autoSpaceDN w:val="0"/>
        <w:adjustRightInd w:val="0"/>
        <w:ind w:firstLine="709"/>
        <w:jc w:val="both"/>
        <w:rPr>
          <w:rFonts w:eastAsiaTheme="minorHAnsi"/>
          <w:lang w:eastAsia="en-US"/>
        </w:rPr>
      </w:pPr>
      <w:r w:rsidRPr="00E55E40">
        <w:rPr>
          <w:rFonts w:eastAsiaTheme="minorHAnsi"/>
          <w:lang w:eastAsia="en-US"/>
        </w:rPr>
        <w:t>Сравнение утверждённых Комитетом размеров нормативных затрат на оказание государственных услуг по социальному обслуживанию граждан</w:t>
      </w:r>
      <w:r w:rsidR="00F37E9D" w:rsidRPr="00E55E40">
        <w:rPr>
          <w:rFonts w:eastAsiaTheme="minorHAnsi"/>
          <w:lang w:eastAsia="en-US"/>
        </w:rPr>
        <w:t>, рассчитанных</w:t>
      </w:r>
      <w:r w:rsidRPr="00E55E40">
        <w:rPr>
          <w:rFonts w:eastAsiaTheme="minorHAnsi"/>
          <w:lang w:eastAsia="en-US"/>
        </w:rPr>
        <w:t xml:space="preserve"> </w:t>
      </w:r>
      <w:r w:rsidR="00F37E9D" w:rsidRPr="00E55E40">
        <w:rPr>
          <w:rFonts w:eastAsiaTheme="minorHAnsi"/>
          <w:lang w:eastAsia="en-US"/>
        </w:rPr>
        <w:t xml:space="preserve">путём применения к базовым нормативам затрат территориальных корректирующих коэффициентов, </w:t>
      </w:r>
      <w:r w:rsidRPr="00E55E40">
        <w:rPr>
          <w:rFonts w:eastAsiaTheme="minorHAnsi"/>
          <w:lang w:eastAsia="en-US"/>
        </w:rPr>
        <w:t>и средней стоимости фактически предоставленных социальных услуг на 1 получателя на 2018 год представлена в таблице № 6.</w:t>
      </w:r>
    </w:p>
    <w:p w14:paraId="3A956B74" w14:textId="77777777" w:rsidR="00157AFB" w:rsidRPr="00E55E40" w:rsidRDefault="00157AFB" w:rsidP="00157AFB">
      <w:pPr>
        <w:autoSpaceDE w:val="0"/>
        <w:autoSpaceDN w:val="0"/>
        <w:adjustRightInd w:val="0"/>
        <w:ind w:firstLine="709"/>
        <w:jc w:val="right"/>
        <w:rPr>
          <w:rFonts w:eastAsiaTheme="minorHAnsi"/>
          <w:lang w:eastAsia="en-US"/>
        </w:rPr>
      </w:pPr>
      <w:r w:rsidRPr="00E55E40">
        <w:rPr>
          <w:rFonts w:eastAsiaTheme="minorHAnsi"/>
          <w:lang w:eastAsia="en-US"/>
        </w:rPr>
        <w:t>Таблица № 6</w:t>
      </w:r>
    </w:p>
    <w:tbl>
      <w:tblPr>
        <w:tblW w:w="9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994"/>
        <w:gridCol w:w="1027"/>
        <w:gridCol w:w="3082"/>
        <w:gridCol w:w="2356"/>
      </w:tblGrid>
      <w:tr w:rsidR="00F935D8" w:rsidRPr="00E55E40" w14:paraId="100ACC83" w14:textId="77777777" w:rsidTr="00F935D8">
        <w:trPr>
          <w:trHeight w:val="854"/>
        </w:trPr>
        <w:tc>
          <w:tcPr>
            <w:tcW w:w="2277" w:type="dxa"/>
            <w:vMerge w:val="restart"/>
            <w:shd w:val="clear" w:color="auto" w:fill="auto"/>
            <w:vAlign w:val="center"/>
            <w:hideMark/>
          </w:tcPr>
          <w:p w14:paraId="11481AC2" w14:textId="77777777" w:rsidR="00F935D8" w:rsidRPr="00E55E40" w:rsidRDefault="00F935D8" w:rsidP="008F3ED0">
            <w:pPr>
              <w:jc w:val="center"/>
              <w:rPr>
                <w:bCs/>
                <w:sz w:val="18"/>
                <w:szCs w:val="18"/>
              </w:rPr>
            </w:pPr>
            <w:r w:rsidRPr="00E55E40">
              <w:rPr>
                <w:bCs/>
                <w:sz w:val="18"/>
                <w:szCs w:val="18"/>
              </w:rPr>
              <w:t>Порядок предоставления социальных услуг, категория получателя (частично/полностью утративший способности к самообслуживанию)</w:t>
            </w:r>
          </w:p>
        </w:tc>
        <w:tc>
          <w:tcPr>
            <w:tcW w:w="994" w:type="dxa"/>
            <w:vMerge w:val="restart"/>
            <w:vAlign w:val="center"/>
          </w:tcPr>
          <w:p w14:paraId="1637413F" w14:textId="77777777" w:rsidR="00F935D8" w:rsidRPr="00E55E40" w:rsidRDefault="00F935D8" w:rsidP="008F3ED0">
            <w:pPr>
              <w:jc w:val="center"/>
              <w:rPr>
                <w:bCs/>
                <w:sz w:val="18"/>
                <w:szCs w:val="18"/>
              </w:rPr>
            </w:pPr>
            <w:r w:rsidRPr="00E55E40">
              <w:rPr>
                <w:bCs/>
                <w:sz w:val="18"/>
                <w:szCs w:val="18"/>
              </w:rPr>
              <w:t>Норма-тивные затраты, тыс. руб.</w:t>
            </w:r>
          </w:p>
        </w:tc>
        <w:tc>
          <w:tcPr>
            <w:tcW w:w="4109" w:type="dxa"/>
            <w:gridSpan w:val="2"/>
            <w:shd w:val="clear" w:color="auto" w:fill="auto"/>
            <w:vAlign w:val="center"/>
            <w:hideMark/>
          </w:tcPr>
          <w:p w14:paraId="60CECD46" w14:textId="77777777" w:rsidR="00F935D8" w:rsidRPr="00E55E40" w:rsidRDefault="00F935D8" w:rsidP="008F3ED0">
            <w:pPr>
              <w:jc w:val="center"/>
              <w:rPr>
                <w:bCs/>
                <w:sz w:val="18"/>
                <w:szCs w:val="18"/>
              </w:rPr>
            </w:pPr>
            <w:r w:rsidRPr="00E55E40">
              <w:rPr>
                <w:bCs/>
                <w:sz w:val="18"/>
                <w:szCs w:val="18"/>
              </w:rPr>
              <w:t>Средняя стоимость фактически предоставленных социальных услуг на 1 получателя</w:t>
            </w:r>
          </w:p>
        </w:tc>
        <w:tc>
          <w:tcPr>
            <w:tcW w:w="2356" w:type="dxa"/>
            <w:vMerge w:val="restart"/>
            <w:shd w:val="clear" w:color="auto" w:fill="auto"/>
            <w:vAlign w:val="center"/>
            <w:hideMark/>
          </w:tcPr>
          <w:p w14:paraId="78A5E9E4" w14:textId="77777777" w:rsidR="00F935D8" w:rsidRPr="00E55E40" w:rsidRDefault="00F935D8" w:rsidP="00F935D8">
            <w:pPr>
              <w:jc w:val="center"/>
              <w:rPr>
                <w:bCs/>
                <w:sz w:val="18"/>
                <w:szCs w:val="18"/>
              </w:rPr>
            </w:pPr>
            <w:r w:rsidRPr="00E55E40">
              <w:rPr>
                <w:bCs/>
                <w:sz w:val="18"/>
                <w:szCs w:val="18"/>
              </w:rPr>
              <w:t>Отклонение стоимости социального обслуживания от нормативных затрат, %</w:t>
            </w:r>
          </w:p>
        </w:tc>
      </w:tr>
      <w:tr w:rsidR="00F935D8" w:rsidRPr="00E55E40" w14:paraId="614091C4" w14:textId="77777777" w:rsidTr="008F3ED0">
        <w:trPr>
          <w:trHeight w:val="300"/>
        </w:trPr>
        <w:tc>
          <w:tcPr>
            <w:tcW w:w="2277" w:type="dxa"/>
            <w:vMerge/>
            <w:vAlign w:val="center"/>
            <w:hideMark/>
          </w:tcPr>
          <w:p w14:paraId="09547AA9" w14:textId="77777777" w:rsidR="00F935D8" w:rsidRPr="00E55E40" w:rsidRDefault="00F935D8" w:rsidP="008F3ED0">
            <w:pPr>
              <w:jc w:val="center"/>
              <w:rPr>
                <w:bCs/>
                <w:sz w:val="18"/>
                <w:szCs w:val="18"/>
              </w:rPr>
            </w:pPr>
          </w:p>
        </w:tc>
        <w:tc>
          <w:tcPr>
            <w:tcW w:w="994" w:type="dxa"/>
            <w:vMerge/>
          </w:tcPr>
          <w:p w14:paraId="08F25A4C" w14:textId="77777777" w:rsidR="00F935D8" w:rsidRPr="00E55E40" w:rsidRDefault="00F935D8" w:rsidP="008F3ED0">
            <w:pPr>
              <w:jc w:val="center"/>
              <w:rPr>
                <w:bCs/>
                <w:sz w:val="18"/>
                <w:szCs w:val="18"/>
              </w:rPr>
            </w:pPr>
          </w:p>
        </w:tc>
        <w:tc>
          <w:tcPr>
            <w:tcW w:w="1027" w:type="dxa"/>
            <w:shd w:val="clear" w:color="auto" w:fill="auto"/>
            <w:vAlign w:val="center"/>
            <w:hideMark/>
          </w:tcPr>
          <w:p w14:paraId="547ED23A" w14:textId="77777777" w:rsidR="00F935D8" w:rsidRPr="00E55E40" w:rsidRDefault="00F935D8" w:rsidP="008F3ED0">
            <w:pPr>
              <w:jc w:val="center"/>
              <w:rPr>
                <w:bCs/>
                <w:sz w:val="18"/>
                <w:szCs w:val="18"/>
              </w:rPr>
            </w:pPr>
            <w:r w:rsidRPr="00E55E40">
              <w:rPr>
                <w:bCs/>
                <w:sz w:val="18"/>
                <w:szCs w:val="18"/>
              </w:rPr>
              <w:t>тыс. руб.</w:t>
            </w:r>
          </w:p>
        </w:tc>
        <w:tc>
          <w:tcPr>
            <w:tcW w:w="3082" w:type="dxa"/>
            <w:shd w:val="clear" w:color="auto" w:fill="auto"/>
            <w:vAlign w:val="center"/>
            <w:hideMark/>
          </w:tcPr>
          <w:p w14:paraId="2053D2E3" w14:textId="77777777" w:rsidR="00F935D8" w:rsidRPr="00E55E40" w:rsidRDefault="00F935D8" w:rsidP="008F3ED0">
            <w:pPr>
              <w:jc w:val="center"/>
              <w:rPr>
                <w:bCs/>
                <w:sz w:val="18"/>
                <w:szCs w:val="18"/>
              </w:rPr>
            </w:pPr>
            <w:r w:rsidRPr="00E55E40">
              <w:rPr>
                <w:bCs/>
                <w:sz w:val="18"/>
                <w:szCs w:val="18"/>
              </w:rPr>
              <w:t>учреждение</w:t>
            </w:r>
          </w:p>
        </w:tc>
        <w:tc>
          <w:tcPr>
            <w:tcW w:w="2356" w:type="dxa"/>
            <w:vMerge/>
            <w:shd w:val="clear" w:color="auto" w:fill="auto"/>
            <w:hideMark/>
          </w:tcPr>
          <w:p w14:paraId="4ACE23CF" w14:textId="77777777" w:rsidR="00F935D8" w:rsidRPr="00E55E40" w:rsidRDefault="00F935D8" w:rsidP="008F3ED0">
            <w:pPr>
              <w:jc w:val="center"/>
              <w:rPr>
                <w:bCs/>
                <w:sz w:val="18"/>
                <w:szCs w:val="18"/>
              </w:rPr>
            </w:pPr>
          </w:p>
        </w:tc>
      </w:tr>
      <w:tr w:rsidR="00550FE4" w:rsidRPr="00E55E40" w14:paraId="16E37050" w14:textId="77777777" w:rsidTr="00CA372F">
        <w:trPr>
          <w:trHeight w:val="145"/>
        </w:trPr>
        <w:tc>
          <w:tcPr>
            <w:tcW w:w="2277" w:type="dxa"/>
            <w:vMerge w:val="restart"/>
            <w:shd w:val="clear" w:color="auto" w:fill="auto"/>
            <w:vAlign w:val="center"/>
            <w:hideMark/>
          </w:tcPr>
          <w:p w14:paraId="0524F6AE" w14:textId="77777777" w:rsidR="00550FE4" w:rsidRPr="00E55E40" w:rsidRDefault="004F4DA6" w:rsidP="008F3ED0">
            <w:pPr>
              <w:jc w:val="center"/>
              <w:rPr>
                <w:sz w:val="18"/>
                <w:szCs w:val="18"/>
              </w:rPr>
            </w:pPr>
            <w:r w:rsidRPr="00E55E40">
              <w:rPr>
                <w:sz w:val="18"/>
                <w:szCs w:val="18"/>
              </w:rPr>
              <w:t>Порядок ПНИ</w:t>
            </w:r>
            <w:r w:rsidR="00550FE4" w:rsidRPr="00E55E40">
              <w:rPr>
                <w:sz w:val="18"/>
                <w:szCs w:val="18"/>
              </w:rPr>
              <w:t xml:space="preserve"> (частично)</w:t>
            </w:r>
          </w:p>
        </w:tc>
        <w:tc>
          <w:tcPr>
            <w:tcW w:w="994" w:type="dxa"/>
          </w:tcPr>
          <w:p w14:paraId="761828F4" w14:textId="77777777" w:rsidR="00550FE4" w:rsidRPr="00E55E40" w:rsidRDefault="00550FE4" w:rsidP="008F3ED0">
            <w:pPr>
              <w:jc w:val="center"/>
              <w:rPr>
                <w:sz w:val="18"/>
                <w:szCs w:val="18"/>
              </w:rPr>
            </w:pPr>
            <w:r w:rsidRPr="00E55E40">
              <w:rPr>
                <w:sz w:val="18"/>
                <w:szCs w:val="18"/>
              </w:rPr>
              <w:t>383,5</w:t>
            </w:r>
          </w:p>
        </w:tc>
        <w:tc>
          <w:tcPr>
            <w:tcW w:w="1027" w:type="dxa"/>
            <w:shd w:val="clear" w:color="auto" w:fill="auto"/>
            <w:vAlign w:val="center"/>
            <w:hideMark/>
          </w:tcPr>
          <w:p w14:paraId="17E81E3E" w14:textId="77777777" w:rsidR="00550FE4" w:rsidRPr="00E55E40" w:rsidRDefault="00550FE4" w:rsidP="00CA372F">
            <w:pPr>
              <w:jc w:val="center"/>
              <w:rPr>
                <w:color w:val="000000"/>
                <w:sz w:val="18"/>
                <w:szCs w:val="18"/>
              </w:rPr>
            </w:pPr>
            <w:r w:rsidRPr="00E55E40">
              <w:rPr>
                <w:color w:val="000000"/>
                <w:sz w:val="18"/>
                <w:szCs w:val="18"/>
              </w:rPr>
              <w:t>226,9</w:t>
            </w:r>
          </w:p>
        </w:tc>
        <w:tc>
          <w:tcPr>
            <w:tcW w:w="3082" w:type="dxa"/>
            <w:shd w:val="clear" w:color="auto" w:fill="auto"/>
            <w:hideMark/>
          </w:tcPr>
          <w:p w14:paraId="3EDCDEE8" w14:textId="77777777" w:rsidR="00550FE4" w:rsidRPr="00E55E40" w:rsidRDefault="00550FE4" w:rsidP="008F3ED0">
            <w:pPr>
              <w:jc w:val="both"/>
              <w:rPr>
                <w:sz w:val="18"/>
                <w:szCs w:val="18"/>
              </w:rPr>
            </w:pPr>
            <w:r w:rsidRPr="00E55E40">
              <w:rPr>
                <w:sz w:val="18"/>
                <w:szCs w:val="18"/>
              </w:rPr>
              <w:t>Волгоградский ДПИ</w:t>
            </w:r>
          </w:p>
        </w:tc>
        <w:tc>
          <w:tcPr>
            <w:tcW w:w="2356" w:type="dxa"/>
            <w:shd w:val="clear" w:color="auto" w:fill="auto"/>
            <w:vAlign w:val="bottom"/>
            <w:hideMark/>
          </w:tcPr>
          <w:p w14:paraId="3A602E77" w14:textId="77777777" w:rsidR="00550FE4" w:rsidRPr="00E55E40" w:rsidRDefault="00550FE4" w:rsidP="00550FE4">
            <w:pPr>
              <w:jc w:val="center"/>
              <w:rPr>
                <w:color w:val="000000"/>
                <w:sz w:val="18"/>
                <w:szCs w:val="18"/>
              </w:rPr>
            </w:pPr>
            <w:r w:rsidRPr="00E55E40">
              <w:rPr>
                <w:color w:val="000000"/>
                <w:sz w:val="18"/>
                <w:szCs w:val="18"/>
              </w:rPr>
              <w:t>-40,8</w:t>
            </w:r>
          </w:p>
        </w:tc>
      </w:tr>
      <w:tr w:rsidR="00550FE4" w:rsidRPr="00E55E40" w14:paraId="22A91E2D" w14:textId="77777777" w:rsidTr="00CA372F">
        <w:trPr>
          <w:trHeight w:val="78"/>
        </w:trPr>
        <w:tc>
          <w:tcPr>
            <w:tcW w:w="2277" w:type="dxa"/>
            <w:vMerge/>
            <w:vAlign w:val="center"/>
            <w:hideMark/>
          </w:tcPr>
          <w:p w14:paraId="2E5861D0" w14:textId="77777777" w:rsidR="00550FE4" w:rsidRPr="00E55E40" w:rsidRDefault="00550FE4" w:rsidP="008F3ED0">
            <w:pPr>
              <w:rPr>
                <w:sz w:val="18"/>
                <w:szCs w:val="18"/>
              </w:rPr>
            </w:pPr>
          </w:p>
        </w:tc>
        <w:tc>
          <w:tcPr>
            <w:tcW w:w="994" w:type="dxa"/>
          </w:tcPr>
          <w:p w14:paraId="0FAD3D9C" w14:textId="77777777" w:rsidR="00550FE4" w:rsidRPr="00E55E40" w:rsidRDefault="00550FE4" w:rsidP="008F3ED0">
            <w:pPr>
              <w:jc w:val="center"/>
              <w:rPr>
                <w:sz w:val="18"/>
                <w:szCs w:val="18"/>
              </w:rPr>
            </w:pPr>
            <w:r w:rsidRPr="00E55E40">
              <w:rPr>
                <w:sz w:val="18"/>
                <w:szCs w:val="18"/>
              </w:rPr>
              <w:t>326,1</w:t>
            </w:r>
          </w:p>
        </w:tc>
        <w:tc>
          <w:tcPr>
            <w:tcW w:w="1027" w:type="dxa"/>
            <w:shd w:val="clear" w:color="auto" w:fill="auto"/>
            <w:vAlign w:val="center"/>
            <w:hideMark/>
          </w:tcPr>
          <w:p w14:paraId="0421435F" w14:textId="77777777" w:rsidR="00550FE4" w:rsidRPr="00E55E40" w:rsidRDefault="00550FE4" w:rsidP="00CA372F">
            <w:pPr>
              <w:jc w:val="center"/>
              <w:rPr>
                <w:color w:val="000000"/>
                <w:sz w:val="18"/>
                <w:szCs w:val="18"/>
              </w:rPr>
            </w:pPr>
            <w:r w:rsidRPr="00E55E40">
              <w:rPr>
                <w:color w:val="000000"/>
                <w:sz w:val="18"/>
                <w:szCs w:val="18"/>
              </w:rPr>
              <w:t>257,5</w:t>
            </w:r>
          </w:p>
        </w:tc>
        <w:tc>
          <w:tcPr>
            <w:tcW w:w="3082" w:type="dxa"/>
            <w:shd w:val="clear" w:color="auto" w:fill="auto"/>
            <w:hideMark/>
          </w:tcPr>
          <w:p w14:paraId="0B2241BF" w14:textId="77777777" w:rsidR="00550FE4" w:rsidRPr="00E55E40" w:rsidRDefault="00550FE4" w:rsidP="008F3ED0">
            <w:pPr>
              <w:jc w:val="both"/>
              <w:rPr>
                <w:sz w:val="18"/>
                <w:szCs w:val="18"/>
              </w:rPr>
            </w:pPr>
            <w:r w:rsidRPr="00E55E40">
              <w:rPr>
                <w:sz w:val="18"/>
                <w:szCs w:val="18"/>
              </w:rPr>
              <w:t>Калачевский ПНИ</w:t>
            </w:r>
          </w:p>
        </w:tc>
        <w:tc>
          <w:tcPr>
            <w:tcW w:w="2356" w:type="dxa"/>
            <w:shd w:val="clear" w:color="auto" w:fill="auto"/>
            <w:vAlign w:val="bottom"/>
            <w:hideMark/>
          </w:tcPr>
          <w:p w14:paraId="3C40F2A3" w14:textId="77777777" w:rsidR="00550FE4" w:rsidRPr="00E55E40" w:rsidRDefault="00550FE4" w:rsidP="00550FE4">
            <w:pPr>
              <w:jc w:val="center"/>
              <w:rPr>
                <w:color w:val="000000"/>
                <w:sz w:val="18"/>
                <w:szCs w:val="18"/>
              </w:rPr>
            </w:pPr>
            <w:r w:rsidRPr="00E55E40">
              <w:rPr>
                <w:color w:val="000000"/>
                <w:sz w:val="18"/>
                <w:szCs w:val="18"/>
              </w:rPr>
              <w:t>-21</w:t>
            </w:r>
          </w:p>
        </w:tc>
      </w:tr>
      <w:tr w:rsidR="00550FE4" w:rsidRPr="00E55E40" w14:paraId="020D0BD8" w14:textId="77777777" w:rsidTr="00CA372F">
        <w:trPr>
          <w:trHeight w:val="138"/>
        </w:trPr>
        <w:tc>
          <w:tcPr>
            <w:tcW w:w="2277" w:type="dxa"/>
            <w:vMerge/>
            <w:vAlign w:val="center"/>
            <w:hideMark/>
          </w:tcPr>
          <w:p w14:paraId="4CF75859" w14:textId="77777777" w:rsidR="00550FE4" w:rsidRPr="00E55E40" w:rsidRDefault="00550FE4" w:rsidP="008F3ED0">
            <w:pPr>
              <w:rPr>
                <w:sz w:val="18"/>
                <w:szCs w:val="18"/>
              </w:rPr>
            </w:pPr>
          </w:p>
        </w:tc>
        <w:tc>
          <w:tcPr>
            <w:tcW w:w="994" w:type="dxa"/>
          </w:tcPr>
          <w:p w14:paraId="48052A6B" w14:textId="77777777" w:rsidR="00550FE4" w:rsidRPr="00E55E40" w:rsidRDefault="00550FE4" w:rsidP="008F3ED0">
            <w:pPr>
              <w:jc w:val="center"/>
              <w:rPr>
                <w:sz w:val="18"/>
                <w:szCs w:val="18"/>
              </w:rPr>
            </w:pPr>
            <w:r w:rsidRPr="00E55E40">
              <w:rPr>
                <w:sz w:val="18"/>
                <w:szCs w:val="18"/>
              </w:rPr>
              <w:t>400,7</w:t>
            </w:r>
          </w:p>
        </w:tc>
        <w:tc>
          <w:tcPr>
            <w:tcW w:w="1027" w:type="dxa"/>
            <w:shd w:val="clear" w:color="auto" w:fill="auto"/>
            <w:vAlign w:val="center"/>
            <w:hideMark/>
          </w:tcPr>
          <w:p w14:paraId="09392DC8" w14:textId="77777777" w:rsidR="00550FE4" w:rsidRPr="00E55E40" w:rsidRDefault="00550FE4" w:rsidP="00CA372F">
            <w:pPr>
              <w:jc w:val="center"/>
              <w:rPr>
                <w:color w:val="000000"/>
                <w:sz w:val="18"/>
                <w:szCs w:val="18"/>
              </w:rPr>
            </w:pPr>
            <w:r w:rsidRPr="00E55E40">
              <w:rPr>
                <w:color w:val="000000"/>
                <w:sz w:val="18"/>
                <w:szCs w:val="18"/>
              </w:rPr>
              <w:t>209,1</w:t>
            </w:r>
          </w:p>
        </w:tc>
        <w:tc>
          <w:tcPr>
            <w:tcW w:w="3082" w:type="dxa"/>
            <w:shd w:val="clear" w:color="auto" w:fill="auto"/>
            <w:hideMark/>
          </w:tcPr>
          <w:p w14:paraId="719DFC23" w14:textId="77777777" w:rsidR="00550FE4" w:rsidRPr="00E55E40" w:rsidRDefault="00550FE4" w:rsidP="008F3ED0">
            <w:pPr>
              <w:jc w:val="both"/>
              <w:rPr>
                <w:sz w:val="18"/>
                <w:szCs w:val="18"/>
              </w:rPr>
            </w:pPr>
            <w:r w:rsidRPr="00E55E40">
              <w:rPr>
                <w:sz w:val="18"/>
                <w:szCs w:val="18"/>
              </w:rPr>
              <w:t>Заплавинский ПНИ</w:t>
            </w:r>
          </w:p>
        </w:tc>
        <w:tc>
          <w:tcPr>
            <w:tcW w:w="2356" w:type="dxa"/>
            <w:shd w:val="clear" w:color="auto" w:fill="auto"/>
            <w:vAlign w:val="bottom"/>
            <w:hideMark/>
          </w:tcPr>
          <w:p w14:paraId="54DECA8B" w14:textId="77777777" w:rsidR="00550FE4" w:rsidRPr="00E55E40" w:rsidRDefault="00550FE4" w:rsidP="00550FE4">
            <w:pPr>
              <w:jc w:val="center"/>
              <w:rPr>
                <w:color w:val="000000"/>
                <w:sz w:val="18"/>
                <w:szCs w:val="18"/>
              </w:rPr>
            </w:pPr>
            <w:r w:rsidRPr="00E55E40">
              <w:rPr>
                <w:color w:val="000000"/>
                <w:sz w:val="18"/>
                <w:szCs w:val="18"/>
              </w:rPr>
              <w:t>-47,8</w:t>
            </w:r>
          </w:p>
        </w:tc>
      </w:tr>
      <w:tr w:rsidR="00550FE4" w:rsidRPr="00E55E40" w14:paraId="1CB4A5A1" w14:textId="77777777" w:rsidTr="00CA372F">
        <w:trPr>
          <w:trHeight w:val="211"/>
        </w:trPr>
        <w:tc>
          <w:tcPr>
            <w:tcW w:w="2277" w:type="dxa"/>
            <w:vMerge/>
            <w:vAlign w:val="center"/>
            <w:hideMark/>
          </w:tcPr>
          <w:p w14:paraId="498C0CAC" w14:textId="77777777" w:rsidR="00550FE4" w:rsidRPr="00E55E40" w:rsidRDefault="00550FE4" w:rsidP="008F3ED0">
            <w:pPr>
              <w:rPr>
                <w:sz w:val="18"/>
                <w:szCs w:val="18"/>
              </w:rPr>
            </w:pPr>
          </w:p>
        </w:tc>
        <w:tc>
          <w:tcPr>
            <w:tcW w:w="994" w:type="dxa"/>
          </w:tcPr>
          <w:p w14:paraId="1CCF0CF6" w14:textId="77777777" w:rsidR="00550FE4" w:rsidRPr="00E55E40" w:rsidRDefault="00550FE4" w:rsidP="008F3ED0">
            <w:pPr>
              <w:jc w:val="center"/>
              <w:rPr>
                <w:sz w:val="18"/>
                <w:szCs w:val="18"/>
              </w:rPr>
            </w:pPr>
            <w:r w:rsidRPr="00E55E40">
              <w:rPr>
                <w:sz w:val="18"/>
                <w:szCs w:val="18"/>
              </w:rPr>
              <w:t>400,7</w:t>
            </w:r>
          </w:p>
        </w:tc>
        <w:tc>
          <w:tcPr>
            <w:tcW w:w="1027" w:type="dxa"/>
            <w:shd w:val="clear" w:color="auto" w:fill="auto"/>
            <w:vAlign w:val="center"/>
            <w:hideMark/>
          </w:tcPr>
          <w:p w14:paraId="4E31081E" w14:textId="77777777" w:rsidR="00550FE4" w:rsidRPr="00E55E40" w:rsidRDefault="00550FE4" w:rsidP="00CA372F">
            <w:pPr>
              <w:jc w:val="center"/>
              <w:rPr>
                <w:color w:val="000000"/>
                <w:sz w:val="18"/>
                <w:szCs w:val="18"/>
              </w:rPr>
            </w:pPr>
            <w:r w:rsidRPr="00E55E40">
              <w:rPr>
                <w:color w:val="000000"/>
                <w:sz w:val="18"/>
                <w:szCs w:val="18"/>
              </w:rPr>
              <w:t>199,3</w:t>
            </w:r>
          </w:p>
        </w:tc>
        <w:tc>
          <w:tcPr>
            <w:tcW w:w="3082" w:type="dxa"/>
            <w:shd w:val="clear" w:color="auto" w:fill="auto"/>
            <w:hideMark/>
          </w:tcPr>
          <w:p w14:paraId="4A113D11" w14:textId="77777777" w:rsidR="00550FE4" w:rsidRPr="00E55E40" w:rsidRDefault="00550FE4" w:rsidP="008F3ED0">
            <w:pPr>
              <w:jc w:val="both"/>
              <w:rPr>
                <w:sz w:val="18"/>
                <w:szCs w:val="18"/>
              </w:rPr>
            </w:pPr>
            <w:r w:rsidRPr="00E55E40">
              <w:rPr>
                <w:sz w:val="18"/>
                <w:szCs w:val="18"/>
              </w:rPr>
              <w:t>Царевский ПНИ</w:t>
            </w:r>
          </w:p>
        </w:tc>
        <w:tc>
          <w:tcPr>
            <w:tcW w:w="2356" w:type="dxa"/>
            <w:shd w:val="clear" w:color="auto" w:fill="auto"/>
            <w:vAlign w:val="bottom"/>
            <w:hideMark/>
          </w:tcPr>
          <w:p w14:paraId="12608AAC" w14:textId="77777777" w:rsidR="00550FE4" w:rsidRPr="00E55E40" w:rsidRDefault="00550FE4" w:rsidP="00550FE4">
            <w:pPr>
              <w:jc w:val="center"/>
              <w:rPr>
                <w:color w:val="000000"/>
                <w:sz w:val="18"/>
                <w:szCs w:val="18"/>
              </w:rPr>
            </w:pPr>
            <w:r w:rsidRPr="00E55E40">
              <w:rPr>
                <w:color w:val="000000"/>
                <w:sz w:val="18"/>
                <w:szCs w:val="18"/>
              </w:rPr>
              <w:t>-50,3</w:t>
            </w:r>
          </w:p>
        </w:tc>
      </w:tr>
      <w:tr w:rsidR="00550FE4" w:rsidRPr="00E55E40" w14:paraId="3AB76116" w14:textId="77777777" w:rsidTr="00CA372F">
        <w:trPr>
          <w:trHeight w:val="130"/>
        </w:trPr>
        <w:tc>
          <w:tcPr>
            <w:tcW w:w="2277" w:type="dxa"/>
            <w:vMerge/>
            <w:vAlign w:val="center"/>
            <w:hideMark/>
          </w:tcPr>
          <w:p w14:paraId="5942CD5B" w14:textId="77777777" w:rsidR="00550FE4" w:rsidRPr="00E55E40" w:rsidRDefault="00550FE4" w:rsidP="008F3ED0">
            <w:pPr>
              <w:rPr>
                <w:sz w:val="18"/>
                <w:szCs w:val="18"/>
              </w:rPr>
            </w:pPr>
          </w:p>
        </w:tc>
        <w:tc>
          <w:tcPr>
            <w:tcW w:w="994" w:type="dxa"/>
          </w:tcPr>
          <w:p w14:paraId="72CCFAEA" w14:textId="77777777" w:rsidR="00550FE4" w:rsidRPr="00E55E40" w:rsidRDefault="00550FE4" w:rsidP="008F3ED0">
            <w:pPr>
              <w:jc w:val="center"/>
              <w:rPr>
                <w:sz w:val="18"/>
                <w:szCs w:val="18"/>
              </w:rPr>
            </w:pPr>
            <w:r w:rsidRPr="00E55E40">
              <w:rPr>
                <w:sz w:val="18"/>
                <w:szCs w:val="18"/>
              </w:rPr>
              <w:t>388,7</w:t>
            </w:r>
          </w:p>
        </w:tc>
        <w:tc>
          <w:tcPr>
            <w:tcW w:w="1027" w:type="dxa"/>
            <w:shd w:val="clear" w:color="auto" w:fill="auto"/>
            <w:vAlign w:val="center"/>
            <w:hideMark/>
          </w:tcPr>
          <w:p w14:paraId="3CC2E190" w14:textId="77777777" w:rsidR="00550FE4" w:rsidRPr="00E55E40" w:rsidRDefault="00550FE4" w:rsidP="00CA372F">
            <w:pPr>
              <w:jc w:val="center"/>
              <w:rPr>
                <w:color w:val="000000"/>
                <w:sz w:val="18"/>
                <w:szCs w:val="18"/>
              </w:rPr>
            </w:pPr>
            <w:r w:rsidRPr="00E55E40">
              <w:rPr>
                <w:color w:val="000000"/>
                <w:sz w:val="18"/>
                <w:szCs w:val="18"/>
              </w:rPr>
              <w:t>186,8</w:t>
            </w:r>
          </w:p>
        </w:tc>
        <w:tc>
          <w:tcPr>
            <w:tcW w:w="3082" w:type="dxa"/>
            <w:shd w:val="clear" w:color="auto" w:fill="auto"/>
            <w:hideMark/>
          </w:tcPr>
          <w:p w14:paraId="1B542336" w14:textId="77777777" w:rsidR="00550FE4" w:rsidRPr="00E55E40" w:rsidRDefault="00550FE4" w:rsidP="008F3ED0">
            <w:pPr>
              <w:jc w:val="both"/>
              <w:rPr>
                <w:sz w:val="18"/>
                <w:szCs w:val="18"/>
              </w:rPr>
            </w:pPr>
            <w:r w:rsidRPr="00E55E40">
              <w:rPr>
                <w:sz w:val="18"/>
                <w:szCs w:val="18"/>
              </w:rPr>
              <w:t>Урюпинский ПНИ</w:t>
            </w:r>
          </w:p>
        </w:tc>
        <w:tc>
          <w:tcPr>
            <w:tcW w:w="2356" w:type="dxa"/>
            <w:shd w:val="clear" w:color="auto" w:fill="auto"/>
            <w:vAlign w:val="bottom"/>
            <w:hideMark/>
          </w:tcPr>
          <w:p w14:paraId="05D7968D" w14:textId="77777777" w:rsidR="00550FE4" w:rsidRPr="00E55E40" w:rsidRDefault="00550FE4" w:rsidP="00550FE4">
            <w:pPr>
              <w:jc w:val="center"/>
              <w:rPr>
                <w:color w:val="000000"/>
                <w:sz w:val="18"/>
                <w:szCs w:val="18"/>
              </w:rPr>
            </w:pPr>
            <w:r w:rsidRPr="00E55E40">
              <w:rPr>
                <w:color w:val="000000"/>
                <w:sz w:val="18"/>
                <w:szCs w:val="18"/>
              </w:rPr>
              <w:t>-51,9</w:t>
            </w:r>
          </w:p>
        </w:tc>
      </w:tr>
      <w:tr w:rsidR="00550FE4" w:rsidRPr="00E55E40" w14:paraId="457AA962" w14:textId="77777777" w:rsidTr="00CA372F">
        <w:trPr>
          <w:trHeight w:val="204"/>
        </w:trPr>
        <w:tc>
          <w:tcPr>
            <w:tcW w:w="2277" w:type="dxa"/>
            <w:vMerge/>
            <w:vAlign w:val="center"/>
            <w:hideMark/>
          </w:tcPr>
          <w:p w14:paraId="281455DF" w14:textId="77777777" w:rsidR="00550FE4" w:rsidRPr="00E55E40" w:rsidRDefault="00550FE4" w:rsidP="008F3ED0">
            <w:pPr>
              <w:rPr>
                <w:sz w:val="18"/>
                <w:szCs w:val="18"/>
              </w:rPr>
            </w:pPr>
          </w:p>
        </w:tc>
        <w:tc>
          <w:tcPr>
            <w:tcW w:w="994" w:type="dxa"/>
          </w:tcPr>
          <w:p w14:paraId="2F2F0D6D" w14:textId="77777777" w:rsidR="00550FE4" w:rsidRPr="00E55E40" w:rsidRDefault="00550FE4" w:rsidP="008F3ED0">
            <w:pPr>
              <w:jc w:val="center"/>
              <w:rPr>
                <w:sz w:val="18"/>
                <w:szCs w:val="18"/>
              </w:rPr>
            </w:pPr>
            <w:r w:rsidRPr="00E55E40">
              <w:rPr>
                <w:sz w:val="18"/>
                <w:szCs w:val="18"/>
              </w:rPr>
              <w:t>332,7</w:t>
            </w:r>
          </w:p>
        </w:tc>
        <w:tc>
          <w:tcPr>
            <w:tcW w:w="1027" w:type="dxa"/>
            <w:shd w:val="clear" w:color="auto" w:fill="auto"/>
            <w:vAlign w:val="center"/>
            <w:hideMark/>
          </w:tcPr>
          <w:p w14:paraId="3B22D807" w14:textId="77777777" w:rsidR="00550FE4" w:rsidRPr="00E55E40" w:rsidRDefault="00550FE4" w:rsidP="00CA372F">
            <w:pPr>
              <w:jc w:val="center"/>
              <w:rPr>
                <w:color w:val="000000"/>
                <w:sz w:val="18"/>
                <w:szCs w:val="18"/>
              </w:rPr>
            </w:pPr>
            <w:r w:rsidRPr="00E55E40">
              <w:rPr>
                <w:color w:val="000000"/>
                <w:sz w:val="18"/>
                <w:szCs w:val="18"/>
              </w:rPr>
              <w:t>262,5</w:t>
            </w:r>
          </w:p>
        </w:tc>
        <w:tc>
          <w:tcPr>
            <w:tcW w:w="3082" w:type="dxa"/>
            <w:shd w:val="clear" w:color="auto" w:fill="auto"/>
            <w:hideMark/>
          </w:tcPr>
          <w:p w14:paraId="42C65EAF" w14:textId="77777777" w:rsidR="00550FE4" w:rsidRPr="00E55E40" w:rsidRDefault="00550FE4" w:rsidP="008F3ED0">
            <w:pPr>
              <w:jc w:val="both"/>
              <w:rPr>
                <w:sz w:val="18"/>
                <w:szCs w:val="18"/>
              </w:rPr>
            </w:pPr>
            <w:r w:rsidRPr="00E55E40">
              <w:rPr>
                <w:sz w:val="18"/>
                <w:szCs w:val="18"/>
              </w:rPr>
              <w:t>Нижнедобринский ПНИ</w:t>
            </w:r>
          </w:p>
        </w:tc>
        <w:tc>
          <w:tcPr>
            <w:tcW w:w="2356" w:type="dxa"/>
            <w:shd w:val="clear" w:color="auto" w:fill="auto"/>
            <w:vAlign w:val="bottom"/>
            <w:hideMark/>
          </w:tcPr>
          <w:p w14:paraId="4F2B26C1" w14:textId="77777777" w:rsidR="00550FE4" w:rsidRPr="00E55E40" w:rsidRDefault="00550FE4" w:rsidP="00550FE4">
            <w:pPr>
              <w:jc w:val="center"/>
              <w:rPr>
                <w:color w:val="000000"/>
                <w:sz w:val="18"/>
                <w:szCs w:val="18"/>
              </w:rPr>
            </w:pPr>
            <w:r w:rsidRPr="00E55E40">
              <w:rPr>
                <w:color w:val="000000"/>
                <w:sz w:val="18"/>
                <w:szCs w:val="18"/>
              </w:rPr>
              <w:t>-21,1</w:t>
            </w:r>
          </w:p>
        </w:tc>
      </w:tr>
      <w:tr w:rsidR="00550FE4" w:rsidRPr="00E55E40" w14:paraId="5BF4673F" w14:textId="77777777" w:rsidTr="00CA372F">
        <w:trPr>
          <w:trHeight w:val="136"/>
        </w:trPr>
        <w:tc>
          <w:tcPr>
            <w:tcW w:w="2277" w:type="dxa"/>
            <w:vMerge/>
            <w:vAlign w:val="center"/>
            <w:hideMark/>
          </w:tcPr>
          <w:p w14:paraId="0DC0E454" w14:textId="77777777" w:rsidR="00550FE4" w:rsidRPr="00E55E40" w:rsidRDefault="00550FE4" w:rsidP="008F3ED0">
            <w:pPr>
              <w:rPr>
                <w:sz w:val="18"/>
                <w:szCs w:val="18"/>
              </w:rPr>
            </w:pPr>
          </w:p>
        </w:tc>
        <w:tc>
          <w:tcPr>
            <w:tcW w:w="994" w:type="dxa"/>
          </w:tcPr>
          <w:p w14:paraId="3C04282F" w14:textId="77777777" w:rsidR="00550FE4" w:rsidRPr="00E55E40" w:rsidRDefault="00550FE4" w:rsidP="008F3ED0">
            <w:pPr>
              <w:jc w:val="center"/>
              <w:rPr>
                <w:bCs/>
                <w:i/>
                <w:sz w:val="18"/>
                <w:szCs w:val="18"/>
              </w:rPr>
            </w:pPr>
            <w:r w:rsidRPr="00E55E40">
              <w:rPr>
                <w:bCs/>
                <w:i/>
                <w:sz w:val="18"/>
                <w:szCs w:val="18"/>
              </w:rPr>
              <w:t>372,1</w:t>
            </w:r>
          </w:p>
        </w:tc>
        <w:tc>
          <w:tcPr>
            <w:tcW w:w="1027" w:type="dxa"/>
            <w:shd w:val="clear" w:color="auto" w:fill="auto"/>
            <w:vAlign w:val="center"/>
            <w:hideMark/>
          </w:tcPr>
          <w:p w14:paraId="0686595C" w14:textId="77777777" w:rsidR="00550FE4" w:rsidRPr="00E55E40" w:rsidRDefault="00550FE4" w:rsidP="00CA372F">
            <w:pPr>
              <w:jc w:val="center"/>
              <w:rPr>
                <w:bCs/>
                <w:i/>
                <w:color w:val="000000"/>
                <w:sz w:val="18"/>
                <w:szCs w:val="18"/>
              </w:rPr>
            </w:pPr>
            <w:r w:rsidRPr="00E55E40">
              <w:rPr>
                <w:bCs/>
                <w:i/>
                <w:color w:val="000000"/>
                <w:sz w:val="18"/>
                <w:szCs w:val="18"/>
              </w:rPr>
              <w:t>223,7</w:t>
            </w:r>
          </w:p>
        </w:tc>
        <w:tc>
          <w:tcPr>
            <w:tcW w:w="3082" w:type="dxa"/>
            <w:shd w:val="clear" w:color="auto" w:fill="auto"/>
            <w:hideMark/>
          </w:tcPr>
          <w:p w14:paraId="6B1EE06E" w14:textId="77777777" w:rsidR="00550FE4" w:rsidRPr="00E55E40" w:rsidRDefault="00550FE4" w:rsidP="008F3ED0">
            <w:pPr>
              <w:jc w:val="both"/>
              <w:rPr>
                <w:bCs/>
                <w:i/>
                <w:sz w:val="18"/>
                <w:szCs w:val="18"/>
              </w:rPr>
            </w:pPr>
            <w:r w:rsidRPr="00E55E40">
              <w:rPr>
                <w:bCs/>
                <w:i/>
                <w:sz w:val="18"/>
                <w:szCs w:val="18"/>
              </w:rPr>
              <w:t>средняя стоимость</w:t>
            </w:r>
          </w:p>
        </w:tc>
        <w:tc>
          <w:tcPr>
            <w:tcW w:w="2356" w:type="dxa"/>
            <w:shd w:val="clear" w:color="auto" w:fill="auto"/>
            <w:vAlign w:val="bottom"/>
            <w:hideMark/>
          </w:tcPr>
          <w:p w14:paraId="1A94DD24" w14:textId="77777777" w:rsidR="00550FE4" w:rsidRPr="00E55E40" w:rsidRDefault="00550FE4" w:rsidP="00550FE4">
            <w:pPr>
              <w:jc w:val="center"/>
              <w:rPr>
                <w:i/>
                <w:color w:val="000000"/>
                <w:sz w:val="18"/>
                <w:szCs w:val="18"/>
              </w:rPr>
            </w:pPr>
            <w:r w:rsidRPr="00E55E40">
              <w:rPr>
                <w:bCs/>
                <w:i/>
                <w:color w:val="000000"/>
                <w:sz w:val="18"/>
                <w:szCs w:val="18"/>
              </w:rPr>
              <w:t>-39,9</w:t>
            </w:r>
          </w:p>
        </w:tc>
      </w:tr>
      <w:tr w:rsidR="00550FE4" w:rsidRPr="00E55E40" w14:paraId="16E2FADB" w14:textId="77777777" w:rsidTr="00CA372F">
        <w:trPr>
          <w:trHeight w:val="196"/>
        </w:trPr>
        <w:tc>
          <w:tcPr>
            <w:tcW w:w="2277" w:type="dxa"/>
            <w:vMerge w:val="restart"/>
            <w:shd w:val="clear" w:color="auto" w:fill="auto"/>
            <w:vAlign w:val="center"/>
            <w:hideMark/>
          </w:tcPr>
          <w:p w14:paraId="4A29CC6E" w14:textId="77777777" w:rsidR="00550FE4" w:rsidRPr="00E55E40" w:rsidRDefault="004F4DA6" w:rsidP="008F3ED0">
            <w:pPr>
              <w:jc w:val="center"/>
              <w:rPr>
                <w:sz w:val="18"/>
                <w:szCs w:val="18"/>
              </w:rPr>
            </w:pPr>
            <w:r w:rsidRPr="00E55E40">
              <w:rPr>
                <w:sz w:val="18"/>
                <w:szCs w:val="18"/>
              </w:rPr>
              <w:t>Порядок ПНИ</w:t>
            </w:r>
            <w:r w:rsidR="00550FE4" w:rsidRPr="00E55E40">
              <w:rPr>
                <w:sz w:val="18"/>
                <w:szCs w:val="18"/>
              </w:rPr>
              <w:t xml:space="preserve"> (полностью)</w:t>
            </w:r>
          </w:p>
        </w:tc>
        <w:tc>
          <w:tcPr>
            <w:tcW w:w="994" w:type="dxa"/>
          </w:tcPr>
          <w:p w14:paraId="40946B0F" w14:textId="77777777" w:rsidR="00550FE4" w:rsidRPr="00E55E40" w:rsidRDefault="00550FE4" w:rsidP="008F3ED0">
            <w:pPr>
              <w:jc w:val="center"/>
              <w:rPr>
                <w:sz w:val="18"/>
                <w:szCs w:val="18"/>
              </w:rPr>
            </w:pPr>
            <w:r w:rsidRPr="00E55E40">
              <w:rPr>
                <w:sz w:val="18"/>
                <w:szCs w:val="18"/>
              </w:rPr>
              <w:t>497,1</w:t>
            </w:r>
          </w:p>
        </w:tc>
        <w:tc>
          <w:tcPr>
            <w:tcW w:w="1027" w:type="dxa"/>
            <w:shd w:val="clear" w:color="auto" w:fill="auto"/>
            <w:vAlign w:val="center"/>
            <w:hideMark/>
          </w:tcPr>
          <w:p w14:paraId="18DBE2C9" w14:textId="77777777" w:rsidR="00550FE4" w:rsidRPr="00E55E40" w:rsidRDefault="00550FE4" w:rsidP="00CA372F">
            <w:pPr>
              <w:jc w:val="center"/>
              <w:rPr>
                <w:color w:val="000000"/>
                <w:sz w:val="18"/>
                <w:szCs w:val="18"/>
              </w:rPr>
            </w:pPr>
            <w:r w:rsidRPr="00E55E40">
              <w:rPr>
                <w:color w:val="000000"/>
                <w:sz w:val="18"/>
                <w:szCs w:val="18"/>
              </w:rPr>
              <w:t>147,4</w:t>
            </w:r>
          </w:p>
        </w:tc>
        <w:tc>
          <w:tcPr>
            <w:tcW w:w="3082" w:type="dxa"/>
            <w:shd w:val="clear" w:color="auto" w:fill="auto"/>
            <w:hideMark/>
          </w:tcPr>
          <w:p w14:paraId="469805AC" w14:textId="77777777" w:rsidR="00550FE4" w:rsidRPr="00E55E40" w:rsidRDefault="00550FE4" w:rsidP="008F3ED0">
            <w:pPr>
              <w:jc w:val="both"/>
              <w:rPr>
                <w:sz w:val="18"/>
                <w:szCs w:val="18"/>
              </w:rPr>
            </w:pPr>
            <w:r w:rsidRPr="00E55E40">
              <w:rPr>
                <w:sz w:val="18"/>
                <w:szCs w:val="18"/>
              </w:rPr>
              <w:t>Волгоградский ДПИ</w:t>
            </w:r>
          </w:p>
        </w:tc>
        <w:tc>
          <w:tcPr>
            <w:tcW w:w="2356" w:type="dxa"/>
            <w:shd w:val="clear" w:color="auto" w:fill="auto"/>
            <w:vAlign w:val="bottom"/>
            <w:hideMark/>
          </w:tcPr>
          <w:p w14:paraId="511E6A5B" w14:textId="77777777" w:rsidR="00550FE4" w:rsidRPr="00E55E40" w:rsidRDefault="00550FE4" w:rsidP="00550FE4">
            <w:pPr>
              <w:jc w:val="center"/>
              <w:rPr>
                <w:color w:val="000000"/>
                <w:sz w:val="18"/>
                <w:szCs w:val="18"/>
              </w:rPr>
            </w:pPr>
            <w:r w:rsidRPr="00E55E40">
              <w:rPr>
                <w:color w:val="000000"/>
                <w:sz w:val="18"/>
                <w:szCs w:val="18"/>
              </w:rPr>
              <w:t>-70,3</w:t>
            </w:r>
          </w:p>
        </w:tc>
      </w:tr>
      <w:tr w:rsidR="00550FE4" w:rsidRPr="00E55E40" w14:paraId="1636445E" w14:textId="77777777" w:rsidTr="00CA372F">
        <w:trPr>
          <w:trHeight w:val="113"/>
        </w:trPr>
        <w:tc>
          <w:tcPr>
            <w:tcW w:w="2277" w:type="dxa"/>
            <w:vMerge/>
            <w:vAlign w:val="center"/>
            <w:hideMark/>
          </w:tcPr>
          <w:p w14:paraId="1CBE5636" w14:textId="77777777" w:rsidR="00550FE4" w:rsidRPr="00E55E40" w:rsidRDefault="00550FE4" w:rsidP="008F3ED0">
            <w:pPr>
              <w:rPr>
                <w:sz w:val="18"/>
                <w:szCs w:val="18"/>
              </w:rPr>
            </w:pPr>
          </w:p>
        </w:tc>
        <w:tc>
          <w:tcPr>
            <w:tcW w:w="994" w:type="dxa"/>
          </w:tcPr>
          <w:p w14:paraId="4CFE275D" w14:textId="77777777" w:rsidR="00550FE4" w:rsidRPr="00E55E40" w:rsidRDefault="00550FE4" w:rsidP="008F3ED0">
            <w:pPr>
              <w:jc w:val="center"/>
              <w:rPr>
                <w:sz w:val="18"/>
                <w:szCs w:val="18"/>
              </w:rPr>
            </w:pPr>
            <w:r w:rsidRPr="00E55E40">
              <w:rPr>
                <w:sz w:val="18"/>
                <w:szCs w:val="18"/>
              </w:rPr>
              <w:t>402,1</w:t>
            </w:r>
          </w:p>
        </w:tc>
        <w:tc>
          <w:tcPr>
            <w:tcW w:w="1027" w:type="dxa"/>
            <w:shd w:val="clear" w:color="auto" w:fill="auto"/>
            <w:vAlign w:val="center"/>
            <w:hideMark/>
          </w:tcPr>
          <w:p w14:paraId="4D38FB24" w14:textId="77777777" w:rsidR="00550FE4" w:rsidRPr="00E55E40" w:rsidRDefault="00550FE4" w:rsidP="00CA372F">
            <w:pPr>
              <w:jc w:val="center"/>
              <w:rPr>
                <w:color w:val="000000"/>
                <w:sz w:val="18"/>
                <w:szCs w:val="18"/>
              </w:rPr>
            </w:pPr>
            <w:r w:rsidRPr="00E55E40">
              <w:rPr>
                <w:color w:val="000000"/>
                <w:sz w:val="18"/>
                <w:szCs w:val="18"/>
              </w:rPr>
              <w:t>253</w:t>
            </w:r>
          </w:p>
        </w:tc>
        <w:tc>
          <w:tcPr>
            <w:tcW w:w="3082" w:type="dxa"/>
            <w:shd w:val="clear" w:color="auto" w:fill="auto"/>
            <w:hideMark/>
          </w:tcPr>
          <w:p w14:paraId="1E07848C" w14:textId="77777777" w:rsidR="00550FE4" w:rsidRPr="00E55E40" w:rsidRDefault="00550FE4" w:rsidP="008F3ED0">
            <w:pPr>
              <w:jc w:val="both"/>
              <w:rPr>
                <w:sz w:val="18"/>
                <w:szCs w:val="18"/>
              </w:rPr>
            </w:pPr>
            <w:r w:rsidRPr="00E55E40">
              <w:rPr>
                <w:sz w:val="18"/>
                <w:szCs w:val="18"/>
              </w:rPr>
              <w:t>Калачевский ПНИ</w:t>
            </w:r>
          </w:p>
        </w:tc>
        <w:tc>
          <w:tcPr>
            <w:tcW w:w="2356" w:type="dxa"/>
            <w:shd w:val="clear" w:color="auto" w:fill="auto"/>
            <w:vAlign w:val="bottom"/>
            <w:hideMark/>
          </w:tcPr>
          <w:p w14:paraId="2174BAFD" w14:textId="77777777" w:rsidR="00550FE4" w:rsidRPr="00E55E40" w:rsidRDefault="00550FE4" w:rsidP="00550FE4">
            <w:pPr>
              <w:jc w:val="center"/>
              <w:rPr>
                <w:color w:val="000000"/>
                <w:sz w:val="18"/>
                <w:szCs w:val="18"/>
              </w:rPr>
            </w:pPr>
            <w:r w:rsidRPr="00E55E40">
              <w:rPr>
                <w:color w:val="000000"/>
                <w:sz w:val="18"/>
                <w:szCs w:val="18"/>
              </w:rPr>
              <w:t>-37,1</w:t>
            </w:r>
          </w:p>
        </w:tc>
      </w:tr>
      <w:tr w:rsidR="00550FE4" w:rsidRPr="00E55E40" w14:paraId="7EBF4428" w14:textId="77777777" w:rsidTr="00CA372F">
        <w:trPr>
          <w:trHeight w:val="223"/>
        </w:trPr>
        <w:tc>
          <w:tcPr>
            <w:tcW w:w="2277" w:type="dxa"/>
            <w:vMerge/>
            <w:vAlign w:val="center"/>
            <w:hideMark/>
          </w:tcPr>
          <w:p w14:paraId="3AE9966D" w14:textId="77777777" w:rsidR="00550FE4" w:rsidRPr="00E55E40" w:rsidRDefault="00550FE4" w:rsidP="008F3ED0">
            <w:pPr>
              <w:rPr>
                <w:sz w:val="18"/>
                <w:szCs w:val="18"/>
              </w:rPr>
            </w:pPr>
          </w:p>
        </w:tc>
        <w:tc>
          <w:tcPr>
            <w:tcW w:w="994" w:type="dxa"/>
          </w:tcPr>
          <w:p w14:paraId="2E3CA9FE" w14:textId="77777777" w:rsidR="00550FE4" w:rsidRPr="00E55E40" w:rsidRDefault="00550FE4" w:rsidP="008F3ED0">
            <w:pPr>
              <w:jc w:val="center"/>
              <w:rPr>
                <w:sz w:val="18"/>
                <w:szCs w:val="18"/>
              </w:rPr>
            </w:pPr>
            <w:r w:rsidRPr="00E55E40">
              <w:rPr>
                <w:sz w:val="18"/>
                <w:szCs w:val="18"/>
              </w:rPr>
              <w:t>506</w:t>
            </w:r>
          </w:p>
        </w:tc>
        <w:tc>
          <w:tcPr>
            <w:tcW w:w="1027" w:type="dxa"/>
            <w:shd w:val="clear" w:color="auto" w:fill="auto"/>
            <w:vAlign w:val="center"/>
            <w:hideMark/>
          </w:tcPr>
          <w:p w14:paraId="6852394E" w14:textId="77777777" w:rsidR="00550FE4" w:rsidRPr="00E55E40" w:rsidRDefault="00550FE4" w:rsidP="00CA372F">
            <w:pPr>
              <w:jc w:val="center"/>
              <w:rPr>
                <w:color w:val="000000"/>
                <w:sz w:val="18"/>
                <w:szCs w:val="18"/>
              </w:rPr>
            </w:pPr>
            <w:r w:rsidRPr="00E55E40">
              <w:rPr>
                <w:color w:val="000000"/>
                <w:sz w:val="18"/>
                <w:szCs w:val="18"/>
              </w:rPr>
              <w:t>172,3</w:t>
            </w:r>
          </w:p>
        </w:tc>
        <w:tc>
          <w:tcPr>
            <w:tcW w:w="3082" w:type="dxa"/>
            <w:shd w:val="clear" w:color="auto" w:fill="auto"/>
            <w:hideMark/>
          </w:tcPr>
          <w:p w14:paraId="356D62D7" w14:textId="77777777" w:rsidR="00550FE4" w:rsidRPr="00E55E40" w:rsidRDefault="00550FE4" w:rsidP="008F3ED0">
            <w:pPr>
              <w:jc w:val="both"/>
              <w:rPr>
                <w:sz w:val="18"/>
                <w:szCs w:val="18"/>
              </w:rPr>
            </w:pPr>
            <w:r w:rsidRPr="00E55E40">
              <w:rPr>
                <w:sz w:val="18"/>
                <w:szCs w:val="18"/>
              </w:rPr>
              <w:t>Заплавинский ПНИ</w:t>
            </w:r>
          </w:p>
        </w:tc>
        <w:tc>
          <w:tcPr>
            <w:tcW w:w="2356" w:type="dxa"/>
            <w:shd w:val="clear" w:color="auto" w:fill="auto"/>
            <w:vAlign w:val="bottom"/>
            <w:hideMark/>
          </w:tcPr>
          <w:p w14:paraId="4075B576" w14:textId="77777777" w:rsidR="00550FE4" w:rsidRPr="00E55E40" w:rsidRDefault="00550FE4" w:rsidP="00550FE4">
            <w:pPr>
              <w:jc w:val="center"/>
              <w:rPr>
                <w:color w:val="000000"/>
                <w:sz w:val="18"/>
                <w:szCs w:val="18"/>
              </w:rPr>
            </w:pPr>
            <w:r w:rsidRPr="00E55E40">
              <w:rPr>
                <w:color w:val="000000"/>
                <w:sz w:val="18"/>
                <w:szCs w:val="18"/>
              </w:rPr>
              <w:t>-65,9</w:t>
            </w:r>
          </w:p>
        </w:tc>
      </w:tr>
      <w:tr w:rsidR="00550FE4" w:rsidRPr="00E55E40" w14:paraId="6B6DBF7D" w14:textId="77777777" w:rsidTr="00CA372F">
        <w:trPr>
          <w:trHeight w:val="179"/>
        </w:trPr>
        <w:tc>
          <w:tcPr>
            <w:tcW w:w="2277" w:type="dxa"/>
            <w:vMerge/>
            <w:vAlign w:val="center"/>
            <w:hideMark/>
          </w:tcPr>
          <w:p w14:paraId="0AA6C000" w14:textId="77777777" w:rsidR="00550FE4" w:rsidRPr="00E55E40" w:rsidRDefault="00550FE4" w:rsidP="008F3ED0">
            <w:pPr>
              <w:rPr>
                <w:sz w:val="18"/>
                <w:szCs w:val="18"/>
              </w:rPr>
            </w:pPr>
          </w:p>
        </w:tc>
        <w:tc>
          <w:tcPr>
            <w:tcW w:w="994" w:type="dxa"/>
          </w:tcPr>
          <w:p w14:paraId="3A207114" w14:textId="77777777" w:rsidR="00550FE4" w:rsidRPr="00E55E40" w:rsidRDefault="00550FE4" w:rsidP="008F3ED0">
            <w:pPr>
              <w:jc w:val="center"/>
              <w:rPr>
                <w:sz w:val="18"/>
                <w:szCs w:val="18"/>
              </w:rPr>
            </w:pPr>
            <w:r w:rsidRPr="00E55E40">
              <w:rPr>
                <w:sz w:val="18"/>
                <w:szCs w:val="18"/>
              </w:rPr>
              <w:t>493,5</w:t>
            </w:r>
          </w:p>
        </w:tc>
        <w:tc>
          <w:tcPr>
            <w:tcW w:w="1027" w:type="dxa"/>
            <w:shd w:val="clear" w:color="auto" w:fill="auto"/>
            <w:vAlign w:val="center"/>
            <w:hideMark/>
          </w:tcPr>
          <w:p w14:paraId="099EE522" w14:textId="77777777" w:rsidR="00550FE4" w:rsidRPr="00E55E40" w:rsidRDefault="00550FE4" w:rsidP="00CA372F">
            <w:pPr>
              <w:jc w:val="center"/>
              <w:rPr>
                <w:color w:val="000000"/>
                <w:sz w:val="18"/>
                <w:szCs w:val="18"/>
              </w:rPr>
            </w:pPr>
            <w:r w:rsidRPr="00E55E40">
              <w:rPr>
                <w:color w:val="000000"/>
                <w:sz w:val="18"/>
                <w:szCs w:val="18"/>
              </w:rPr>
              <w:t>252,8</w:t>
            </w:r>
          </w:p>
        </w:tc>
        <w:tc>
          <w:tcPr>
            <w:tcW w:w="3082" w:type="dxa"/>
            <w:shd w:val="clear" w:color="auto" w:fill="auto"/>
            <w:hideMark/>
          </w:tcPr>
          <w:p w14:paraId="2FC90D2A" w14:textId="77777777" w:rsidR="00550FE4" w:rsidRPr="00E55E40" w:rsidRDefault="00550FE4" w:rsidP="008F3ED0">
            <w:pPr>
              <w:jc w:val="both"/>
              <w:rPr>
                <w:sz w:val="18"/>
                <w:szCs w:val="18"/>
              </w:rPr>
            </w:pPr>
            <w:r w:rsidRPr="00E55E40">
              <w:rPr>
                <w:sz w:val="18"/>
                <w:szCs w:val="18"/>
              </w:rPr>
              <w:t>Урюпинский ПНИ</w:t>
            </w:r>
          </w:p>
        </w:tc>
        <w:tc>
          <w:tcPr>
            <w:tcW w:w="2356" w:type="dxa"/>
            <w:shd w:val="clear" w:color="auto" w:fill="auto"/>
            <w:vAlign w:val="bottom"/>
            <w:hideMark/>
          </w:tcPr>
          <w:p w14:paraId="4F0AC67E" w14:textId="77777777" w:rsidR="00550FE4" w:rsidRPr="00E55E40" w:rsidRDefault="00550FE4" w:rsidP="00550FE4">
            <w:pPr>
              <w:jc w:val="center"/>
              <w:rPr>
                <w:color w:val="000000"/>
                <w:sz w:val="18"/>
                <w:szCs w:val="18"/>
              </w:rPr>
            </w:pPr>
            <w:r w:rsidRPr="00E55E40">
              <w:rPr>
                <w:color w:val="000000"/>
                <w:sz w:val="18"/>
                <w:szCs w:val="18"/>
              </w:rPr>
              <w:t>-48,8</w:t>
            </w:r>
          </w:p>
        </w:tc>
      </w:tr>
      <w:tr w:rsidR="00550FE4" w:rsidRPr="00E55E40" w14:paraId="7222549E" w14:textId="77777777" w:rsidTr="00CA372F">
        <w:trPr>
          <w:trHeight w:val="98"/>
        </w:trPr>
        <w:tc>
          <w:tcPr>
            <w:tcW w:w="2277" w:type="dxa"/>
            <w:vMerge/>
            <w:vAlign w:val="center"/>
            <w:hideMark/>
          </w:tcPr>
          <w:p w14:paraId="6C5817F1" w14:textId="77777777" w:rsidR="00550FE4" w:rsidRPr="00E55E40" w:rsidRDefault="00550FE4" w:rsidP="008F3ED0">
            <w:pPr>
              <w:rPr>
                <w:sz w:val="18"/>
                <w:szCs w:val="18"/>
              </w:rPr>
            </w:pPr>
          </w:p>
        </w:tc>
        <w:tc>
          <w:tcPr>
            <w:tcW w:w="994" w:type="dxa"/>
          </w:tcPr>
          <w:p w14:paraId="0A9B6A5F" w14:textId="77777777" w:rsidR="00550FE4" w:rsidRPr="00E55E40" w:rsidRDefault="00550FE4" w:rsidP="008F3ED0">
            <w:pPr>
              <w:jc w:val="center"/>
              <w:rPr>
                <w:bCs/>
                <w:i/>
                <w:sz w:val="18"/>
                <w:szCs w:val="18"/>
              </w:rPr>
            </w:pPr>
            <w:r w:rsidRPr="00E55E40">
              <w:rPr>
                <w:bCs/>
                <w:i/>
                <w:sz w:val="18"/>
                <w:szCs w:val="18"/>
              </w:rPr>
              <w:t>480,9</w:t>
            </w:r>
          </w:p>
        </w:tc>
        <w:tc>
          <w:tcPr>
            <w:tcW w:w="1027" w:type="dxa"/>
            <w:shd w:val="clear" w:color="auto" w:fill="auto"/>
            <w:vAlign w:val="center"/>
            <w:hideMark/>
          </w:tcPr>
          <w:p w14:paraId="074C6EB2" w14:textId="77777777" w:rsidR="00550FE4" w:rsidRPr="00E55E40" w:rsidRDefault="00550FE4" w:rsidP="00CA372F">
            <w:pPr>
              <w:jc w:val="center"/>
              <w:rPr>
                <w:bCs/>
                <w:i/>
                <w:color w:val="000000"/>
                <w:sz w:val="18"/>
                <w:szCs w:val="18"/>
              </w:rPr>
            </w:pPr>
            <w:r w:rsidRPr="00E55E40">
              <w:rPr>
                <w:bCs/>
                <w:i/>
                <w:color w:val="000000"/>
                <w:sz w:val="18"/>
                <w:szCs w:val="18"/>
              </w:rPr>
              <w:t>206,4</w:t>
            </w:r>
          </w:p>
        </w:tc>
        <w:tc>
          <w:tcPr>
            <w:tcW w:w="3082" w:type="dxa"/>
            <w:shd w:val="clear" w:color="auto" w:fill="auto"/>
            <w:hideMark/>
          </w:tcPr>
          <w:p w14:paraId="1A3F4E46" w14:textId="77777777" w:rsidR="00550FE4" w:rsidRPr="00E55E40" w:rsidRDefault="00550FE4" w:rsidP="008F3ED0">
            <w:pPr>
              <w:jc w:val="both"/>
              <w:rPr>
                <w:bCs/>
                <w:i/>
                <w:sz w:val="18"/>
                <w:szCs w:val="18"/>
              </w:rPr>
            </w:pPr>
            <w:r w:rsidRPr="00E55E40">
              <w:rPr>
                <w:bCs/>
                <w:i/>
                <w:sz w:val="18"/>
                <w:szCs w:val="18"/>
              </w:rPr>
              <w:t>средняя стоимость</w:t>
            </w:r>
          </w:p>
        </w:tc>
        <w:tc>
          <w:tcPr>
            <w:tcW w:w="2356" w:type="dxa"/>
            <w:shd w:val="clear" w:color="auto" w:fill="auto"/>
            <w:vAlign w:val="bottom"/>
            <w:hideMark/>
          </w:tcPr>
          <w:p w14:paraId="09AAA255" w14:textId="77777777" w:rsidR="00550FE4" w:rsidRPr="00E55E40" w:rsidRDefault="00550FE4" w:rsidP="00550FE4">
            <w:pPr>
              <w:jc w:val="center"/>
              <w:rPr>
                <w:i/>
                <w:color w:val="000000"/>
                <w:sz w:val="18"/>
                <w:szCs w:val="18"/>
              </w:rPr>
            </w:pPr>
            <w:r w:rsidRPr="00E55E40">
              <w:rPr>
                <w:bCs/>
                <w:i/>
                <w:color w:val="000000"/>
                <w:sz w:val="18"/>
                <w:szCs w:val="18"/>
              </w:rPr>
              <w:t>-57,1</w:t>
            </w:r>
          </w:p>
        </w:tc>
      </w:tr>
      <w:tr w:rsidR="00550FE4" w:rsidRPr="00E55E40" w14:paraId="3798E7AA" w14:textId="77777777" w:rsidTr="00CA372F">
        <w:trPr>
          <w:trHeight w:val="172"/>
        </w:trPr>
        <w:tc>
          <w:tcPr>
            <w:tcW w:w="2277" w:type="dxa"/>
            <w:vMerge w:val="restart"/>
            <w:shd w:val="clear" w:color="auto" w:fill="auto"/>
            <w:vAlign w:val="center"/>
            <w:hideMark/>
          </w:tcPr>
          <w:p w14:paraId="2A152504" w14:textId="77777777" w:rsidR="00550FE4" w:rsidRPr="00E55E40" w:rsidRDefault="004F4DA6" w:rsidP="008F3ED0">
            <w:pPr>
              <w:jc w:val="center"/>
              <w:rPr>
                <w:sz w:val="18"/>
                <w:szCs w:val="18"/>
              </w:rPr>
            </w:pPr>
            <w:r w:rsidRPr="00E55E40">
              <w:rPr>
                <w:sz w:val="18"/>
                <w:szCs w:val="18"/>
              </w:rPr>
              <w:t>Порядок ДПИ</w:t>
            </w:r>
            <w:r w:rsidR="00550FE4" w:rsidRPr="00E55E40">
              <w:rPr>
                <w:sz w:val="18"/>
                <w:szCs w:val="18"/>
              </w:rPr>
              <w:t xml:space="preserve"> (частично)</w:t>
            </w:r>
          </w:p>
        </w:tc>
        <w:tc>
          <w:tcPr>
            <w:tcW w:w="994" w:type="dxa"/>
          </w:tcPr>
          <w:p w14:paraId="0839C86C" w14:textId="77777777" w:rsidR="00550FE4" w:rsidRPr="00E55E40" w:rsidRDefault="00550FE4" w:rsidP="008F3ED0">
            <w:pPr>
              <w:jc w:val="center"/>
              <w:rPr>
                <w:sz w:val="18"/>
                <w:szCs w:val="18"/>
              </w:rPr>
            </w:pPr>
            <w:r w:rsidRPr="00E55E40">
              <w:rPr>
                <w:sz w:val="18"/>
                <w:szCs w:val="18"/>
              </w:rPr>
              <w:t>341,7</w:t>
            </w:r>
          </w:p>
        </w:tc>
        <w:tc>
          <w:tcPr>
            <w:tcW w:w="1027" w:type="dxa"/>
            <w:shd w:val="clear" w:color="auto" w:fill="auto"/>
            <w:vAlign w:val="center"/>
            <w:hideMark/>
          </w:tcPr>
          <w:p w14:paraId="2BCA9307" w14:textId="77777777" w:rsidR="00550FE4" w:rsidRPr="00E55E40" w:rsidRDefault="00550FE4" w:rsidP="00CA372F">
            <w:pPr>
              <w:jc w:val="center"/>
              <w:rPr>
                <w:color w:val="000000"/>
                <w:sz w:val="18"/>
                <w:szCs w:val="18"/>
              </w:rPr>
            </w:pPr>
            <w:r w:rsidRPr="00E55E40">
              <w:rPr>
                <w:color w:val="000000"/>
                <w:sz w:val="18"/>
                <w:szCs w:val="18"/>
              </w:rPr>
              <w:t>209,6</w:t>
            </w:r>
          </w:p>
        </w:tc>
        <w:tc>
          <w:tcPr>
            <w:tcW w:w="3082" w:type="dxa"/>
            <w:shd w:val="clear" w:color="auto" w:fill="auto"/>
            <w:hideMark/>
          </w:tcPr>
          <w:p w14:paraId="15774B70" w14:textId="77777777" w:rsidR="00550FE4" w:rsidRPr="00E55E40" w:rsidRDefault="00550FE4" w:rsidP="008F3ED0">
            <w:pPr>
              <w:jc w:val="both"/>
              <w:rPr>
                <w:sz w:val="18"/>
                <w:szCs w:val="18"/>
              </w:rPr>
            </w:pPr>
            <w:r w:rsidRPr="00E55E40">
              <w:rPr>
                <w:sz w:val="18"/>
                <w:szCs w:val="18"/>
              </w:rPr>
              <w:t>Волгоградский ДПИ</w:t>
            </w:r>
          </w:p>
        </w:tc>
        <w:tc>
          <w:tcPr>
            <w:tcW w:w="2356" w:type="dxa"/>
            <w:shd w:val="clear" w:color="auto" w:fill="auto"/>
            <w:vAlign w:val="bottom"/>
            <w:hideMark/>
          </w:tcPr>
          <w:p w14:paraId="1C95BDA3" w14:textId="77777777" w:rsidR="00550FE4" w:rsidRPr="00E55E40" w:rsidRDefault="00550FE4" w:rsidP="00550FE4">
            <w:pPr>
              <w:jc w:val="center"/>
              <w:rPr>
                <w:color w:val="000000"/>
                <w:sz w:val="18"/>
                <w:szCs w:val="18"/>
              </w:rPr>
            </w:pPr>
            <w:r w:rsidRPr="00E55E40">
              <w:rPr>
                <w:color w:val="000000"/>
                <w:sz w:val="18"/>
                <w:szCs w:val="18"/>
              </w:rPr>
              <w:t>-38,7</w:t>
            </w:r>
          </w:p>
        </w:tc>
      </w:tr>
      <w:tr w:rsidR="00550FE4" w:rsidRPr="00E55E40" w14:paraId="664C1897" w14:textId="77777777" w:rsidTr="00CA372F">
        <w:trPr>
          <w:trHeight w:val="90"/>
        </w:trPr>
        <w:tc>
          <w:tcPr>
            <w:tcW w:w="2277" w:type="dxa"/>
            <w:vMerge/>
            <w:vAlign w:val="center"/>
            <w:hideMark/>
          </w:tcPr>
          <w:p w14:paraId="7FFC293D" w14:textId="77777777" w:rsidR="00550FE4" w:rsidRPr="00E55E40" w:rsidRDefault="00550FE4" w:rsidP="008F3ED0">
            <w:pPr>
              <w:rPr>
                <w:sz w:val="18"/>
                <w:szCs w:val="18"/>
              </w:rPr>
            </w:pPr>
          </w:p>
        </w:tc>
        <w:tc>
          <w:tcPr>
            <w:tcW w:w="994" w:type="dxa"/>
          </w:tcPr>
          <w:p w14:paraId="07C70A1E" w14:textId="77777777" w:rsidR="00550FE4" w:rsidRPr="00E55E40" w:rsidRDefault="00550FE4" w:rsidP="008F3ED0">
            <w:pPr>
              <w:jc w:val="center"/>
              <w:rPr>
                <w:sz w:val="18"/>
                <w:szCs w:val="18"/>
              </w:rPr>
            </w:pPr>
            <w:r w:rsidRPr="00E55E40">
              <w:rPr>
                <w:sz w:val="18"/>
                <w:szCs w:val="18"/>
              </w:rPr>
              <w:t>396,1</w:t>
            </w:r>
          </w:p>
        </w:tc>
        <w:tc>
          <w:tcPr>
            <w:tcW w:w="1027" w:type="dxa"/>
            <w:shd w:val="clear" w:color="auto" w:fill="auto"/>
            <w:vAlign w:val="center"/>
            <w:hideMark/>
          </w:tcPr>
          <w:p w14:paraId="79DBC53C" w14:textId="77777777" w:rsidR="00550FE4" w:rsidRPr="00E55E40" w:rsidRDefault="00550FE4" w:rsidP="00CA372F">
            <w:pPr>
              <w:jc w:val="center"/>
              <w:rPr>
                <w:color w:val="000000"/>
                <w:sz w:val="18"/>
                <w:szCs w:val="18"/>
              </w:rPr>
            </w:pPr>
            <w:r w:rsidRPr="00E55E40">
              <w:rPr>
                <w:color w:val="000000"/>
                <w:sz w:val="18"/>
                <w:szCs w:val="18"/>
              </w:rPr>
              <w:t>182,8</w:t>
            </w:r>
          </w:p>
        </w:tc>
        <w:tc>
          <w:tcPr>
            <w:tcW w:w="3082" w:type="dxa"/>
            <w:shd w:val="clear" w:color="auto" w:fill="auto"/>
            <w:hideMark/>
          </w:tcPr>
          <w:p w14:paraId="7F2A92AB" w14:textId="77777777" w:rsidR="00550FE4" w:rsidRPr="00E55E40" w:rsidRDefault="00550FE4" w:rsidP="008F3ED0">
            <w:pPr>
              <w:jc w:val="both"/>
              <w:rPr>
                <w:sz w:val="18"/>
                <w:szCs w:val="18"/>
              </w:rPr>
            </w:pPr>
            <w:r w:rsidRPr="00E55E40">
              <w:rPr>
                <w:sz w:val="18"/>
                <w:szCs w:val="18"/>
              </w:rPr>
              <w:t>Даниловский ДПИ</w:t>
            </w:r>
          </w:p>
        </w:tc>
        <w:tc>
          <w:tcPr>
            <w:tcW w:w="2356" w:type="dxa"/>
            <w:shd w:val="clear" w:color="auto" w:fill="auto"/>
            <w:vAlign w:val="bottom"/>
            <w:hideMark/>
          </w:tcPr>
          <w:p w14:paraId="1F499E56" w14:textId="77777777" w:rsidR="00550FE4" w:rsidRPr="00E55E40" w:rsidRDefault="00550FE4" w:rsidP="00550FE4">
            <w:pPr>
              <w:jc w:val="center"/>
              <w:rPr>
                <w:color w:val="000000"/>
                <w:sz w:val="18"/>
                <w:szCs w:val="18"/>
              </w:rPr>
            </w:pPr>
            <w:r w:rsidRPr="00E55E40">
              <w:rPr>
                <w:color w:val="000000"/>
                <w:sz w:val="18"/>
                <w:szCs w:val="18"/>
              </w:rPr>
              <w:t>-53,9</w:t>
            </w:r>
          </w:p>
        </w:tc>
      </w:tr>
      <w:tr w:rsidR="00550FE4" w:rsidRPr="00E55E40" w14:paraId="2C536FAD" w14:textId="77777777" w:rsidTr="00CA372F">
        <w:trPr>
          <w:trHeight w:val="164"/>
        </w:trPr>
        <w:tc>
          <w:tcPr>
            <w:tcW w:w="2277" w:type="dxa"/>
            <w:vMerge/>
            <w:vAlign w:val="center"/>
            <w:hideMark/>
          </w:tcPr>
          <w:p w14:paraId="10584069" w14:textId="77777777" w:rsidR="00550FE4" w:rsidRPr="00E55E40" w:rsidRDefault="00550FE4" w:rsidP="008F3ED0">
            <w:pPr>
              <w:rPr>
                <w:sz w:val="18"/>
                <w:szCs w:val="18"/>
              </w:rPr>
            </w:pPr>
          </w:p>
        </w:tc>
        <w:tc>
          <w:tcPr>
            <w:tcW w:w="994" w:type="dxa"/>
          </w:tcPr>
          <w:p w14:paraId="24ABB0AC" w14:textId="77777777" w:rsidR="00550FE4" w:rsidRPr="00E55E40" w:rsidRDefault="00550FE4" w:rsidP="008F3ED0">
            <w:pPr>
              <w:jc w:val="center"/>
              <w:rPr>
                <w:bCs/>
                <w:i/>
                <w:sz w:val="18"/>
                <w:szCs w:val="18"/>
              </w:rPr>
            </w:pPr>
            <w:r w:rsidRPr="00E55E40">
              <w:rPr>
                <w:bCs/>
                <w:i/>
                <w:sz w:val="18"/>
                <w:szCs w:val="18"/>
              </w:rPr>
              <w:t>368,9</w:t>
            </w:r>
          </w:p>
        </w:tc>
        <w:tc>
          <w:tcPr>
            <w:tcW w:w="1027" w:type="dxa"/>
            <w:shd w:val="clear" w:color="auto" w:fill="auto"/>
            <w:vAlign w:val="center"/>
            <w:hideMark/>
          </w:tcPr>
          <w:p w14:paraId="69A5769F" w14:textId="77777777" w:rsidR="00550FE4" w:rsidRPr="00E55E40" w:rsidRDefault="00550FE4" w:rsidP="00CA372F">
            <w:pPr>
              <w:jc w:val="center"/>
              <w:rPr>
                <w:bCs/>
                <w:i/>
                <w:color w:val="000000"/>
                <w:sz w:val="18"/>
                <w:szCs w:val="18"/>
              </w:rPr>
            </w:pPr>
            <w:r w:rsidRPr="00E55E40">
              <w:rPr>
                <w:bCs/>
                <w:i/>
                <w:color w:val="000000"/>
                <w:sz w:val="18"/>
                <w:szCs w:val="18"/>
              </w:rPr>
              <w:t>196,2</w:t>
            </w:r>
          </w:p>
        </w:tc>
        <w:tc>
          <w:tcPr>
            <w:tcW w:w="3082" w:type="dxa"/>
            <w:shd w:val="clear" w:color="auto" w:fill="auto"/>
            <w:hideMark/>
          </w:tcPr>
          <w:p w14:paraId="0BC49E30" w14:textId="77777777" w:rsidR="00550FE4" w:rsidRPr="00E55E40" w:rsidRDefault="00550FE4" w:rsidP="008F3ED0">
            <w:pPr>
              <w:jc w:val="both"/>
              <w:rPr>
                <w:bCs/>
                <w:i/>
                <w:sz w:val="18"/>
                <w:szCs w:val="18"/>
              </w:rPr>
            </w:pPr>
            <w:r w:rsidRPr="00E55E40">
              <w:rPr>
                <w:bCs/>
                <w:i/>
                <w:sz w:val="18"/>
                <w:szCs w:val="18"/>
              </w:rPr>
              <w:t>средняя стоимость</w:t>
            </w:r>
          </w:p>
        </w:tc>
        <w:tc>
          <w:tcPr>
            <w:tcW w:w="2356" w:type="dxa"/>
            <w:shd w:val="clear" w:color="auto" w:fill="auto"/>
            <w:vAlign w:val="bottom"/>
            <w:hideMark/>
          </w:tcPr>
          <w:p w14:paraId="10F5448C" w14:textId="77777777" w:rsidR="00550FE4" w:rsidRPr="00E55E40" w:rsidRDefault="00550FE4" w:rsidP="00550FE4">
            <w:pPr>
              <w:jc w:val="center"/>
              <w:rPr>
                <w:i/>
                <w:color w:val="000000"/>
                <w:sz w:val="18"/>
                <w:szCs w:val="18"/>
              </w:rPr>
            </w:pPr>
            <w:r w:rsidRPr="00E55E40">
              <w:rPr>
                <w:bCs/>
                <w:i/>
                <w:color w:val="000000"/>
                <w:sz w:val="18"/>
                <w:szCs w:val="18"/>
              </w:rPr>
              <w:t>-46,8</w:t>
            </w:r>
          </w:p>
        </w:tc>
      </w:tr>
      <w:tr w:rsidR="00550FE4" w:rsidRPr="00E55E40" w14:paraId="4F85F211" w14:textId="77777777" w:rsidTr="00CA372F">
        <w:trPr>
          <w:trHeight w:val="223"/>
        </w:trPr>
        <w:tc>
          <w:tcPr>
            <w:tcW w:w="2277" w:type="dxa"/>
            <w:vMerge w:val="restart"/>
            <w:shd w:val="clear" w:color="auto" w:fill="auto"/>
            <w:vAlign w:val="center"/>
            <w:hideMark/>
          </w:tcPr>
          <w:p w14:paraId="17EFF7E6" w14:textId="77777777" w:rsidR="00550FE4" w:rsidRPr="00E55E40" w:rsidRDefault="004F4DA6" w:rsidP="008F3ED0">
            <w:pPr>
              <w:jc w:val="center"/>
              <w:rPr>
                <w:sz w:val="18"/>
                <w:szCs w:val="18"/>
              </w:rPr>
            </w:pPr>
            <w:r w:rsidRPr="00E55E40">
              <w:rPr>
                <w:sz w:val="18"/>
                <w:szCs w:val="18"/>
              </w:rPr>
              <w:t>Порядок ДПИ</w:t>
            </w:r>
            <w:r w:rsidR="00550FE4" w:rsidRPr="00E55E40">
              <w:rPr>
                <w:sz w:val="18"/>
                <w:szCs w:val="18"/>
              </w:rPr>
              <w:t xml:space="preserve"> (полностью)</w:t>
            </w:r>
          </w:p>
        </w:tc>
        <w:tc>
          <w:tcPr>
            <w:tcW w:w="994" w:type="dxa"/>
          </w:tcPr>
          <w:p w14:paraId="6C05E0EF" w14:textId="77777777" w:rsidR="00550FE4" w:rsidRPr="00E55E40" w:rsidRDefault="00550FE4" w:rsidP="008F3ED0">
            <w:pPr>
              <w:jc w:val="center"/>
              <w:rPr>
                <w:sz w:val="18"/>
                <w:szCs w:val="18"/>
              </w:rPr>
            </w:pPr>
            <w:r w:rsidRPr="00E55E40">
              <w:rPr>
                <w:sz w:val="18"/>
                <w:szCs w:val="18"/>
              </w:rPr>
              <w:t>420,1</w:t>
            </w:r>
          </w:p>
        </w:tc>
        <w:tc>
          <w:tcPr>
            <w:tcW w:w="1027" w:type="dxa"/>
            <w:shd w:val="clear" w:color="auto" w:fill="auto"/>
            <w:vAlign w:val="center"/>
            <w:hideMark/>
          </w:tcPr>
          <w:p w14:paraId="38931B5F" w14:textId="77777777" w:rsidR="00550FE4" w:rsidRPr="00E55E40" w:rsidRDefault="00550FE4" w:rsidP="00CA372F">
            <w:pPr>
              <w:jc w:val="center"/>
              <w:rPr>
                <w:color w:val="000000"/>
                <w:sz w:val="18"/>
                <w:szCs w:val="18"/>
              </w:rPr>
            </w:pPr>
            <w:r w:rsidRPr="00E55E40">
              <w:rPr>
                <w:color w:val="000000"/>
                <w:sz w:val="18"/>
                <w:szCs w:val="18"/>
              </w:rPr>
              <w:t>236</w:t>
            </w:r>
          </w:p>
        </w:tc>
        <w:tc>
          <w:tcPr>
            <w:tcW w:w="3082" w:type="dxa"/>
            <w:shd w:val="clear" w:color="auto" w:fill="auto"/>
            <w:hideMark/>
          </w:tcPr>
          <w:p w14:paraId="7E8DF0BD" w14:textId="77777777" w:rsidR="00550FE4" w:rsidRPr="00E55E40" w:rsidRDefault="00550FE4" w:rsidP="008F3ED0">
            <w:pPr>
              <w:jc w:val="both"/>
              <w:rPr>
                <w:sz w:val="18"/>
                <w:szCs w:val="18"/>
              </w:rPr>
            </w:pPr>
            <w:r w:rsidRPr="00E55E40">
              <w:rPr>
                <w:sz w:val="18"/>
                <w:szCs w:val="18"/>
              </w:rPr>
              <w:t>Волгоградский ДПИ</w:t>
            </w:r>
          </w:p>
        </w:tc>
        <w:tc>
          <w:tcPr>
            <w:tcW w:w="2356" w:type="dxa"/>
            <w:shd w:val="clear" w:color="auto" w:fill="auto"/>
            <w:vAlign w:val="bottom"/>
            <w:hideMark/>
          </w:tcPr>
          <w:p w14:paraId="26596BB6" w14:textId="77777777" w:rsidR="00550FE4" w:rsidRPr="00E55E40" w:rsidRDefault="00550FE4" w:rsidP="00550FE4">
            <w:pPr>
              <w:jc w:val="center"/>
              <w:rPr>
                <w:color w:val="000000"/>
                <w:sz w:val="18"/>
                <w:szCs w:val="18"/>
              </w:rPr>
            </w:pPr>
            <w:r w:rsidRPr="00E55E40">
              <w:rPr>
                <w:color w:val="000000"/>
                <w:sz w:val="18"/>
                <w:szCs w:val="18"/>
              </w:rPr>
              <w:t>-43,8</w:t>
            </w:r>
          </w:p>
        </w:tc>
      </w:tr>
      <w:tr w:rsidR="00550FE4" w:rsidRPr="00E55E40" w14:paraId="4E6AC37A" w14:textId="77777777" w:rsidTr="00CA372F">
        <w:trPr>
          <w:trHeight w:val="142"/>
        </w:trPr>
        <w:tc>
          <w:tcPr>
            <w:tcW w:w="2277" w:type="dxa"/>
            <w:vMerge/>
            <w:vAlign w:val="center"/>
            <w:hideMark/>
          </w:tcPr>
          <w:p w14:paraId="60A464EB" w14:textId="77777777" w:rsidR="00550FE4" w:rsidRPr="00E55E40" w:rsidRDefault="00550FE4" w:rsidP="008F3ED0">
            <w:pPr>
              <w:rPr>
                <w:sz w:val="18"/>
                <w:szCs w:val="18"/>
              </w:rPr>
            </w:pPr>
          </w:p>
        </w:tc>
        <w:tc>
          <w:tcPr>
            <w:tcW w:w="994" w:type="dxa"/>
          </w:tcPr>
          <w:p w14:paraId="1DC0770C" w14:textId="77777777" w:rsidR="00550FE4" w:rsidRPr="00E55E40" w:rsidRDefault="00550FE4" w:rsidP="008F3ED0">
            <w:pPr>
              <w:jc w:val="center"/>
              <w:rPr>
                <w:sz w:val="18"/>
                <w:szCs w:val="18"/>
              </w:rPr>
            </w:pPr>
            <w:r w:rsidRPr="00E55E40">
              <w:rPr>
                <w:sz w:val="18"/>
                <w:szCs w:val="18"/>
              </w:rPr>
              <w:t>490,9</w:t>
            </w:r>
          </w:p>
        </w:tc>
        <w:tc>
          <w:tcPr>
            <w:tcW w:w="1027" w:type="dxa"/>
            <w:shd w:val="clear" w:color="auto" w:fill="auto"/>
            <w:vAlign w:val="center"/>
            <w:hideMark/>
          </w:tcPr>
          <w:p w14:paraId="7BA3BB82" w14:textId="77777777" w:rsidR="00550FE4" w:rsidRPr="00E55E40" w:rsidRDefault="00550FE4" w:rsidP="00CA372F">
            <w:pPr>
              <w:jc w:val="center"/>
              <w:rPr>
                <w:color w:val="000000"/>
                <w:sz w:val="18"/>
                <w:szCs w:val="18"/>
              </w:rPr>
            </w:pPr>
            <w:r w:rsidRPr="00E55E40">
              <w:rPr>
                <w:color w:val="000000"/>
                <w:sz w:val="18"/>
                <w:szCs w:val="18"/>
              </w:rPr>
              <w:t>225,4</w:t>
            </w:r>
          </w:p>
        </w:tc>
        <w:tc>
          <w:tcPr>
            <w:tcW w:w="3082" w:type="dxa"/>
            <w:shd w:val="clear" w:color="auto" w:fill="auto"/>
            <w:hideMark/>
          </w:tcPr>
          <w:p w14:paraId="535D5440" w14:textId="77777777" w:rsidR="00550FE4" w:rsidRPr="00E55E40" w:rsidRDefault="00550FE4" w:rsidP="008F3ED0">
            <w:pPr>
              <w:jc w:val="both"/>
              <w:rPr>
                <w:sz w:val="18"/>
                <w:szCs w:val="18"/>
              </w:rPr>
            </w:pPr>
            <w:r w:rsidRPr="00E55E40">
              <w:rPr>
                <w:sz w:val="18"/>
                <w:szCs w:val="18"/>
              </w:rPr>
              <w:t>Даниловский ДПИ</w:t>
            </w:r>
          </w:p>
        </w:tc>
        <w:tc>
          <w:tcPr>
            <w:tcW w:w="2356" w:type="dxa"/>
            <w:shd w:val="clear" w:color="auto" w:fill="auto"/>
            <w:vAlign w:val="bottom"/>
            <w:hideMark/>
          </w:tcPr>
          <w:p w14:paraId="3E75F5FD" w14:textId="77777777" w:rsidR="00550FE4" w:rsidRPr="00E55E40" w:rsidRDefault="00550FE4" w:rsidP="00550FE4">
            <w:pPr>
              <w:jc w:val="center"/>
              <w:rPr>
                <w:color w:val="000000"/>
                <w:sz w:val="18"/>
                <w:szCs w:val="18"/>
              </w:rPr>
            </w:pPr>
            <w:r w:rsidRPr="00E55E40">
              <w:rPr>
                <w:color w:val="000000"/>
                <w:sz w:val="18"/>
                <w:szCs w:val="18"/>
              </w:rPr>
              <w:t>-54,1</w:t>
            </w:r>
          </w:p>
        </w:tc>
      </w:tr>
      <w:tr w:rsidR="00550FE4" w:rsidRPr="00E55E40" w14:paraId="0DC1E644" w14:textId="77777777" w:rsidTr="00CA372F">
        <w:trPr>
          <w:trHeight w:val="202"/>
        </w:trPr>
        <w:tc>
          <w:tcPr>
            <w:tcW w:w="2277" w:type="dxa"/>
            <w:vMerge/>
            <w:vAlign w:val="center"/>
            <w:hideMark/>
          </w:tcPr>
          <w:p w14:paraId="70D9ED9E" w14:textId="77777777" w:rsidR="00550FE4" w:rsidRPr="00E55E40" w:rsidRDefault="00550FE4" w:rsidP="008F3ED0">
            <w:pPr>
              <w:rPr>
                <w:sz w:val="18"/>
                <w:szCs w:val="18"/>
              </w:rPr>
            </w:pPr>
          </w:p>
        </w:tc>
        <w:tc>
          <w:tcPr>
            <w:tcW w:w="994" w:type="dxa"/>
          </w:tcPr>
          <w:p w14:paraId="737DBF7B" w14:textId="77777777" w:rsidR="00550FE4" w:rsidRPr="00E55E40" w:rsidRDefault="00550FE4" w:rsidP="008F3ED0">
            <w:pPr>
              <w:jc w:val="center"/>
              <w:rPr>
                <w:bCs/>
                <w:i/>
                <w:sz w:val="18"/>
                <w:szCs w:val="18"/>
              </w:rPr>
            </w:pPr>
            <w:r w:rsidRPr="00E55E40">
              <w:rPr>
                <w:bCs/>
                <w:i/>
                <w:sz w:val="18"/>
                <w:szCs w:val="18"/>
              </w:rPr>
              <w:t>455,5</w:t>
            </w:r>
          </w:p>
        </w:tc>
        <w:tc>
          <w:tcPr>
            <w:tcW w:w="1027" w:type="dxa"/>
            <w:shd w:val="clear" w:color="auto" w:fill="auto"/>
            <w:vAlign w:val="center"/>
            <w:hideMark/>
          </w:tcPr>
          <w:p w14:paraId="3A27BFE7" w14:textId="77777777" w:rsidR="00550FE4" w:rsidRPr="00E55E40" w:rsidRDefault="00550FE4" w:rsidP="00CA372F">
            <w:pPr>
              <w:jc w:val="center"/>
              <w:rPr>
                <w:bCs/>
                <w:i/>
                <w:color w:val="000000"/>
                <w:sz w:val="18"/>
                <w:szCs w:val="18"/>
              </w:rPr>
            </w:pPr>
            <w:r w:rsidRPr="00E55E40">
              <w:rPr>
                <w:bCs/>
                <w:i/>
                <w:color w:val="000000"/>
                <w:sz w:val="18"/>
                <w:szCs w:val="18"/>
              </w:rPr>
              <w:t>230,7</w:t>
            </w:r>
          </w:p>
        </w:tc>
        <w:tc>
          <w:tcPr>
            <w:tcW w:w="3082" w:type="dxa"/>
            <w:shd w:val="clear" w:color="auto" w:fill="auto"/>
            <w:hideMark/>
          </w:tcPr>
          <w:p w14:paraId="21F9E241" w14:textId="77777777" w:rsidR="00550FE4" w:rsidRPr="00E55E40" w:rsidRDefault="00550FE4" w:rsidP="008F3ED0">
            <w:pPr>
              <w:jc w:val="both"/>
              <w:rPr>
                <w:bCs/>
                <w:i/>
                <w:sz w:val="18"/>
                <w:szCs w:val="18"/>
              </w:rPr>
            </w:pPr>
            <w:r w:rsidRPr="00E55E40">
              <w:rPr>
                <w:bCs/>
                <w:i/>
                <w:sz w:val="18"/>
                <w:szCs w:val="18"/>
              </w:rPr>
              <w:t>средняя стоимость</w:t>
            </w:r>
          </w:p>
        </w:tc>
        <w:tc>
          <w:tcPr>
            <w:tcW w:w="2356" w:type="dxa"/>
            <w:shd w:val="clear" w:color="auto" w:fill="auto"/>
            <w:vAlign w:val="bottom"/>
            <w:hideMark/>
          </w:tcPr>
          <w:p w14:paraId="0A698938" w14:textId="77777777" w:rsidR="00550FE4" w:rsidRPr="00E55E40" w:rsidRDefault="00550FE4" w:rsidP="00550FE4">
            <w:pPr>
              <w:jc w:val="center"/>
              <w:rPr>
                <w:i/>
                <w:color w:val="000000"/>
                <w:sz w:val="18"/>
                <w:szCs w:val="18"/>
              </w:rPr>
            </w:pPr>
            <w:r w:rsidRPr="00E55E40">
              <w:rPr>
                <w:bCs/>
                <w:i/>
                <w:color w:val="000000"/>
                <w:sz w:val="18"/>
                <w:szCs w:val="18"/>
              </w:rPr>
              <w:t>-49,4</w:t>
            </w:r>
          </w:p>
        </w:tc>
      </w:tr>
      <w:tr w:rsidR="00550FE4" w:rsidRPr="00E55E40" w14:paraId="2C7CCC37" w14:textId="77777777" w:rsidTr="008F3ED0">
        <w:trPr>
          <w:trHeight w:val="427"/>
        </w:trPr>
        <w:tc>
          <w:tcPr>
            <w:tcW w:w="2277" w:type="dxa"/>
            <w:shd w:val="clear" w:color="auto" w:fill="auto"/>
            <w:vAlign w:val="center"/>
            <w:hideMark/>
          </w:tcPr>
          <w:p w14:paraId="62AB65AA" w14:textId="77777777" w:rsidR="00550FE4" w:rsidRPr="00E55E40" w:rsidRDefault="00E81120" w:rsidP="008F3ED0">
            <w:pPr>
              <w:jc w:val="center"/>
              <w:rPr>
                <w:sz w:val="18"/>
                <w:szCs w:val="18"/>
              </w:rPr>
            </w:pPr>
            <w:r w:rsidRPr="00E55E40">
              <w:rPr>
                <w:sz w:val="18"/>
                <w:szCs w:val="18"/>
              </w:rPr>
              <w:t>Порядок ДИМВ</w:t>
            </w:r>
            <w:r w:rsidR="00550FE4" w:rsidRPr="00E55E40">
              <w:rPr>
                <w:sz w:val="18"/>
                <w:szCs w:val="18"/>
              </w:rPr>
              <w:t xml:space="preserve"> (частично)</w:t>
            </w:r>
          </w:p>
        </w:tc>
        <w:tc>
          <w:tcPr>
            <w:tcW w:w="994" w:type="dxa"/>
            <w:vAlign w:val="center"/>
          </w:tcPr>
          <w:p w14:paraId="646815FA" w14:textId="77777777" w:rsidR="00550FE4" w:rsidRPr="00E55E40" w:rsidRDefault="00550FE4" w:rsidP="008F3ED0">
            <w:pPr>
              <w:jc w:val="center"/>
              <w:rPr>
                <w:i/>
                <w:sz w:val="18"/>
                <w:szCs w:val="18"/>
              </w:rPr>
            </w:pPr>
            <w:r w:rsidRPr="00E55E40">
              <w:rPr>
                <w:i/>
                <w:sz w:val="18"/>
                <w:szCs w:val="18"/>
              </w:rPr>
              <w:t>485</w:t>
            </w:r>
          </w:p>
        </w:tc>
        <w:tc>
          <w:tcPr>
            <w:tcW w:w="1027" w:type="dxa"/>
            <w:shd w:val="clear" w:color="auto" w:fill="auto"/>
            <w:vAlign w:val="center"/>
            <w:hideMark/>
          </w:tcPr>
          <w:p w14:paraId="08201541" w14:textId="77777777" w:rsidR="00550FE4" w:rsidRPr="00E55E40" w:rsidRDefault="00550FE4" w:rsidP="00CA372F">
            <w:pPr>
              <w:jc w:val="center"/>
              <w:rPr>
                <w:i/>
                <w:sz w:val="18"/>
                <w:szCs w:val="18"/>
              </w:rPr>
            </w:pPr>
            <w:r w:rsidRPr="00E55E40">
              <w:rPr>
                <w:i/>
                <w:sz w:val="18"/>
                <w:szCs w:val="18"/>
              </w:rPr>
              <w:t>214,2</w:t>
            </w:r>
          </w:p>
        </w:tc>
        <w:tc>
          <w:tcPr>
            <w:tcW w:w="3082" w:type="dxa"/>
            <w:shd w:val="clear" w:color="auto" w:fill="auto"/>
            <w:hideMark/>
          </w:tcPr>
          <w:p w14:paraId="51DC14A3" w14:textId="77777777" w:rsidR="00550FE4" w:rsidRPr="00E55E40" w:rsidRDefault="00550FE4" w:rsidP="008F3ED0">
            <w:pPr>
              <w:rPr>
                <w:sz w:val="18"/>
                <w:szCs w:val="18"/>
              </w:rPr>
            </w:pPr>
            <w:r w:rsidRPr="00E55E40">
              <w:rPr>
                <w:sz w:val="18"/>
                <w:szCs w:val="18"/>
              </w:rPr>
              <w:t xml:space="preserve">Калачевский ПНИ </w:t>
            </w:r>
            <w:r w:rsidRPr="00E55E40">
              <w:rPr>
                <w:i/>
                <w:iCs/>
                <w:sz w:val="18"/>
                <w:szCs w:val="18"/>
              </w:rPr>
              <w:t>(Зимняцкий ДИМВ и Серафимовический ДИМВ)</w:t>
            </w:r>
            <w:r w:rsidRPr="00E55E40">
              <w:rPr>
                <w:sz w:val="18"/>
                <w:szCs w:val="18"/>
              </w:rPr>
              <w:t xml:space="preserve"> </w:t>
            </w:r>
          </w:p>
        </w:tc>
        <w:tc>
          <w:tcPr>
            <w:tcW w:w="2356" w:type="dxa"/>
            <w:shd w:val="clear" w:color="auto" w:fill="auto"/>
            <w:vAlign w:val="center"/>
            <w:hideMark/>
          </w:tcPr>
          <w:p w14:paraId="031089A2" w14:textId="77777777" w:rsidR="00550FE4" w:rsidRPr="00E55E40" w:rsidRDefault="00550FE4" w:rsidP="00550FE4">
            <w:pPr>
              <w:jc w:val="center"/>
              <w:rPr>
                <w:i/>
                <w:sz w:val="18"/>
                <w:szCs w:val="18"/>
              </w:rPr>
            </w:pPr>
            <w:r w:rsidRPr="00E55E40">
              <w:rPr>
                <w:i/>
                <w:sz w:val="18"/>
                <w:szCs w:val="18"/>
              </w:rPr>
              <w:t>-55,5</w:t>
            </w:r>
          </w:p>
        </w:tc>
      </w:tr>
    </w:tbl>
    <w:p w14:paraId="4AB334F2" w14:textId="77777777" w:rsidR="009A4764" w:rsidRPr="00E55E40" w:rsidRDefault="009A4764" w:rsidP="009A4764">
      <w:pPr>
        <w:autoSpaceDE w:val="0"/>
        <w:autoSpaceDN w:val="0"/>
        <w:adjustRightInd w:val="0"/>
        <w:ind w:firstLine="709"/>
        <w:jc w:val="both"/>
        <w:rPr>
          <w:rFonts w:asciiTheme="minorHAnsi" w:eastAsiaTheme="minorHAnsi" w:hAnsiTheme="minorHAnsi"/>
          <w:color w:val="FF0000"/>
          <w:lang w:eastAsia="en-US"/>
        </w:rPr>
      </w:pPr>
    </w:p>
    <w:p w14:paraId="58030606" w14:textId="77777777" w:rsidR="00F935D8" w:rsidRPr="00E55E40" w:rsidRDefault="00F935D8" w:rsidP="00F935D8">
      <w:pPr>
        <w:autoSpaceDE w:val="0"/>
        <w:autoSpaceDN w:val="0"/>
        <w:adjustRightInd w:val="0"/>
        <w:ind w:firstLine="709"/>
        <w:jc w:val="both"/>
        <w:rPr>
          <w:rFonts w:eastAsiaTheme="minorHAnsi"/>
          <w:lang w:eastAsia="en-US"/>
        </w:rPr>
      </w:pPr>
      <w:r w:rsidRPr="00E55E40">
        <w:rPr>
          <w:rFonts w:eastAsiaTheme="minorHAnsi"/>
          <w:lang w:eastAsia="en-US"/>
        </w:rPr>
        <w:t xml:space="preserve">Как видно из таблицы № 6, средняя стоимость фактически предоставляемых социальных услуг 1 получателю в государственных учреждениях меньше утверждённых нормативных затрат по всем порядкам предоставления социальных услуг, в наибольшей степени по Порядку </w:t>
      </w:r>
      <w:r w:rsidR="00E81120" w:rsidRPr="00E55E40">
        <w:rPr>
          <w:rFonts w:eastAsiaTheme="minorHAnsi"/>
          <w:lang w:eastAsia="en-US"/>
        </w:rPr>
        <w:t>ПНИ</w:t>
      </w:r>
      <w:r w:rsidRPr="00E55E40">
        <w:rPr>
          <w:rFonts w:eastAsiaTheme="minorHAnsi"/>
          <w:lang w:eastAsia="en-US"/>
        </w:rPr>
        <w:t xml:space="preserve"> </w:t>
      </w:r>
      <w:r w:rsidR="00035B31" w:rsidRPr="00E55E40">
        <w:rPr>
          <w:rFonts w:eastAsiaTheme="minorHAnsi"/>
          <w:lang w:eastAsia="en-US"/>
        </w:rPr>
        <w:t xml:space="preserve">для граждан, </w:t>
      </w:r>
      <w:r w:rsidR="008C2FA1" w:rsidRPr="00E55E40">
        <w:rPr>
          <w:rFonts w:eastAsiaTheme="minorHAnsi"/>
          <w:lang w:eastAsia="en-US"/>
        </w:rPr>
        <w:t>полностью</w:t>
      </w:r>
      <w:r w:rsidR="00035B31" w:rsidRPr="00E55E40">
        <w:rPr>
          <w:rFonts w:eastAsiaTheme="minorHAnsi"/>
          <w:lang w:eastAsia="en-US"/>
        </w:rPr>
        <w:t xml:space="preserve"> утративших способность к самообслуживанию, </w:t>
      </w:r>
      <w:r w:rsidRPr="00E55E40">
        <w:rPr>
          <w:rFonts w:eastAsiaTheme="minorHAnsi"/>
          <w:lang w:eastAsia="en-US"/>
        </w:rPr>
        <w:t xml:space="preserve">- на 57 процентов. </w:t>
      </w:r>
    </w:p>
    <w:p w14:paraId="070AF36B" w14:textId="77777777" w:rsidR="00F935D8" w:rsidRPr="00E55E40" w:rsidRDefault="00F935D8" w:rsidP="007B3975">
      <w:pPr>
        <w:autoSpaceDE w:val="0"/>
        <w:autoSpaceDN w:val="0"/>
        <w:adjustRightInd w:val="0"/>
        <w:ind w:firstLine="709"/>
        <w:jc w:val="both"/>
        <w:rPr>
          <w:rFonts w:eastAsiaTheme="minorHAnsi"/>
          <w:lang w:eastAsia="en-US"/>
        </w:rPr>
      </w:pPr>
      <w:r w:rsidRPr="00E55E40">
        <w:rPr>
          <w:rFonts w:eastAsiaTheme="minorHAnsi"/>
          <w:lang w:eastAsia="en-US"/>
        </w:rPr>
        <w:t>Таким образом</w:t>
      </w:r>
      <w:r w:rsidR="0081725C" w:rsidRPr="00E55E40">
        <w:rPr>
          <w:rFonts w:eastAsiaTheme="minorHAnsi"/>
          <w:lang w:eastAsia="en-US"/>
        </w:rPr>
        <w:t>,</w:t>
      </w:r>
      <w:r w:rsidRPr="00E55E40">
        <w:rPr>
          <w:rFonts w:eastAsiaTheme="minorHAnsi"/>
          <w:lang w:eastAsia="en-US"/>
        </w:rPr>
        <w:t xml:space="preserve"> финансовое обеспечение государственных заданий на оказание государственных услуг по социальному обслуживанию граждан, доводимых Комитетом до </w:t>
      </w:r>
      <w:r w:rsidRPr="00E55E40">
        <w:rPr>
          <w:rFonts w:eastAsiaTheme="minorHAnsi"/>
          <w:lang w:eastAsia="en-US"/>
        </w:rPr>
        <w:lastRenderedPageBreak/>
        <w:t xml:space="preserve">государственных учреждений, осуществлялось в размерах, значительно превышающих стоимость фактически предоставляемых этими учреждениями социальных услуг. </w:t>
      </w:r>
    </w:p>
    <w:p w14:paraId="4A28FE2D" w14:textId="77777777" w:rsidR="0081725C" w:rsidRPr="00E55E40" w:rsidRDefault="0081725C" w:rsidP="0081725C">
      <w:pPr>
        <w:autoSpaceDE w:val="0"/>
        <w:autoSpaceDN w:val="0"/>
        <w:adjustRightInd w:val="0"/>
        <w:ind w:firstLine="709"/>
        <w:jc w:val="both"/>
      </w:pPr>
      <w:r w:rsidRPr="00E55E40">
        <w:t xml:space="preserve">Следует </w:t>
      </w:r>
      <w:r w:rsidR="00904E56" w:rsidRPr="00E55E40">
        <w:t>обратить</w:t>
      </w:r>
      <w:r w:rsidR="008F3ED0" w:rsidRPr="00E55E40">
        <w:t xml:space="preserve"> внимание на фактор, ещё более </w:t>
      </w:r>
      <w:r w:rsidR="00904E56" w:rsidRPr="00E55E40">
        <w:t xml:space="preserve">увеличивающий разрыв между </w:t>
      </w:r>
      <w:r w:rsidR="00904E56" w:rsidRPr="00E55E40">
        <w:rPr>
          <w:rFonts w:eastAsiaTheme="minorHAnsi"/>
          <w:lang w:eastAsia="en-US"/>
        </w:rPr>
        <w:t>стоимостью фактически предоставляемых государственными учреждениями социальных услуг</w:t>
      </w:r>
      <w:r w:rsidR="00904E56" w:rsidRPr="00E55E40">
        <w:t xml:space="preserve"> и выделяемых на эти цели бюджетных средств. Это коэффициент выравнивания, применяемый к объему финансового обеспечения государственных заданий, рассчитанному исходя из нормативных затрат. </w:t>
      </w:r>
      <w:r w:rsidRPr="00E55E40">
        <w:t xml:space="preserve">В 2016 году </w:t>
      </w:r>
      <w:r w:rsidR="00904E56" w:rsidRPr="00E55E40">
        <w:t xml:space="preserve">его значение </w:t>
      </w:r>
      <w:r w:rsidRPr="00E55E40">
        <w:t>варьировал</w:t>
      </w:r>
      <w:r w:rsidR="00904E56" w:rsidRPr="00E55E40">
        <w:t>о</w:t>
      </w:r>
      <w:r w:rsidRPr="00E55E40">
        <w:t>с</w:t>
      </w:r>
      <w:r w:rsidR="00904E56" w:rsidRPr="00E55E40">
        <w:t>ь</w:t>
      </w:r>
      <w:r w:rsidRPr="00E55E40">
        <w:t xml:space="preserve"> от 0,6 до 1,5; в 2017 году от 0,8 до 1,7; в 2018 году от 0,3 до 2; в 2019 году от 0,8 до 3,6.</w:t>
      </w:r>
    </w:p>
    <w:p w14:paraId="21ABE7EE" w14:textId="77777777" w:rsidR="00CA372F" w:rsidRPr="00E55E40" w:rsidRDefault="00035B31" w:rsidP="0081725C">
      <w:pPr>
        <w:autoSpaceDE w:val="0"/>
        <w:autoSpaceDN w:val="0"/>
        <w:adjustRightInd w:val="0"/>
        <w:ind w:firstLine="709"/>
        <w:jc w:val="both"/>
      </w:pPr>
      <w:r w:rsidRPr="00E55E40">
        <w:t xml:space="preserve">Например, </w:t>
      </w:r>
      <w:r w:rsidR="00CA372F" w:rsidRPr="00E55E40">
        <w:t>объём финансового обеспечения государственного задания, утверждённого Комитетом для Нижнедобринского ПНИ на 2018 год, исходя из утвержденных нормативных затрат в размере 332,7 тыс. руб. и объёмного показателя государственного задания в количестве 192,5 человека, составляет 64044,7 тыс. рублей. За вычетом средств, поступающих от пенсий получателей в размере 21134,9 тыс. руб., сумма субсидии из областного бюджета, рассчитанная из нормативных затрат, составит 42906,1 тыс. рублей.</w:t>
      </w:r>
    </w:p>
    <w:p w14:paraId="5AED584C" w14:textId="77777777" w:rsidR="00F53FFD" w:rsidRPr="00E55E40" w:rsidRDefault="00CA372F" w:rsidP="0081725C">
      <w:pPr>
        <w:autoSpaceDE w:val="0"/>
        <w:autoSpaceDN w:val="0"/>
        <w:adjustRightInd w:val="0"/>
        <w:ind w:firstLine="709"/>
        <w:jc w:val="both"/>
      </w:pPr>
      <w:r w:rsidRPr="00E55E40">
        <w:t>Комитетом для Нижнедобринского ПНИ утверждены коэффициенты выравнивания 15.02.2018 в размере 1,448488019</w:t>
      </w:r>
      <w:r w:rsidR="00B9799D" w:rsidRPr="00E55E40">
        <w:t>;</w:t>
      </w:r>
      <w:r w:rsidRPr="00E55E40">
        <w:t xml:space="preserve"> 10.01.2019 в размере 1,547176253.</w:t>
      </w:r>
      <w:r w:rsidR="00B9799D" w:rsidRPr="00E55E40">
        <w:t xml:space="preserve"> После применения коэффициента выравнивания, размер субсидии из областного бюджета составил 66383,3 тыс. руб., в результате объём финансового обеспечения составил 87518,2 тыс. руб., или на 36,7% выше размера субсидии, рассчитанного исходя из нормативных затрат.</w:t>
      </w:r>
    </w:p>
    <w:p w14:paraId="5E613659" w14:textId="77777777" w:rsidR="00F53FFD" w:rsidRPr="00E55E40" w:rsidRDefault="00F53FFD" w:rsidP="00F53FFD">
      <w:pPr>
        <w:autoSpaceDE w:val="0"/>
        <w:autoSpaceDN w:val="0"/>
        <w:adjustRightInd w:val="0"/>
        <w:ind w:firstLine="709"/>
        <w:jc w:val="both"/>
        <w:rPr>
          <w:rFonts w:eastAsiaTheme="minorHAnsi"/>
          <w:lang w:eastAsia="en-US"/>
        </w:rPr>
      </w:pPr>
      <w:r w:rsidRPr="00E55E40">
        <w:rPr>
          <w:rFonts w:eastAsiaTheme="minorHAnsi"/>
          <w:lang w:eastAsia="en-US"/>
        </w:rPr>
        <w:t>По пояснениям Комитета необходимость применения коэффициента выравнивания обусловлена потребностью учреждений в ассигнованиях для достижения целевых показателей заработной платы работников социальной сферы, установленных дорожной картой во исполнение Указа Президента РФ от 07.05.2012 № 597 «О мероприятиях по реализации государственной социальной политики», обеспечения в первоочередном порядке расходов на закупку продуктов питания, мягкого инвентаря, обмундирования, расходных материалов медицинского назначения, аутсорсинг, коммунальные услуги, уплату налогов, сборов, и иных платежей.</w:t>
      </w:r>
    </w:p>
    <w:p w14:paraId="526ECCE5" w14:textId="77777777" w:rsidR="00F53FFD" w:rsidRPr="00E55E40" w:rsidRDefault="00F53FFD" w:rsidP="00F53FFD">
      <w:pPr>
        <w:autoSpaceDE w:val="0"/>
        <w:autoSpaceDN w:val="0"/>
        <w:adjustRightInd w:val="0"/>
        <w:ind w:firstLine="709"/>
        <w:jc w:val="both"/>
        <w:rPr>
          <w:rFonts w:eastAsiaTheme="minorHAnsi"/>
          <w:lang w:eastAsia="en-US"/>
        </w:rPr>
      </w:pPr>
      <w:r w:rsidRPr="00E55E40">
        <w:rPr>
          <w:rFonts w:eastAsiaTheme="minorHAnsi"/>
          <w:lang w:eastAsia="en-US"/>
        </w:rPr>
        <w:t>То есть, объёмы финансового обеспечения, рассчитываемые исходя из нормативных затрат, недостаточны для выполнения государственных услуг</w:t>
      </w:r>
      <w:r w:rsidR="008854D0" w:rsidRPr="00E55E40">
        <w:rPr>
          <w:rFonts w:eastAsiaTheme="minorHAnsi"/>
          <w:lang w:eastAsia="en-US"/>
        </w:rPr>
        <w:t xml:space="preserve"> отдельными государственными учреждениями</w:t>
      </w:r>
      <w:r w:rsidRPr="00E55E40">
        <w:rPr>
          <w:rFonts w:eastAsiaTheme="minorHAnsi"/>
          <w:lang w:eastAsia="en-US"/>
        </w:rPr>
        <w:t>. В ходе проверки проанализировано влияние коэффициента выравнивания на уровень финансового обеспечения на примере расчёта объёма финансового обеспечения государственного задания на 2018 год, доведённого на оказание государственных услуг (в расчете на 1 единицу услуги) гражданам, частично утратившим способность к самообслуживанию:</w:t>
      </w:r>
    </w:p>
    <w:p w14:paraId="7FB761DA" w14:textId="77777777" w:rsidR="008854D0" w:rsidRPr="00E55E40" w:rsidRDefault="008854D0" w:rsidP="00F53FFD">
      <w:pPr>
        <w:autoSpaceDE w:val="0"/>
        <w:autoSpaceDN w:val="0"/>
        <w:adjustRightInd w:val="0"/>
        <w:ind w:firstLine="709"/>
        <w:jc w:val="both"/>
        <w:rPr>
          <w:rFonts w:eastAsiaTheme="minorHAnsi"/>
          <w:i/>
          <w:lang w:eastAsia="en-US"/>
        </w:rPr>
      </w:pPr>
    </w:p>
    <w:p w14:paraId="3931E148" w14:textId="77777777" w:rsidR="00F53FFD" w:rsidRPr="00E55E40" w:rsidRDefault="00F53FFD" w:rsidP="00F53FFD">
      <w:pPr>
        <w:autoSpaceDE w:val="0"/>
        <w:autoSpaceDN w:val="0"/>
        <w:adjustRightInd w:val="0"/>
        <w:ind w:firstLine="709"/>
        <w:jc w:val="both"/>
        <w:rPr>
          <w:i/>
        </w:rPr>
      </w:pPr>
      <w:r w:rsidRPr="00E55E40">
        <w:rPr>
          <w:rFonts w:eastAsiaTheme="minorHAnsi"/>
          <w:i/>
          <w:lang w:eastAsia="en-US"/>
        </w:rPr>
        <w:t xml:space="preserve">по </w:t>
      </w:r>
      <w:r w:rsidRPr="00E55E40">
        <w:rPr>
          <w:i/>
        </w:rPr>
        <w:t xml:space="preserve">Порядку </w:t>
      </w:r>
      <w:r w:rsidR="00E81120" w:rsidRPr="00E55E40">
        <w:rPr>
          <w:i/>
        </w:rPr>
        <w:t>ПНИ</w:t>
      </w:r>
      <w:r w:rsidRPr="00E55E40">
        <w:rPr>
          <w:i/>
        </w:rPr>
        <w:t xml:space="preserve"> </w:t>
      </w:r>
    </w:p>
    <w:p w14:paraId="499C4F03" w14:textId="77777777" w:rsidR="00F53FFD" w:rsidRPr="00E55E40" w:rsidRDefault="00F53FFD" w:rsidP="00F53FFD">
      <w:pPr>
        <w:autoSpaceDE w:val="0"/>
        <w:autoSpaceDN w:val="0"/>
        <w:adjustRightInd w:val="0"/>
        <w:ind w:firstLine="709"/>
        <w:jc w:val="right"/>
      </w:pPr>
      <w:r w:rsidRPr="00E55E40">
        <w:t xml:space="preserve">Таблица № </w:t>
      </w:r>
      <w:r w:rsidR="008854D0" w:rsidRPr="00E55E40">
        <w:t>7</w:t>
      </w:r>
    </w:p>
    <w:tbl>
      <w:tblPr>
        <w:tblStyle w:val="a7"/>
        <w:tblW w:w="9646" w:type="dxa"/>
        <w:tblLayout w:type="fixed"/>
        <w:tblLook w:val="04A0" w:firstRow="1" w:lastRow="0" w:firstColumn="1" w:lastColumn="0" w:noHBand="0" w:noVBand="1"/>
      </w:tblPr>
      <w:tblGrid>
        <w:gridCol w:w="1038"/>
        <w:gridCol w:w="771"/>
        <w:gridCol w:w="973"/>
        <w:gridCol w:w="1012"/>
        <w:gridCol w:w="1242"/>
        <w:gridCol w:w="904"/>
        <w:gridCol w:w="1170"/>
        <w:gridCol w:w="1200"/>
        <w:gridCol w:w="1336"/>
      </w:tblGrid>
      <w:tr w:rsidR="00F53FFD" w:rsidRPr="00E55E40" w14:paraId="4A575119" w14:textId="77777777" w:rsidTr="009D0322">
        <w:tc>
          <w:tcPr>
            <w:tcW w:w="1038" w:type="dxa"/>
            <w:vMerge w:val="restart"/>
          </w:tcPr>
          <w:p w14:paraId="0C90075A" w14:textId="77777777" w:rsidR="00F53FFD" w:rsidRPr="00E55E40" w:rsidRDefault="00F53FFD" w:rsidP="009D0322">
            <w:pPr>
              <w:autoSpaceDE w:val="0"/>
              <w:autoSpaceDN w:val="0"/>
              <w:adjustRightInd w:val="0"/>
              <w:jc w:val="both"/>
              <w:rPr>
                <w:sz w:val="16"/>
                <w:szCs w:val="16"/>
              </w:rPr>
            </w:pPr>
            <w:r w:rsidRPr="00E55E40">
              <w:rPr>
                <w:sz w:val="16"/>
                <w:szCs w:val="16"/>
              </w:rPr>
              <w:t>Учреж-дение</w:t>
            </w:r>
          </w:p>
        </w:tc>
        <w:tc>
          <w:tcPr>
            <w:tcW w:w="771" w:type="dxa"/>
            <w:vMerge w:val="restart"/>
          </w:tcPr>
          <w:p w14:paraId="0C76B255" w14:textId="77777777" w:rsidR="00F53FFD" w:rsidRPr="00E55E40" w:rsidRDefault="00F53FFD" w:rsidP="009D0322">
            <w:pPr>
              <w:autoSpaceDE w:val="0"/>
              <w:autoSpaceDN w:val="0"/>
              <w:adjustRightInd w:val="0"/>
              <w:jc w:val="center"/>
              <w:rPr>
                <w:sz w:val="16"/>
                <w:szCs w:val="16"/>
              </w:rPr>
            </w:pPr>
            <w:r w:rsidRPr="00E55E40">
              <w:rPr>
                <w:sz w:val="16"/>
                <w:szCs w:val="16"/>
              </w:rPr>
              <w:t>Объем гос-услуг</w:t>
            </w:r>
          </w:p>
        </w:tc>
        <w:tc>
          <w:tcPr>
            <w:tcW w:w="973" w:type="dxa"/>
            <w:vMerge w:val="restart"/>
          </w:tcPr>
          <w:p w14:paraId="40A427EB" w14:textId="77777777" w:rsidR="00F53FFD" w:rsidRPr="00E55E40" w:rsidRDefault="00F53FFD" w:rsidP="009D0322">
            <w:pPr>
              <w:autoSpaceDE w:val="0"/>
              <w:autoSpaceDN w:val="0"/>
              <w:adjustRightInd w:val="0"/>
              <w:jc w:val="center"/>
              <w:rPr>
                <w:sz w:val="16"/>
                <w:szCs w:val="16"/>
              </w:rPr>
            </w:pPr>
            <w:r w:rsidRPr="00E55E40">
              <w:rPr>
                <w:sz w:val="16"/>
                <w:szCs w:val="16"/>
              </w:rPr>
              <w:t>Базовый норматив затрат на 1 единицу госуслуги, руб.</w:t>
            </w:r>
          </w:p>
        </w:tc>
        <w:tc>
          <w:tcPr>
            <w:tcW w:w="3158" w:type="dxa"/>
            <w:gridSpan w:val="3"/>
          </w:tcPr>
          <w:p w14:paraId="749C2F52" w14:textId="77777777" w:rsidR="00F53FFD" w:rsidRPr="00E55E40" w:rsidRDefault="00F53FFD" w:rsidP="009D0322">
            <w:pPr>
              <w:autoSpaceDE w:val="0"/>
              <w:autoSpaceDN w:val="0"/>
              <w:adjustRightInd w:val="0"/>
              <w:jc w:val="center"/>
              <w:rPr>
                <w:sz w:val="16"/>
                <w:szCs w:val="16"/>
              </w:rPr>
            </w:pPr>
            <w:r w:rsidRPr="00E55E40">
              <w:rPr>
                <w:sz w:val="16"/>
                <w:szCs w:val="16"/>
              </w:rPr>
              <w:t>Территориальный коэффициент (ТК)</w:t>
            </w:r>
          </w:p>
        </w:tc>
        <w:tc>
          <w:tcPr>
            <w:tcW w:w="1170" w:type="dxa"/>
            <w:vMerge w:val="restart"/>
          </w:tcPr>
          <w:p w14:paraId="26D04B89" w14:textId="77777777" w:rsidR="00F53FFD" w:rsidRPr="00E55E40" w:rsidRDefault="00F53FFD" w:rsidP="009D0322">
            <w:pPr>
              <w:autoSpaceDE w:val="0"/>
              <w:autoSpaceDN w:val="0"/>
              <w:adjustRightInd w:val="0"/>
              <w:jc w:val="center"/>
              <w:rPr>
                <w:sz w:val="16"/>
                <w:szCs w:val="16"/>
              </w:rPr>
            </w:pPr>
            <w:r w:rsidRPr="00E55E40">
              <w:rPr>
                <w:sz w:val="16"/>
                <w:szCs w:val="16"/>
              </w:rPr>
              <w:t>Нормативные затраты на 1 единицу госуслуги после применения ТК, руб.</w:t>
            </w:r>
          </w:p>
        </w:tc>
        <w:tc>
          <w:tcPr>
            <w:tcW w:w="1200" w:type="dxa"/>
            <w:vMerge w:val="restart"/>
          </w:tcPr>
          <w:p w14:paraId="1FEE8C3B" w14:textId="77777777" w:rsidR="00F53FFD" w:rsidRPr="00E55E40" w:rsidRDefault="00F53FFD" w:rsidP="009D0322">
            <w:pPr>
              <w:autoSpaceDE w:val="0"/>
              <w:autoSpaceDN w:val="0"/>
              <w:adjustRightInd w:val="0"/>
              <w:jc w:val="center"/>
              <w:rPr>
                <w:sz w:val="16"/>
                <w:szCs w:val="16"/>
              </w:rPr>
            </w:pPr>
            <w:r w:rsidRPr="00E55E40">
              <w:rPr>
                <w:sz w:val="16"/>
                <w:szCs w:val="16"/>
              </w:rPr>
              <w:t>Коэффициент выравнивания (</w:t>
            </w:r>
            <w:r w:rsidRPr="00E55E40">
              <w:rPr>
                <w:rFonts w:eastAsiaTheme="minorHAnsi"/>
                <w:sz w:val="16"/>
                <w:szCs w:val="16"/>
                <w:lang w:eastAsia="en-US"/>
              </w:rPr>
              <w:t>К</w:t>
            </w:r>
            <w:r w:rsidRPr="00E55E40">
              <w:rPr>
                <w:rFonts w:eastAsiaTheme="minorHAnsi"/>
                <w:sz w:val="16"/>
                <w:szCs w:val="16"/>
                <w:vertAlign w:val="subscript"/>
                <w:lang w:eastAsia="en-US"/>
              </w:rPr>
              <w:t>БА</w:t>
            </w:r>
            <w:r w:rsidRPr="00E55E40">
              <w:rPr>
                <w:rFonts w:eastAsiaTheme="minorHAnsi"/>
                <w:sz w:val="16"/>
                <w:szCs w:val="16"/>
                <w:vertAlign w:val="subscript"/>
                <w:lang w:val="en-US" w:eastAsia="en-US"/>
              </w:rPr>
              <w:t>j</w:t>
            </w:r>
            <w:r w:rsidRPr="00E55E40">
              <w:rPr>
                <w:sz w:val="16"/>
                <w:szCs w:val="16"/>
              </w:rPr>
              <w:t>)</w:t>
            </w:r>
          </w:p>
        </w:tc>
        <w:tc>
          <w:tcPr>
            <w:tcW w:w="1336" w:type="dxa"/>
            <w:vMerge w:val="restart"/>
          </w:tcPr>
          <w:p w14:paraId="1D867586" w14:textId="77777777" w:rsidR="00F53FFD" w:rsidRPr="00E55E40" w:rsidRDefault="00F53FFD" w:rsidP="009D0322">
            <w:pPr>
              <w:autoSpaceDE w:val="0"/>
              <w:autoSpaceDN w:val="0"/>
              <w:adjustRightInd w:val="0"/>
              <w:jc w:val="center"/>
              <w:rPr>
                <w:sz w:val="16"/>
                <w:szCs w:val="16"/>
              </w:rPr>
            </w:pPr>
            <w:r w:rsidRPr="00E55E40">
              <w:rPr>
                <w:sz w:val="16"/>
                <w:szCs w:val="16"/>
              </w:rPr>
              <w:t xml:space="preserve">Итоговая стоимость 1 единицы госуслуги после применения ТК и </w:t>
            </w:r>
            <w:r w:rsidRPr="00E55E40">
              <w:rPr>
                <w:rFonts w:eastAsiaTheme="minorHAnsi"/>
                <w:sz w:val="16"/>
                <w:szCs w:val="16"/>
                <w:lang w:eastAsia="en-US"/>
              </w:rPr>
              <w:t>К</w:t>
            </w:r>
            <w:r w:rsidRPr="00E55E40">
              <w:rPr>
                <w:rFonts w:eastAsiaTheme="minorHAnsi"/>
                <w:sz w:val="16"/>
                <w:szCs w:val="16"/>
                <w:vertAlign w:val="subscript"/>
                <w:lang w:eastAsia="en-US"/>
              </w:rPr>
              <w:t>БА</w:t>
            </w:r>
            <w:r w:rsidRPr="00E55E40">
              <w:rPr>
                <w:rFonts w:eastAsiaTheme="minorHAnsi"/>
                <w:sz w:val="16"/>
                <w:szCs w:val="16"/>
                <w:vertAlign w:val="subscript"/>
                <w:lang w:val="en-US" w:eastAsia="en-US"/>
              </w:rPr>
              <w:t>j</w:t>
            </w:r>
            <w:r w:rsidRPr="00E55E40">
              <w:rPr>
                <w:rFonts w:eastAsiaTheme="minorHAnsi"/>
                <w:sz w:val="16"/>
                <w:szCs w:val="16"/>
                <w:lang w:eastAsia="en-US"/>
              </w:rPr>
              <w:t>, руб.</w:t>
            </w:r>
          </w:p>
        </w:tc>
      </w:tr>
      <w:tr w:rsidR="00F53FFD" w:rsidRPr="00E55E40" w14:paraId="77E6FEC3" w14:textId="77777777" w:rsidTr="009D0322">
        <w:tc>
          <w:tcPr>
            <w:tcW w:w="1038" w:type="dxa"/>
            <w:vMerge/>
          </w:tcPr>
          <w:p w14:paraId="12CF077F" w14:textId="77777777" w:rsidR="00F53FFD" w:rsidRPr="00E55E40" w:rsidRDefault="00F53FFD" w:rsidP="009D0322">
            <w:pPr>
              <w:autoSpaceDE w:val="0"/>
              <w:autoSpaceDN w:val="0"/>
              <w:adjustRightInd w:val="0"/>
              <w:jc w:val="both"/>
              <w:rPr>
                <w:sz w:val="16"/>
                <w:szCs w:val="16"/>
              </w:rPr>
            </w:pPr>
          </w:p>
        </w:tc>
        <w:tc>
          <w:tcPr>
            <w:tcW w:w="771" w:type="dxa"/>
            <w:vMerge/>
          </w:tcPr>
          <w:p w14:paraId="2B5F5DB1" w14:textId="77777777" w:rsidR="00F53FFD" w:rsidRPr="00E55E40" w:rsidRDefault="00F53FFD" w:rsidP="009D0322">
            <w:pPr>
              <w:autoSpaceDE w:val="0"/>
              <w:autoSpaceDN w:val="0"/>
              <w:adjustRightInd w:val="0"/>
              <w:jc w:val="both"/>
              <w:rPr>
                <w:sz w:val="16"/>
                <w:szCs w:val="16"/>
              </w:rPr>
            </w:pPr>
          </w:p>
        </w:tc>
        <w:tc>
          <w:tcPr>
            <w:tcW w:w="973" w:type="dxa"/>
            <w:vMerge/>
          </w:tcPr>
          <w:p w14:paraId="049A1EE1" w14:textId="77777777" w:rsidR="00F53FFD" w:rsidRPr="00E55E40" w:rsidRDefault="00F53FFD" w:rsidP="009D0322">
            <w:pPr>
              <w:autoSpaceDE w:val="0"/>
              <w:autoSpaceDN w:val="0"/>
              <w:adjustRightInd w:val="0"/>
              <w:jc w:val="both"/>
              <w:rPr>
                <w:sz w:val="16"/>
                <w:szCs w:val="16"/>
              </w:rPr>
            </w:pPr>
          </w:p>
        </w:tc>
        <w:tc>
          <w:tcPr>
            <w:tcW w:w="1012" w:type="dxa"/>
          </w:tcPr>
          <w:p w14:paraId="279F4D78" w14:textId="77777777" w:rsidR="00F53FFD" w:rsidRPr="00E55E40" w:rsidRDefault="00F53FFD" w:rsidP="009D0322">
            <w:pPr>
              <w:autoSpaceDE w:val="0"/>
              <w:autoSpaceDN w:val="0"/>
              <w:adjustRightInd w:val="0"/>
              <w:jc w:val="both"/>
              <w:rPr>
                <w:sz w:val="16"/>
                <w:szCs w:val="16"/>
              </w:rPr>
            </w:pPr>
            <w:r w:rsidRPr="00E55E40">
              <w:rPr>
                <w:sz w:val="16"/>
                <w:szCs w:val="16"/>
              </w:rPr>
              <w:t>на оплату труда</w:t>
            </w:r>
          </w:p>
        </w:tc>
        <w:tc>
          <w:tcPr>
            <w:tcW w:w="1242" w:type="dxa"/>
          </w:tcPr>
          <w:p w14:paraId="256BC31F" w14:textId="77777777" w:rsidR="00F53FFD" w:rsidRPr="00E55E40" w:rsidRDefault="00F53FFD" w:rsidP="009D0322">
            <w:pPr>
              <w:autoSpaceDE w:val="0"/>
              <w:autoSpaceDN w:val="0"/>
              <w:adjustRightInd w:val="0"/>
              <w:jc w:val="both"/>
              <w:rPr>
                <w:sz w:val="16"/>
                <w:szCs w:val="16"/>
              </w:rPr>
            </w:pPr>
            <w:r w:rsidRPr="00E55E40">
              <w:rPr>
                <w:sz w:val="16"/>
                <w:szCs w:val="16"/>
              </w:rPr>
              <w:t>на коммунальные услуги и содержание недвижимого имущества</w:t>
            </w:r>
          </w:p>
        </w:tc>
        <w:tc>
          <w:tcPr>
            <w:tcW w:w="904" w:type="dxa"/>
          </w:tcPr>
          <w:p w14:paraId="32293D87" w14:textId="77777777" w:rsidR="00F53FFD" w:rsidRPr="00E55E40" w:rsidRDefault="00F53FFD" w:rsidP="009D0322">
            <w:pPr>
              <w:autoSpaceDE w:val="0"/>
              <w:autoSpaceDN w:val="0"/>
              <w:adjustRightInd w:val="0"/>
              <w:jc w:val="both"/>
              <w:rPr>
                <w:sz w:val="16"/>
                <w:szCs w:val="16"/>
              </w:rPr>
            </w:pPr>
            <w:r w:rsidRPr="00E55E40">
              <w:rPr>
                <w:sz w:val="16"/>
                <w:szCs w:val="16"/>
              </w:rPr>
              <w:t>Итоговый</w:t>
            </w:r>
          </w:p>
        </w:tc>
        <w:tc>
          <w:tcPr>
            <w:tcW w:w="1170" w:type="dxa"/>
            <w:vMerge/>
          </w:tcPr>
          <w:p w14:paraId="732A1F89" w14:textId="77777777" w:rsidR="00F53FFD" w:rsidRPr="00E55E40" w:rsidRDefault="00F53FFD" w:rsidP="009D0322">
            <w:pPr>
              <w:autoSpaceDE w:val="0"/>
              <w:autoSpaceDN w:val="0"/>
              <w:adjustRightInd w:val="0"/>
              <w:jc w:val="both"/>
              <w:rPr>
                <w:sz w:val="16"/>
                <w:szCs w:val="16"/>
              </w:rPr>
            </w:pPr>
          </w:p>
        </w:tc>
        <w:tc>
          <w:tcPr>
            <w:tcW w:w="1200" w:type="dxa"/>
            <w:vMerge/>
          </w:tcPr>
          <w:p w14:paraId="3208AD27" w14:textId="77777777" w:rsidR="00F53FFD" w:rsidRPr="00E55E40" w:rsidRDefault="00F53FFD" w:rsidP="009D0322">
            <w:pPr>
              <w:autoSpaceDE w:val="0"/>
              <w:autoSpaceDN w:val="0"/>
              <w:adjustRightInd w:val="0"/>
              <w:jc w:val="both"/>
              <w:rPr>
                <w:sz w:val="16"/>
                <w:szCs w:val="16"/>
              </w:rPr>
            </w:pPr>
          </w:p>
        </w:tc>
        <w:tc>
          <w:tcPr>
            <w:tcW w:w="1336" w:type="dxa"/>
            <w:vMerge/>
          </w:tcPr>
          <w:p w14:paraId="11E777AE" w14:textId="77777777" w:rsidR="00F53FFD" w:rsidRPr="00E55E40" w:rsidRDefault="00F53FFD" w:rsidP="009D0322">
            <w:pPr>
              <w:autoSpaceDE w:val="0"/>
              <w:autoSpaceDN w:val="0"/>
              <w:adjustRightInd w:val="0"/>
              <w:jc w:val="both"/>
              <w:rPr>
                <w:sz w:val="16"/>
                <w:szCs w:val="16"/>
              </w:rPr>
            </w:pPr>
          </w:p>
        </w:tc>
      </w:tr>
      <w:tr w:rsidR="00F53FFD" w:rsidRPr="00E55E40" w14:paraId="70FA522D" w14:textId="77777777" w:rsidTr="009D0322">
        <w:tc>
          <w:tcPr>
            <w:tcW w:w="1038" w:type="dxa"/>
          </w:tcPr>
          <w:p w14:paraId="73C873A6" w14:textId="77777777" w:rsidR="00F53FFD" w:rsidRPr="00E55E40" w:rsidRDefault="00F53FFD" w:rsidP="009D0322">
            <w:pPr>
              <w:autoSpaceDE w:val="0"/>
              <w:autoSpaceDN w:val="0"/>
              <w:adjustRightInd w:val="0"/>
              <w:jc w:val="both"/>
              <w:rPr>
                <w:sz w:val="16"/>
                <w:szCs w:val="16"/>
              </w:rPr>
            </w:pPr>
            <w:r w:rsidRPr="00E55E40">
              <w:rPr>
                <w:sz w:val="16"/>
                <w:szCs w:val="16"/>
              </w:rPr>
              <w:t>Иловатский ПНИ</w:t>
            </w:r>
          </w:p>
        </w:tc>
        <w:tc>
          <w:tcPr>
            <w:tcW w:w="771" w:type="dxa"/>
            <w:vAlign w:val="center"/>
          </w:tcPr>
          <w:p w14:paraId="6C09AE66" w14:textId="77777777" w:rsidR="00F53FFD" w:rsidRPr="00E55E40" w:rsidRDefault="00F53FFD" w:rsidP="009D0322">
            <w:pPr>
              <w:autoSpaceDE w:val="0"/>
              <w:autoSpaceDN w:val="0"/>
              <w:adjustRightInd w:val="0"/>
              <w:jc w:val="center"/>
              <w:rPr>
                <w:sz w:val="16"/>
                <w:szCs w:val="16"/>
              </w:rPr>
            </w:pPr>
            <w:r w:rsidRPr="00E55E40">
              <w:rPr>
                <w:sz w:val="16"/>
                <w:szCs w:val="16"/>
              </w:rPr>
              <w:t>65</w:t>
            </w:r>
          </w:p>
        </w:tc>
        <w:tc>
          <w:tcPr>
            <w:tcW w:w="973" w:type="dxa"/>
            <w:vMerge w:val="restart"/>
            <w:vAlign w:val="center"/>
          </w:tcPr>
          <w:p w14:paraId="4A746C13" w14:textId="77777777" w:rsidR="00F53FFD" w:rsidRPr="00E55E40" w:rsidRDefault="00F53FFD" w:rsidP="009D0322">
            <w:pPr>
              <w:autoSpaceDE w:val="0"/>
              <w:autoSpaceDN w:val="0"/>
              <w:adjustRightInd w:val="0"/>
              <w:jc w:val="center"/>
              <w:rPr>
                <w:sz w:val="16"/>
                <w:szCs w:val="16"/>
              </w:rPr>
            </w:pPr>
            <w:r w:rsidRPr="00E55E40">
              <w:rPr>
                <w:sz w:val="16"/>
                <w:szCs w:val="16"/>
              </w:rPr>
              <w:t>321709,88</w:t>
            </w:r>
          </w:p>
        </w:tc>
        <w:tc>
          <w:tcPr>
            <w:tcW w:w="1012" w:type="dxa"/>
            <w:vAlign w:val="center"/>
          </w:tcPr>
          <w:p w14:paraId="6F62F9D4" w14:textId="77777777" w:rsidR="00F53FFD" w:rsidRPr="00E55E40" w:rsidRDefault="00F53FFD" w:rsidP="009D0322">
            <w:pPr>
              <w:autoSpaceDE w:val="0"/>
              <w:autoSpaceDN w:val="0"/>
              <w:adjustRightInd w:val="0"/>
              <w:jc w:val="center"/>
              <w:rPr>
                <w:sz w:val="16"/>
                <w:szCs w:val="16"/>
              </w:rPr>
            </w:pPr>
            <w:r w:rsidRPr="00E55E40">
              <w:rPr>
                <w:sz w:val="16"/>
                <w:szCs w:val="16"/>
              </w:rPr>
              <w:t>1,3306245</w:t>
            </w:r>
          </w:p>
        </w:tc>
        <w:tc>
          <w:tcPr>
            <w:tcW w:w="1242" w:type="dxa"/>
            <w:vAlign w:val="center"/>
          </w:tcPr>
          <w:p w14:paraId="43172D8E" w14:textId="77777777" w:rsidR="00F53FFD" w:rsidRPr="00E55E40" w:rsidRDefault="00F53FFD" w:rsidP="009D0322">
            <w:pPr>
              <w:autoSpaceDE w:val="0"/>
              <w:autoSpaceDN w:val="0"/>
              <w:adjustRightInd w:val="0"/>
              <w:jc w:val="center"/>
              <w:rPr>
                <w:sz w:val="16"/>
                <w:szCs w:val="16"/>
              </w:rPr>
            </w:pPr>
            <w:r w:rsidRPr="00E55E40">
              <w:rPr>
                <w:sz w:val="16"/>
                <w:szCs w:val="16"/>
              </w:rPr>
              <w:t>1,9927702</w:t>
            </w:r>
          </w:p>
        </w:tc>
        <w:tc>
          <w:tcPr>
            <w:tcW w:w="904" w:type="dxa"/>
            <w:vAlign w:val="center"/>
          </w:tcPr>
          <w:p w14:paraId="6B3B7E05" w14:textId="77777777" w:rsidR="00F53FFD" w:rsidRPr="00E55E40" w:rsidRDefault="00F53FFD" w:rsidP="009D0322">
            <w:pPr>
              <w:autoSpaceDE w:val="0"/>
              <w:autoSpaceDN w:val="0"/>
              <w:adjustRightInd w:val="0"/>
              <w:jc w:val="center"/>
              <w:rPr>
                <w:sz w:val="16"/>
                <w:szCs w:val="16"/>
              </w:rPr>
            </w:pPr>
            <w:r w:rsidRPr="00E55E40">
              <w:rPr>
                <w:sz w:val="16"/>
                <w:szCs w:val="16"/>
              </w:rPr>
              <w:t>1,6460995</w:t>
            </w:r>
          </w:p>
        </w:tc>
        <w:tc>
          <w:tcPr>
            <w:tcW w:w="1170" w:type="dxa"/>
            <w:vAlign w:val="center"/>
          </w:tcPr>
          <w:p w14:paraId="645E730F" w14:textId="77777777" w:rsidR="00F53FFD" w:rsidRPr="00E55E40" w:rsidRDefault="00F53FFD" w:rsidP="009D0322">
            <w:pPr>
              <w:autoSpaceDE w:val="0"/>
              <w:autoSpaceDN w:val="0"/>
              <w:adjustRightInd w:val="0"/>
              <w:jc w:val="center"/>
              <w:rPr>
                <w:sz w:val="16"/>
                <w:szCs w:val="16"/>
              </w:rPr>
            </w:pPr>
            <w:r w:rsidRPr="00E55E40">
              <w:rPr>
                <w:sz w:val="16"/>
                <w:szCs w:val="16"/>
              </w:rPr>
              <w:t>529566,47</w:t>
            </w:r>
          </w:p>
        </w:tc>
        <w:tc>
          <w:tcPr>
            <w:tcW w:w="1200" w:type="dxa"/>
            <w:vAlign w:val="center"/>
          </w:tcPr>
          <w:p w14:paraId="1671005C" w14:textId="77777777" w:rsidR="00F53FFD" w:rsidRPr="00E55E40" w:rsidRDefault="00F53FFD" w:rsidP="009D0322">
            <w:pPr>
              <w:autoSpaceDE w:val="0"/>
              <w:autoSpaceDN w:val="0"/>
              <w:adjustRightInd w:val="0"/>
              <w:jc w:val="center"/>
              <w:rPr>
                <w:sz w:val="16"/>
                <w:szCs w:val="16"/>
              </w:rPr>
            </w:pPr>
            <w:r w:rsidRPr="00E55E40">
              <w:rPr>
                <w:sz w:val="16"/>
                <w:szCs w:val="16"/>
              </w:rPr>
              <w:t>1,260788464</w:t>
            </w:r>
          </w:p>
        </w:tc>
        <w:tc>
          <w:tcPr>
            <w:tcW w:w="1336" w:type="dxa"/>
            <w:vAlign w:val="center"/>
          </w:tcPr>
          <w:p w14:paraId="08279135" w14:textId="77777777" w:rsidR="00F53FFD" w:rsidRPr="00E55E40" w:rsidRDefault="00F53FFD" w:rsidP="009D0322">
            <w:pPr>
              <w:autoSpaceDE w:val="0"/>
              <w:autoSpaceDN w:val="0"/>
              <w:adjustRightInd w:val="0"/>
              <w:jc w:val="center"/>
              <w:rPr>
                <w:sz w:val="16"/>
                <w:szCs w:val="16"/>
              </w:rPr>
            </w:pPr>
            <w:r w:rsidRPr="00E55E40">
              <w:rPr>
                <w:sz w:val="16"/>
                <w:szCs w:val="16"/>
              </w:rPr>
              <w:t>596960,04</w:t>
            </w:r>
          </w:p>
        </w:tc>
      </w:tr>
      <w:tr w:rsidR="00F53FFD" w:rsidRPr="00E55E40" w14:paraId="4AAF1B39" w14:textId="77777777" w:rsidTr="009D0322">
        <w:tc>
          <w:tcPr>
            <w:tcW w:w="1038" w:type="dxa"/>
          </w:tcPr>
          <w:p w14:paraId="4E2F83D4" w14:textId="77777777" w:rsidR="00F53FFD" w:rsidRPr="00E55E40" w:rsidRDefault="00F53FFD" w:rsidP="009D0322">
            <w:pPr>
              <w:autoSpaceDE w:val="0"/>
              <w:autoSpaceDN w:val="0"/>
              <w:adjustRightInd w:val="0"/>
              <w:jc w:val="both"/>
              <w:rPr>
                <w:sz w:val="16"/>
                <w:szCs w:val="16"/>
              </w:rPr>
            </w:pPr>
            <w:r w:rsidRPr="00E55E40">
              <w:rPr>
                <w:sz w:val="16"/>
                <w:szCs w:val="16"/>
              </w:rPr>
              <w:t>Котовский ПНИ</w:t>
            </w:r>
          </w:p>
        </w:tc>
        <w:tc>
          <w:tcPr>
            <w:tcW w:w="771" w:type="dxa"/>
            <w:vAlign w:val="center"/>
          </w:tcPr>
          <w:p w14:paraId="0FE1430C" w14:textId="77777777" w:rsidR="00F53FFD" w:rsidRPr="00E55E40" w:rsidRDefault="00F53FFD" w:rsidP="009D0322">
            <w:pPr>
              <w:autoSpaceDE w:val="0"/>
              <w:autoSpaceDN w:val="0"/>
              <w:adjustRightInd w:val="0"/>
              <w:jc w:val="center"/>
              <w:rPr>
                <w:sz w:val="16"/>
                <w:szCs w:val="16"/>
              </w:rPr>
            </w:pPr>
            <w:r w:rsidRPr="00E55E40">
              <w:rPr>
                <w:sz w:val="16"/>
                <w:szCs w:val="16"/>
              </w:rPr>
              <w:t>410</w:t>
            </w:r>
          </w:p>
        </w:tc>
        <w:tc>
          <w:tcPr>
            <w:tcW w:w="973" w:type="dxa"/>
            <w:vMerge/>
            <w:vAlign w:val="center"/>
          </w:tcPr>
          <w:p w14:paraId="4FD5CD78" w14:textId="77777777" w:rsidR="00F53FFD" w:rsidRPr="00E55E40" w:rsidRDefault="00F53FFD" w:rsidP="009D0322">
            <w:pPr>
              <w:autoSpaceDE w:val="0"/>
              <w:autoSpaceDN w:val="0"/>
              <w:adjustRightInd w:val="0"/>
              <w:jc w:val="center"/>
              <w:rPr>
                <w:sz w:val="16"/>
                <w:szCs w:val="16"/>
              </w:rPr>
            </w:pPr>
          </w:p>
        </w:tc>
        <w:tc>
          <w:tcPr>
            <w:tcW w:w="1012" w:type="dxa"/>
            <w:vAlign w:val="center"/>
          </w:tcPr>
          <w:p w14:paraId="58385194" w14:textId="77777777" w:rsidR="00F53FFD" w:rsidRPr="00E55E40" w:rsidRDefault="00F53FFD" w:rsidP="009D0322">
            <w:pPr>
              <w:autoSpaceDE w:val="0"/>
              <w:autoSpaceDN w:val="0"/>
              <w:adjustRightInd w:val="0"/>
              <w:jc w:val="center"/>
              <w:rPr>
                <w:sz w:val="16"/>
                <w:szCs w:val="16"/>
              </w:rPr>
            </w:pPr>
            <w:r w:rsidRPr="00E55E40">
              <w:rPr>
                <w:sz w:val="16"/>
                <w:szCs w:val="16"/>
              </w:rPr>
              <w:t>1,3737975</w:t>
            </w:r>
          </w:p>
        </w:tc>
        <w:tc>
          <w:tcPr>
            <w:tcW w:w="1242" w:type="dxa"/>
            <w:vAlign w:val="center"/>
          </w:tcPr>
          <w:p w14:paraId="039E8492" w14:textId="77777777" w:rsidR="00F53FFD" w:rsidRPr="00E55E40" w:rsidRDefault="00F53FFD" w:rsidP="009D0322">
            <w:pPr>
              <w:autoSpaceDE w:val="0"/>
              <w:autoSpaceDN w:val="0"/>
              <w:adjustRightInd w:val="0"/>
              <w:jc w:val="center"/>
              <w:rPr>
                <w:sz w:val="16"/>
                <w:szCs w:val="16"/>
              </w:rPr>
            </w:pPr>
            <w:r w:rsidRPr="00E55E40">
              <w:rPr>
                <w:sz w:val="16"/>
                <w:szCs w:val="16"/>
              </w:rPr>
              <w:t>1,1196892</w:t>
            </w:r>
          </w:p>
        </w:tc>
        <w:tc>
          <w:tcPr>
            <w:tcW w:w="904" w:type="dxa"/>
            <w:vAlign w:val="center"/>
          </w:tcPr>
          <w:p w14:paraId="7350746E" w14:textId="77777777" w:rsidR="00F53FFD" w:rsidRPr="00E55E40" w:rsidRDefault="00F53FFD" w:rsidP="009D0322">
            <w:pPr>
              <w:autoSpaceDE w:val="0"/>
              <w:autoSpaceDN w:val="0"/>
              <w:adjustRightInd w:val="0"/>
              <w:jc w:val="center"/>
              <w:rPr>
                <w:sz w:val="16"/>
                <w:szCs w:val="16"/>
              </w:rPr>
            </w:pPr>
            <w:r w:rsidRPr="00E55E40">
              <w:rPr>
                <w:sz w:val="16"/>
                <w:szCs w:val="16"/>
              </w:rPr>
              <w:t>1,2527293</w:t>
            </w:r>
          </w:p>
        </w:tc>
        <w:tc>
          <w:tcPr>
            <w:tcW w:w="1170" w:type="dxa"/>
            <w:vAlign w:val="center"/>
          </w:tcPr>
          <w:p w14:paraId="708FA448" w14:textId="77777777" w:rsidR="00F53FFD" w:rsidRPr="00E55E40" w:rsidRDefault="00F53FFD" w:rsidP="009D0322">
            <w:pPr>
              <w:autoSpaceDE w:val="0"/>
              <w:autoSpaceDN w:val="0"/>
              <w:adjustRightInd w:val="0"/>
              <w:jc w:val="center"/>
              <w:rPr>
                <w:sz w:val="16"/>
                <w:szCs w:val="16"/>
              </w:rPr>
            </w:pPr>
            <w:r w:rsidRPr="00E55E40">
              <w:rPr>
                <w:sz w:val="16"/>
                <w:szCs w:val="16"/>
              </w:rPr>
              <w:t>403015,39</w:t>
            </w:r>
          </w:p>
        </w:tc>
        <w:tc>
          <w:tcPr>
            <w:tcW w:w="1200" w:type="dxa"/>
            <w:vAlign w:val="center"/>
          </w:tcPr>
          <w:p w14:paraId="519E55F7" w14:textId="77777777" w:rsidR="00F53FFD" w:rsidRPr="00E55E40" w:rsidRDefault="00F53FFD" w:rsidP="009D0322">
            <w:pPr>
              <w:autoSpaceDE w:val="0"/>
              <w:autoSpaceDN w:val="0"/>
              <w:adjustRightInd w:val="0"/>
              <w:jc w:val="center"/>
              <w:rPr>
                <w:sz w:val="16"/>
                <w:szCs w:val="16"/>
              </w:rPr>
            </w:pPr>
            <w:r w:rsidRPr="00E55E40">
              <w:rPr>
                <w:sz w:val="16"/>
                <w:szCs w:val="16"/>
              </w:rPr>
              <w:t>1,021868756</w:t>
            </w:r>
          </w:p>
        </w:tc>
        <w:tc>
          <w:tcPr>
            <w:tcW w:w="1336" w:type="dxa"/>
            <w:vAlign w:val="center"/>
          </w:tcPr>
          <w:p w14:paraId="4254CFA7" w14:textId="77777777" w:rsidR="00F53FFD" w:rsidRPr="00E55E40" w:rsidRDefault="00F53FFD" w:rsidP="009D0322">
            <w:pPr>
              <w:autoSpaceDE w:val="0"/>
              <w:autoSpaceDN w:val="0"/>
              <w:adjustRightInd w:val="0"/>
              <w:jc w:val="center"/>
              <w:rPr>
                <w:sz w:val="16"/>
                <w:szCs w:val="16"/>
              </w:rPr>
            </w:pPr>
            <w:r w:rsidRPr="00E55E40">
              <w:rPr>
                <w:sz w:val="16"/>
                <w:szCs w:val="16"/>
              </w:rPr>
              <w:t>409486,18</w:t>
            </w:r>
          </w:p>
        </w:tc>
      </w:tr>
    </w:tbl>
    <w:p w14:paraId="3AB44694" w14:textId="77777777" w:rsidR="00F53FFD" w:rsidRPr="00E55E40" w:rsidRDefault="00F53FFD" w:rsidP="00F53FFD">
      <w:pPr>
        <w:autoSpaceDE w:val="0"/>
        <w:autoSpaceDN w:val="0"/>
        <w:adjustRightInd w:val="0"/>
        <w:ind w:firstLine="709"/>
        <w:jc w:val="both"/>
        <w:rPr>
          <w:sz w:val="20"/>
          <w:szCs w:val="20"/>
        </w:rPr>
      </w:pPr>
    </w:p>
    <w:p w14:paraId="310472AF" w14:textId="77777777" w:rsidR="00F53FFD" w:rsidRPr="00E55E40" w:rsidRDefault="00F53FFD" w:rsidP="00F53FFD">
      <w:pPr>
        <w:autoSpaceDE w:val="0"/>
        <w:autoSpaceDN w:val="0"/>
        <w:adjustRightInd w:val="0"/>
        <w:ind w:firstLine="709"/>
        <w:jc w:val="both"/>
        <w:rPr>
          <w:rFonts w:eastAsiaTheme="minorHAnsi"/>
          <w:i/>
          <w:lang w:eastAsia="en-US"/>
        </w:rPr>
      </w:pPr>
      <w:r w:rsidRPr="00E55E40">
        <w:rPr>
          <w:rFonts w:eastAsiaTheme="minorHAnsi"/>
          <w:i/>
          <w:lang w:eastAsia="en-US"/>
        </w:rPr>
        <w:t xml:space="preserve">по Порядку </w:t>
      </w:r>
      <w:r w:rsidR="00E81120" w:rsidRPr="00E55E40">
        <w:rPr>
          <w:rFonts w:eastAsiaTheme="minorHAnsi"/>
          <w:i/>
          <w:lang w:eastAsia="en-US"/>
        </w:rPr>
        <w:t>ДПИ</w:t>
      </w:r>
      <w:r w:rsidRPr="00E55E40">
        <w:rPr>
          <w:rFonts w:eastAsiaTheme="minorHAnsi"/>
          <w:i/>
          <w:lang w:eastAsia="en-US"/>
        </w:rPr>
        <w:t xml:space="preserve"> </w:t>
      </w:r>
    </w:p>
    <w:p w14:paraId="12B07207" w14:textId="77777777" w:rsidR="00F53FFD" w:rsidRPr="00E55E40" w:rsidRDefault="00F53FFD" w:rsidP="00F53FFD">
      <w:pPr>
        <w:autoSpaceDE w:val="0"/>
        <w:autoSpaceDN w:val="0"/>
        <w:adjustRightInd w:val="0"/>
        <w:ind w:firstLine="709"/>
        <w:jc w:val="right"/>
      </w:pPr>
      <w:r w:rsidRPr="00E55E40">
        <w:t xml:space="preserve">Таблица № </w:t>
      </w:r>
      <w:r w:rsidR="008854D0" w:rsidRPr="00E55E40">
        <w:t>8</w:t>
      </w:r>
    </w:p>
    <w:tbl>
      <w:tblPr>
        <w:tblStyle w:val="a7"/>
        <w:tblW w:w="9646" w:type="dxa"/>
        <w:tblLayout w:type="fixed"/>
        <w:tblLook w:val="04A0" w:firstRow="1" w:lastRow="0" w:firstColumn="1" w:lastColumn="0" w:noHBand="0" w:noVBand="1"/>
      </w:tblPr>
      <w:tblGrid>
        <w:gridCol w:w="1038"/>
        <w:gridCol w:w="771"/>
        <w:gridCol w:w="973"/>
        <w:gridCol w:w="1012"/>
        <w:gridCol w:w="1242"/>
        <w:gridCol w:w="904"/>
        <w:gridCol w:w="1170"/>
        <w:gridCol w:w="1200"/>
        <w:gridCol w:w="1336"/>
      </w:tblGrid>
      <w:tr w:rsidR="00F53FFD" w:rsidRPr="00E55E40" w14:paraId="14DEB2D7" w14:textId="77777777" w:rsidTr="009D0322">
        <w:tc>
          <w:tcPr>
            <w:tcW w:w="1038" w:type="dxa"/>
            <w:vMerge w:val="restart"/>
          </w:tcPr>
          <w:p w14:paraId="161330D7" w14:textId="77777777" w:rsidR="00F53FFD" w:rsidRPr="00E55E40" w:rsidRDefault="00F53FFD" w:rsidP="009D0322">
            <w:pPr>
              <w:autoSpaceDE w:val="0"/>
              <w:autoSpaceDN w:val="0"/>
              <w:adjustRightInd w:val="0"/>
              <w:jc w:val="both"/>
              <w:rPr>
                <w:sz w:val="16"/>
                <w:szCs w:val="16"/>
              </w:rPr>
            </w:pPr>
            <w:r w:rsidRPr="00E55E40">
              <w:rPr>
                <w:sz w:val="16"/>
                <w:szCs w:val="16"/>
              </w:rPr>
              <w:t>Учреж-дение</w:t>
            </w:r>
          </w:p>
        </w:tc>
        <w:tc>
          <w:tcPr>
            <w:tcW w:w="771" w:type="dxa"/>
            <w:vMerge w:val="restart"/>
          </w:tcPr>
          <w:p w14:paraId="794567B7" w14:textId="77777777" w:rsidR="00F53FFD" w:rsidRPr="00E55E40" w:rsidRDefault="00F53FFD" w:rsidP="009D0322">
            <w:pPr>
              <w:autoSpaceDE w:val="0"/>
              <w:autoSpaceDN w:val="0"/>
              <w:adjustRightInd w:val="0"/>
              <w:jc w:val="center"/>
              <w:rPr>
                <w:sz w:val="16"/>
                <w:szCs w:val="16"/>
              </w:rPr>
            </w:pPr>
            <w:r w:rsidRPr="00E55E40">
              <w:rPr>
                <w:sz w:val="16"/>
                <w:szCs w:val="16"/>
              </w:rPr>
              <w:t>Объем гос-услуг</w:t>
            </w:r>
          </w:p>
        </w:tc>
        <w:tc>
          <w:tcPr>
            <w:tcW w:w="973" w:type="dxa"/>
            <w:vMerge w:val="restart"/>
          </w:tcPr>
          <w:p w14:paraId="76A8DFD9" w14:textId="77777777" w:rsidR="00F53FFD" w:rsidRPr="00E55E40" w:rsidRDefault="00F53FFD" w:rsidP="009D0322">
            <w:pPr>
              <w:autoSpaceDE w:val="0"/>
              <w:autoSpaceDN w:val="0"/>
              <w:adjustRightInd w:val="0"/>
              <w:jc w:val="center"/>
              <w:rPr>
                <w:sz w:val="16"/>
                <w:szCs w:val="16"/>
              </w:rPr>
            </w:pPr>
            <w:r w:rsidRPr="00E55E40">
              <w:rPr>
                <w:sz w:val="16"/>
                <w:szCs w:val="16"/>
              </w:rPr>
              <w:t>Базовый норматив затрат на 1 единицу госуслуги, руб.</w:t>
            </w:r>
          </w:p>
        </w:tc>
        <w:tc>
          <w:tcPr>
            <w:tcW w:w="3158" w:type="dxa"/>
            <w:gridSpan w:val="3"/>
          </w:tcPr>
          <w:p w14:paraId="47A07826" w14:textId="77777777" w:rsidR="00F53FFD" w:rsidRPr="00E55E40" w:rsidRDefault="00F53FFD" w:rsidP="009D0322">
            <w:pPr>
              <w:autoSpaceDE w:val="0"/>
              <w:autoSpaceDN w:val="0"/>
              <w:adjustRightInd w:val="0"/>
              <w:jc w:val="center"/>
              <w:rPr>
                <w:sz w:val="16"/>
                <w:szCs w:val="16"/>
              </w:rPr>
            </w:pPr>
            <w:r w:rsidRPr="00E55E40">
              <w:rPr>
                <w:sz w:val="16"/>
                <w:szCs w:val="16"/>
              </w:rPr>
              <w:t>Территориальный коэффициент (ТК)</w:t>
            </w:r>
          </w:p>
        </w:tc>
        <w:tc>
          <w:tcPr>
            <w:tcW w:w="1170" w:type="dxa"/>
            <w:vMerge w:val="restart"/>
          </w:tcPr>
          <w:p w14:paraId="722E2E6E" w14:textId="77777777" w:rsidR="00F53FFD" w:rsidRPr="00E55E40" w:rsidRDefault="00F53FFD" w:rsidP="009D0322">
            <w:pPr>
              <w:autoSpaceDE w:val="0"/>
              <w:autoSpaceDN w:val="0"/>
              <w:adjustRightInd w:val="0"/>
              <w:jc w:val="center"/>
              <w:rPr>
                <w:sz w:val="16"/>
                <w:szCs w:val="16"/>
              </w:rPr>
            </w:pPr>
            <w:r w:rsidRPr="00E55E40">
              <w:rPr>
                <w:sz w:val="16"/>
                <w:szCs w:val="16"/>
              </w:rPr>
              <w:t>Нормативные затраты на 1 единицу госуслуги после применения ТК, руб.</w:t>
            </w:r>
          </w:p>
        </w:tc>
        <w:tc>
          <w:tcPr>
            <w:tcW w:w="1200" w:type="dxa"/>
            <w:vMerge w:val="restart"/>
          </w:tcPr>
          <w:p w14:paraId="70B82FFD" w14:textId="77777777" w:rsidR="00F53FFD" w:rsidRPr="00E55E40" w:rsidRDefault="00F53FFD" w:rsidP="009D0322">
            <w:pPr>
              <w:autoSpaceDE w:val="0"/>
              <w:autoSpaceDN w:val="0"/>
              <w:adjustRightInd w:val="0"/>
              <w:jc w:val="center"/>
              <w:rPr>
                <w:sz w:val="16"/>
                <w:szCs w:val="16"/>
              </w:rPr>
            </w:pPr>
            <w:r w:rsidRPr="00E55E40">
              <w:rPr>
                <w:sz w:val="16"/>
                <w:szCs w:val="16"/>
              </w:rPr>
              <w:t>Коэффициент выравнивания (</w:t>
            </w:r>
            <w:r w:rsidRPr="00E55E40">
              <w:rPr>
                <w:rFonts w:eastAsiaTheme="minorHAnsi"/>
                <w:sz w:val="16"/>
                <w:szCs w:val="16"/>
                <w:lang w:eastAsia="en-US"/>
              </w:rPr>
              <w:t>К</w:t>
            </w:r>
            <w:r w:rsidRPr="00E55E40">
              <w:rPr>
                <w:rFonts w:eastAsiaTheme="minorHAnsi"/>
                <w:sz w:val="16"/>
                <w:szCs w:val="16"/>
                <w:vertAlign w:val="subscript"/>
                <w:lang w:eastAsia="en-US"/>
              </w:rPr>
              <w:t>БА</w:t>
            </w:r>
            <w:r w:rsidRPr="00E55E40">
              <w:rPr>
                <w:rFonts w:eastAsiaTheme="minorHAnsi"/>
                <w:sz w:val="16"/>
                <w:szCs w:val="16"/>
                <w:vertAlign w:val="subscript"/>
                <w:lang w:val="en-US" w:eastAsia="en-US"/>
              </w:rPr>
              <w:t>j</w:t>
            </w:r>
            <w:r w:rsidRPr="00E55E40">
              <w:rPr>
                <w:sz w:val="16"/>
                <w:szCs w:val="16"/>
              </w:rPr>
              <w:t>)</w:t>
            </w:r>
          </w:p>
        </w:tc>
        <w:tc>
          <w:tcPr>
            <w:tcW w:w="1336" w:type="dxa"/>
            <w:vMerge w:val="restart"/>
          </w:tcPr>
          <w:p w14:paraId="6515EAD4" w14:textId="77777777" w:rsidR="00F53FFD" w:rsidRPr="00E55E40" w:rsidRDefault="00F53FFD" w:rsidP="009D0322">
            <w:pPr>
              <w:autoSpaceDE w:val="0"/>
              <w:autoSpaceDN w:val="0"/>
              <w:adjustRightInd w:val="0"/>
              <w:jc w:val="center"/>
              <w:rPr>
                <w:sz w:val="16"/>
                <w:szCs w:val="16"/>
              </w:rPr>
            </w:pPr>
            <w:r w:rsidRPr="00E55E40">
              <w:rPr>
                <w:sz w:val="16"/>
                <w:szCs w:val="16"/>
              </w:rPr>
              <w:t xml:space="preserve">Итоговая стоимость 1 единицы госуслуги после применения ТК и </w:t>
            </w:r>
            <w:r w:rsidRPr="00E55E40">
              <w:rPr>
                <w:rFonts w:eastAsiaTheme="minorHAnsi"/>
                <w:sz w:val="16"/>
                <w:szCs w:val="16"/>
                <w:lang w:eastAsia="en-US"/>
              </w:rPr>
              <w:t>К</w:t>
            </w:r>
            <w:r w:rsidRPr="00E55E40">
              <w:rPr>
                <w:rFonts w:eastAsiaTheme="minorHAnsi"/>
                <w:sz w:val="16"/>
                <w:szCs w:val="16"/>
                <w:vertAlign w:val="subscript"/>
                <w:lang w:eastAsia="en-US"/>
              </w:rPr>
              <w:t>БА</w:t>
            </w:r>
            <w:r w:rsidRPr="00E55E40">
              <w:rPr>
                <w:rFonts w:eastAsiaTheme="minorHAnsi"/>
                <w:sz w:val="16"/>
                <w:szCs w:val="16"/>
                <w:vertAlign w:val="subscript"/>
                <w:lang w:val="en-US" w:eastAsia="en-US"/>
              </w:rPr>
              <w:t>j</w:t>
            </w:r>
            <w:r w:rsidRPr="00E55E40">
              <w:rPr>
                <w:rFonts w:eastAsiaTheme="minorHAnsi"/>
                <w:sz w:val="16"/>
                <w:szCs w:val="16"/>
                <w:lang w:eastAsia="en-US"/>
              </w:rPr>
              <w:t>, руб.</w:t>
            </w:r>
          </w:p>
        </w:tc>
      </w:tr>
      <w:tr w:rsidR="00F53FFD" w:rsidRPr="00E55E40" w14:paraId="111AE757" w14:textId="77777777" w:rsidTr="009D0322">
        <w:tc>
          <w:tcPr>
            <w:tcW w:w="1038" w:type="dxa"/>
            <w:vMerge/>
          </w:tcPr>
          <w:p w14:paraId="3E7FA431" w14:textId="77777777" w:rsidR="00F53FFD" w:rsidRPr="00E55E40" w:rsidRDefault="00F53FFD" w:rsidP="009D0322">
            <w:pPr>
              <w:autoSpaceDE w:val="0"/>
              <w:autoSpaceDN w:val="0"/>
              <w:adjustRightInd w:val="0"/>
              <w:jc w:val="both"/>
              <w:rPr>
                <w:sz w:val="16"/>
                <w:szCs w:val="16"/>
              </w:rPr>
            </w:pPr>
          </w:p>
        </w:tc>
        <w:tc>
          <w:tcPr>
            <w:tcW w:w="771" w:type="dxa"/>
            <w:vMerge/>
          </w:tcPr>
          <w:p w14:paraId="41CACD95" w14:textId="77777777" w:rsidR="00F53FFD" w:rsidRPr="00E55E40" w:rsidRDefault="00F53FFD" w:rsidP="009D0322">
            <w:pPr>
              <w:autoSpaceDE w:val="0"/>
              <w:autoSpaceDN w:val="0"/>
              <w:adjustRightInd w:val="0"/>
              <w:jc w:val="both"/>
              <w:rPr>
                <w:sz w:val="16"/>
                <w:szCs w:val="16"/>
              </w:rPr>
            </w:pPr>
          </w:p>
        </w:tc>
        <w:tc>
          <w:tcPr>
            <w:tcW w:w="973" w:type="dxa"/>
            <w:vMerge/>
          </w:tcPr>
          <w:p w14:paraId="1C3DA88B" w14:textId="77777777" w:rsidR="00F53FFD" w:rsidRPr="00E55E40" w:rsidRDefault="00F53FFD" w:rsidP="009D0322">
            <w:pPr>
              <w:autoSpaceDE w:val="0"/>
              <w:autoSpaceDN w:val="0"/>
              <w:adjustRightInd w:val="0"/>
              <w:jc w:val="both"/>
              <w:rPr>
                <w:sz w:val="16"/>
                <w:szCs w:val="16"/>
              </w:rPr>
            </w:pPr>
          </w:p>
        </w:tc>
        <w:tc>
          <w:tcPr>
            <w:tcW w:w="1012" w:type="dxa"/>
          </w:tcPr>
          <w:p w14:paraId="0477A70E" w14:textId="77777777" w:rsidR="00F53FFD" w:rsidRPr="00E55E40" w:rsidRDefault="00F53FFD" w:rsidP="009D0322">
            <w:pPr>
              <w:autoSpaceDE w:val="0"/>
              <w:autoSpaceDN w:val="0"/>
              <w:adjustRightInd w:val="0"/>
              <w:jc w:val="center"/>
              <w:rPr>
                <w:sz w:val="16"/>
                <w:szCs w:val="16"/>
              </w:rPr>
            </w:pPr>
            <w:r w:rsidRPr="00E55E40">
              <w:rPr>
                <w:sz w:val="16"/>
                <w:szCs w:val="16"/>
              </w:rPr>
              <w:t>на оплату труда</w:t>
            </w:r>
          </w:p>
        </w:tc>
        <w:tc>
          <w:tcPr>
            <w:tcW w:w="1242" w:type="dxa"/>
          </w:tcPr>
          <w:p w14:paraId="7D506D4B" w14:textId="77777777" w:rsidR="00F53FFD" w:rsidRPr="00E55E40" w:rsidRDefault="00F53FFD" w:rsidP="009D0322">
            <w:pPr>
              <w:autoSpaceDE w:val="0"/>
              <w:autoSpaceDN w:val="0"/>
              <w:adjustRightInd w:val="0"/>
              <w:jc w:val="center"/>
              <w:rPr>
                <w:sz w:val="16"/>
                <w:szCs w:val="16"/>
              </w:rPr>
            </w:pPr>
            <w:r w:rsidRPr="00E55E40">
              <w:rPr>
                <w:sz w:val="16"/>
                <w:szCs w:val="16"/>
              </w:rPr>
              <w:t>на коммунальные услуги и содержание недвижимого имущества</w:t>
            </w:r>
          </w:p>
        </w:tc>
        <w:tc>
          <w:tcPr>
            <w:tcW w:w="904" w:type="dxa"/>
          </w:tcPr>
          <w:p w14:paraId="117DD2B5" w14:textId="77777777" w:rsidR="00F53FFD" w:rsidRPr="00E55E40" w:rsidRDefault="00F53FFD" w:rsidP="009D0322">
            <w:pPr>
              <w:autoSpaceDE w:val="0"/>
              <w:autoSpaceDN w:val="0"/>
              <w:adjustRightInd w:val="0"/>
              <w:jc w:val="center"/>
              <w:rPr>
                <w:sz w:val="16"/>
                <w:szCs w:val="16"/>
              </w:rPr>
            </w:pPr>
            <w:r w:rsidRPr="00E55E40">
              <w:rPr>
                <w:sz w:val="16"/>
                <w:szCs w:val="16"/>
              </w:rPr>
              <w:t>Итоговый</w:t>
            </w:r>
          </w:p>
        </w:tc>
        <w:tc>
          <w:tcPr>
            <w:tcW w:w="1170" w:type="dxa"/>
            <w:vMerge/>
          </w:tcPr>
          <w:p w14:paraId="230911FE" w14:textId="77777777" w:rsidR="00F53FFD" w:rsidRPr="00E55E40" w:rsidRDefault="00F53FFD" w:rsidP="009D0322">
            <w:pPr>
              <w:autoSpaceDE w:val="0"/>
              <w:autoSpaceDN w:val="0"/>
              <w:adjustRightInd w:val="0"/>
              <w:jc w:val="both"/>
              <w:rPr>
                <w:sz w:val="16"/>
                <w:szCs w:val="16"/>
              </w:rPr>
            </w:pPr>
          </w:p>
        </w:tc>
        <w:tc>
          <w:tcPr>
            <w:tcW w:w="1200" w:type="dxa"/>
            <w:vMerge/>
          </w:tcPr>
          <w:p w14:paraId="2E040581" w14:textId="77777777" w:rsidR="00F53FFD" w:rsidRPr="00E55E40" w:rsidRDefault="00F53FFD" w:rsidP="009D0322">
            <w:pPr>
              <w:autoSpaceDE w:val="0"/>
              <w:autoSpaceDN w:val="0"/>
              <w:adjustRightInd w:val="0"/>
              <w:jc w:val="both"/>
              <w:rPr>
                <w:sz w:val="16"/>
                <w:szCs w:val="16"/>
              </w:rPr>
            </w:pPr>
          </w:p>
        </w:tc>
        <w:tc>
          <w:tcPr>
            <w:tcW w:w="1336" w:type="dxa"/>
            <w:vMerge/>
          </w:tcPr>
          <w:p w14:paraId="6B540399" w14:textId="77777777" w:rsidR="00F53FFD" w:rsidRPr="00E55E40" w:rsidRDefault="00F53FFD" w:rsidP="009D0322">
            <w:pPr>
              <w:autoSpaceDE w:val="0"/>
              <w:autoSpaceDN w:val="0"/>
              <w:adjustRightInd w:val="0"/>
              <w:jc w:val="both"/>
              <w:rPr>
                <w:sz w:val="16"/>
                <w:szCs w:val="16"/>
              </w:rPr>
            </w:pPr>
          </w:p>
        </w:tc>
      </w:tr>
      <w:tr w:rsidR="00F53FFD" w:rsidRPr="00E55E40" w14:paraId="6C0DCCF3" w14:textId="77777777" w:rsidTr="009D0322">
        <w:tc>
          <w:tcPr>
            <w:tcW w:w="1038" w:type="dxa"/>
          </w:tcPr>
          <w:p w14:paraId="5029B7AA" w14:textId="77777777" w:rsidR="00F53FFD" w:rsidRPr="00E55E40" w:rsidRDefault="00F53FFD" w:rsidP="009D0322">
            <w:pPr>
              <w:autoSpaceDE w:val="0"/>
              <w:autoSpaceDN w:val="0"/>
              <w:adjustRightInd w:val="0"/>
              <w:jc w:val="both"/>
              <w:rPr>
                <w:sz w:val="16"/>
                <w:szCs w:val="16"/>
              </w:rPr>
            </w:pPr>
            <w:r w:rsidRPr="00E55E40">
              <w:rPr>
                <w:sz w:val="16"/>
                <w:szCs w:val="16"/>
              </w:rPr>
              <w:lastRenderedPageBreak/>
              <w:t>Харьков-ский ДПИ</w:t>
            </w:r>
          </w:p>
        </w:tc>
        <w:tc>
          <w:tcPr>
            <w:tcW w:w="771" w:type="dxa"/>
            <w:vAlign w:val="center"/>
          </w:tcPr>
          <w:p w14:paraId="6B77E466" w14:textId="77777777" w:rsidR="00F53FFD" w:rsidRPr="00E55E40" w:rsidRDefault="00F53FFD" w:rsidP="009D0322">
            <w:pPr>
              <w:autoSpaceDE w:val="0"/>
              <w:autoSpaceDN w:val="0"/>
              <w:adjustRightInd w:val="0"/>
              <w:jc w:val="center"/>
              <w:rPr>
                <w:sz w:val="16"/>
                <w:szCs w:val="16"/>
              </w:rPr>
            </w:pPr>
            <w:r w:rsidRPr="00E55E40">
              <w:rPr>
                <w:sz w:val="16"/>
                <w:szCs w:val="16"/>
              </w:rPr>
              <w:t>66</w:t>
            </w:r>
          </w:p>
        </w:tc>
        <w:tc>
          <w:tcPr>
            <w:tcW w:w="973" w:type="dxa"/>
            <w:vMerge w:val="restart"/>
            <w:vAlign w:val="center"/>
          </w:tcPr>
          <w:p w14:paraId="71820F9E" w14:textId="77777777" w:rsidR="00F53FFD" w:rsidRPr="00E55E40" w:rsidRDefault="00F53FFD" w:rsidP="009D0322">
            <w:pPr>
              <w:autoSpaceDE w:val="0"/>
              <w:autoSpaceDN w:val="0"/>
              <w:adjustRightInd w:val="0"/>
              <w:jc w:val="center"/>
              <w:rPr>
                <w:sz w:val="16"/>
                <w:szCs w:val="16"/>
              </w:rPr>
            </w:pPr>
            <w:r w:rsidRPr="00E55E40">
              <w:rPr>
                <w:sz w:val="16"/>
                <w:szCs w:val="16"/>
              </w:rPr>
              <w:t>331721,5</w:t>
            </w:r>
          </w:p>
        </w:tc>
        <w:tc>
          <w:tcPr>
            <w:tcW w:w="1012" w:type="dxa"/>
            <w:vAlign w:val="center"/>
          </w:tcPr>
          <w:p w14:paraId="259E1643" w14:textId="77777777" w:rsidR="00F53FFD" w:rsidRPr="00E55E40" w:rsidRDefault="00F53FFD" w:rsidP="009D0322">
            <w:pPr>
              <w:autoSpaceDE w:val="0"/>
              <w:autoSpaceDN w:val="0"/>
              <w:adjustRightInd w:val="0"/>
              <w:jc w:val="center"/>
              <w:rPr>
                <w:sz w:val="16"/>
                <w:szCs w:val="16"/>
              </w:rPr>
            </w:pPr>
            <w:r w:rsidRPr="00E55E40">
              <w:rPr>
                <w:sz w:val="16"/>
                <w:szCs w:val="16"/>
              </w:rPr>
              <w:t>1,3306245</w:t>
            </w:r>
          </w:p>
        </w:tc>
        <w:tc>
          <w:tcPr>
            <w:tcW w:w="1242" w:type="dxa"/>
            <w:vAlign w:val="center"/>
          </w:tcPr>
          <w:p w14:paraId="3CC8D78A" w14:textId="77777777" w:rsidR="00F53FFD" w:rsidRPr="00E55E40" w:rsidRDefault="00F53FFD" w:rsidP="009D0322">
            <w:pPr>
              <w:autoSpaceDE w:val="0"/>
              <w:autoSpaceDN w:val="0"/>
              <w:adjustRightInd w:val="0"/>
              <w:jc w:val="center"/>
              <w:rPr>
                <w:sz w:val="16"/>
                <w:szCs w:val="16"/>
              </w:rPr>
            </w:pPr>
            <w:r w:rsidRPr="00E55E40">
              <w:rPr>
                <w:sz w:val="16"/>
                <w:szCs w:val="16"/>
              </w:rPr>
              <w:t>0,5166430</w:t>
            </w:r>
          </w:p>
        </w:tc>
        <w:tc>
          <w:tcPr>
            <w:tcW w:w="904" w:type="dxa"/>
            <w:vAlign w:val="center"/>
          </w:tcPr>
          <w:p w14:paraId="0001A2C0" w14:textId="77777777" w:rsidR="00F53FFD" w:rsidRPr="00E55E40" w:rsidRDefault="00F53FFD" w:rsidP="009D0322">
            <w:pPr>
              <w:autoSpaceDE w:val="0"/>
              <w:autoSpaceDN w:val="0"/>
              <w:adjustRightInd w:val="0"/>
              <w:jc w:val="center"/>
              <w:rPr>
                <w:sz w:val="16"/>
                <w:szCs w:val="16"/>
              </w:rPr>
            </w:pPr>
            <w:r w:rsidRPr="00E55E40">
              <w:rPr>
                <w:sz w:val="16"/>
                <w:szCs w:val="16"/>
              </w:rPr>
              <w:t>0,9310267</w:t>
            </w:r>
          </w:p>
        </w:tc>
        <w:tc>
          <w:tcPr>
            <w:tcW w:w="1170" w:type="dxa"/>
            <w:vAlign w:val="center"/>
          </w:tcPr>
          <w:p w14:paraId="59CD5C84" w14:textId="77777777" w:rsidR="00F53FFD" w:rsidRPr="00E55E40" w:rsidRDefault="00F53FFD" w:rsidP="009D0322">
            <w:pPr>
              <w:autoSpaceDE w:val="0"/>
              <w:autoSpaceDN w:val="0"/>
              <w:adjustRightInd w:val="0"/>
              <w:jc w:val="center"/>
              <w:rPr>
                <w:sz w:val="16"/>
                <w:szCs w:val="16"/>
              </w:rPr>
            </w:pPr>
            <w:r w:rsidRPr="00E55E40">
              <w:rPr>
                <w:sz w:val="16"/>
                <w:szCs w:val="16"/>
              </w:rPr>
              <w:t>308841,57</w:t>
            </w:r>
          </w:p>
        </w:tc>
        <w:tc>
          <w:tcPr>
            <w:tcW w:w="1200" w:type="dxa"/>
            <w:vAlign w:val="center"/>
          </w:tcPr>
          <w:p w14:paraId="366319B5" w14:textId="77777777" w:rsidR="00F53FFD" w:rsidRPr="00E55E40" w:rsidRDefault="00F53FFD" w:rsidP="009D0322">
            <w:pPr>
              <w:autoSpaceDE w:val="0"/>
              <w:autoSpaceDN w:val="0"/>
              <w:adjustRightInd w:val="0"/>
              <w:jc w:val="center"/>
              <w:rPr>
                <w:sz w:val="16"/>
                <w:szCs w:val="16"/>
              </w:rPr>
            </w:pPr>
            <w:r w:rsidRPr="00E55E40">
              <w:rPr>
                <w:sz w:val="16"/>
                <w:szCs w:val="16"/>
              </w:rPr>
              <w:t>2,018377435</w:t>
            </w:r>
          </w:p>
        </w:tc>
        <w:tc>
          <w:tcPr>
            <w:tcW w:w="1336" w:type="dxa"/>
            <w:vAlign w:val="center"/>
          </w:tcPr>
          <w:p w14:paraId="12DE0FB8" w14:textId="77777777" w:rsidR="00F53FFD" w:rsidRPr="00E55E40" w:rsidRDefault="00F53FFD" w:rsidP="009D0322">
            <w:pPr>
              <w:autoSpaceDE w:val="0"/>
              <w:autoSpaceDN w:val="0"/>
              <w:adjustRightInd w:val="0"/>
              <w:jc w:val="center"/>
              <w:rPr>
                <w:sz w:val="16"/>
                <w:szCs w:val="16"/>
              </w:rPr>
            </w:pPr>
            <w:r w:rsidRPr="00E55E40">
              <w:rPr>
                <w:sz w:val="16"/>
                <w:szCs w:val="16"/>
              </w:rPr>
              <w:t>535940,32</w:t>
            </w:r>
          </w:p>
        </w:tc>
      </w:tr>
      <w:tr w:rsidR="00F53FFD" w:rsidRPr="00E55E40" w14:paraId="56F70EDC" w14:textId="77777777" w:rsidTr="009D0322">
        <w:tc>
          <w:tcPr>
            <w:tcW w:w="1038" w:type="dxa"/>
          </w:tcPr>
          <w:p w14:paraId="687C6E93" w14:textId="77777777" w:rsidR="00F53FFD" w:rsidRPr="00E55E40" w:rsidRDefault="00F53FFD" w:rsidP="009D0322">
            <w:pPr>
              <w:autoSpaceDE w:val="0"/>
              <w:autoSpaceDN w:val="0"/>
              <w:adjustRightInd w:val="0"/>
              <w:jc w:val="both"/>
              <w:rPr>
                <w:sz w:val="16"/>
                <w:szCs w:val="16"/>
              </w:rPr>
            </w:pPr>
            <w:r w:rsidRPr="00E55E40">
              <w:rPr>
                <w:sz w:val="16"/>
                <w:szCs w:val="16"/>
              </w:rPr>
              <w:t>Палласов-ский ДПИ</w:t>
            </w:r>
          </w:p>
        </w:tc>
        <w:tc>
          <w:tcPr>
            <w:tcW w:w="771" w:type="dxa"/>
            <w:vAlign w:val="center"/>
          </w:tcPr>
          <w:p w14:paraId="08AAF79D" w14:textId="77777777" w:rsidR="00F53FFD" w:rsidRPr="00E55E40" w:rsidRDefault="00F53FFD" w:rsidP="009D0322">
            <w:pPr>
              <w:autoSpaceDE w:val="0"/>
              <w:autoSpaceDN w:val="0"/>
              <w:adjustRightInd w:val="0"/>
              <w:jc w:val="center"/>
              <w:rPr>
                <w:sz w:val="16"/>
                <w:szCs w:val="16"/>
              </w:rPr>
            </w:pPr>
            <w:r w:rsidRPr="00E55E40">
              <w:rPr>
                <w:sz w:val="16"/>
                <w:szCs w:val="16"/>
              </w:rPr>
              <w:t>90</w:t>
            </w:r>
          </w:p>
        </w:tc>
        <w:tc>
          <w:tcPr>
            <w:tcW w:w="973" w:type="dxa"/>
            <w:vMerge/>
            <w:vAlign w:val="center"/>
          </w:tcPr>
          <w:p w14:paraId="21E9FF54" w14:textId="77777777" w:rsidR="00F53FFD" w:rsidRPr="00E55E40" w:rsidRDefault="00F53FFD" w:rsidP="009D0322">
            <w:pPr>
              <w:autoSpaceDE w:val="0"/>
              <w:autoSpaceDN w:val="0"/>
              <w:adjustRightInd w:val="0"/>
              <w:jc w:val="center"/>
              <w:rPr>
                <w:sz w:val="16"/>
                <w:szCs w:val="16"/>
              </w:rPr>
            </w:pPr>
          </w:p>
        </w:tc>
        <w:tc>
          <w:tcPr>
            <w:tcW w:w="1012" w:type="dxa"/>
            <w:vAlign w:val="center"/>
          </w:tcPr>
          <w:p w14:paraId="28F50352" w14:textId="77777777" w:rsidR="00F53FFD" w:rsidRPr="00E55E40" w:rsidRDefault="00F53FFD" w:rsidP="009D0322">
            <w:pPr>
              <w:autoSpaceDE w:val="0"/>
              <w:autoSpaceDN w:val="0"/>
              <w:adjustRightInd w:val="0"/>
              <w:jc w:val="center"/>
              <w:rPr>
                <w:sz w:val="16"/>
                <w:szCs w:val="16"/>
              </w:rPr>
            </w:pPr>
            <w:r w:rsidRPr="00E55E40">
              <w:rPr>
                <w:sz w:val="16"/>
                <w:szCs w:val="16"/>
              </w:rPr>
              <w:t>1,3815455</w:t>
            </w:r>
          </w:p>
        </w:tc>
        <w:tc>
          <w:tcPr>
            <w:tcW w:w="1242" w:type="dxa"/>
            <w:vAlign w:val="center"/>
          </w:tcPr>
          <w:p w14:paraId="5A8D3768" w14:textId="77777777" w:rsidR="00F53FFD" w:rsidRPr="00E55E40" w:rsidRDefault="00F53FFD" w:rsidP="009D0322">
            <w:pPr>
              <w:autoSpaceDE w:val="0"/>
              <w:autoSpaceDN w:val="0"/>
              <w:adjustRightInd w:val="0"/>
              <w:jc w:val="center"/>
              <w:rPr>
                <w:sz w:val="16"/>
                <w:szCs w:val="16"/>
              </w:rPr>
            </w:pPr>
            <w:r w:rsidRPr="00E55E40">
              <w:rPr>
                <w:sz w:val="16"/>
                <w:szCs w:val="16"/>
              </w:rPr>
              <w:t>1,2650627</w:t>
            </w:r>
          </w:p>
        </w:tc>
        <w:tc>
          <w:tcPr>
            <w:tcW w:w="904" w:type="dxa"/>
            <w:vAlign w:val="center"/>
          </w:tcPr>
          <w:p w14:paraId="769369B8" w14:textId="77777777" w:rsidR="00F53FFD" w:rsidRPr="00E55E40" w:rsidRDefault="00F53FFD" w:rsidP="009D0322">
            <w:pPr>
              <w:autoSpaceDE w:val="0"/>
              <w:autoSpaceDN w:val="0"/>
              <w:adjustRightInd w:val="0"/>
              <w:jc w:val="center"/>
              <w:rPr>
                <w:sz w:val="16"/>
                <w:szCs w:val="16"/>
              </w:rPr>
            </w:pPr>
            <w:r w:rsidRPr="00E55E40">
              <w:rPr>
                <w:sz w:val="16"/>
                <w:szCs w:val="16"/>
              </w:rPr>
              <w:t>1,3243621</w:t>
            </w:r>
          </w:p>
        </w:tc>
        <w:tc>
          <w:tcPr>
            <w:tcW w:w="1170" w:type="dxa"/>
            <w:vAlign w:val="center"/>
          </w:tcPr>
          <w:p w14:paraId="104BA8FD" w14:textId="77777777" w:rsidR="00F53FFD" w:rsidRPr="00E55E40" w:rsidRDefault="00F53FFD" w:rsidP="009D0322">
            <w:pPr>
              <w:autoSpaceDE w:val="0"/>
              <w:autoSpaceDN w:val="0"/>
              <w:adjustRightInd w:val="0"/>
              <w:jc w:val="center"/>
              <w:rPr>
                <w:sz w:val="16"/>
                <w:szCs w:val="16"/>
              </w:rPr>
            </w:pPr>
            <w:r w:rsidRPr="00E55E40">
              <w:rPr>
                <w:sz w:val="16"/>
                <w:szCs w:val="16"/>
              </w:rPr>
              <w:t>439319,38</w:t>
            </w:r>
          </w:p>
        </w:tc>
        <w:tc>
          <w:tcPr>
            <w:tcW w:w="1200" w:type="dxa"/>
            <w:vAlign w:val="center"/>
          </w:tcPr>
          <w:p w14:paraId="419EB02D" w14:textId="77777777" w:rsidR="00F53FFD" w:rsidRPr="00E55E40" w:rsidRDefault="00F53FFD" w:rsidP="009D0322">
            <w:pPr>
              <w:autoSpaceDE w:val="0"/>
              <w:autoSpaceDN w:val="0"/>
              <w:adjustRightInd w:val="0"/>
              <w:jc w:val="center"/>
              <w:rPr>
                <w:sz w:val="16"/>
                <w:szCs w:val="16"/>
              </w:rPr>
            </w:pPr>
            <w:r w:rsidRPr="00E55E40">
              <w:rPr>
                <w:sz w:val="16"/>
                <w:szCs w:val="16"/>
              </w:rPr>
              <w:t>1,020375325</w:t>
            </w:r>
          </w:p>
        </w:tc>
        <w:tc>
          <w:tcPr>
            <w:tcW w:w="1336" w:type="dxa"/>
            <w:vAlign w:val="center"/>
          </w:tcPr>
          <w:p w14:paraId="7FD98603" w14:textId="77777777" w:rsidR="00F53FFD" w:rsidRPr="00E55E40" w:rsidRDefault="00F53FFD" w:rsidP="009D0322">
            <w:pPr>
              <w:autoSpaceDE w:val="0"/>
              <w:autoSpaceDN w:val="0"/>
              <w:adjustRightInd w:val="0"/>
              <w:jc w:val="center"/>
              <w:rPr>
                <w:sz w:val="16"/>
                <w:szCs w:val="16"/>
              </w:rPr>
            </w:pPr>
            <w:r w:rsidRPr="00E55E40">
              <w:rPr>
                <w:sz w:val="16"/>
                <w:szCs w:val="16"/>
              </w:rPr>
              <w:t>446162,53</w:t>
            </w:r>
          </w:p>
        </w:tc>
      </w:tr>
    </w:tbl>
    <w:p w14:paraId="5F01EBCE" w14:textId="77777777" w:rsidR="00F53FFD" w:rsidRPr="00E55E40" w:rsidRDefault="00F53FFD" w:rsidP="00F53FFD">
      <w:pPr>
        <w:autoSpaceDE w:val="0"/>
        <w:autoSpaceDN w:val="0"/>
        <w:adjustRightInd w:val="0"/>
        <w:ind w:firstLine="709"/>
        <w:jc w:val="both"/>
        <w:rPr>
          <w:sz w:val="20"/>
          <w:szCs w:val="20"/>
        </w:rPr>
      </w:pPr>
    </w:p>
    <w:p w14:paraId="67C02E87" w14:textId="77777777" w:rsidR="00F53FFD" w:rsidRPr="00E55E40" w:rsidRDefault="00F53FFD" w:rsidP="00F53FFD">
      <w:pPr>
        <w:autoSpaceDE w:val="0"/>
        <w:autoSpaceDN w:val="0"/>
        <w:adjustRightInd w:val="0"/>
        <w:ind w:firstLine="709"/>
        <w:jc w:val="both"/>
        <w:rPr>
          <w:rFonts w:eastAsiaTheme="minorHAnsi"/>
          <w:lang w:eastAsia="en-US"/>
        </w:rPr>
      </w:pPr>
      <w:r w:rsidRPr="00E55E40">
        <w:rPr>
          <w:rFonts w:eastAsiaTheme="minorHAnsi"/>
          <w:lang w:eastAsia="en-US"/>
        </w:rPr>
        <w:t xml:space="preserve">Из таблиц № </w:t>
      </w:r>
      <w:r w:rsidR="008854D0" w:rsidRPr="00E55E40">
        <w:rPr>
          <w:rFonts w:eastAsiaTheme="minorHAnsi"/>
          <w:lang w:eastAsia="en-US"/>
        </w:rPr>
        <w:t>7-8</w:t>
      </w:r>
      <w:r w:rsidRPr="00E55E40">
        <w:rPr>
          <w:rFonts w:eastAsiaTheme="minorHAnsi"/>
          <w:lang w:eastAsia="en-US"/>
        </w:rPr>
        <w:t xml:space="preserve"> видно, что коэффициенты выравнивания не одинаковы для учреждений и существенно изменяют уровень финансового обеспечения. Например, в Иловатском ПНИ после применения коэффициента выравнивания уровень финансового обеспечения вырос на 12,7% по отношению к нормативным затратам (596960,04 руб. / 529566,47 руб.), а в Харьковском ПНИ – на 73% (535940,32 руб. / 308841,57 руб.).</w:t>
      </w:r>
    </w:p>
    <w:p w14:paraId="52C5D213" w14:textId="77777777" w:rsidR="00A2337F" w:rsidRPr="00E55E40" w:rsidRDefault="006C6BE9" w:rsidP="00F53FFD">
      <w:pPr>
        <w:autoSpaceDE w:val="0"/>
        <w:autoSpaceDN w:val="0"/>
        <w:adjustRightInd w:val="0"/>
        <w:ind w:firstLine="709"/>
        <w:jc w:val="both"/>
        <w:rPr>
          <w:rFonts w:eastAsiaTheme="minorHAnsi"/>
          <w:lang w:eastAsia="en-US"/>
        </w:rPr>
      </w:pPr>
      <w:r w:rsidRPr="00E55E40">
        <w:rPr>
          <w:rFonts w:eastAsiaTheme="minorHAnsi"/>
          <w:lang w:eastAsia="en-US"/>
        </w:rPr>
        <w:t>КСП</w:t>
      </w:r>
      <w:r w:rsidR="00E81120" w:rsidRPr="00E55E40">
        <w:rPr>
          <w:rFonts w:eastAsiaTheme="minorHAnsi"/>
          <w:lang w:eastAsia="en-US"/>
        </w:rPr>
        <w:t xml:space="preserve"> уже ранее, </w:t>
      </w:r>
      <w:r w:rsidR="00EB4A10" w:rsidRPr="00E55E40">
        <w:rPr>
          <w:rFonts w:eastAsiaTheme="minorHAnsi"/>
          <w:lang w:eastAsia="en-US"/>
        </w:rPr>
        <w:t xml:space="preserve">при проверке отдельных вопросов финансово-хозяйственной деятельности государственных учреждений Волгоградской области социальной сферы, в том числе формирования нормативов финансовых затрат, </w:t>
      </w:r>
      <w:r w:rsidRPr="00E55E40">
        <w:rPr>
          <w:rFonts w:eastAsiaTheme="minorHAnsi"/>
          <w:lang w:eastAsia="en-US"/>
        </w:rPr>
        <w:t xml:space="preserve">проведённой в 2017 году, </w:t>
      </w:r>
      <w:r w:rsidR="00A2337F" w:rsidRPr="00E55E40">
        <w:rPr>
          <w:rFonts w:eastAsiaTheme="minorHAnsi"/>
          <w:lang w:eastAsia="en-US"/>
        </w:rPr>
        <w:t>обращала внимание на не</w:t>
      </w:r>
      <w:r w:rsidRPr="00E55E40">
        <w:rPr>
          <w:rFonts w:eastAsiaTheme="minorHAnsi"/>
          <w:lang w:eastAsia="en-US"/>
        </w:rPr>
        <w:t xml:space="preserve">обоснованность </w:t>
      </w:r>
      <w:r w:rsidR="00A2337F" w:rsidRPr="00E55E40">
        <w:rPr>
          <w:rFonts w:eastAsiaTheme="minorHAnsi"/>
          <w:lang w:eastAsia="en-US"/>
        </w:rPr>
        <w:t>применени</w:t>
      </w:r>
      <w:r w:rsidRPr="00E55E40">
        <w:rPr>
          <w:rFonts w:eastAsiaTheme="minorHAnsi"/>
          <w:lang w:eastAsia="en-US"/>
        </w:rPr>
        <w:t xml:space="preserve">я повышающих </w:t>
      </w:r>
      <w:r w:rsidR="00A2337F" w:rsidRPr="00E55E40">
        <w:rPr>
          <w:rFonts w:eastAsiaTheme="minorHAnsi"/>
          <w:lang w:eastAsia="en-US"/>
        </w:rPr>
        <w:t xml:space="preserve">коэффициентов выравнивания при определении объёма финансового обеспечения </w:t>
      </w:r>
      <w:r w:rsidR="00EB4A10" w:rsidRPr="00E55E40">
        <w:rPr>
          <w:rFonts w:eastAsiaTheme="minorHAnsi"/>
          <w:lang w:eastAsia="en-US"/>
        </w:rPr>
        <w:t>государственных заданий, доводимых Комитетом до государственных учреждений социального обслуживания.</w:t>
      </w:r>
      <w:r w:rsidRPr="00E55E40">
        <w:rPr>
          <w:rFonts w:eastAsiaTheme="minorHAnsi"/>
          <w:lang w:eastAsia="en-US"/>
        </w:rPr>
        <w:t xml:space="preserve"> Однако мнение КСП не было учтено.</w:t>
      </w:r>
    </w:p>
    <w:p w14:paraId="0A19055D" w14:textId="77777777" w:rsidR="003F6ACE" w:rsidRPr="00E55E40" w:rsidRDefault="003F6ACE" w:rsidP="003F6ACE">
      <w:pPr>
        <w:autoSpaceDE w:val="0"/>
        <w:autoSpaceDN w:val="0"/>
        <w:adjustRightInd w:val="0"/>
        <w:ind w:firstLine="709"/>
        <w:jc w:val="both"/>
        <w:rPr>
          <w:rFonts w:eastAsiaTheme="minorHAnsi"/>
          <w:lang w:eastAsia="en-US"/>
        </w:rPr>
      </w:pPr>
      <w:r w:rsidRPr="00E55E40">
        <w:rPr>
          <w:rFonts w:eastAsiaTheme="minorHAnsi"/>
          <w:lang w:eastAsia="en-US"/>
        </w:rPr>
        <w:t xml:space="preserve">Необходимо отметить, что с марта 2019 года Комитетом в соответствии с Порядком определения объема и предоставления субсидий социально ориентированным некоммерческим организациям, предоставляющим социальные услуги в стационарной форме социального обслуживания, утвержденным постановлением </w:t>
      </w:r>
      <w:r w:rsidR="00BA0A09" w:rsidRPr="00E55E40">
        <w:rPr>
          <w:rFonts w:eastAsiaTheme="minorHAnsi"/>
          <w:lang w:eastAsia="en-US"/>
        </w:rPr>
        <w:t>А</w:t>
      </w:r>
      <w:r w:rsidRPr="00E55E40">
        <w:rPr>
          <w:rFonts w:eastAsiaTheme="minorHAnsi"/>
          <w:lang w:eastAsia="en-US"/>
        </w:rPr>
        <w:t xml:space="preserve">дминистрации Волгоградской области от 04.02.2019 № 35-п (далее Порядок № 35-п), предоставлена субсидия </w:t>
      </w:r>
      <w:r w:rsidR="00121349" w:rsidRPr="00E55E40">
        <w:rPr>
          <w:rFonts w:eastAsiaTheme="minorHAnsi"/>
          <w:lang w:eastAsia="en-US"/>
        </w:rPr>
        <w:t xml:space="preserve">Автономной некоммерческой организации пансионат «Благодать» (далее АНО) </w:t>
      </w:r>
      <w:r w:rsidRPr="00E55E40">
        <w:rPr>
          <w:rFonts w:eastAsiaTheme="minorHAnsi"/>
          <w:lang w:eastAsia="en-US"/>
        </w:rPr>
        <w:t>на социальное обслуживание 200 граждан в стационарной форме</w:t>
      </w:r>
      <w:r w:rsidR="00121349" w:rsidRPr="00E55E40">
        <w:rPr>
          <w:rFonts w:eastAsiaTheme="minorHAnsi"/>
          <w:lang w:eastAsia="en-US"/>
        </w:rPr>
        <w:t xml:space="preserve"> по Порядку </w:t>
      </w:r>
      <w:r w:rsidR="00256DDC" w:rsidRPr="00E55E40">
        <w:rPr>
          <w:rFonts w:eastAsiaTheme="minorHAnsi"/>
          <w:lang w:eastAsia="en-US"/>
        </w:rPr>
        <w:t>ДПИ</w:t>
      </w:r>
      <w:r w:rsidRPr="00E55E40">
        <w:rPr>
          <w:rFonts w:eastAsiaTheme="minorHAnsi"/>
          <w:lang w:eastAsia="en-US"/>
        </w:rPr>
        <w:t xml:space="preserve">, в том числе 140 </w:t>
      </w:r>
      <w:r w:rsidR="00121349" w:rsidRPr="00E55E40">
        <w:rPr>
          <w:rFonts w:eastAsiaTheme="minorHAnsi"/>
          <w:lang w:eastAsia="en-US"/>
        </w:rPr>
        <w:t>граждан</w:t>
      </w:r>
      <w:r w:rsidRPr="00E55E40">
        <w:rPr>
          <w:rFonts w:eastAsiaTheme="minorHAnsi"/>
          <w:lang w:eastAsia="en-US"/>
        </w:rPr>
        <w:t xml:space="preserve">, частично утративших способность к самообслуживанию, и 60 </w:t>
      </w:r>
      <w:r w:rsidR="00121349" w:rsidRPr="00E55E40">
        <w:rPr>
          <w:rFonts w:eastAsiaTheme="minorHAnsi"/>
          <w:lang w:eastAsia="en-US"/>
        </w:rPr>
        <w:t>граждан</w:t>
      </w:r>
      <w:r w:rsidRPr="00E55E40">
        <w:rPr>
          <w:rFonts w:eastAsiaTheme="minorHAnsi"/>
          <w:lang w:eastAsia="en-US"/>
        </w:rPr>
        <w:t xml:space="preserve">, полностью утративших </w:t>
      </w:r>
      <w:r w:rsidR="00BA0A09" w:rsidRPr="00E55E40">
        <w:rPr>
          <w:rFonts w:eastAsiaTheme="minorHAnsi"/>
          <w:lang w:eastAsia="en-US"/>
        </w:rPr>
        <w:t xml:space="preserve">способность </w:t>
      </w:r>
      <w:r w:rsidRPr="00E55E40">
        <w:rPr>
          <w:rFonts w:eastAsiaTheme="minorHAnsi"/>
          <w:lang w:eastAsia="en-US"/>
        </w:rPr>
        <w:t xml:space="preserve">к самообслуживанию. </w:t>
      </w:r>
    </w:p>
    <w:p w14:paraId="7CEF67D2" w14:textId="77777777" w:rsidR="003F6ACE" w:rsidRPr="00E55E40" w:rsidRDefault="00121349" w:rsidP="003F6ACE">
      <w:pPr>
        <w:autoSpaceDE w:val="0"/>
        <w:autoSpaceDN w:val="0"/>
        <w:adjustRightInd w:val="0"/>
        <w:ind w:firstLine="709"/>
        <w:jc w:val="both"/>
        <w:rPr>
          <w:rFonts w:eastAsiaTheme="minorHAnsi"/>
          <w:lang w:eastAsia="en-US"/>
        </w:rPr>
      </w:pPr>
      <w:r w:rsidRPr="00E55E40">
        <w:rPr>
          <w:rFonts w:eastAsiaTheme="minorHAnsi"/>
          <w:lang w:eastAsia="en-US"/>
        </w:rPr>
        <w:t>Согласно Порядку № 35-п о</w:t>
      </w:r>
      <w:r w:rsidR="003F6ACE" w:rsidRPr="00E55E40">
        <w:rPr>
          <w:rFonts w:eastAsiaTheme="minorHAnsi"/>
          <w:lang w:eastAsia="en-US"/>
        </w:rPr>
        <w:t xml:space="preserve">бъём субсидии </w:t>
      </w:r>
      <w:r w:rsidRPr="00E55E40">
        <w:rPr>
          <w:rFonts w:eastAsiaTheme="minorHAnsi"/>
          <w:lang w:eastAsia="en-US"/>
        </w:rPr>
        <w:t xml:space="preserve">для АНО </w:t>
      </w:r>
      <w:r w:rsidR="003F6ACE" w:rsidRPr="00E55E40">
        <w:rPr>
          <w:rFonts w:eastAsiaTheme="minorHAnsi"/>
          <w:lang w:eastAsia="en-US"/>
        </w:rPr>
        <w:t xml:space="preserve">определён исходя из утверждённых подушевых нормативов финансирования социальных услуг и количества получателей социальных услуг. </w:t>
      </w:r>
    </w:p>
    <w:p w14:paraId="076ED57C" w14:textId="77777777" w:rsidR="003F6ACE" w:rsidRPr="00E55E40" w:rsidRDefault="003F6ACE" w:rsidP="003F6ACE">
      <w:pPr>
        <w:autoSpaceDE w:val="0"/>
        <w:autoSpaceDN w:val="0"/>
        <w:adjustRightInd w:val="0"/>
        <w:ind w:firstLine="709"/>
        <w:jc w:val="both"/>
      </w:pPr>
      <w:r w:rsidRPr="00E55E40">
        <w:t xml:space="preserve">В связи с этим на стоимость социальной услуги, оказываемой АНО, не оказывают влияние другие составляющие финансового обеспечения </w:t>
      </w:r>
      <w:r w:rsidR="00121349" w:rsidRPr="00E55E40">
        <w:t xml:space="preserve">таких же </w:t>
      </w:r>
      <w:r w:rsidRPr="00E55E40">
        <w:t>социальных услуг</w:t>
      </w:r>
      <w:r w:rsidR="00121349" w:rsidRPr="00E55E40">
        <w:t>, оказываемых</w:t>
      </w:r>
      <w:r w:rsidRPr="00E55E40">
        <w:t xml:space="preserve"> </w:t>
      </w:r>
      <w:r w:rsidR="00121349" w:rsidRPr="00E55E40">
        <w:t xml:space="preserve">в рамках государственных заданий </w:t>
      </w:r>
      <w:r w:rsidRPr="00E55E40">
        <w:t>государственны</w:t>
      </w:r>
      <w:r w:rsidR="00121349" w:rsidRPr="00E55E40">
        <w:t>ми</w:t>
      </w:r>
      <w:r w:rsidRPr="00E55E40">
        <w:t xml:space="preserve"> учреждения</w:t>
      </w:r>
      <w:r w:rsidR="00121349" w:rsidRPr="00E55E40">
        <w:t xml:space="preserve">ми </w:t>
      </w:r>
      <w:r w:rsidRPr="00E55E40">
        <w:t xml:space="preserve">(территориальные корректирующие коэффициенты, коэффициенты выравнивания, затраты на уплату налогов на имущество учреждения). </w:t>
      </w:r>
    </w:p>
    <w:p w14:paraId="4200A2A1" w14:textId="77777777" w:rsidR="003F6ACE" w:rsidRPr="00E55E40" w:rsidRDefault="003F6ACE" w:rsidP="003F6ACE">
      <w:pPr>
        <w:autoSpaceDE w:val="0"/>
        <w:autoSpaceDN w:val="0"/>
        <w:adjustRightInd w:val="0"/>
        <w:ind w:firstLine="709"/>
        <w:jc w:val="both"/>
      </w:pPr>
      <w:r w:rsidRPr="00E55E40">
        <w:t xml:space="preserve">В ходе проверки проведено сравнение стоимости социального обслуживания 1 получателя, частично утратившего способность к самообслуживанию, в АНО и в государственных учреждениях на 2019 год (таблица № </w:t>
      </w:r>
      <w:r w:rsidR="008854D0" w:rsidRPr="00E55E40">
        <w:t>9</w:t>
      </w:r>
      <w:r w:rsidRPr="00E55E40">
        <w:t>).</w:t>
      </w:r>
    </w:p>
    <w:p w14:paraId="2D6BD740" w14:textId="77777777" w:rsidR="003F6ACE" w:rsidRPr="00E55E40" w:rsidRDefault="003F6ACE" w:rsidP="003F6ACE">
      <w:pPr>
        <w:autoSpaceDE w:val="0"/>
        <w:autoSpaceDN w:val="0"/>
        <w:adjustRightInd w:val="0"/>
        <w:ind w:firstLine="709"/>
        <w:jc w:val="right"/>
      </w:pPr>
      <w:r w:rsidRPr="00E55E40">
        <w:t xml:space="preserve">Таблица № </w:t>
      </w:r>
      <w:r w:rsidR="008854D0" w:rsidRPr="00E55E40">
        <w:t>9</w:t>
      </w:r>
    </w:p>
    <w:tbl>
      <w:tblPr>
        <w:tblStyle w:val="a7"/>
        <w:tblW w:w="9784" w:type="dxa"/>
        <w:tblLook w:val="04A0" w:firstRow="1" w:lastRow="0" w:firstColumn="1" w:lastColumn="0" w:noHBand="0" w:noVBand="1"/>
      </w:tblPr>
      <w:tblGrid>
        <w:gridCol w:w="1938"/>
        <w:gridCol w:w="1889"/>
        <w:gridCol w:w="1892"/>
        <w:gridCol w:w="638"/>
        <w:gridCol w:w="638"/>
        <w:gridCol w:w="711"/>
        <w:gridCol w:w="2078"/>
      </w:tblGrid>
      <w:tr w:rsidR="000E3831" w:rsidRPr="00E55E40" w14:paraId="25F2B45D" w14:textId="77777777" w:rsidTr="000E3831">
        <w:trPr>
          <w:trHeight w:val="415"/>
        </w:trPr>
        <w:tc>
          <w:tcPr>
            <w:tcW w:w="1938" w:type="dxa"/>
            <w:vMerge w:val="restart"/>
            <w:vAlign w:val="center"/>
          </w:tcPr>
          <w:p w14:paraId="1D2D8725" w14:textId="77777777" w:rsidR="000E3831" w:rsidRPr="00E55E40" w:rsidRDefault="000E3831"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Поставщик социальных услуг</w:t>
            </w:r>
          </w:p>
        </w:tc>
        <w:tc>
          <w:tcPr>
            <w:tcW w:w="3780" w:type="dxa"/>
            <w:gridSpan w:val="2"/>
            <w:vAlign w:val="center"/>
          </w:tcPr>
          <w:p w14:paraId="76A6688F" w14:textId="77777777" w:rsidR="000E3831" w:rsidRPr="00E55E40" w:rsidRDefault="000E3831" w:rsidP="000E3831">
            <w:pPr>
              <w:autoSpaceDE w:val="0"/>
              <w:autoSpaceDN w:val="0"/>
              <w:adjustRightInd w:val="0"/>
              <w:jc w:val="center"/>
              <w:rPr>
                <w:rFonts w:eastAsiaTheme="minorHAnsi"/>
                <w:b/>
                <w:i/>
                <w:sz w:val="18"/>
                <w:szCs w:val="18"/>
                <w:lang w:eastAsia="en-US"/>
              </w:rPr>
            </w:pPr>
            <w:r w:rsidRPr="00E55E40">
              <w:rPr>
                <w:rFonts w:eastAsiaTheme="minorHAnsi"/>
                <w:sz w:val="18"/>
                <w:szCs w:val="18"/>
                <w:lang w:eastAsia="en-US"/>
              </w:rPr>
              <w:t xml:space="preserve">Учтено в государственном задании на 2019 год </w:t>
            </w:r>
            <w:r w:rsidRPr="00E55E40">
              <w:rPr>
                <w:rFonts w:eastAsiaTheme="minorHAnsi"/>
                <w:b/>
                <w:i/>
                <w:sz w:val="18"/>
                <w:szCs w:val="18"/>
                <w:lang w:eastAsia="en-US"/>
              </w:rPr>
              <w:t>(в расчете на год)</w:t>
            </w:r>
          </w:p>
        </w:tc>
        <w:tc>
          <w:tcPr>
            <w:tcW w:w="1987" w:type="dxa"/>
            <w:gridSpan w:val="3"/>
            <w:vMerge w:val="restart"/>
            <w:vAlign w:val="center"/>
          </w:tcPr>
          <w:p w14:paraId="69063925" w14:textId="77777777" w:rsidR="000E3831" w:rsidRPr="00E55E40" w:rsidRDefault="000E3831"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Стоимость социального обслуживания 1 гражданина по годам, тыс. руб.</w:t>
            </w:r>
          </w:p>
        </w:tc>
        <w:tc>
          <w:tcPr>
            <w:tcW w:w="2079" w:type="dxa"/>
            <w:vMerge w:val="restart"/>
            <w:vAlign w:val="center"/>
          </w:tcPr>
          <w:p w14:paraId="2ECB42BE" w14:textId="77777777" w:rsidR="000E3831" w:rsidRPr="00E55E40" w:rsidRDefault="000E3831"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 xml:space="preserve">Отклонение стоимости социального обслуживания 1 гражданина в государственных учреждениях к АНО </w:t>
            </w:r>
          </w:p>
          <w:p w14:paraId="46CC47FE" w14:textId="77777777" w:rsidR="000E3831" w:rsidRPr="00E55E40" w:rsidRDefault="000E3831"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в 2019 году, %</w:t>
            </w:r>
          </w:p>
        </w:tc>
      </w:tr>
      <w:tr w:rsidR="000E3831" w:rsidRPr="00E55E40" w14:paraId="7C3C16BC" w14:textId="77777777" w:rsidTr="006C6BE9">
        <w:trPr>
          <w:trHeight w:val="415"/>
        </w:trPr>
        <w:tc>
          <w:tcPr>
            <w:tcW w:w="1938" w:type="dxa"/>
            <w:vMerge/>
            <w:vAlign w:val="center"/>
          </w:tcPr>
          <w:p w14:paraId="6AFE2C7F" w14:textId="77777777" w:rsidR="000E3831" w:rsidRPr="00E55E40" w:rsidRDefault="000E3831" w:rsidP="00A57C70">
            <w:pPr>
              <w:autoSpaceDE w:val="0"/>
              <w:autoSpaceDN w:val="0"/>
              <w:adjustRightInd w:val="0"/>
              <w:jc w:val="center"/>
              <w:rPr>
                <w:rFonts w:eastAsiaTheme="minorHAnsi"/>
                <w:sz w:val="18"/>
                <w:szCs w:val="18"/>
                <w:lang w:eastAsia="en-US"/>
              </w:rPr>
            </w:pPr>
          </w:p>
        </w:tc>
        <w:tc>
          <w:tcPr>
            <w:tcW w:w="1890" w:type="dxa"/>
            <w:vAlign w:val="center"/>
          </w:tcPr>
          <w:p w14:paraId="33FE06BD" w14:textId="77777777" w:rsidR="000E3831" w:rsidRPr="00E55E40" w:rsidRDefault="000E3831"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Кол-во получателей социальных услуг</w:t>
            </w:r>
          </w:p>
        </w:tc>
        <w:tc>
          <w:tcPr>
            <w:tcW w:w="1890" w:type="dxa"/>
            <w:vAlign w:val="center"/>
          </w:tcPr>
          <w:p w14:paraId="33554B37" w14:textId="77777777" w:rsidR="000E3831" w:rsidRPr="00E55E40" w:rsidRDefault="000E3831"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Объём субсидии</w:t>
            </w:r>
          </w:p>
        </w:tc>
        <w:tc>
          <w:tcPr>
            <w:tcW w:w="1987" w:type="dxa"/>
            <w:gridSpan w:val="3"/>
            <w:vMerge/>
            <w:vAlign w:val="center"/>
          </w:tcPr>
          <w:p w14:paraId="6A334C8D" w14:textId="77777777" w:rsidR="000E3831" w:rsidRPr="00E55E40" w:rsidRDefault="000E3831" w:rsidP="00A57C70">
            <w:pPr>
              <w:autoSpaceDE w:val="0"/>
              <w:autoSpaceDN w:val="0"/>
              <w:adjustRightInd w:val="0"/>
              <w:jc w:val="center"/>
              <w:rPr>
                <w:rFonts w:eastAsiaTheme="minorHAnsi"/>
                <w:sz w:val="18"/>
                <w:szCs w:val="18"/>
                <w:lang w:eastAsia="en-US"/>
              </w:rPr>
            </w:pPr>
          </w:p>
        </w:tc>
        <w:tc>
          <w:tcPr>
            <w:tcW w:w="2079" w:type="dxa"/>
            <w:vMerge/>
            <w:vAlign w:val="center"/>
          </w:tcPr>
          <w:p w14:paraId="4D0CB9AE" w14:textId="77777777" w:rsidR="000E3831" w:rsidRPr="00E55E40" w:rsidRDefault="000E3831" w:rsidP="00A57C70">
            <w:pPr>
              <w:autoSpaceDE w:val="0"/>
              <w:autoSpaceDN w:val="0"/>
              <w:adjustRightInd w:val="0"/>
              <w:jc w:val="center"/>
              <w:rPr>
                <w:rFonts w:eastAsiaTheme="minorHAnsi"/>
                <w:sz w:val="18"/>
                <w:szCs w:val="18"/>
                <w:lang w:eastAsia="en-US"/>
              </w:rPr>
            </w:pPr>
          </w:p>
        </w:tc>
      </w:tr>
      <w:tr w:rsidR="000E3831" w:rsidRPr="00E55E40" w14:paraId="55B1AB7C" w14:textId="77777777" w:rsidTr="000E3831">
        <w:tc>
          <w:tcPr>
            <w:tcW w:w="1938" w:type="dxa"/>
            <w:vMerge/>
          </w:tcPr>
          <w:p w14:paraId="284111ED" w14:textId="77777777" w:rsidR="000E3831" w:rsidRPr="00E55E40" w:rsidRDefault="000E3831" w:rsidP="00A57C70">
            <w:pPr>
              <w:autoSpaceDE w:val="0"/>
              <w:autoSpaceDN w:val="0"/>
              <w:adjustRightInd w:val="0"/>
              <w:jc w:val="both"/>
              <w:rPr>
                <w:rFonts w:eastAsiaTheme="minorHAnsi"/>
                <w:sz w:val="18"/>
                <w:szCs w:val="18"/>
                <w:lang w:eastAsia="en-US"/>
              </w:rPr>
            </w:pPr>
          </w:p>
        </w:tc>
        <w:tc>
          <w:tcPr>
            <w:tcW w:w="1887" w:type="dxa"/>
            <w:vAlign w:val="center"/>
          </w:tcPr>
          <w:p w14:paraId="63596CAA" w14:textId="77777777" w:rsidR="000E3831" w:rsidRPr="00E55E40" w:rsidRDefault="000E3831" w:rsidP="00A57C70">
            <w:pPr>
              <w:autoSpaceDE w:val="0"/>
              <w:autoSpaceDN w:val="0"/>
              <w:adjustRightInd w:val="0"/>
              <w:jc w:val="center"/>
              <w:rPr>
                <w:rFonts w:eastAsiaTheme="minorHAnsi"/>
                <w:b/>
                <w:sz w:val="18"/>
                <w:szCs w:val="18"/>
                <w:lang w:eastAsia="en-US"/>
              </w:rPr>
            </w:pPr>
            <w:r w:rsidRPr="00E55E40">
              <w:rPr>
                <w:rFonts w:eastAsiaTheme="minorHAnsi"/>
                <w:b/>
                <w:sz w:val="18"/>
                <w:szCs w:val="18"/>
                <w:lang w:eastAsia="en-US"/>
              </w:rPr>
              <w:t>чел.</w:t>
            </w:r>
          </w:p>
        </w:tc>
        <w:tc>
          <w:tcPr>
            <w:tcW w:w="1893" w:type="dxa"/>
            <w:vAlign w:val="center"/>
          </w:tcPr>
          <w:p w14:paraId="78AA9F1B" w14:textId="77777777" w:rsidR="000E3831" w:rsidRPr="00E55E40" w:rsidRDefault="000E3831" w:rsidP="00A57C70">
            <w:pPr>
              <w:autoSpaceDE w:val="0"/>
              <w:autoSpaceDN w:val="0"/>
              <w:adjustRightInd w:val="0"/>
              <w:jc w:val="center"/>
              <w:rPr>
                <w:rFonts w:eastAsiaTheme="minorHAnsi"/>
                <w:b/>
                <w:sz w:val="18"/>
                <w:szCs w:val="18"/>
                <w:lang w:eastAsia="en-US"/>
              </w:rPr>
            </w:pPr>
            <w:r w:rsidRPr="00E55E40">
              <w:rPr>
                <w:rFonts w:eastAsiaTheme="minorHAnsi"/>
                <w:b/>
                <w:sz w:val="18"/>
                <w:szCs w:val="18"/>
                <w:lang w:eastAsia="en-US"/>
              </w:rPr>
              <w:t>тыс. руб.</w:t>
            </w:r>
          </w:p>
        </w:tc>
        <w:tc>
          <w:tcPr>
            <w:tcW w:w="638" w:type="dxa"/>
            <w:vAlign w:val="center"/>
          </w:tcPr>
          <w:p w14:paraId="44A6B77C" w14:textId="77777777" w:rsidR="000E3831" w:rsidRPr="00E55E40" w:rsidRDefault="000E3831" w:rsidP="000E3831">
            <w:pPr>
              <w:autoSpaceDE w:val="0"/>
              <w:autoSpaceDN w:val="0"/>
              <w:adjustRightInd w:val="0"/>
              <w:jc w:val="center"/>
              <w:rPr>
                <w:rFonts w:eastAsiaTheme="minorHAnsi"/>
                <w:b/>
                <w:sz w:val="18"/>
                <w:szCs w:val="18"/>
                <w:lang w:eastAsia="en-US"/>
              </w:rPr>
            </w:pPr>
            <w:r w:rsidRPr="00E55E40">
              <w:rPr>
                <w:rFonts w:eastAsiaTheme="minorHAnsi"/>
                <w:b/>
                <w:sz w:val="18"/>
                <w:szCs w:val="18"/>
                <w:lang w:eastAsia="en-US"/>
              </w:rPr>
              <w:t>2017</w:t>
            </w:r>
          </w:p>
        </w:tc>
        <w:tc>
          <w:tcPr>
            <w:tcW w:w="638" w:type="dxa"/>
            <w:vAlign w:val="center"/>
          </w:tcPr>
          <w:p w14:paraId="4AD9E072" w14:textId="77777777" w:rsidR="000E3831" w:rsidRPr="00E55E40" w:rsidRDefault="000E3831" w:rsidP="000E3831">
            <w:pPr>
              <w:autoSpaceDE w:val="0"/>
              <w:autoSpaceDN w:val="0"/>
              <w:adjustRightInd w:val="0"/>
              <w:jc w:val="center"/>
              <w:rPr>
                <w:rFonts w:eastAsiaTheme="minorHAnsi"/>
                <w:b/>
                <w:sz w:val="18"/>
                <w:szCs w:val="18"/>
                <w:lang w:eastAsia="en-US"/>
              </w:rPr>
            </w:pPr>
            <w:r w:rsidRPr="00E55E40">
              <w:rPr>
                <w:rFonts w:eastAsiaTheme="minorHAnsi"/>
                <w:b/>
                <w:sz w:val="18"/>
                <w:szCs w:val="18"/>
                <w:lang w:eastAsia="en-US"/>
              </w:rPr>
              <w:t>2018</w:t>
            </w:r>
          </w:p>
        </w:tc>
        <w:tc>
          <w:tcPr>
            <w:tcW w:w="711" w:type="dxa"/>
            <w:vAlign w:val="center"/>
          </w:tcPr>
          <w:p w14:paraId="23844B6F" w14:textId="77777777" w:rsidR="000E3831" w:rsidRPr="00E55E40" w:rsidRDefault="000E3831" w:rsidP="000E3831">
            <w:pPr>
              <w:autoSpaceDE w:val="0"/>
              <w:autoSpaceDN w:val="0"/>
              <w:adjustRightInd w:val="0"/>
              <w:jc w:val="center"/>
              <w:rPr>
                <w:rFonts w:eastAsiaTheme="minorHAnsi"/>
                <w:b/>
                <w:sz w:val="18"/>
                <w:szCs w:val="18"/>
                <w:lang w:eastAsia="en-US"/>
              </w:rPr>
            </w:pPr>
            <w:r w:rsidRPr="00E55E40">
              <w:rPr>
                <w:rFonts w:eastAsiaTheme="minorHAnsi"/>
                <w:b/>
                <w:sz w:val="18"/>
                <w:szCs w:val="18"/>
                <w:lang w:eastAsia="en-US"/>
              </w:rPr>
              <w:t>2019</w:t>
            </w:r>
          </w:p>
        </w:tc>
        <w:tc>
          <w:tcPr>
            <w:tcW w:w="2079" w:type="dxa"/>
            <w:vMerge/>
          </w:tcPr>
          <w:p w14:paraId="254EA8E2" w14:textId="77777777" w:rsidR="000E3831" w:rsidRPr="00E55E40" w:rsidRDefault="000E3831" w:rsidP="00A57C70">
            <w:pPr>
              <w:autoSpaceDE w:val="0"/>
              <w:autoSpaceDN w:val="0"/>
              <w:adjustRightInd w:val="0"/>
              <w:jc w:val="center"/>
              <w:rPr>
                <w:rFonts w:eastAsiaTheme="minorHAnsi"/>
                <w:sz w:val="18"/>
                <w:szCs w:val="18"/>
                <w:lang w:eastAsia="en-US"/>
              </w:rPr>
            </w:pPr>
          </w:p>
        </w:tc>
      </w:tr>
      <w:tr w:rsidR="003F6ACE" w:rsidRPr="00E55E40" w14:paraId="3B7FC442" w14:textId="77777777" w:rsidTr="000E3831">
        <w:tc>
          <w:tcPr>
            <w:tcW w:w="1938" w:type="dxa"/>
          </w:tcPr>
          <w:p w14:paraId="1C0C9588" w14:textId="77777777" w:rsidR="003F6ACE" w:rsidRPr="00E55E40" w:rsidRDefault="003F6ACE" w:rsidP="00A57C70">
            <w:pPr>
              <w:autoSpaceDE w:val="0"/>
              <w:autoSpaceDN w:val="0"/>
              <w:adjustRightInd w:val="0"/>
              <w:jc w:val="both"/>
              <w:rPr>
                <w:rFonts w:eastAsiaTheme="minorHAnsi"/>
                <w:sz w:val="18"/>
                <w:szCs w:val="18"/>
                <w:lang w:eastAsia="en-US"/>
              </w:rPr>
            </w:pPr>
            <w:r w:rsidRPr="00E55E40">
              <w:rPr>
                <w:rFonts w:eastAsiaTheme="minorHAnsi"/>
                <w:sz w:val="18"/>
                <w:szCs w:val="18"/>
                <w:lang w:eastAsia="en-US"/>
              </w:rPr>
              <w:t>АНО</w:t>
            </w:r>
          </w:p>
        </w:tc>
        <w:tc>
          <w:tcPr>
            <w:tcW w:w="1887" w:type="dxa"/>
          </w:tcPr>
          <w:p w14:paraId="29D141F2"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140</w:t>
            </w:r>
          </w:p>
        </w:tc>
        <w:tc>
          <w:tcPr>
            <w:tcW w:w="1893" w:type="dxa"/>
          </w:tcPr>
          <w:p w14:paraId="5BDBBBF3"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39 872</w:t>
            </w:r>
          </w:p>
        </w:tc>
        <w:tc>
          <w:tcPr>
            <w:tcW w:w="638" w:type="dxa"/>
          </w:tcPr>
          <w:p w14:paraId="17C64DB8"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w:t>
            </w:r>
          </w:p>
        </w:tc>
        <w:tc>
          <w:tcPr>
            <w:tcW w:w="638" w:type="dxa"/>
          </w:tcPr>
          <w:p w14:paraId="2DA049A9"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w:t>
            </w:r>
          </w:p>
        </w:tc>
        <w:tc>
          <w:tcPr>
            <w:tcW w:w="711" w:type="dxa"/>
          </w:tcPr>
          <w:p w14:paraId="7936AC9C"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284,8*</w:t>
            </w:r>
          </w:p>
        </w:tc>
        <w:tc>
          <w:tcPr>
            <w:tcW w:w="2079" w:type="dxa"/>
          </w:tcPr>
          <w:p w14:paraId="4188E32B"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w:t>
            </w:r>
          </w:p>
        </w:tc>
      </w:tr>
      <w:tr w:rsidR="003F6ACE" w:rsidRPr="00E55E40" w14:paraId="567F7BFC" w14:textId="77777777" w:rsidTr="000E3831">
        <w:tc>
          <w:tcPr>
            <w:tcW w:w="1938" w:type="dxa"/>
          </w:tcPr>
          <w:p w14:paraId="2F98F770" w14:textId="77777777" w:rsidR="003F6ACE" w:rsidRPr="00E55E40" w:rsidRDefault="003F6ACE" w:rsidP="00A57C70">
            <w:pPr>
              <w:autoSpaceDE w:val="0"/>
              <w:autoSpaceDN w:val="0"/>
              <w:adjustRightInd w:val="0"/>
              <w:jc w:val="both"/>
              <w:rPr>
                <w:rFonts w:eastAsiaTheme="minorHAnsi"/>
                <w:sz w:val="18"/>
                <w:szCs w:val="18"/>
                <w:lang w:eastAsia="en-US"/>
              </w:rPr>
            </w:pPr>
            <w:r w:rsidRPr="00E55E40">
              <w:rPr>
                <w:rFonts w:eastAsiaTheme="minorHAnsi"/>
                <w:sz w:val="18"/>
                <w:szCs w:val="18"/>
                <w:lang w:eastAsia="en-US"/>
              </w:rPr>
              <w:t>Абганеровский ДПИ</w:t>
            </w:r>
          </w:p>
        </w:tc>
        <w:tc>
          <w:tcPr>
            <w:tcW w:w="1887" w:type="dxa"/>
          </w:tcPr>
          <w:p w14:paraId="1A5946E7"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80</w:t>
            </w:r>
          </w:p>
        </w:tc>
        <w:tc>
          <w:tcPr>
            <w:tcW w:w="1893" w:type="dxa"/>
          </w:tcPr>
          <w:p w14:paraId="6E01BCC5"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39 772,2</w:t>
            </w:r>
          </w:p>
        </w:tc>
        <w:tc>
          <w:tcPr>
            <w:tcW w:w="638" w:type="dxa"/>
          </w:tcPr>
          <w:p w14:paraId="53B3BBE4"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336,7</w:t>
            </w:r>
          </w:p>
        </w:tc>
        <w:tc>
          <w:tcPr>
            <w:tcW w:w="638" w:type="dxa"/>
          </w:tcPr>
          <w:p w14:paraId="313BEA14"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463,9</w:t>
            </w:r>
          </w:p>
        </w:tc>
        <w:tc>
          <w:tcPr>
            <w:tcW w:w="711" w:type="dxa"/>
          </w:tcPr>
          <w:p w14:paraId="628FC958"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497,2</w:t>
            </w:r>
          </w:p>
        </w:tc>
        <w:tc>
          <w:tcPr>
            <w:tcW w:w="2079" w:type="dxa"/>
          </w:tcPr>
          <w:p w14:paraId="412C2B22"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+74,6%</w:t>
            </w:r>
          </w:p>
        </w:tc>
      </w:tr>
      <w:tr w:rsidR="003F6ACE" w:rsidRPr="00E55E40" w14:paraId="405AE5B4" w14:textId="77777777" w:rsidTr="000E3831">
        <w:tc>
          <w:tcPr>
            <w:tcW w:w="1938" w:type="dxa"/>
          </w:tcPr>
          <w:p w14:paraId="73C45B12" w14:textId="77777777" w:rsidR="003F6ACE" w:rsidRPr="00E55E40" w:rsidRDefault="003F6ACE" w:rsidP="00A57C70">
            <w:pPr>
              <w:autoSpaceDE w:val="0"/>
              <w:autoSpaceDN w:val="0"/>
              <w:adjustRightInd w:val="0"/>
              <w:jc w:val="both"/>
              <w:rPr>
                <w:rFonts w:eastAsiaTheme="minorHAnsi"/>
                <w:sz w:val="18"/>
                <w:szCs w:val="18"/>
                <w:lang w:eastAsia="en-US"/>
              </w:rPr>
            </w:pPr>
            <w:r w:rsidRPr="00E55E40">
              <w:rPr>
                <w:rFonts w:eastAsiaTheme="minorHAnsi"/>
                <w:sz w:val="18"/>
                <w:szCs w:val="18"/>
                <w:lang w:eastAsia="en-US"/>
              </w:rPr>
              <w:t>Палласовский ДПИ</w:t>
            </w:r>
          </w:p>
        </w:tc>
        <w:tc>
          <w:tcPr>
            <w:tcW w:w="1887" w:type="dxa"/>
          </w:tcPr>
          <w:p w14:paraId="4EE6AA4A"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95</w:t>
            </w:r>
          </w:p>
        </w:tc>
        <w:tc>
          <w:tcPr>
            <w:tcW w:w="1893" w:type="dxa"/>
          </w:tcPr>
          <w:p w14:paraId="021FB054"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37 362,3</w:t>
            </w:r>
          </w:p>
        </w:tc>
        <w:tc>
          <w:tcPr>
            <w:tcW w:w="638" w:type="dxa"/>
          </w:tcPr>
          <w:p w14:paraId="14BC3905"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345,2</w:t>
            </w:r>
          </w:p>
        </w:tc>
        <w:tc>
          <w:tcPr>
            <w:tcW w:w="638" w:type="dxa"/>
          </w:tcPr>
          <w:p w14:paraId="13E438A2"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446,2</w:t>
            </w:r>
          </w:p>
        </w:tc>
        <w:tc>
          <w:tcPr>
            <w:tcW w:w="711" w:type="dxa"/>
          </w:tcPr>
          <w:p w14:paraId="355D51BB"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393,3</w:t>
            </w:r>
          </w:p>
        </w:tc>
        <w:tc>
          <w:tcPr>
            <w:tcW w:w="2079" w:type="dxa"/>
          </w:tcPr>
          <w:p w14:paraId="58153339"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+38,1%</w:t>
            </w:r>
          </w:p>
        </w:tc>
      </w:tr>
      <w:tr w:rsidR="003F6ACE" w:rsidRPr="00E55E40" w14:paraId="51BB4625" w14:textId="77777777" w:rsidTr="000E3831">
        <w:tc>
          <w:tcPr>
            <w:tcW w:w="1938" w:type="dxa"/>
          </w:tcPr>
          <w:p w14:paraId="7A2AF59E" w14:textId="77777777" w:rsidR="003F6ACE" w:rsidRPr="00E55E40" w:rsidRDefault="003F6ACE" w:rsidP="00A57C70">
            <w:pPr>
              <w:autoSpaceDE w:val="0"/>
              <w:autoSpaceDN w:val="0"/>
              <w:adjustRightInd w:val="0"/>
              <w:jc w:val="both"/>
              <w:rPr>
                <w:rFonts w:eastAsiaTheme="minorHAnsi"/>
                <w:sz w:val="18"/>
                <w:szCs w:val="18"/>
                <w:lang w:eastAsia="en-US"/>
              </w:rPr>
            </w:pPr>
            <w:r w:rsidRPr="00E55E40">
              <w:rPr>
                <w:rFonts w:eastAsiaTheme="minorHAnsi"/>
                <w:sz w:val="18"/>
                <w:szCs w:val="18"/>
                <w:lang w:eastAsia="en-US"/>
              </w:rPr>
              <w:t>Харьковский ДПИ</w:t>
            </w:r>
          </w:p>
        </w:tc>
        <w:tc>
          <w:tcPr>
            <w:tcW w:w="1887" w:type="dxa"/>
          </w:tcPr>
          <w:p w14:paraId="5D1D9653"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70</w:t>
            </w:r>
          </w:p>
        </w:tc>
        <w:tc>
          <w:tcPr>
            <w:tcW w:w="1893" w:type="dxa"/>
          </w:tcPr>
          <w:p w14:paraId="531CC598"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33 607,1</w:t>
            </w:r>
          </w:p>
        </w:tc>
        <w:tc>
          <w:tcPr>
            <w:tcW w:w="638" w:type="dxa"/>
          </w:tcPr>
          <w:p w14:paraId="11D53116"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386,9</w:t>
            </w:r>
          </w:p>
        </w:tc>
        <w:tc>
          <w:tcPr>
            <w:tcW w:w="638" w:type="dxa"/>
          </w:tcPr>
          <w:p w14:paraId="3AC8DCCE"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532,5</w:t>
            </w:r>
          </w:p>
        </w:tc>
        <w:tc>
          <w:tcPr>
            <w:tcW w:w="711" w:type="dxa"/>
          </w:tcPr>
          <w:p w14:paraId="46CB8D13"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480,1</w:t>
            </w:r>
          </w:p>
        </w:tc>
        <w:tc>
          <w:tcPr>
            <w:tcW w:w="2079" w:type="dxa"/>
          </w:tcPr>
          <w:p w14:paraId="09EFDB43" w14:textId="77777777" w:rsidR="003F6ACE" w:rsidRPr="00E55E40" w:rsidRDefault="003F6ACE" w:rsidP="00A57C70">
            <w:pPr>
              <w:autoSpaceDE w:val="0"/>
              <w:autoSpaceDN w:val="0"/>
              <w:adjustRightInd w:val="0"/>
              <w:jc w:val="center"/>
              <w:rPr>
                <w:rFonts w:eastAsiaTheme="minorHAnsi"/>
                <w:sz w:val="18"/>
                <w:szCs w:val="18"/>
                <w:lang w:eastAsia="en-US"/>
              </w:rPr>
            </w:pPr>
            <w:r w:rsidRPr="00E55E40">
              <w:rPr>
                <w:rFonts w:eastAsiaTheme="minorHAnsi"/>
                <w:sz w:val="18"/>
                <w:szCs w:val="18"/>
                <w:lang w:eastAsia="en-US"/>
              </w:rPr>
              <w:t>+68,6%</w:t>
            </w:r>
          </w:p>
        </w:tc>
      </w:tr>
    </w:tbl>
    <w:p w14:paraId="187EEB1C" w14:textId="77777777" w:rsidR="003F6ACE" w:rsidRPr="00E55E40" w:rsidRDefault="003F6ACE" w:rsidP="003F6ACE">
      <w:pPr>
        <w:autoSpaceDE w:val="0"/>
        <w:autoSpaceDN w:val="0"/>
        <w:adjustRightInd w:val="0"/>
        <w:jc w:val="both"/>
        <w:rPr>
          <w:rFonts w:eastAsiaTheme="minorHAnsi"/>
          <w:i/>
          <w:sz w:val="20"/>
          <w:szCs w:val="20"/>
          <w:lang w:eastAsia="en-US"/>
        </w:rPr>
      </w:pPr>
      <w:r w:rsidRPr="00E55E40">
        <w:rPr>
          <w:rFonts w:asciiTheme="minorHAnsi" w:eastAsiaTheme="minorHAnsi" w:hAnsiTheme="minorHAnsi"/>
          <w:i/>
          <w:sz w:val="20"/>
          <w:szCs w:val="20"/>
          <w:lang w:eastAsia="en-US"/>
        </w:rPr>
        <w:tab/>
      </w:r>
      <w:r w:rsidRPr="00E55E40">
        <w:rPr>
          <w:rFonts w:eastAsiaTheme="minorHAnsi"/>
          <w:i/>
          <w:sz w:val="20"/>
          <w:szCs w:val="20"/>
          <w:lang w:eastAsia="en-US"/>
        </w:rPr>
        <w:t>* размер подушевого норматива, утверждённого приказом Комитета от 15.11.2018 № 1942</w:t>
      </w:r>
    </w:p>
    <w:p w14:paraId="580E59B4" w14:textId="77777777" w:rsidR="00423245" w:rsidRPr="00E55E40" w:rsidRDefault="00423245" w:rsidP="003F6ACE">
      <w:pPr>
        <w:autoSpaceDE w:val="0"/>
        <w:autoSpaceDN w:val="0"/>
        <w:adjustRightInd w:val="0"/>
        <w:ind w:firstLine="709"/>
        <w:jc w:val="both"/>
      </w:pPr>
    </w:p>
    <w:p w14:paraId="399421A3" w14:textId="77777777" w:rsidR="003F6ACE" w:rsidRPr="00E55E40" w:rsidRDefault="003F6ACE" w:rsidP="003F6ACE">
      <w:pPr>
        <w:autoSpaceDE w:val="0"/>
        <w:autoSpaceDN w:val="0"/>
        <w:adjustRightInd w:val="0"/>
        <w:ind w:firstLine="709"/>
        <w:jc w:val="both"/>
      </w:pPr>
      <w:r w:rsidRPr="00E55E40">
        <w:t xml:space="preserve">Как видно из таблицы № </w:t>
      </w:r>
      <w:r w:rsidR="008854D0" w:rsidRPr="00E55E40">
        <w:t>9</w:t>
      </w:r>
      <w:r w:rsidR="00121349" w:rsidRPr="00E55E40">
        <w:t>,</w:t>
      </w:r>
      <w:r w:rsidRPr="00E55E40">
        <w:t xml:space="preserve"> стоимость социального обслуживания 1 гражданина в государственных учреждениях в 2019 году превышает стоимость обслуживания в АНО </w:t>
      </w:r>
      <w:r w:rsidR="00121349" w:rsidRPr="00E55E40">
        <w:t xml:space="preserve">до </w:t>
      </w:r>
      <w:r w:rsidRPr="00E55E40">
        <w:t>74,6</w:t>
      </w:r>
      <w:r w:rsidR="00121349" w:rsidRPr="00E55E40">
        <w:t>%, в среднем на 60,4 процента</w:t>
      </w:r>
      <w:r w:rsidRPr="00E55E40">
        <w:t xml:space="preserve">. </w:t>
      </w:r>
    </w:p>
    <w:p w14:paraId="02DB3C7D" w14:textId="77777777" w:rsidR="003F6ACE" w:rsidRPr="00E55E40" w:rsidRDefault="003F6ACE" w:rsidP="003F6ACE">
      <w:pPr>
        <w:autoSpaceDE w:val="0"/>
        <w:autoSpaceDN w:val="0"/>
        <w:adjustRightInd w:val="0"/>
        <w:ind w:firstLine="709"/>
        <w:jc w:val="both"/>
      </w:pPr>
      <w:r w:rsidRPr="00E55E40">
        <w:t>Всего в АНО имеется более 400 мест размещения, то есть существует потенциальная возможность размещения ещё 200 получателей социальных услуг</w:t>
      </w:r>
      <w:r w:rsidR="00121349" w:rsidRPr="00E55E40">
        <w:t xml:space="preserve"> в рамках Порядка № 35-п</w:t>
      </w:r>
      <w:r w:rsidRPr="00E55E40">
        <w:t xml:space="preserve">, </w:t>
      </w:r>
      <w:r w:rsidRPr="00E55E40">
        <w:lastRenderedPageBreak/>
        <w:t>что может привести к экономии средств областного бюджета. Экономия средств областного бюджета определена исходя из расходов средств областного бюджета на 1 получателя в АНО и в государственных учреждениях, расчет которых приведён в таблице № 1</w:t>
      </w:r>
      <w:r w:rsidR="008854D0" w:rsidRPr="00E55E40">
        <w:t>0</w:t>
      </w:r>
      <w:r w:rsidRPr="00E55E40">
        <w:t>.</w:t>
      </w:r>
    </w:p>
    <w:p w14:paraId="2FAC4BD2" w14:textId="77777777" w:rsidR="008C606D" w:rsidRPr="00E55E40" w:rsidRDefault="008C606D" w:rsidP="003F6ACE">
      <w:pPr>
        <w:autoSpaceDE w:val="0"/>
        <w:autoSpaceDN w:val="0"/>
        <w:adjustRightInd w:val="0"/>
        <w:ind w:firstLine="709"/>
        <w:jc w:val="right"/>
      </w:pPr>
    </w:p>
    <w:p w14:paraId="7FE58AE8" w14:textId="77777777" w:rsidR="003F6ACE" w:rsidRPr="00E55E40" w:rsidRDefault="003F6ACE" w:rsidP="003F6ACE">
      <w:pPr>
        <w:autoSpaceDE w:val="0"/>
        <w:autoSpaceDN w:val="0"/>
        <w:adjustRightInd w:val="0"/>
        <w:ind w:firstLine="709"/>
        <w:jc w:val="right"/>
      </w:pPr>
      <w:r w:rsidRPr="00E55E40">
        <w:t>Таблица № 1</w:t>
      </w:r>
      <w:r w:rsidR="008854D0" w:rsidRPr="00E55E40">
        <w:t>0</w:t>
      </w:r>
    </w:p>
    <w:tbl>
      <w:tblPr>
        <w:tblW w:w="9650" w:type="dxa"/>
        <w:tblInd w:w="98" w:type="dxa"/>
        <w:tblLayout w:type="fixed"/>
        <w:tblLook w:val="04A0" w:firstRow="1" w:lastRow="0" w:firstColumn="1" w:lastColumn="0" w:noHBand="0" w:noVBand="1"/>
      </w:tblPr>
      <w:tblGrid>
        <w:gridCol w:w="2137"/>
        <w:gridCol w:w="709"/>
        <w:gridCol w:w="709"/>
        <w:gridCol w:w="1559"/>
        <w:gridCol w:w="992"/>
        <w:gridCol w:w="1276"/>
        <w:gridCol w:w="1134"/>
        <w:gridCol w:w="1134"/>
      </w:tblGrid>
      <w:tr w:rsidR="003F6ACE" w:rsidRPr="00E55E40" w14:paraId="6440C921" w14:textId="77777777" w:rsidTr="00121349">
        <w:trPr>
          <w:trHeight w:val="638"/>
        </w:trPr>
        <w:tc>
          <w:tcPr>
            <w:tcW w:w="2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EF266" w14:textId="77777777" w:rsidR="003F6ACE" w:rsidRPr="00E55E40" w:rsidRDefault="003F6ACE" w:rsidP="00A57C70">
            <w:pPr>
              <w:jc w:val="center"/>
              <w:rPr>
                <w:sz w:val="16"/>
                <w:szCs w:val="16"/>
              </w:rPr>
            </w:pPr>
            <w:r w:rsidRPr="00E55E40">
              <w:rPr>
                <w:sz w:val="16"/>
                <w:szCs w:val="16"/>
              </w:rPr>
              <w:t>Учреждение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6004E" w14:textId="77777777" w:rsidR="003F6ACE" w:rsidRPr="00E55E40" w:rsidRDefault="00121349" w:rsidP="00A57C70">
            <w:pPr>
              <w:jc w:val="center"/>
              <w:rPr>
                <w:sz w:val="16"/>
                <w:szCs w:val="16"/>
              </w:rPr>
            </w:pPr>
            <w:r w:rsidRPr="00E55E40">
              <w:rPr>
                <w:sz w:val="16"/>
                <w:szCs w:val="16"/>
              </w:rPr>
              <w:t>кол-во полу-ча</w:t>
            </w:r>
            <w:r w:rsidR="003F6ACE" w:rsidRPr="00E55E40">
              <w:rPr>
                <w:sz w:val="16"/>
                <w:szCs w:val="16"/>
              </w:rPr>
              <w:t>те</w:t>
            </w:r>
            <w:r w:rsidRPr="00E55E40">
              <w:rPr>
                <w:sz w:val="16"/>
                <w:szCs w:val="16"/>
              </w:rPr>
              <w:t>-</w:t>
            </w:r>
            <w:r w:rsidR="003F6ACE" w:rsidRPr="00E55E40">
              <w:rPr>
                <w:sz w:val="16"/>
                <w:szCs w:val="16"/>
              </w:rPr>
              <w:t>лей, чел.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69498" w14:textId="77777777" w:rsidR="003F6ACE" w:rsidRPr="00E55E40" w:rsidRDefault="003F6ACE" w:rsidP="00A57C70">
            <w:pPr>
              <w:jc w:val="center"/>
              <w:rPr>
                <w:sz w:val="16"/>
                <w:szCs w:val="16"/>
              </w:rPr>
            </w:pPr>
            <w:r w:rsidRPr="00E55E40">
              <w:rPr>
                <w:sz w:val="16"/>
                <w:szCs w:val="16"/>
              </w:rPr>
              <w:t>поду-шевой норма</w:t>
            </w:r>
            <w:r w:rsidR="00121349" w:rsidRPr="00E55E40">
              <w:rPr>
                <w:sz w:val="16"/>
                <w:szCs w:val="16"/>
              </w:rPr>
              <w:t>-</w:t>
            </w:r>
            <w:r w:rsidRPr="00E55E40">
              <w:rPr>
                <w:sz w:val="16"/>
                <w:szCs w:val="16"/>
              </w:rPr>
              <w:t>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F4031" w14:textId="77777777" w:rsidR="003F6ACE" w:rsidRPr="00E55E40" w:rsidRDefault="003F6ACE" w:rsidP="00A57C70">
            <w:pPr>
              <w:jc w:val="center"/>
              <w:rPr>
                <w:sz w:val="16"/>
                <w:szCs w:val="16"/>
              </w:rPr>
            </w:pPr>
            <w:r w:rsidRPr="00E55E40">
              <w:rPr>
                <w:sz w:val="16"/>
                <w:szCs w:val="16"/>
              </w:rPr>
              <w:t>сумма расходов на социальное обслуживание 200 получателей в АНО</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13E81BF" w14:textId="77777777" w:rsidR="003F6ACE" w:rsidRPr="00E55E40" w:rsidRDefault="003F6ACE" w:rsidP="00A57C70">
            <w:pPr>
              <w:jc w:val="center"/>
              <w:rPr>
                <w:sz w:val="16"/>
                <w:szCs w:val="16"/>
              </w:rPr>
            </w:pPr>
            <w:r w:rsidRPr="00E55E40">
              <w:rPr>
                <w:sz w:val="16"/>
                <w:szCs w:val="16"/>
              </w:rPr>
              <w:t>среднегодовой объём доходов от предоставления соцуслуг за плату в АНО</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6047672" w14:textId="77777777" w:rsidR="003F6ACE" w:rsidRPr="00E55E40" w:rsidRDefault="003F6ACE" w:rsidP="00A57C70">
            <w:pPr>
              <w:jc w:val="center"/>
              <w:rPr>
                <w:sz w:val="16"/>
                <w:szCs w:val="16"/>
              </w:rPr>
            </w:pPr>
            <w:r w:rsidRPr="00E55E40">
              <w:rPr>
                <w:sz w:val="16"/>
                <w:szCs w:val="16"/>
              </w:rPr>
              <w:t>сумма субсидии на 2019 год</w:t>
            </w:r>
            <w:r w:rsidR="00121349" w:rsidRPr="00E55E40">
              <w:rPr>
                <w:sz w:val="16"/>
                <w:szCs w:val="16"/>
              </w:rPr>
              <w:t xml:space="preserve"> согласно соглашению</w:t>
            </w:r>
          </w:p>
        </w:tc>
      </w:tr>
      <w:tr w:rsidR="003F6ACE" w:rsidRPr="00E55E40" w14:paraId="263F878C" w14:textId="77777777" w:rsidTr="00121349">
        <w:trPr>
          <w:trHeight w:val="392"/>
        </w:trPr>
        <w:tc>
          <w:tcPr>
            <w:tcW w:w="2137" w:type="dxa"/>
            <w:vMerge/>
            <w:tcBorders>
              <w:top w:val="single" w:sz="4" w:space="0" w:color="auto"/>
              <w:left w:val="single" w:sz="4" w:space="0" w:color="auto"/>
              <w:bottom w:val="single" w:sz="4" w:space="0" w:color="auto"/>
              <w:right w:val="single" w:sz="4" w:space="0" w:color="auto"/>
            </w:tcBorders>
            <w:vAlign w:val="center"/>
            <w:hideMark/>
          </w:tcPr>
          <w:p w14:paraId="2470EF66" w14:textId="77777777" w:rsidR="003F6ACE" w:rsidRPr="00E55E40" w:rsidRDefault="003F6ACE" w:rsidP="00A57C70">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B9CF1ED" w14:textId="77777777" w:rsidR="003F6ACE" w:rsidRPr="00E55E40" w:rsidRDefault="003F6ACE" w:rsidP="00A57C70">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F9CAB7" w14:textId="77777777" w:rsidR="003F6ACE" w:rsidRPr="00E55E40" w:rsidRDefault="003F6ACE" w:rsidP="00A57C70">
            <w:pPr>
              <w:jc w:val="cente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E2C277" w14:textId="77777777" w:rsidR="003F6ACE" w:rsidRPr="00E55E40" w:rsidRDefault="003F6ACE" w:rsidP="00A57C70">
            <w:pPr>
              <w:jc w:val="cente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94B5654" w14:textId="77777777" w:rsidR="003F6ACE" w:rsidRPr="00E55E40" w:rsidRDefault="003F6ACE" w:rsidP="00A57C70">
            <w:pPr>
              <w:jc w:val="center"/>
              <w:rPr>
                <w:sz w:val="16"/>
                <w:szCs w:val="16"/>
              </w:rPr>
            </w:pPr>
            <w:r w:rsidRPr="00E55E40">
              <w:rPr>
                <w:sz w:val="16"/>
                <w:szCs w:val="16"/>
              </w:rPr>
              <w:t>на 1 получателя</w:t>
            </w:r>
          </w:p>
        </w:tc>
        <w:tc>
          <w:tcPr>
            <w:tcW w:w="1276" w:type="dxa"/>
            <w:tcBorders>
              <w:top w:val="nil"/>
              <w:left w:val="nil"/>
              <w:bottom w:val="single" w:sz="4" w:space="0" w:color="auto"/>
              <w:right w:val="single" w:sz="4" w:space="0" w:color="auto"/>
            </w:tcBorders>
            <w:shd w:val="clear" w:color="auto" w:fill="auto"/>
            <w:vAlign w:val="center"/>
            <w:hideMark/>
          </w:tcPr>
          <w:p w14:paraId="1A3B9B2D" w14:textId="77777777" w:rsidR="003F6ACE" w:rsidRPr="00E55E40" w:rsidRDefault="003F6ACE" w:rsidP="00A57C70">
            <w:pPr>
              <w:jc w:val="center"/>
              <w:rPr>
                <w:sz w:val="16"/>
                <w:szCs w:val="16"/>
              </w:rPr>
            </w:pPr>
            <w:r w:rsidRPr="00E55E40">
              <w:rPr>
                <w:sz w:val="16"/>
                <w:szCs w:val="16"/>
              </w:rPr>
              <w:t>на 200 получателей</w:t>
            </w:r>
          </w:p>
        </w:tc>
        <w:tc>
          <w:tcPr>
            <w:tcW w:w="1134" w:type="dxa"/>
            <w:tcBorders>
              <w:top w:val="nil"/>
              <w:left w:val="nil"/>
              <w:bottom w:val="single" w:sz="4" w:space="0" w:color="auto"/>
              <w:right w:val="single" w:sz="4" w:space="0" w:color="auto"/>
            </w:tcBorders>
            <w:shd w:val="clear" w:color="auto" w:fill="auto"/>
            <w:vAlign w:val="center"/>
            <w:hideMark/>
          </w:tcPr>
          <w:p w14:paraId="7BBCCBD6" w14:textId="77777777" w:rsidR="003F6ACE" w:rsidRPr="00E55E40" w:rsidRDefault="003F6ACE" w:rsidP="00A57C70">
            <w:pPr>
              <w:jc w:val="center"/>
              <w:rPr>
                <w:sz w:val="16"/>
                <w:szCs w:val="16"/>
              </w:rPr>
            </w:pPr>
            <w:r w:rsidRPr="00E55E40">
              <w:rPr>
                <w:sz w:val="16"/>
                <w:szCs w:val="16"/>
              </w:rPr>
              <w:t>на 200 получателей</w:t>
            </w:r>
          </w:p>
        </w:tc>
        <w:tc>
          <w:tcPr>
            <w:tcW w:w="1134" w:type="dxa"/>
            <w:tcBorders>
              <w:top w:val="nil"/>
              <w:left w:val="nil"/>
              <w:bottom w:val="single" w:sz="4" w:space="0" w:color="auto"/>
              <w:right w:val="single" w:sz="4" w:space="0" w:color="auto"/>
            </w:tcBorders>
            <w:shd w:val="clear" w:color="auto" w:fill="auto"/>
            <w:vAlign w:val="center"/>
            <w:hideMark/>
          </w:tcPr>
          <w:p w14:paraId="14E4BD51" w14:textId="77777777" w:rsidR="003F6ACE" w:rsidRPr="00E55E40" w:rsidRDefault="003F6ACE" w:rsidP="00A57C70">
            <w:pPr>
              <w:jc w:val="center"/>
              <w:rPr>
                <w:sz w:val="16"/>
                <w:szCs w:val="16"/>
              </w:rPr>
            </w:pPr>
            <w:r w:rsidRPr="00E55E40">
              <w:rPr>
                <w:sz w:val="16"/>
                <w:szCs w:val="16"/>
              </w:rPr>
              <w:t>на 1 получателя</w:t>
            </w:r>
          </w:p>
        </w:tc>
      </w:tr>
      <w:tr w:rsidR="003F6ACE" w:rsidRPr="00E55E40" w14:paraId="2EE62944" w14:textId="77777777" w:rsidTr="00121349">
        <w:trPr>
          <w:trHeight w:val="229"/>
        </w:trPr>
        <w:tc>
          <w:tcPr>
            <w:tcW w:w="2137" w:type="dxa"/>
            <w:tcBorders>
              <w:top w:val="nil"/>
              <w:left w:val="single" w:sz="4" w:space="0" w:color="auto"/>
              <w:bottom w:val="single" w:sz="4" w:space="0" w:color="auto"/>
              <w:right w:val="single" w:sz="4" w:space="0" w:color="auto"/>
            </w:tcBorders>
            <w:shd w:val="clear" w:color="auto" w:fill="auto"/>
            <w:vAlign w:val="bottom"/>
            <w:hideMark/>
          </w:tcPr>
          <w:p w14:paraId="6E3FC565" w14:textId="77777777" w:rsidR="003F6ACE" w:rsidRPr="00E55E40" w:rsidRDefault="003F6ACE" w:rsidP="00A57C70">
            <w:pPr>
              <w:jc w:val="center"/>
              <w:rPr>
                <w:bCs/>
                <w:i/>
                <w:sz w:val="16"/>
                <w:szCs w:val="16"/>
              </w:rPr>
            </w:pPr>
            <w:r w:rsidRPr="00E55E40">
              <w:rPr>
                <w:bCs/>
                <w:i/>
                <w:sz w:val="16"/>
                <w:szCs w:val="16"/>
              </w:rPr>
              <w:t>1</w:t>
            </w:r>
          </w:p>
        </w:tc>
        <w:tc>
          <w:tcPr>
            <w:tcW w:w="709" w:type="dxa"/>
            <w:tcBorders>
              <w:top w:val="nil"/>
              <w:left w:val="nil"/>
              <w:bottom w:val="single" w:sz="4" w:space="0" w:color="auto"/>
              <w:right w:val="single" w:sz="4" w:space="0" w:color="auto"/>
            </w:tcBorders>
            <w:shd w:val="clear" w:color="auto" w:fill="auto"/>
            <w:vAlign w:val="bottom"/>
            <w:hideMark/>
          </w:tcPr>
          <w:p w14:paraId="1F84B518" w14:textId="77777777" w:rsidR="003F6ACE" w:rsidRPr="00E55E40" w:rsidRDefault="003F6ACE" w:rsidP="00A57C70">
            <w:pPr>
              <w:jc w:val="center"/>
              <w:rPr>
                <w:bCs/>
                <w:i/>
                <w:sz w:val="16"/>
                <w:szCs w:val="16"/>
              </w:rPr>
            </w:pPr>
            <w:r w:rsidRPr="00E55E40">
              <w:rPr>
                <w:bCs/>
                <w:i/>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14:paraId="412427DF" w14:textId="77777777" w:rsidR="003F6ACE" w:rsidRPr="00E55E40" w:rsidRDefault="003F6ACE" w:rsidP="00A57C70">
            <w:pPr>
              <w:jc w:val="center"/>
              <w:rPr>
                <w:bCs/>
                <w:i/>
                <w:sz w:val="16"/>
                <w:szCs w:val="16"/>
              </w:rPr>
            </w:pPr>
            <w:r w:rsidRPr="00E55E40">
              <w:rPr>
                <w:bCs/>
                <w:i/>
                <w:sz w:val="16"/>
                <w:szCs w:val="16"/>
              </w:rPr>
              <w:t>3</w:t>
            </w:r>
          </w:p>
        </w:tc>
        <w:tc>
          <w:tcPr>
            <w:tcW w:w="1559" w:type="dxa"/>
            <w:tcBorders>
              <w:top w:val="nil"/>
              <w:left w:val="nil"/>
              <w:bottom w:val="single" w:sz="4" w:space="0" w:color="auto"/>
              <w:right w:val="single" w:sz="4" w:space="0" w:color="auto"/>
            </w:tcBorders>
            <w:shd w:val="clear" w:color="auto" w:fill="auto"/>
            <w:vAlign w:val="bottom"/>
            <w:hideMark/>
          </w:tcPr>
          <w:p w14:paraId="231A5ACC" w14:textId="77777777" w:rsidR="003F6ACE" w:rsidRPr="00E55E40" w:rsidRDefault="003F6ACE" w:rsidP="00A57C70">
            <w:pPr>
              <w:jc w:val="center"/>
              <w:rPr>
                <w:bCs/>
                <w:i/>
                <w:sz w:val="16"/>
                <w:szCs w:val="16"/>
              </w:rPr>
            </w:pPr>
            <w:r w:rsidRPr="00E55E40">
              <w:rPr>
                <w:bCs/>
                <w:i/>
                <w:sz w:val="16"/>
                <w:szCs w:val="16"/>
              </w:rPr>
              <w:t>4 (гр.2*гр.3)</w:t>
            </w:r>
          </w:p>
        </w:tc>
        <w:tc>
          <w:tcPr>
            <w:tcW w:w="992" w:type="dxa"/>
            <w:tcBorders>
              <w:top w:val="nil"/>
              <w:left w:val="nil"/>
              <w:bottom w:val="single" w:sz="4" w:space="0" w:color="auto"/>
              <w:right w:val="single" w:sz="4" w:space="0" w:color="auto"/>
            </w:tcBorders>
            <w:shd w:val="clear" w:color="auto" w:fill="auto"/>
            <w:vAlign w:val="bottom"/>
            <w:hideMark/>
          </w:tcPr>
          <w:p w14:paraId="451A1435" w14:textId="77777777" w:rsidR="003F6ACE" w:rsidRPr="00E55E40" w:rsidRDefault="003F6ACE" w:rsidP="00A57C70">
            <w:pPr>
              <w:jc w:val="center"/>
              <w:rPr>
                <w:bCs/>
                <w:i/>
                <w:sz w:val="16"/>
                <w:szCs w:val="16"/>
              </w:rPr>
            </w:pPr>
            <w:r w:rsidRPr="00E55E40">
              <w:rPr>
                <w:bCs/>
                <w:i/>
                <w:sz w:val="16"/>
                <w:szCs w:val="16"/>
              </w:rPr>
              <w:t>5</w:t>
            </w:r>
          </w:p>
        </w:tc>
        <w:tc>
          <w:tcPr>
            <w:tcW w:w="1276" w:type="dxa"/>
            <w:tcBorders>
              <w:top w:val="nil"/>
              <w:left w:val="nil"/>
              <w:bottom w:val="single" w:sz="4" w:space="0" w:color="auto"/>
              <w:right w:val="single" w:sz="4" w:space="0" w:color="auto"/>
            </w:tcBorders>
            <w:shd w:val="clear" w:color="auto" w:fill="auto"/>
            <w:vAlign w:val="bottom"/>
            <w:hideMark/>
          </w:tcPr>
          <w:p w14:paraId="148615C4" w14:textId="77777777" w:rsidR="003F6ACE" w:rsidRPr="00E55E40" w:rsidRDefault="003F6ACE" w:rsidP="00A57C70">
            <w:pPr>
              <w:jc w:val="center"/>
              <w:rPr>
                <w:bCs/>
                <w:i/>
                <w:sz w:val="16"/>
                <w:szCs w:val="16"/>
              </w:rPr>
            </w:pPr>
            <w:r w:rsidRPr="00E55E40">
              <w:rPr>
                <w:bCs/>
                <w:i/>
                <w:sz w:val="16"/>
                <w:szCs w:val="16"/>
              </w:rPr>
              <w:t>6 (гр.4*гр.2)</w:t>
            </w:r>
          </w:p>
        </w:tc>
        <w:tc>
          <w:tcPr>
            <w:tcW w:w="1134" w:type="dxa"/>
            <w:tcBorders>
              <w:top w:val="nil"/>
              <w:left w:val="nil"/>
              <w:bottom w:val="single" w:sz="4" w:space="0" w:color="auto"/>
              <w:right w:val="single" w:sz="4" w:space="0" w:color="auto"/>
            </w:tcBorders>
            <w:shd w:val="clear" w:color="auto" w:fill="auto"/>
            <w:vAlign w:val="bottom"/>
            <w:hideMark/>
          </w:tcPr>
          <w:p w14:paraId="76FDB1E1" w14:textId="77777777" w:rsidR="003F6ACE" w:rsidRPr="00E55E40" w:rsidRDefault="003F6ACE" w:rsidP="00A57C70">
            <w:pPr>
              <w:jc w:val="center"/>
              <w:rPr>
                <w:bCs/>
                <w:i/>
                <w:sz w:val="16"/>
                <w:szCs w:val="16"/>
              </w:rPr>
            </w:pPr>
            <w:r w:rsidRPr="00E55E40">
              <w:rPr>
                <w:bCs/>
                <w:i/>
                <w:sz w:val="16"/>
                <w:szCs w:val="16"/>
              </w:rPr>
              <w:t>7 (гр.4-гр.5)</w:t>
            </w:r>
          </w:p>
        </w:tc>
        <w:tc>
          <w:tcPr>
            <w:tcW w:w="1134" w:type="dxa"/>
            <w:tcBorders>
              <w:top w:val="nil"/>
              <w:left w:val="nil"/>
              <w:bottom w:val="single" w:sz="4" w:space="0" w:color="auto"/>
              <w:right w:val="single" w:sz="4" w:space="0" w:color="auto"/>
            </w:tcBorders>
            <w:shd w:val="clear" w:color="auto" w:fill="auto"/>
            <w:vAlign w:val="bottom"/>
            <w:hideMark/>
          </w:tcPr>
          <w:p w14:paraId="7D9DEEFC" w14:textId="77777777" w:rsidR="003F6ACE" w:rsidRPr="00E55E40" w:rsidRDefault="003F6ACE" w:rsidP="00A57C70">
            <w:pPr>
              <w:jc w:val="center"/>
              <w:rPr>
                <w:bCs/>
                <w:i/>
                <w:sz w:val="16"/>
                <w:szCs w:val="16"/>
              </w:rPr>
            </w:pPr>
            <w:r w:rsidRPr="00E55E40">
              <w:rPr>
                <w:bCs/>
                <w:i/>
                <w:sz w:val="16"/>
                <w:szCs w:val="16"/>
              </w:rPr>
              <w:t>8 (гр.6/гр.2)</w:t>
            </w:r>
          </w:p>
        </w:tc>
      </w:tr>
      <w:tr w:rsidR="003F6ACE" w:rsidRPr="00E55E40" w14:paraId="1CD804D7" w14:textId="77777777" w:rsidTr="00121349">
        <w:trPr>
          <w:trHeight w:val="120"/>
        </w:trPr>
        <w:tc>
          <w:tcPr>
            <w:tcW w:w="2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9E8F3" w14:textId="77777777" w:rsidR="003F6ACE" w:rsidRPr="00E55E40" w:rsidRDefault="003F6ACE" w:rsidP="00A57C70">
            <w:pPr>
              <w:rPr>
                <w:b/>
                <w:sz w:val="18"/>
                <w:szCs w:val="18"/>
              </w:rPr>
            </w:pPr>
            <w:r w:rsidRPr="00E55E40">
              <w:rPr>
                <w:b/>
                <w:sz w:val="18"/>
                <w:szCs w:val="18"/>
              </w:rPr>
              <w:t>АНО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A848D" w14:textId="77777777" w:rsidR="003F6ACE" w:rsidRPr="00E55E40" w:rsidRDefault="003F6ACE" w:rsidP="00A57C70">
            <w:pPr>
              <w:jc w:val="center"/>
              <w:rPr>
                <w:b/>
                <w:sz w:val="18"/>
                <w:szCs w:val="18"/>
              </w:rPr>
            </w:pPr>
            <w:r w:rsidRPr="00E55E40">
              <w:rPr>
                <w:b/>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BD9A2" w14:textId="77777777" w:rsidR="003F6ACE" w:rsidRPr="00E55E40" w:rsidRDefault="003F6ACE" w:rsidP="00A57C70">
            <w:pPr>
              <w:jc w:val="center"/>
              <w:rPr>
                <w:b/>
                <w:sz w:val="18"/>
                <w:szCs w:val="18"/>
              </w:rPr>
            </w:pPr>
            <w:r w:rsidRPr="00E55E40">
              <w:rPr>
                <w:b/>
                <w:sz w:val="18"/>
                <w:szCs w:val="18"/>
              </w:rPr>
              <w:t>284,8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8EF78" w14:textId="77777777" w:rsidR="003F6ACE" w:rsidRPr="00E55E40" w:rsidRDefault="003F6ACE" w:rsidP="00A57C70">
            <w:pPr>
              <w:jc w:val="center"/>
              <w:rPr>
                <w:b/>
                <w:sz w:val="18"/>
                <w:szCs w:val="18"/>
              </w:rPr>
            </w:pPr>
            <w:r w:rsidRPr="00E55E40">
              <w:rPr>
                <w:b/>
                <w:sz w:val="18"/>
                <w:szCs w:val="18"/>
              </w:rPr>
              <w:t>56 960,0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7C3B5" w14:textId="77777777" w:rsidR="003F6ACE" w:rsidRPr="00E55E40" w:rsidRDefault="003F6ACE" w:rsidP="00A57C70">
            <w:pPr>
              <w:jc w:val="center"/>
              <w:rPr>
                <w:b/>
                <w:sz w:val="18"/>
                <w:szCs w:val="18"/>
              </w:rPr>
            </w:pPr>
            <w:r w:rsidRPr="00E55E40">
              <w:rPr>
                <w:b/>
                <w:sz w:val="18"/>
                <w:szCs w:val="18"/>
              </w:rPr>
              <w:t>112,4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8BCCFF" w14:textId="77777777" w:rsidR="003F6ACE" w:rsidRPr="00E55E40" w:rsidRDefault="003F6ACE" w:rsidP="00A57C70">
            <w:pPr>
              <w:jc w:val="center"/>
              <w:rPr>
                <w:b/>
                <w:sz w:val="18"/>
                <w:szCs w:val="18"/>
              </w:rPr>
            </w:pPr>
            <w:r w:rsidRPr="00E55E40">
              <w:rPr>
                <w:b/>
                <w:sz w:val="18"/>
                <w:szCs w:val="18"/>
              </w:rPr>
              <w:t>22 480,0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442F19" w14:textId="77777777" w:rsidR="003F6ACE" w:rsidRPr="00E55E40" w:rsidRDefault="003F6ACE" w:rsidP="00A57C70">
            <w:pPr>
              <w:jc w:val="center"/>
              <w:rPr>
                <w:b/>
                <w:sz w:val="18"/>
                <w:szCs w:val="18"/>
              </w:rPr>
            </w:pPr>
            <w:r w:rsidRPr="00E55E40">
              <w:rPr>
                <w:b/>
                <w:sz w:val="18"/>
                <w:szCs w:val="18"/>
              </w:rPr>
              <w:t>34 480,0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FB177" w14:textId="77777777" w:rsidR="003F6ACE" w:rsidRPr="00E55E40" w:rsidRDefault="003F6ACE" w:rsidP="00A57C70">
            <w:pPr>
              <w:jc w:val="center"/>
              <w:rPr>
                <w:b/>
                <w:sz w:val="18"/>
                <w:szCs w:val="18"/>
              </w:rPr>
            </w:pPr>
            <w:r w:rsidRPr="00E55E40">
              <w:rPr>
                <w:b/>
                <w:sz w:val="18"/>
                <w:szCs w:val="18"/>
              </w:rPr>
              <w:t>172,4</w:t>
            </w:r>
          </w:p>
        </w:tc>
      </w:tr>
      <w:tr w:rsidR="00121349" w:rsidRPr="00E55E40" w14:paraId="48F98D16" w14:textId="77777777" w:rsidTr="00121349">
        <w:trPr>
          <w:trHeight w:val="50"/>
        </w:trPr>
        <w:tc>
          <w:tcPr>
            <w:tcW w:w="2137" w:type="dxa"/>
            <w:tcBorders>
              <w:top w:val="nil"/>
              <w:left w:val="single" w:sz="4" w:space="0" w:color="auto"/>
              <w:bottom w:val="single" w:sz="4" w:space="0" w:color="auto"/>
              <w:right w:val="single" w:sz="4" w:space="0" w:color="auto"/>
            </w:tcBorders>
            <w:shd w:val="clear" w:color="auto" w:fill="auto"/>
            <w:vAlign w:val="bottom"/>
            <w:hideMark/>
          </w:tcPr>
          <w:p w14:paraId="263E6115" w14:textId="77777777" w:rsidR="00121349" w:rsidRPr="00E55E40" w:rsidRDefault="00121349" w:rsidP="009C2A29">
            <w:pPr>
              <w:rPr>
                <w:b/>
                <w:sz w:val="18"/>
                <w:szCs w:val="18"/>
              </w:rPr>
            </w:pPr>
            <w:r w:rsidRPr="00E55E40">
              <w:rPr>
                <w:b/>
                <w:sz w:val="18"/>
                <w:szCs w:val="18"/>
              </w:rPr>
              <w:t>средняя по ДПИ</w:t>
            </w:r>
            <w:r w:rsidR="00F565FD" w:rsidRPr="00E55E40">
              <w:rPr>
                <w:b/>
                <w:sz w:val="18"/>
                <w:szCs w:val="18"/>
              </w:rPr>
              <w:t>, в т.ч.:</w:t>
            </w:r>
          </w:p>
        </w:tc>
        <w:tc>
          <w:tcPr>
            <w:tcW w:w="709" w:type="dxa"/>
            <w:tcBorders>
              <w:top w:val="nil"/>
              <w:left w:val="nil"/>
              <w:bottom w:val="single" w:sz="4" w:space="0" w:color="auto"/>
              <w:right w:val="single" w:sz="4" w:space="0" w:color="auto"/>
            </w:tcBorders>
            <w:shd w:val="clear" w:color="auto" w:fill="auto"/>
            <w:vAlign w:val="bottom"/>
            <w:hideMark/>
          </w:tcPr>
          <w:p w14:paraId="421F2637" w14:textId="77777777" w:rsidR="00121349" w:rsidRPr="00E55E40" w:rsidRDefault="00121349" w:rsidP="009C2A29">
            <w:pPr>
              <w:jc w:val="center"/>
              <w:rPr>
                <w:b/>
                <w:sz w:val="18"/>
                <w:szCs w:val="18"/>
              </w:rPr>
            </w:pPr>
            <w:r w:rsidRPr="00E55E40">
              <w:rPr>
                <w:b/>
                <w:sz w:val="18"/>
                <w:szCs w:val="18"/>
              </w:rPr>
              <w:t>245</w:t>
            </w:r>
          </w:p>
        </w:tc>
        <w:tc>
          <w:tcPr>
            <w:tcW w:w="709" w:type="dxa"/>
            <w:tcBorders>
              <w:top w:val="nil"/>
              <w:left w:val="nil"/>
              <w:bottom w:val="single" w:sz="4" w:space="0" w:color="auto"/>
              <w:right w:val="single" w:sz="4" w:space="0" w:color="auto"/>
            </w:tcBorders>
            <w:shd w:val="clear" w:color="auto" w:fill="auto"/>
            <w:vAlign w:val="bottom"/>
            <w:hideMark/>
          </w:tcPr>
          <w:p w14:paraId="4009DFAD" w14:textId="77777777" w:rsidR="00121349" w:rsidRPr="00E55E40" w:rsidRDefault="00121349" w:rsidP="009C2A29">
            <w:pPr>
              <w:jc w:val="center"/>
              <w:rPr>
                <w:b/>
                <w:sz w:val="18"/>
                <w:szCs w:val="18"/>
              </w:rPr>
            </w:pPr>
            <w:r w:rsidRPr="00E55E40">
              <w:rPr>
                <w:b/>
                <w:sz w:val="18"/>
                <w:szCs w:val="18"/>
              </w:rPr>
              <w:t>-</w:t>
            </w:r>
          </w:p>
        </w:tc>
        <w:tc>
          <w:tcPr>
            <w:tcW w:w="1559" w:type="dxa"/>
            <w:tcBorders>
              <w:top w:val="nil"/>
              <w:left w:val="nil"/>
              <w:bottom w:val="single" w:sz="4" w:space="0" w:color="auto"/>
              <w:right w:val="single" w:sz="4" w:space="0" w:color="auto"/>
            </w:tcBorders>
            <w:shd w:val="clear" w:color="auto" w:fill="auto"/>
            <w:vAlign w:val="bottom"/>
            <w:hideMark/>
          </w:tcPr>
          <w:p w14:paraId="55D6C591" w14:textId="77777777" w:rsidR="00121349" w:rsidRPr="00E55E40" w:rsidRDefault="00121349" w:rsidP="009C2A29">
            <w:pPr>
              <w:jc w:val="center"/>
              <w:rPr>
                <w:b/>
                <w:sz w:val="18"/>
                <w:szCs w:val="18"/>
              </w:rPr>
            </w:pPr>
            <w:r w:rsidRPr="00E55E40">
              <w:rPr>
                <w:b/>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14:paraId="2B661DB9" w14:textId="77777777" w:rsidR="00121349" w:rsidRPr="00E55E40" w:rsidRDefault="00121349" w:rsidP="009C2A29">
            <w:pPr>
              <w:jc w:val="center"/>
              <w:rPr>
                <w:b/>
                <w:sz w:val="18"/>
                <w:szCs w:val="18"/>
              </w:rPr>
            </w:pPr>
            <w:r w:rsidRPr="00E55E40">
              <w:rPr>
                <w:b/>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14:paraId="078F1814" w14:textId="77777777" w:rsidR="00121349" w:rsidRPr="00E55E40" w:rsidRDefault="00121349" w:rsidP="009C2A29">
            <w:pPr>
              <w:jc w:val="center"/>
              <w:rPr>
                <w:b/>
                <w:sz w:val="18"/>
                <w:szCs w:val="18"/>
              </w:rPr>
            </w:pPr>
            <w:r w:rsidRPr="00E55E40">
              <w:rPr>
                <w:b/>
                <w:sz w:val="18"/>
                <w:szCs w:val="18"/>
              </w:rPr>
              <w:t>-</w:t>
            </w:r>
          </w:p>
        </w:tc>
        <w:tc>
          <w:tcPr>
            <w:tcW w:w="1134" w:type="dxa"/>
            <w:tcBorders>
              <w:top w:val="nil"/>
              <w:left w:val="nil"/>
              <w:bottom w:val="single" w:sz="4" w:space="0" w:color="auto"/>
              <w:right w:val="single" w:sz="4" w:space="0" w:color="auto"/>
            </w:tcBorders>
            <w:shd w:val="clear" w:color="auto" w:fill="auto"/>
            <w:vAlign w:val="bottom"/>
            <w:hideMark/>
          </w:tcPr>
          <w:p w14:paraId="179B70E3" w14:textId="77777777" w:rsidR="00121349" w:rsidRPr="00E55E40" w:rsidRDefault="00121349" w:rsidP="009C2A29">
            <w:pPr>
              <w:jc w:val="center"/>
              <w:rPr>
                <w:b/>
                <w:sz w:val="18"/>
                <w:szCs w:val="18"/>
              </w:rPr>
            </w:pPr>
            <w:r w:rsidRPr="00E55E40">
              <w:rPr>
                <w:b/>
                <w:sz w:val="18"/>
                <w:szCs w:val="18"/>
              </w:rPr>
              <w:t>84 291,2</w:t>
            </w:r>
          </w:p>
        </w:tc>
        <w:tc>
          <w:tcPr>
            <w:tcW w:w="1134" w:type="dxa"/>
            <w:tcBorders>
              <w:top w:val="nil"/>
              <w:left w:val="nil"/>
              <w:bottom w:val="single" w:sz="4" w:space="0" w:color="auto"/>
              <w:right w:val="single" w:sz="4" w:space="0" w:color="auto"/>
            </w:tcBorders>
            <w:shd w:val="clear" w:color="auto" w:fill="auto"/>
            <w:vAlign w:val="bottom"/>
            <w:hideMark/>
          </w:tcPr>
          <w:p w14:paraId="41468217" w14:textId="77777777" w:rsidR="00121349" w:rsidRPr="00E55E40" w:rsidRDefault="00121349" w:rsidP="009C2A29">
            <w:pPr>
              <w:jc w:val="center"/>
              <w:rPr>
                <w:b/>
                <w:sz w:val="18"/>
                <w:szCs w:val="18"/>
              </w:rPr>
            </w:pPr>
            <w:r w:rsidRPr="00E55E40">
              <w:rPr>
                <w:b/>
                <w:sz w:val="18"/>
                <w:szCs w:val="18"/>
              </w:rPr>
              <w:t>344,0</w:t>
            </w:r>
          </w:p>
        </w:tc>
      </w:tr>
      <w:tr w:rsidR="003F6ACE" w:rsidRPr="00E55E40" w14:paraId="664606E7" w14:textId="77777777" w:rsidTr="00121349">
        <w:trPr>
          <w:trHeight w:val="151"/>
        </w:trPr>
        <w:tc>
          <w:tcPr>
            <w:tcW w:w="2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671F1" w14:textId="77777777" w:rsidR="003F6ACE" w:rsidRPr="00E55E40" w:rsidRDefault="00121349" w:rsidP="00A57C70">
            <w:pPr>
              <w:rPr>
                <w:sz w:val="18"/>
                <w:szCs w:val="18"/>
              </w:rPr>
            </w:pPr>
            <w:r w:rsidRPr="00E55E40">
              <w:rPr>
                <w:sz w:val="18"/>
                <w:szCs w:val="18"/>
              </w:rPr>
              <w:t>- </w:t>
            </w:r>
            <w:r w:rsidR="003F6ACE" w:rsidRPr="00E55E40">
              <w:rPr>
                <w:sz w:val="18"/>
                <w:szCs w:val="18"/>
              </w:rPr>
              <w:t>Абганеровский ДПИ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46DE213" w14:textId="77777777" w:rsidR="003F6ACE" w:rsidRPr="00E55E40" w:rsidRDefault="003F6ACE" w:rsidP="00A57C70">
            <w:pPr>
              <w:jc w:val="center"/>
              <w:rPr>
                <w:sz w:val="18"/>
                <w:szCs w:val="18"/>
              </w:rPr>
            </w:pPr>
            <w:r w:rsidRPr="00E55E40">
              <w:rPr>
                <w:sz w:val="18"/>
                <w:szCs w:val="18"/>
              </w:rPr>
              <w:t>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686BD3B" w14:textId="77777777" w:rsidR="003F6ACE" w:rsidRPr="00E55E40" w:rsidRDefault="003F6ACE" w:rsidP="00A57C70">
            <w:pPr>
              <w:jc w:val="center"/>
              <w:rPr>
                <w:sz w:val="18"/>
                <w:szCs w:val="18"/>
              </w:rPr>
            </w:pPr>
            <w:r w:rsidRPr="00E55E40">
              <w:rPr>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A166178" w14:textId="77777777" w:rsidR="003F6ACE" w:rsidRPr="00E55E40" w:rsidRDefault="003F6ACE" w:rsidP="00A57C70">
            <w:pPr>
              <w:jc w:val="center"/>
              <w:rPr>
                <w:sz w:val="18"/>
                <w:szCs w:val="18"/>
              </w:rPr>
            </w:pPr>
            <w:r w:rsidRPr="00E55E40">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7A5F4B0" w14:textId="77777777" w:rsidR="003F6ACE" w:rsidRPr="00E55E40" w:rsidRDefault="003F6ACE" w:rsidP="00A57C70">
            <w:pPr>
              <w:jc w:val="center"/>
              <w:rPr>
                <w:sz w:val="18"/>
                <w:szCs w:val="18"/>
              </w:rPr>
            </w:pPr>
            <w:r w:rsidRPr="00E55E40">
              <w:rPr>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4A8D156" w14:textId="77777777" w:rsidR="003F6ACE" w:rsidRPr="00E55E40" w:rsidRDefault="003F6ACE" w:rsidP="00A57C70">
            <w:pPr>
              <w:jc w:val="center"/>
              <w:rPr>
                <w:sz w:val="18"/>
                <w:szCs w:val="18"/>
              </w:rPr>
            </w:pPr>
            <w:r w:rsidRPr="00E55E40">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B73C26E" w14:textId="77777777" w:rsidR="003F6ACE" w:rsidRPr="00E55E40" w:rsidRDefault="003F6ACE" w:rsidP="00A57C70">
            <w:pPr>
              <w:jc w:val="center"/>
              <w:rPr>
                <w:sz w:val="18"/>
                <w:szCs w:val="18"/>
              </w:rPr>
            </w:pPr>
            <w:r w:rsidRPr="00E55E40">
              <w:rPr>
                <w:sz w:val="18"/>
                <w:szCs w:val="18"/>
              </w:rPr>
              <w:t>29 567,2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2F6EF45" w14:textId="77777777" w:rsidR="003F6ACE" w:rsidRPr="00E55E40" w:rsidRDefault="003F6ACE" w:rsidP="00A57C70">
            <w:pPr>
              <w:jc w:val="center"/>
              <w:rPr>
                <w:sz w:val="18"/>
                <w:szCs w:val="18"/>
              </w:rPr>
            </w:pPr>
            <w:r w:rsidRPr="00E55E40">
              <w:rPr>
                <w:sz w:val="18"/>
                <w:szCs w:val="18"/>
              </w:rPr>
              <w:t>369,6</w:t>
            </w:r>
          </w:p>
        </w:tc>
      </w:tr>
      <w:tr w:rsidR="003F6ACE" w:rsidRPr="00E55E40" w14:paraId="3C84480F" w14:textId="77777777" w:rsidTr="00121349">
        <w:trPr>
          <w:trHeight w:val="197"/>
        </w:trPr>
        <w:tc>
          <w:tcPr>
            <w:tcW w:w="2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3A7C8" w14:textId="77777777" w:rsidR="003F6ACE" w:rsidRPr="00E55E40" w:rsidRDefault="00121349" w:rsidP="00A57C70">
            <w:pPr>
              <w:rPr>
                <w:sz w:val="18"/>
                <w:szCs w:val="18"/>
              </w:rPr>
            </w:pPr>
            <w:r w:rsidRPr="00E55E40">
              <w:rPr>
                <w:sz w:val="18"/>
                <w:szCs w:val="18"/>
              </w:rPr>
              <w:t>- </w:t>
            </w:r>
            <w:r w:rsidR="003F6ACE" w:rsidRPr="00E55E40">
              <w:rPr>
                <w:sz w:val="18"/>
                <w:szCs w:val="18"/>
              </w:rPr>
              <w:t>Палласовский ДПИ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871A9" w14:textId="77777777" w:rsidR="003F6ACE" w:rsidRPr="00E55E40" w:rsidRDefault="003F6ACE" w:rsidP="00A57C70">
            <w:pPr>
              <w:jc w:val="center"/>
              <w:rPr>
                <w:sz w:val="18"/>
                <w:szCs w:val="18"/>
              </w:rPr>
            </w:pPr>
            <w:r w:rsidRPr="00E55E40">
              <w:rPr>
                <w:sz w:val="18"/>
                <w:szCs w:val="18"/>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D173E" w14:textId="77777777" w:rsidR="003F6ACE" w:rsidRPr="00E55E40" w:rsidRDefault="003F6ACE" w:rsidP="00A57C70">
            <w:pPr>
              <w:jc w:val="center"/>
              <w:rPr>
                <w:sz w:val="18"/>
                <w:szCs w:val="18"/>
              </w:rPr>
            </w:pPr>
            <w:r w:rsidRPr="00E55E40">
              <w:rPr>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17DDE" w14:textId="77777777" w:rsidR="003F6ACE" w:rsidRPr="00E55E40" w:rsidRDefault="003F6ACE" w:rsidP="00A57C70">
            <w:pPr>
              <w:jc w:val="center"/>
              <w:rPr>
                <w:sz w:val="18"/>
                <w:szCs w:val="18"/>
              </w:rPr>
            </w:pPr>
            <w:r w:rsidRPr="00E55E40">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6728B" w14:textId="77777777" w:rsidR="003F6ACE" w:rsidRPr="00E55E40" w:rsidRDefault="003F6ACE" w:rsidP="00A57C70">
            <w:pPr>
              <w:jc w:val="center"/>
              <w:rPr>
                <w:sz w:val="18"/>
                <w:szCs w:val="18"/>
              </w:rPr>
            </w:pPr>
            <w:r w:rsidRPr="00E55E40">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52C3B" w14:textId="77777777" w:rsidR="003F6ACE" w:rsidRPr="00E55E40" w:rsidRDefault="003F6ACE" w:rsidP="00A57C70">
            <w:pPr>
              <w:jc w:val="center"/>
              <w:rPr>
                <w:sz w:val="18"/>
                <w:szCs w:val="18"/>
              </w:rPr>
            </w:pPr>
            <w:r w:rsidRPr="00E55E40">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E9A9D" w14:textId="77777777" w:rsidR="003F6ACE" w:rsidRPr="00E55E40" w:rsidRDefault="003F6ACE" w:rsidP="00A57C70">
            <w:pPr>
              <w:jc w:val="center"/>
              <w:rPr>
                <w:sz w:val="18"/>
                <w:szCs w:val="18"/>
              </w:rPr>
            </w:pPr>
            <w:r w:rsidRPr="00E55E40">
              <w:rPr>
                <w:sz w:val="18"/>
                <w:szCs w:val="18"/>
              </w:rPr>
              <w:t>27 960,3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E684E" w14:textId="77777777" w:rsidR="003F6ACE" w:rsidRPr="00E55E40" w:rsidRDefault="003F6ACE" w:rsidP="00A57C70">
            <w:pPr>
              <w:jc w:val="center"/>
              <w:rPr>
                <w:sz w:val="18"/>
                <w:szCs w:val="18"/>
              </w:rPr>
            </w:pPr>
            <w:r w:rsidRPr="00E55E40">
              <w:rPr>
                <w:sz w:val="18"/>
                <w:szCs w:val="18"/>
              </w:rPr>
              <w:t>294,3</w:t>
            </w:r>
          </w:p>
        </w:tc>
      </w:tr>
      <w:tr w:rsidR="003F6ACE" w:rsidRPr="00E55E40" w14:paraId="114B5879" w14:textId="77777777" w:rsidTr="00121349">
        <w:trPr>
          <w:trHeight w:val="115"/>
        </w:trPr>
        <w:tc>
          <w:tcPr>
            <w:tcW w:w="2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CD4B7B" w14:textId="77777777" w:rsidR="003F6ACE" w:rsidRPr="00E55E40" w:rsidRDefault="00121349" w:rsidP="00A57C70">
            <w:pPr>
              <w:rPr>
                <w:sz w:val="18"/>
                <w:szCs w:val="18"/>
              </w:rPr>
            </w:pPr>
            <w:r w:rsidRPr="00E55E40">
              <w:rPr>
                <w:sz w:val="18"/>
                <w:szCs w:val="18"/>
              </w:rPr>
              <w:t>- </w:t>
            </w:r>
            <w:r w:rsidR="003F6ACE" w:rsidRPr="00E55E40">
              <w:rPr>
                <w:sz w:val="18"/>
                <w:szCs w:val="18"/>
              </w:rPr>
              <w:t>Харьковский ДПИ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3D573F8" w14:textId="77777777" w:rsidR="003F6ACE" w:rsidRPr="00E55E40" w:rsidRDefault="003F6ACE" w:rsidP="00A57C70">
            <w:pPr>
              <w:jc w:val="center"/>
              <w:rPr>
                <w:sz w:val="18"/>
                <w:szCs w:val="18"/>
              </w:rPr>
            </w:pPr>
            <w:r w:rsidRPr="00E55E40">
              <w:rPr>
                <w:sz w:val="18"/>
                <w:szCs w:val="18"/>
              </w:rPr>
              <w:t>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ECEB31A" w14:textId="77777777" w:rsidR="003F6ACE" w:rsidRPr="00E55E40" w:rsidRDefault="003F6ACE" w:rsidP="00A57C70">
            <w:pPr>
              <w:jc w:val="center"/>
              <w:rPr>
                <w:sz w:val="18"/>
                <w:szCs w:val="18"/>
              </w:rPr>
            </w:pPr>
            <w:r w:rsidRPr="00E55E40">
              <w:rPr>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AB9ED9F" w14:textId="77777777" w:rsidR="003F6ACE" w:rsidRPr="00E55E40" w:rsidRDefault="003F6ACE" w:rsidP="00A57C70">
            <w:pPr>
              <w:jc w:val="center"/>
              <w:rPr>
                <w:sz w:val="18"/>
                <w:szCs w:val="18"/>
              </w:rPr>
            </w:pPr>
            <w:r w:rsidRPr="00E55E40">
              <w:rPr>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9DDCC4C" w14:textId="77777777" w:rsidR="003F6ACE" w:rsidRPr="00E55E40" w:rsidRDefault="003F6ACE" w:rsidP="00A57C70">
            <w:pPr>
              <w:jc w:val="center"/>
              <w:rPr>
                <w:sz w:val="18"/>
                <w:szCs w:val="18"/>
              </w:rPr>
            </w:pPr>
            <w:r w:rsidRPr="00E55E40">
              <w:rPr>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CF349CA" w14:textId="77777777" w:rsidR="003F6ACE" w:rsidRPr="00E55E40" w:rsidRDefault="003F6ACE" w:rsidP="00A57C70">
            <w:pPr>
              <w:jc w:val="center"/>
              <w:rPr>
                <w:sz w:val="18"/>
                <w:szCs w:val="18"/>
              </w:rPr>
            </w:pPr>
            <w:r w:rsidRPr="00E55E40">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C629D7A" w14:textId="77777777" w:rsidR="003F6ACE" w:rsidRPr="00E55E40" w:rsidRDefault="003F6ACE" w:rsidP="00A57C70">
            <w:pPr>
              <w:jc w:val="center"/>
              <w:rPr>
                <w:sz w:val="18"/>
                <w:szCs w:val="18"/>
              </w:rPr>
            </w:pPr>
            <w:r w:rsidRPr="00E55E40">
              <w:rPr>
                <w:sz w:val="18"/>
                <w:szCs w:val="18"/>
              </w:rPr>
              <w:t>26 763,7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E403C05" w14:textId="77777777" w:rsidR="003F6ACE" w:rsidRPr="00E55E40" w:rsidRDefault="003F6ACE" w:rsidP="00A57C70">
            <w:pPr>
              <w:jc w:val="center"/>
              <w:rPr>
                <w:sz w:val="18"/>
                <w:szCs w:val="18"/>
              </w:rPr>
            </w:pPr>
            <w:r w:rsidRPr="00E55E40">
              <w:rPr>
                <w:sz w:val="18"/>
                <w:szCs w:val="18"/>
              </w:rPr>
              <w:t>382,3</w:t>
            </w:r>
          </w:p>
        </w:tc>
      </w:tr>
    </w:tbl>
    <w:p w14:paraId="128DC678" w14:textId="77777777" w:rsidR="003F6ACE" w:rsidRPr="00E55E40" w:rsidRDefault="003F6ACE" w:rsidP="003F6ACE">
      <w:pPr>
        <w:autoSpaceDE w:val="0"/>
        <w:autoSpaceDN w:val="0"/>
        <w:adjustRightInd w:val="0"/>
        <w:ind w:firstLine="709"/>
        <w:jc w:val="both"/>
      </w:pPr>
    </w:p>
    <w:p w14:paraId="64039906" w14:textId="77777777" w:rsidR="00B012E0" w:rsidRPr="00E55E40" w:rsidRDefault="003F6ACE" w:rsidP="003F6ACE">
      <w:pPr>
        <w:autoSpaceDE w:val="0"/>
        <w:autoSpaceDN w:val="0"/>
        <w:adjustRightInd w:val="0"/>
        <w:ind w:firstLine="709"/>
        <w:jc w:val="both"/>
      </w:pPr>
      <w:r w:rsidRPr="00E55E40">
        <w:t>Исходя из разницы стоимости расходов в АНО и государственных учреждениях экономия составит 34</w:t>
      </w:r>
      <w:r w:rsidR="004F4DA6" w:rsidRPr="00E55E40">
        <w:t>,</w:t>
      </w:r>
      <w:r w:rsidRPr="00E55E40">
        <w:t xml:space="preserve">3 </w:t>
      </w:r>
      <w:r w:rsidR="004F4DA6" w:rsidRPr="00E55E40">
        <w:t>млн</w:t>
      </w:r>
      <w:r w:rsidRPr="00E55E40">
        <w:t xml:space="preserve">. руб. (344 тыс. руб. – 172,4 тыс. руб.) * 200 человек. </w:t>
      </w:r>
    </w:p>
    <w:p w14:paraId="79125431" w14:textId="77777777" w:rsidR="00B012E0" w:rsidRPr="00E55E40" w:rsidRDefault="00B012E0" w:rsidP="003F6ACE">
      <w:pPr>
        <w:autoSpaceDE w:val="0"/>
        <w:autoSpaceDN w:val="0"/>
        <w:adjustRightInd w:val="0"/>
        <w:ind w:firstLine="709"/>
        <w:jc w:val="both"/>
      </w:pPr>
      <w:r w:rsidRPr="00E55E40">
        <w:t>Также следует указать, что согласно ст.3 Закона № 442-ФЗ поставщиком социальных услуг является юридическое лицо независимо от его организационно-правовой формы и (или) индивидуальный предприниматель, осуществляющий социальное обслуживание. При этом Порядок № 35-п ограничивает участие в стационарном социальном обслуживании за счет средств областного бюджета поставщиков, не относящихся к некоммерческими организациям.</w:t>
      </w:r>
      <w:r w:rsidR="003D45F5" w:rsidRPr="00E55E40">
        <w:t xml:space="preserve"> </w:t>
      </w:r>
    </w:p>
    <w:p w14:paraId="4F34D3E9" w14:textId="77777777" w:rsidR="003D45F5" w:rsidRPr="00E55E40" w:rsidRDefault="003D45F5" w:rsidP="003F6ACE">
      <w:pPr>
        <w:autoSpaceDE w:val="0"/>
        <w:autoSpaceDN w:val="0"/>
        <w:adjustRightInd w:val="0"/>
        <w:ind w:firstLine="709"/>
        <w:jc w:val="both"/>
      </w:pPr>
      <w:r w:rsidRPr="00E55E40">
        <w:t>Исходя из общего показателя объёма государственных заданий, доведённых Комитетом на 2019 год до государственных учреждений, осуществляющих деятельность по уходу за престарелыми и инвалидами с обеспечением проживания, резервы расходов областного бюджета составят 7</w:t>
      </w:r>
      <w:r w:rsidR="00DB3F1E" w:rsidRPr="00E55E40">
        <w:t>66</w:t>
      </w:r>
      <w:r w:rsidRPr="00E55E40">
        <w:t>,</w:t>
      </w:r>
      <w:r w:rsidR="00DB3F1E" w:rsidRPr="00E55E40">
        <w:t>4</w:t>
      </w:r>
      <w:r w:rsidRPr="00E55E40">
        <w:t xml:space="preserve"> млн. руб. (344 тыс. руб. – 172,4 тыс. руб.) * </w:t>
      </w:r>
      <w:r w:rsidR="00DB3F1E" w:rsidRPr="00E55E40">
        <w:t>4466</w:t>
      </w:r>
      <w:r w:rsidRPr="00E55E40">
        <w:t xml:space="preserve"> человек.  </w:t>
      </w:r>
    </w:p>
    <w:p w14:paraId="38B27214" w14:textId="77777777" w:rsidR="00471073" w:rsidRPr="00E55E40" w:rsidRDefault="00471073" w:rsidP="006C2C95">
      <w:pPr>
        <w:autoSpaceDE w:val="0"/>
        <w:autoSpaceDN w:val="0"/>
        <w:adjustRightInd w:val="0"/>
        <w:ind w:firstLine="709"/>
        <w:jc w:val="center"/>
        <w:rPr>
          <w:b/>
        </w:rPr>
      </w:pPr>
    </w:p>
    <w:p w14:paraId="30CF3A57" w14:textId="77777777" w:rsidR="006C2C95" w:rsidRPr="00E55E40" w:rsidRDefault="00423245" w:rsidP="006C2C95">
      <w:pPr>
        <w:autoSpaceDE w:val="0"/>
        <w:autoSpaceDN w:val="0"/>
        <w:adjustRightInd w:val="0"/>
        <w:ind w:firstLine="709"/>
        <w:jc w:val="center"/>
        <w:rPr>
          <w:b/>
        </w:rPr>
      </w:pPr>
      <w:r w:rsidRPr="00E55E40">
        <w:rPr>
          <w:b/>
        </w:rPr>
        <w:t>Нарушения и недостатки при ф</w:t>
      </w:r>
      <w:r w:rsidR="006C2C95" w:rsidRPr="00E55E40">
        <w:rPr>
          <w:b/>
        </w:rPr>
        <w:t>инансово</w:t>
      </w:r>
      <w:r w:rsidRPr="00E55E40">
        <w:rPr>
          <w:b/>
        </w:rPr>
        <w:t>м</w:t>
      </w:r>
      <w:r w:rsidR="006C2C95" w:rsidRPr="00E55E40">
        <w:rPr>
          <w:b/>
        </w:rPr>
        <w:t xml:space="preserve"> обеспечени</w:t>
      </w:r>
      <w:r w:rsidRPr="00E55E40">
        <w:rPr>
          <w:b/>
        </w:rPr>
        <w:t>и</w:t>
      </w:r>
      <w:r w:rsidR="006C2C95" w:rsidRPr="00E55E40">
        <w:rPr>
          <w:b/>
        </w:rPr>
        <w:t xml:space="preserve"> </w:t>
      </w:r>
      <w:r w:rsidR="00930E79" w:rsidRPr="00E55E40">
        <w:rPr>
          <w:b/>
        </w:rPr>
        <w:t xml:space="preserve">социальных услуг, оказываемых государственными </w:t>
      </w:r>
      <w:r w:rsidR="00736508" w:rsidRPr="00E55E40">
        <w:rPr>
          <w:b/>
        </w:rPr>
        <w:t>организациями</w:t>
      </w:r>
    </w:p>
    <w:p w14:paraId="18FDE39D" w14:textId="77777777" w:rsidR="00570C45" w:rsidRPr="00E55E40" w:rsidRDefault="00570C45" w:rsidP="00160E32">
      <w:pPr>
        <w:autoSpaceDE w:val="0"/>
        <w:autoSpaceDN w:val="0"/>
        <w:adjustRightInd w:val="0"/>
        <w:ind w:firstLine="709"/>
        <w:jc w:val="both"/>
      </w:pPr>
    </w:p>
    <w:p w14:paraId="5F11C6DD" w14:textId="77777777" w:rsidR="0048264F" w:rsidRPr="00E55E40" w:rsidRDefault="004F4DA6" w:rsidP="00D56115">
      <w:pPr>
        <w:autoSpaceDE w:val="0"/>
        <w:autoSpaceDN w:val="0"/>
        <w:adjustRightInd w:val="0"/>
        <w:ind w:firstLine="709"/>
        <w:jc w:val="both"/>
      </w:pPr>
      <w:r w:rsidRPr="00E55E40">
        <w:rPr>
          <w:b/>
        </w:rPr>
        <w:t>1.</w:t>
      </w:r>
      <w:r w:rsidRPr="00E55E40">
        <w:t> </w:t>
      </w:r>
      <w:r w:rsidR="00747088" w:rsidRPr="00E55E40">
        <w:t xml:space="preserve">Отсутствие зависимости размеров базовых нормативов затрат от порядков и стандартов предоставления социальных услуг. </w:t>
      </w:r>
    </w:p>
    <w:p w14:paraId="4806FB67" w14:textId="77777777" w:rsidR="00D56115" w:rsidRPr="00E55E40" w:rsidRDefault="00160E32" w:rsidP="00D56115">
      <w:pPr>
        <w:autoSpaceDE w:val="0"/>
        <w:autoSpaceDN w:val="0"/>
        <w:adjustRightInd w:val="0"/>
        <w:ind w:firstLine="709"/>
        <w:jc w:val="both"/>
      </w:pPr>
      <w:r w:rsidRPr="00E55E40">
        <w:t>Источником финансового обеспечения государственн</w:t>
      </w:r>
      <w:r w:rsidR="00D36A2D" w:rsidRPr="00E55E40">
        <w:t>ых</w:t>
      </w:r>
      <w:r w:rsidRPr="00E55E40">
        <w:t xml:space="preserve"> задани</w:t>
      </w:r>
      <w:r w:rsidR="00D36A2D" w:rsidRPr="00E55E40">
        <w:t>й в проверяемом периоде</w:t>
      </w:r>
      <w:r w:rsidRPr="00E55E40">
        <w:t xml:space="preserve"> явля</w:t>
      </w:r>
      <w:r w:rsidR="00D36A2D" w:rsidRPr="00E55E40">
        <w:t>лись</w:t>
      </w:r>
      <w:r w:rsidRPr="00E55E40">
        <w:t xml:space="preserve"> субсидии из областного бюджета и средства, поступающие от пенсий п</w:t>
      </w:r>
      <w:r w:rsidR="00BF7F31" w:rsidRPr="00E55E40">
        <w:t>олучателей социальных услуг</w:t>
      </w:r>
      <w:r w:rsidRPr="00E55E40">
        <w:t>.</w:t>
      </w:r>
    </w:p>
    <w:p w14:paraId="4EE78691" w14:textId="77777777" w:rsidR="00C00787" w:rsidRPr="00E55E40" w:rsidRDefault="00C00787" w:rsidP="00C00787">
      <w:pPr>
        <w:autoSpaceDE w:val="0"/>
        <w:autoSpaceDN w:val="0"/>
        <w:adjustRightInd w:val="0"/>
        <w:ind w:firstLine="709"/>
        <w:jc w:val="both"/>
        <w:rPr>
          <w:rFonts w:eastAsiaTheme="minorHAnsi"/>
          <w:lang w:eastAsia="en-US"/>
        </w:rPr>
      </w:pPr>
      <w:r w:rsidRPr="00E55E40">
        <w:rPr>
          <w:rFonts w:eastAsiaTheme="minorHAnsi"/>
          <w:lang w:eastAsia="en-US"/>
        </w:rPr>
        <w:t xml:space="preserve">В </w:t>
      </w:r>
      <w:r w:rsidR="006807DA" w:rsidRPr="00E55E40">
        <w:rPr>
          <w:rFonts w:eastAsiaTheme="minorHAnsi"/>
          <w:lang w:eastAsia="en-US"/>
        </w:rPr>
        <w:t xml:space="preserve">проверяемом периоде </w:t>
      </w:r>
      <w:r w:rsidRPr="00E55E40">
        <w:rPr>
          <w:rFonts w:eastAsiaTheme="minorHAnsi"/>
          <w:lang w:eastAsia="en-US"/>
        </w:rPr>
        <w:t>Комитетом утверждалось несколько размеров базовых нормативов затрат для одной государственной услуги в зависимости от порядков её оказания.</w:t>
      </w:r>
    </w:p>
    <w:p w14:paraId="232254F3" w14:textId="77777777" w:rsidR="00C00787" w:rsidRPr="00E55E40" w:rsidRDefault="00C00787" w:rsidP="00C00787">
      <w:pPr>
        <w:autoSpaceDE w:val="0"/>
        <w:autoSpaceDN w:val="0"/>
        <w:adjustRightInd w:val="0"/>
        <w:ind w:firstLine="709"/>
        <w:jc w:val="both"/>
        <w:rPr>
          <w:rFonts w:eastAsiaTheme="minorHAnsi"/>
          <w:lang w:eastAsia="en-US"/>
        </w:rPr>
      </w:pPr>
      <w:r w:rsidRPr="00E55E40">
        <w:rPr>
          <w:rFonts w:eastAsiaTheme="minorHAnsi"/>
          <w:lang w:eastAsia="en-US"/>
        </w:rPr>
        <w:t>Значения базовых нормативов затрат на оказание государственных услуг в 2018 году представлены в таблице № 11.</w:t>
      </w:r>
    </w:p>
    <w:p w14:paraId="7721B3CF" w14:textId="77777777" w:rsidR="00C00787" w:rsidRPr="00E55E40" w:rsidRDefault="00C00787" w:rsidP="00C00787">
      <w:pPr>
        <w:autoSpaceDE w:val="0"/>
        <w:autoSpaceDN w:val="0"/>
        <w:adjustRightInd w:val="0"/>
        <w:ind w:firstLine="709"/>
        <w:jc w:val="right"/>
        <w:rPr>
          <w:rFonts w:eastAsiaTheme="minorHAnsi"/>
          <w:lang w:eastAsia="en-US"/>
        </w:rPr>
      </w:pPr>
      <w:r w:rsidRPr="00E55E40">
        <w:rPr>
          <w:rFonts w:eastAsiaTheme="minorHAnsi"/>
          <w:lang w:eastAsia="en-US"/>
        </w:rPr>
        <w:t>Таблица № 11</w:t>
      </w:r>
    </w:p>
    <w:tbl>
      <w:tblPr>
        <w:tblStyle w:val="a7"/>
        <w:tblW w:w="9680" w:type="dxa"/>
        <w:tblLook w:val="04A0" w:firstRow="1" w:lastRow="0" w:firstColumn="1" w:lastColumn="0" w:noHBand="0" w:noVBand="1"/>
      </w:tblPr>
      <w:tblGrid>
        <w:gridCol w:w="3046"/>
        <w:gridCol w:w="3725"/>
        <w:gridCol w:w="1668"/>
        <w:gridCol w:w="1241"/>
      </w:tblGrid>
      <w:tr w:rsidR="00C00787" w:rsidRPr="00E55E40" w14:paraId="780D7D13" w14:textId="77777777" w:rsidTr="00C00787">
        <w:tc>
          <w:tcPr>
            <w:tcW w:w="3046" w:type="dxa"/>
          </w:tcPr>
          <w:p w14:paraId="62FBFB9E" w14:textId="77777777" w:rsidR="00C00787" w:rsidRPr="00E55E40" w:rsidRDefault="00C00787" w:rsidP="00C00787">
            <w:pPr>
              <w:autoSpaceDE w:val="0"/>
              <w:autoSpaceDN w:val="0"/>
              <w:adjustRightInd w:val="0"/>
              <w:jc w:val="both"/>
              <w:rPr>
                <w:sz w:val="20"/>
                <w:szCs w:val="20"/>
              </w:rPr>
            </w:pPr>
            <w:r w:rsidRPr="00E55E40">
              <w:rPr>
                <w:sz w:val="20"/>
                <w:szCs w:val="20"/>
              </w:rPr>
              <w:t>Наименование госуслуги</w:t>
            </w:r>
          </w:p>
        </w:tc>
        <w:tc>
          <w:tcPr>
            <w:tcW w:w="3725" w:type="dxa"/>
          </w:tcPr>
          <w:p w14:paraId="77F0BA21" w14:textId="77777777" w:rsidR="00C00787" w:rsidRPr="00E55E40" w:rsidRDefault="00C00787" w:rsidP="00C00787">
            <w:pPr>
              <w:autoSpaceDE w:val="0"/>
              <w:autoSpaceDN w:val="0"/>
              <w:adjustRightInd w:val="0"/>
              <w:jc w:val="both"/>
              <w:rPr>
                <w:sz w:val="20"/>
                <w:szCs w:val="20"/>
              </w:rPr>
            </w:pPr>
            <w:r w:rsidRPr="00E55E40">
              <w:rPr>
                <w:sz w:val="20"/>
                <w:szCs w:val="20"/>
              </w:rPr>
              <w:t>Категория получателей</w:t>
            </w:r>
          </w:p>
        </w:tc>
        <w:tc>
          <w:tcPr>
            <w:tcW w:w="1668" w:type="dxa"/>
          </w:tcPr>
          <w:p w14:paraId="69218D1B" w14:textId="77777777" w:rsidR="00C00787" w:rsidRPr="00E55E40" w:rsidRDefault="00C00787" w:rsidP="00C00787">
            <w:pPr>
              <w:autoSpaceDE w:val="0"/>
              <w:autoSpaceDN w:val="0"/>
              <w:adjustRightInd w:val="0"/>
              <w:jc w:val="both"/>
              <w:rPr>
                <w:sz w:val="20"/>
                <w:szCs w:val="20"/>
              </w:rPr>
            </w:pPr>
            <w:r w:rsidRPr="00E55E40">
              <w:rPr>
                <w:sz w:val="20"/>
                <w:szCs w:val="20"/>
              </w:rPr>
              <w:t>Порядок предоставления</w:t>
            </w:r>
          </w:p>
        </w:tc>
        <w:tc>
          <w:tcPr>
            <w:tcW w:w="1241" w:type="dxa"/>
          </w:tcPr>
          <w:p w14:paraId="472F2E3C" w14:textId="77777777" w:rsidR="00C00787" w:rsidRPr="00E55E40" w:rsidRDefault="00C00787" w:rsidP="00C00787">
            <w:pPr>
              <w:autoSpaceDE w:val="0"/>
              <w:autoSpaceDN w:val="0"/>
              <w:adjustRightInd w:val="0"/>
              <w:jc w:val="both"/>
              <w:rPr>
                <w:sz w:val="20"/>
                <w:szCs w:val="20"/>
              </w:rPr>
            </w:pPr>
            <w:r w:rsidRPr="00E55E40">
              <w:rPr>
                <w:sz w:val="20"/>
                <w:szCs w:val="20"/>
              </w:rPr>
              <w:t xml:space="preserve">Размер базового норматива затрат, тыс. руб. </w:t>
            </w:r>
          </w:p>
        </w:tc>
      </w:tr>
      <w:tr w:rsidR="00C00787" w:rsidRPr="00E55E40" w14:paraId="20BA56CA" w14:textId="77777777" w:rsidTr="00C00787">
        <w:trPr>
          <w:trHeight w:val="431"/>
        </w:trPr>
        <w:tc>
          <w:tcPr>
            <w:tcW w:w="3046" w:type="dxa"/>
            <w:vMerge w:val="restart"/>
          </w:tcPr>
          <w:p w14:paraId="38843478" w14:textId="77777777" w:rsidR="00C00787" w:rsidRPr="00E55E40" w:rsidRDefault="00C00787" w:rsidP="00C00787">
            <w:pPr>
              <w:autoSpaceDE w:val="0"/>
              <w:autoSpaceDN w:val="0"/>
              <w:adjustRightInd w:val="0"/>
              <w:jc w:val="both"/>
              <w:rPr>
                <w:sz w:val="20"/>
                <w:szCs w:val="20"/>
              </w:rPr>
            </w:pPr>
            <w:r w:rsidRPr="00E55E40">
              <w:rPr>
                <w:sz w:val="20"/>
                <w:szCs w:val="20"/>
              </w:rPr>
              <w:t xml:space="preserve">1. Предоставление социального обслуживания в </w:t>
            </w:r>
            <w:r w:rsidRPr="00E55E40">
              <w:rPr>
                <w:i/>
                <w:sz w:val="20"/>
                <w:szCs w:val="20"/>
              </w:rPr>
              <w:t>стационарной</w:t>
            </w:r>
            <w:r w:rsidRPr="00E55E40">
              <w:rPr>
                <w:sz w:val="20"/>
                <w:szCs w:val="20"/>
              </w:rPr>
              <w:t xml:space="preserve"> форме (870000О.99.0.АЭ20АА00000)</w:t>
            </w:r>
          </w:p>
        </w:tc>
        <w:tc>
          <w:tcPr>
            <w:tcW w:w="3725" w:type="dxa"/>
            <w:vMerge w:val="restart"/>
          </w:tcPr>
          <w:p w14:paraId="42DDAF18" w14:textId="77777777" w:rsidR="00C00787" w:rsidRPr="00E55E40" w:rsidRDefault="00C00787" w:rsidP="00C00787">
            <w:pPr>
              <w:autoSpaceDE w:val="0"/>
              <w:autoSpaceDN w:val="0"/>
              <w:adjustRightInd w:val="0"/>
              <w:jc w:val="both"/>
              <w:rPr>
                <w:sz w:val="20"/>
                <w:szCs w:val="20"/>
              </w:rPr>
            </w:pPr>
            <w:r w:rsidRPr="00E55E40">
              <w:rPr>
                <w:sz w:val="20"/>
                <w:szCs w:val="20"/>
              </w:rPr>
              <w:t xml:space="preserve">Гражданин </w:t>
            </w:r>
            <w:r w:rsidRPr="00E55E40">
              <w:rPr>
                <w:i/>
                <w:sz w:val="20"/>
                <w:szCs w:val="20"/>
              </w:rPr>
              <w:t>полностью</w:t>
            </w:r>
            <w:r w:rsidRPr="00E55E40">
              <w:rPr>
                <w:sz w:val="20"/>
                <w:szCs w:val="20"/>
              </w:rPr>
              <w:t xml:space="preserve">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w:t>
            </w:r>
            <w:r w:rsidRPr="00E55E40">
              <w:rPr>
                <w:sz w:val="20"/>
                <w:szCs w:val="20"/>
              </w:rPr>
              <w:lastRenderedPageBreak/>
              <w:t>инвалидности</w:t>
            </w:r>
          </w:p>
        </w:tc>
        <w:tc>
          <w:tcPr>
            <w:tcW w:w="1668" w:type="dxa"/>
          </w:tcPr>
          <w:p w14:paraId="4D92FAD8" w14:textId="77777777" w:rsidR="00C00787" w:rsidRPr="00E55E40" w:rsidRDefault="00C00787" w:rsidP="006C6BE9">
            <w:pPr>
              <w:autoSpaceDE w:val="0"/>
              <w:autoSpaceDN w:val="0"/>
              <w:adjustRightInd w:val="0"/>
              <w:jc w:val="both"/>
              <w:rPr>
                <w:sz w:val="20"/>
                <w:szCs w:val="20"/>
              </w:rPr>
            </w:pPr>
            <w:r w:rsidRPr="00E55E40">
              <w:rPr>
                <w:sz w:val="20"/>
                <w:szCs w:val="20"/>
              </w:rPr>
              <w:lastRenderedPageBreak/>
              <w:t xml:space="preserve">Порядок </w:t>
            </w:r>
            <w:r w:rsidR="006C6BE9" w:rsidRPr="00E55E40">
              <w:rPr>
                <w:sz w:val="20"/>
                <w:szCs w:val="20"/>
              </w:rPr>
              <w:t>ПНИ</w:t>
            </w:r>
          </w:p>
        </w:tc>
        <w:tc>
          <w:tcPr>
            <w:tcW w:w="1241" w:type="dxa"/>
          </w:tcPr>
          <w:p w14:paraId="1AAE031E" w14:textId="77777777" w:rsidR="00C00787" w:rsidRPr="00E55E40" w:rsidRDefault="00C00787" w:rsidP="00C00787">
            <w:pPr>
              <w:autoSpaceDE w:val="0"/>
              <w:autoSpaceDN w:val="0"/>
              <w:adjustRightInd w:val="0"/>
              <w:jc w:val="center"/>
              <w:rPr>
                <w:sz w:val="20"/>
                <w:szCs w:val="20"/>
              </w:rPr>
            </w:pPr>
            <w:r w:rsidRPr="00E55E40">
              <w:rPr>
                <w:sz w:val="20"/>
                <w:szCs w:val="20"/>
              </w:rPr>
              <w:t>365</w:t>
            </w:r>
          </w:p>
        </w:tc>
      </w:tr>
      <w:tr w:rsidR="00C00787" w:rsidRPr="00E55E40" w14:paraId="56752B22" w14:textId="77777777" w:rsidTr="00C00787">
        <w:trPr>
          <w:trHeight w:val="430"/>
        </w:trPr>
        <w:tc>
          <w:tcPr>
            <w:tcW w:w="3046" w:type="dxa"/>
            <w:vMerge/>
          </w:tcPr>
          <w:p w14:paraId="27A04266" w14:textId="77777777" w:rsidR="00C00787" w:rsidRPr="00E55E40" w:rsidRDefault="00C00787" w:rsidP="00C00787">
            <w:pPr>
              <w:autoSpaceDE w:val="0"/>
              <w:autoSpaceDN w:val="0"/>
              <w:adjustRightInd w:val="0"/>
              <w:jc w:val="both"/>
              <w:rPr>
                <w:sz w:val="20"/>
                <w:szCs w:val="20"/>
              </w:rPr>
            </w:pPr>
          </w:p>
        </w:tc>
        <w:tc>
          <w:tcPr>
            <w:tcW w:w="3725" w:type="dxa"/>
            <w:vMerge/>
          </w:tcPr>
          <w:p w14:paraId="4A2013AD" w14:textId="77777777" w:rsidR="00C00787" w:rsidRPr="00E55E40" w:rsidRDefault="00C00787" w:rsidP="00C00787">
            <w:pPr>
              <w:autoSpaceDE w:val="0"/>
              <w:autoSpaceDN w:val="0"/>
              <w:adjustRightInd w:val="0"/>
              <w:jc w:val="both"/>
              <w:rPr>
                <w:sz w:val="20"/>
                <w:szCs w:val="20"/>
              </w:rPr>
            </w:pPr>
          </w:p>
        </w:tc>
        <w:tc>
          <w:tcPr>
            <w:tcW w:w="1668" w:type="dxa"/>
          </w:tcPr>
          <w:p w14:paraId="4B9FBEC5" w14:textId="77777777" w:rsidR="00C00787" w:rsidRPr="00E55E40" w:rsidRDefault="00C00787" w:rsidP="006C6BE9">
            <w:pPr>
              <w:autoSpaceDE w:val="0"/>
              <w:autoSpaceDN w:val="0"/>
              <w:adjustRightInd w:val="0"/>
              <w:jc w:val="both"/>
              <w:rPr>
                <w:sz w:val="20"/>
                <w:szCs w:val="20"/>
              </w:rPr>
            </w:pPr>
            <w:r w:rsidRPr="00E55E40">
              <w:rPr>
                <w:sz w:val="20"/>
                <w:szCs w:val="20"/>
              </w:rPr>
              <w:t xml:space="preserve">Порядок </w:t>
            </w:r>
            <w:r w:rsidR="006C6BE9" w:rsidRPr="00E55E40">
              <w:rPr>
                <w:sz w:val="20"/>
                <w:szCs w:val="20"/>
              </w:rPr>
              <w:t>ДПИ</w:t>
            </w:r>
          </w:p>
        </w:tc>
        <w:tc>
          <w:tcPr>
            <w:tcW w:w="1241" w:type="dxa"/>
          </w:tcPr>
          <w:p w14:paraId="4A666D1F" w14:textId="77777777" w:rsidR="00C00787" w:rsidRPr="00E55E40" w:rsidRDefault="00C00787" w:rsidP="00C00787">
            <w:pPr>
              <w:autoSpaceDE w:val="0"/>
              <w:autoSpaceDN w:val="0"/>
              <w:adjustRightInd w:val="0"/>
              <w:jc w:val="center"/>
              <w:rPr>
                <w:sz w:val="20"/>
                <w:szCs w:val="20"/>
              </w:rPr>
            </w:pPr>
            <w:r w:rsidRPr="00E55E40">
              <w:rPr>
                <w:sz w:val="20"/>
                <w:szCs w:val="20"/>
              </w:rPr>
              <w:t>332,7</w:t>
            </w:r>
          </w:p>
        </w:tc>
      </w:tr>
      <w:tr w:rsidR="00C00787" w:rsidRPr="00E55E40" w14:paraId="3698BF50" w14:textId="77777777" w:rsidTr="00C00787">
        <w:trPr>
          <w:trHeight w:val="430"/>
        </w:trPr>
        <w:tc>
          <w:tcPr>
            <w:tcW w:w="3046" w:type="dxa"/>
            <w:vMerge/>
          </w:tcPr>
          <w:p w14:paraId="68048E44" w14:textId="77777777" w:rsidR="00C00787" w:rsidRPr="00E55E40" w:rsidRDefault="00C00787" w:rsidP="00C00787">
            <w:pPr>
              <w:autoSpaceDE w:val="0"/>
              <w:autoSpaceDN w:val="0"/>
              <w:adjustRightInd w:val="0"/>
              <w:jc w:val="both"/>
              <w:rPr>
                <w:sz w:val="20"/>
                <w:szCs w:val="20"/>
              </w:rPr>
            </w:pPr>
          </w:p>
        </w:tc>
        <w:tc>
          <w:tcPr>
            <w:tcW w:w="3725" w:type="dxa"/>
            <w:vMerge/>
          </w:tcPr>
          <w:p w14:paraId="11D2BB85" w14:textId="77777777" w:rsidR="00C00787" w:rsidRPr="00E55E40" w:rsidRDefault="00C00787" w:rsidP="00C00787">
            <w:pPr>
              <w:autoSpaceDE w:val="0"/>
              <w:autoSpaceDN w:val="0"/>
              <w:adjustRightInd w:val="0"/>
              <w:jc w:val="both"/>
              <w:rPr>
                <w:sz w:val="20"/>
                <w:szCs w:val="20"/>
              </w:rPr>
            </w:pPr>
          </w:p>
        </w:tc>
        <w:tc>
          <w:tcPr>
            <w:tcW w:w="1668" w:type="dxa"/>
          </w:tcPr>
          <w:p w14:paraId="5C70979C" w14:textId="77777777" w:rsidR="00C00787" w:rsidRPr="00E55E40" w:rsidRDefault="00C00787" w:rsidP="006C6BE9">
            <w:pPr>
              <w:autoSpaceDE w:val="0"/>
              <w:autoSpaceDN w:val="0"/>
              <w:adjustRightInd w:val="0"/>
              <w:jc w:val="both"/>
              <w:rPr>
                <w:sz w:val="20"/>
                <w:szCs w:val="20"/>
              </w:rPr>
            </w:pPr>
            <w:r w:rsidRPr="00E55E40">
              <w:rPr>
                <w:sz w:val="20"/>
                <w:szCs w:val="20"/>
              </w:rPr>
              <w:t xml:space="preserve">Порядок </w:t>
            </w:r>
            <w:r w:rsidR="006C6BE9" w:rsidRPr="00E55E40">
              <w:rPr>
                <w:sz w:val="20"/>
                <w:szCs w:val="20"/>
              </w:rPr>
              <w:t>ГЦ</w:t>
            </w:r>
          </w:p>
        </w:tc>
        <w:tc>
          <w:tcPr>
            <w:tcW w:w="1241" w:type="dxa"/>
          </w:tcPr>
          <w:p w14:paraId="667521A6" w14:textId="77777777" w:rsidR="00C00787" w:rsidRPr="00E55E40" w:rsidRDefault="00C00787" w:rsidP="00C00787">
            <w:pPr>
              <w:autoSpaceDE w:val="0"/>
              <w:autoSpaceDN w:val="0"/>
              <w:adjustRightInd w:val="0"/>
              <w:jc w:val="center"/>
              <w:rPr>
                <w:sz w:val="20"/>
                <w:szCs w:val="20"/>
              </w:rPr>
            </w:pPr>
            <w:r w:rsidRPr="00E55E40">
              <w:rPr>
                <w:sz w:val="20"/>
                <w:szCs w:val="20"/>
              </w:rPr>
              <w:t>505,3</w:t>
            </w:r>
          </w:p>
        </w:tc>
      </w:tr>
      <w:tr w:rsidR="00C00787" w:rsidRPr="00E55E40" w14:paraId="42ED2B10" w14:textId="77777777" w:rsidTr="00C00787">
        <w:trPr>
          <w:trHeight w:val="430"/>
        </w:trPr>
        <w:tc>
          <w:tcPr>
            <w:tcW w:w="3046" w:type="dxa"/>
            <w:vMerge/>
          </w:tcPr>
          <w:p w14:paraId="1CF02A05" w14:textId="77777777" w:rsidR="00C00787" w:rsidRPr="00E55E40" w:rsidRDefault="00C00787" w:rsidP="00C00787">
            <w:pPr>
              <w:autoSpaceDE w:val="0"/>
              <w:autoSpaceDN w:val="0"/>
              <w:adjustRightInd w:val="0"/>
              <w:jc w:val="both"/>
              <w:rPr>
                <w:sz w:val="20"/>
                <w:szCs w:val="20"/>
              </w:rPr>
            </w:pPr>
          </w:p>
        </w:tc>
        <w:tc>
          <w:tcPr>
            <w:tcW w:w="3725" w:type="dxa"/>
            <w:vMerge/>
          </w:tcPr>
          <w:p w14:paraId="4488C002" w14:textId="77777777" w:rsidR="00C00787" w:rsidRPr="00E55E40" w:rsidRDefault="00C00787" w:rsidP="00C00787">
            <w:pPr>
              <w:autoSpaceDE w:val="0"/>
              <w:autoSpaceDN w:val="0"/>
              <w:adjustRightInd w:val="0"/>
              <w:jc w:val="both"/>
              <w:rPr>
                <w:sz w:val="20"/>
                <w:szCs w:val="20"/>
              </w:rPr>
            </w:pPr>
          </w:p>
        </w:tc>
        <w:tc>
          <w:tcPr>
            <w:tcW w:w="1668" w:type="dxa"/>
          </w:tcPr>
          <w:p w14:paraId="4D3ADD6D" w14:textId="77777777" w:rsidR="00C00787" w:rsidRPr="00E55E40" w:rsidRDefault="00C00787" w:rsidP="006C6BE9">
            <w:pPr>
              <w:autoSpaceDE w:val="0"/>
              <w:autoSpaceDN w:val="0"/>
              <w:adjustRightInd w:val="0"/>
              <w:jc w:val="both"/>
              <w:rPr>
                <w:sz w:val="20"/>
                <w:szCs w:val="20"/>
              </w:rPr>
            </w:pPr>
            <w:r w:rsidRPr="00E55E40">
              <w:rPr>
                <w:sz w:val="20"/>
                <w:szCs w:val="20"/>
              </w:rPr>
              <w:t xml:space="preserve">Порядок </w:t>
            </w:r>
            <w:r w:rsidR="006C6BE9" w:rsidRPr="00E55E40">
              <w:rPr>
                <w:sz w:val="20"/>
                <w:szCs w:val="20"/>
              </w:rPr>
              <w:t>ДИМВ</w:t>
            </w:r>
          </w:p>
        </w:tc>
        <w:tc>
          <w:tcPr>
            <w:tcW w:w="1241" w:type="dxa"/>
          </w:tcPr>
          <w:p w14:paraId="664D6A20" w14:textId="77777777" w:rsidR="00C00787" w:rsidRPr="00E55E40" w:rsidRDefault="00C00787" w:rsidP="00C00787">
            <w:pPr>
              <w:autoSpaceDE w:val="0"/>
              <w:autoSpaceDN w:val="0"/>
              <w:adjustRightInd w:val="0"/>
              <w:jc w:val="center"/>
              <w:rPr>
                <w:sz w:val="20"/>
                <w:szCs w:val="20"/>
              </w:rPr>
            </w:pPr>
            <w:r w:rsidRPr="00E55E40">
              <w:rPr>
                <w:sz w:val="20"/>
                <w:szCs w:val="20"/>
              </w:rPr>
              <w:t>-</w:t>
            </w:r>
          </w:p>
        </w:tc>
      </w:tr>
      <w:tr w:rsidR="00C00787" w:rsidRPr="00E55E40" w14:paraId="18F36DAF" w14:textId="77777777" w:rsidTr="00C00787">
        <w:trPr>
          <w:trHeight w:val="449"/>
        </w:trPr>
        <w:tc>
          <w:tcPr>
            <w:tcW w:w="3046" w:type="dxa"/>
            <w:vMerge w:val="restart"/>
          </w:tcPr>
          <w:p w14:paraId="1F99CBB2" w14:textId="77777777" w:rsidR="00C00787" w:rsidRPr="00E55E40" w:rsidRDefault="00C00787" w:rsidP="00C00787">
            <w:pPr>
              <w:autoSpaceDE w:val="0"/>
              <w:autoSpaceDN w:val="0"/>
              <w:adjustRightInd w:val="0"/>
              <w:jc w:val="both"/>
              <w:rPr>
                <w:sz w:val="20"/>
                <w:szCs w:val="20"/>
              </w:rPr>
            </w:pPr>
            <w:r w:rsidRPr="00E55E40">
              <w:rPr>
                <w:sz w:val="20"/>
                <w:szCs w:val="20"/>
              </w:rPr>
              <w:t xml:space="preserve">2. Предоставление социального обслуживания в </w:t>
            </w:r>
            <w:r w:rsidRPr="00E55E40">
              <w:rPr>
                <w:i/>
                <w:sz w:val="20"/>
                <w:szCs w:val="20"/>
              </w:rPr>
              <w:t>стационарной</w:t>
            </w:r>
            <w:r w:rsidRPr="00E55E40">
              <w:rPr>
                <w:sz w:val="20"/>
                <w:szCs w:val="20"/>
              </w:rPr>
              <w:t xml:space="preserve"> форме (870000О.99.0.АЭ20АА01000)</w:t>
            </w:r>
          </w:p>
        </w:tc>
        <w:tc>
          <w:tcPr>
            <w:tcW w:w="3725" w:type="dxa"/>
            <w:vMerge w:val="restart"/>
          </w:tcPr>
          <w:p w14:paraId="6A283F0F" w14:textId="77777777" w:rsidR="00C00787" w:rsidRPr="00E55E40" w:rsidRDefault="00C00787" w:rsidP="00C00787">
            <w:pPr>
              <w:autoSpaceDE w:val="0"/>
              <w:autoSpaceDN w:val="0"/>
              <w:adjustRightInd w:val="0"/>
              <w:jc w:val="both"/>
              <w:rPr>
                <w:sz w:val="20"/>
                <w:szCs w:val="20"/>
              </w:rPr>
            </w:pPr>
            <w:r w:rsidRPr="00E55E40">
              <w:rPr>
                <w:sz w:val="20"/>
                <w:szCs w:val="20"/>
              </w:rPr>
              <w:t xml:space="preserve">Гражданин </w:t>
            </w:r>
            <w:r w:rsidRPr="00E55E40">
              <w:rPr>
                <w:i/>
                <w:sz w:val="20"/>
                <w:szCs w:val="20"/>
              </w:rPr>
              <w:t>частично</w:t>
            </w:r>
            <w:r w:rsidRPr="00E55E40">
              <w:rPr>
                <w:sz w:val="20"/>
                <w:szCs w:val="20"/>
              </w:rPr>
              <w:t xml:space="preserve">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1668" w:type="dxa"/>
          </w:tcPr>
          <w:p w14:paraId="250802A9" w14:textId="77777777" w:rsidR="00C00787" w:rsidRPr="00E55E40" w:rsidRDefault="00C00787" w:rsidP="006C6BE9">
            <w:pPr>
              <w:autoSpaceDE w:val="0"/>
              <w:autoSpaceDN w:val="0"/>
              <w:adjustRightInd w:val="0"/>
              <w:jc w:val="both"/>
              <w:rPr>
                <w:sz w:val="20"/>
                <w:szCs w:val="20"/>
              </w:rPr>
            </w:pPr>
            <w:r w:rsidRPr="00E55E40">
              <w:rPr>
                <w:sz w:val="20"/>
                <w:szCs w:val="20"/>
              </w:rPr>
              <w:t xml:space="preserve">Порядок </w:t>
            </w:r>
            <w:r w:rsidR="006C6BE9" w:rsidRPr="00E55E40">
              <w:rPr>
                <w:sz w:val="20"/>
                <w:szCs w:val="20"/>
              </w:rPr>
              <w:t>ПНИ</w:t>
            </w:r>
          </w:p>
        </w:tc>
        <w:tc>
          <w:tcPr>
            <w:tcW w:w="1241" w:type="dxa"/>
          </w:tcPr>
          <w:p w14:paraId="3F5AC990" w14:textId="77777777" w:rsidR="00C00787" w:rsidRPr="00E55E40" w:rsidRDefault="00C00787" w:rsidP="00C00787">
            <w:pPr>
              <w:autoSpaceDE w:val="0"/>
              <w:autoSpaceDN w:val="0"/>
              <w:adjustRightInd w:val="0"/>
              <w:jc w:val="center"/>
              <w:rPr>
                <w:sz w:val="20"/>
                <w:szCs w:val="20"/>
              </w:rPr>
            </w:pPr>
            <w:r w:rsidRPr="00E55E40">
              <w:rPr>
                <w:sz w:val="20"/>
                <w:szCs w:val="20"/>
              </w:rPr>
              <w:t>321,7</w:t>
            </w:r>
          </w:p>
        </w:tc>
      </w:tr>
      <w:tr w:rsidR="00C00787" w:rsidRPr="00E55E40" w14:paraId="45A71FF1" w14:textId="77777777" w:rsidTr="00C00787">
        <w:trPr>
          <w:trHeight w:val="427"/>
        </w:trPr>
        <w:tc>
          <w:tcPr>
            <w:tcW w:w="3046" w:type="dxa"/>
            <w:vMerge/>
          </w:tcPr>
          <w:p w14:paraId="4DC39A48" w14:textId="77777777" w:rsidR="00C00787" w:rsidRPr="00E55E40" w:rsidRDefault="00C00787" w:rsidP="00C00787">
            <w:pPr>
              <w:autoSpaceDE w:val="0"/>
              <w:autoSpaceDN w:val="0"/>
              <w:adjustRightInd w:val="0"/>
              <w:jc w:val="both"/>
              <w:rPr>
                <w:sz w:val="20"/>
                <w:szCs w:val="20"/>
              </w:rPr>
            </w:pPr>
          </w:p>
        </w:tc>
        <w:tc>
          <w:tcPr>
            <w:tcW w:w="3725" w:type="dxa"/>
            <w:vMerge/>
          </w:tcPr>
          <w:p w14:paraId="64028F7A" w14:textId="77777777" w:rsidR="00C00787" w:rsidRPr="00E55E40" w:rsidRDefault="00C00787" w:rsidP="00C00787">
            <w:pPr>
              <w:autoSpaceDE w:val="0"/>
              <w:autoSpaceDN w:val="0"/>
              <w:adjustRightInd w:val="0"/>
              <w:jc w:val="both"/>
              <w:rPr>
                <w:sz w:val="20"/>
                <w:szCs w:val="20"/>
              </w:rPr>
            </w:pPr>
          </w:p>
        </w:tc>
        <w:tc>
          <w:tcPr>
            <w:tcW w:w="1668" w:type="dxa"/>
          </w:tcPr>
          <w:p w14:paraId="5147148F" w14:textId="77777777" w:rsidR="00C00787" w:rsidRPr="00E55E40" w:rsidRDefault="00C00787" w:rsidP="006C6BE9">
            <w:pPr>
              <w:autoSpaceDE w:val="0"/>
              <w:autoSpaceDN w:val="0"/>
              <w:adjustRightInd w:val="0"/>
              <w:jc w:val="both"/>
              <w:rPr>
                <w:sz w:val="20"/>
                <w:szCs w:val="20"/>
              </w:rPr>
            </w:pPr>
            <w:r w:rsidRPr="00E55E40">
              <w:rPr>
                <w:sz w:val="20"/>
                <w:szCs w:val="20"/>
              </w:rPr>
              <w:t xml:space="preserve">Порядок </w:t>
            </w:r>
            <w:r w:rsidR="006C6BE9" w:rsidRPr="00E55E40">
              <w:rPr>
                <w:sz w:val="20"/>
                <w:szCs w:val="20"/>
              </w:rPr>
              <w:t>ДПИ</w:t>
            </w:r>
          </w:p>
        </w:tc>
        <w:tc>
          <w:tcPr>
            <w:tcW w:w="1241" w:type="dxa"/>
          </w:tcPr>
          <w:p w14:paraId="2EEC989A" w14:textId="77777777" w:rsidR="00C00787" w:rsidRPr="00E55E40" w:rsidRDefault="00C00787" w:rsidP="00C00787">
            <w:pPr>
              <w:autoSpaceDE w:val="0"/>
              <w:autoSpaceDN w:val="0"/>
              <w:adjustRightInd w:val="0"/>
              <w:jc w:val="center"/>
              <w:rPr>
                <w:sz w:val="20"/>
                <w:szCs w:val="20"/>
              </w:rPr>
            </w:pPr>
            <w:r w:rsidRPr="00E55E40">
              <w:rPr>
                <w:sz w:val="20"/>
                <w:szCs w:val="20"/>
              </w:rPr>
              <w:t>331,7</w:t>
            </w:r>
          </w:p>
        </w:tc>
      </w:tr>
      <w:tr w:rsidR="00C00787" w:rsidRPr="00E55E40" w14:paraId="4154E920" w14:textId="77777777" w:rsidTr="00C00787">
        <w:trPr>
          <w:trHeight w:val="379"/>
        </w:trPr>
        <w:tc>
          <w:tcPr>
            <w:tcW w:w="3046" w:type="dxa"/>
            <w:vMerge/>
          </w:tcPr>
          <w:p w14:paraId="37812BC8" w14:textId="77777777" w:rsidR="00C00787" w:rsidRPr="00E55E40" w:rsidRDefault="00C00787" w:rsidP="00C00787">
            <w:pPr>
              <w:autoSpaceDE w:val="0"/>
              <w:autoSpaceDN w:val="0"/>
              <w:adjustRightInd w:val="0"/>
              <w:jc w:val="both"/>
              <w:rPr>
                <w:sz w:val="20"/>
                <w:szCs w:val="20"/>
              </w:rPr>
            </w:pPr>
          </w:p>
        </w:tc>
        <w:tc>
          <w:tcPr>
            <w:tcW w:w="3725" w:type="dxa"/>
            <w:vMerge/>
          </w:tcPr>
          <w:p w14:paraId="71795937" w14:textId="77777777" w:rsidR="00C00787" w:rsidRPr="00E55E40" w:rsidRDefault="00C00787" w:rsidP="00C00787">
            <w:pPr>
              <w:autoSpaceDE w:val="0"/>
              <w:autoSpaceDN w:val="0"/>
              <w:adjustRightInd w:val="0"/>
              <w:jc w:val="both"/>
              <w:rPr>
                <w:sz w:val="20"/>
                <w:szCs w:val="20"/>
              </w:rPr>
            </w:pPr>
          </w:p>
        </w:tc>
        <w:tc>
          <w:tcPr>
            <w:tcW w:w="1668" w:type="dxa"/>
          </w:tcPr>
          <w:p w14:paraId="576090B6" w14:textId="77777777" w:rsidR="00C00787" w:rsidRPr="00E55E40" w:rsidRDefault="00C00787" w:rsidP="00C00787">
            <w:pPr>
              <w:autoSpaceDE w:val="0"/>
              <w:autoSpaceDN w:val="0"/>
              <w:adjustRightInd w:val="0"/>
              <w:jc w:val="both"/>
              <w:rPr>
                <w:sz w:val="20"/>
                <w:szCs w:val="20"/>
              </w:rPr>
            </w:pPr>
            <w:r w:rsidRPr="00E55E40">
              <w:rPr>
                <w:sz w:val="20"/>
                <w:szCs w:val="20"/>
              </w:rPr>
              <w:t xml:space="preserve">Порядок </w:t>
            </w:r>
            <w:r w:rsidR="006C6BE9" w:rsidRPr="00E55E40">
              <w:rPr>
                <w:sz w:val="20"/>
                <w:szCs w:val="20"/>
              </w:rPr>
              <w:t>ГЦ</w:t>
            </w:r>
          </w:p>
        </w:tc>
        <w:tc>
          <w:tcPr>
            <w:tcW w:w="1241" w:type="dxa"/>
          </w:tcPr>
          <w:p w14:paraId="2E9C682A" w14:textId="77777777" w:rsidR="00C00787" w:rsidRPr="00E55E40" w:rsidRDefault="00C00787" w:rsidP="00C00787">
            <w:pPr>
              <w:autoSpaceDE w:val="0"/>
              <w:autoSpaceDN w:val="0"/>
              <w:adjustRightInd w:val="0"/>
              <w:jc w:val="center"/>
              <w:rPr>
                <w:sz w:val="20"/>
                <w:szCs w:val="20"/>
              </w:rPr>
            </w:pPr>
            <w:r w:rsidRPr="00E55E40">
              <w:rPr>
                <w:sz w:val="20"/>
                <w:szCs w:val="20"/>
              </w:rPr>
              <w:t>505,3</w:t>
            </w:r>
          </w:p>
        </w:tc>
      </w:tr>
      <w:tr w:rsidR="00C00787" w:rsidRPr="00E55E40" w14:paraId="39EBF71C" w14:textId="77777777" w:rsidTr="00C00787">
        <w:trPr>
          <w:trHeight w:val="430"/>
        </w:trPr>
        <w:tc>
          <w:tcPr>
            <w:tcW w:w="3046" w:type="dxa"/>
            <w:vMerge/>
          </w:tcPr>
          <w:p w14:paraId="7180509B" w14:textId="77777777" w:rsidR="00C00787" w:rsidRPr="00E55E40" w:rsidRDefault="00C00787" w:rsidP="00C00787">
            <w:pPr>
              <w:autoSpaceDE w:val="0"/>
              <w:autoSpaceDN w:val="0"/>
              <w:adjustRightInd w:val="0"/>
              <w:jc w:val="both"/>
              <w:rPr>
                <w:sz w:val="20"/>
                <w:szCs w:val="20"/>
              </w:rPr>
            </w:pPr>
          </w:p>
        </w:tc>
        <w:tc>
          <w:tcPr>
            <w:tcW w:w="3725" w:type="dxa"/>
            <w:vMerge/>
          </w:tcPr>
          <w:p w14:paraId="62A13E4C" w14:textId="77777777" w:rsidR="00C00787" w:rsidRPr="00E55E40" w:rsidRDefault="00C00787" w:rsidP="00C00787">
            <w:pPr>
              <w:autoSpaceDE w:val="0"/>
              <w:autoSpaceDN w:val="0"/>
              <w:adjustRightInd w:val="0"/>
              <w:jc w:val="both"/>
              <w:rPr>
                <w:sz w:val="20"/>
                <w:szCs w:val="20"/>
              </w:rPr>
            </w:pPr>
          </w:p>
        </w:tc>
        <w:tc>
          <w:tcPr>
            <w:tcW w:w="1668" w:type="dxa"/>
          </w:tcPr>
          <w:p w14:paraId="5EDFCA57" w14:textId="77777777" w:rsidR="00C00787" w:rsidRPr="00E55E40" w:rsidRDefault="00C00787" w:rsidP="006C6BE9">
            <w:pPr>
              <w:autoSpaceDE w:val="0"/>
              <w:autoSpaceDN w:val="0"/>
              <w:adjustRightInd w:val="0"/>
              <w:jc w:val="both"/>
              <w:rPr>
                <w:sz w:val="20"/>
                <w:szCs w:val="20"/>
              </w:rPr>
            </w:pPr>
            <w:r w:rsidRPr="00E55E40">
              <w:rPr>
                <w:sz w:val="20"/>
                <w:szCs w:val="20"/>
              </w:rPr>
              <w:t xml:space="preserve">Порядок </w:t>
            </w:r>
            <w:r w:rsidR="006C6BE9" w:rsidRPr="00E55E40">
              <w:rPr>
                <w:sz w:val="20"/>
                <w:szCs w:val="20"/>
              </w:rPr>
              <w:t>ДИМВ</w:t>
            </w:r>
          </w:p>
        </w:tc>
        <w:tc>
          <w:tcPr>
            <w:tcW w:w="1241" w:type="dxa"/>
          </w:tcPr>
          <w:p w14:paraId="4A62588D" w14:textId="77777777" w:rsidR="00C00787" w:rsidRPr="00E55E40" w:rsidRDefault="00C00787" w:rsidP="00C00787">
            <w:pPr>
              <w:autoSpaceDE w:val="0"/>
              <w:autoSpaceDN w:val="0"/>
              <w:adjustRightInd w:val="0"/>
              <w:jc w:val="center"/>
              <w:rPr>
                <w:sz w:val="20"/>
                <w:szCs w:val="20"/>
              </w:rPr>
            </w:pPr>
            <w:r w:rsidRPr="00E55E40">
              <w:rPr>
                <w:sz w:val="20"/>
                <w:szCs w:val="20"/>
              </w:rPr>
              <w:t>481,3</w:t>
            </w:r>
          </w:p>
        </w:tc>
      </w:tr>
    </w:tbl>
    <w:p w14:paraId="2C73B781" w14:textId="77777777" w:rsidR="006807DA" w:rsidRPr="00E55E40" w:rsidRDefault="006807DA" w:rsidP="00C00787">
      <w:pPr>
        <w:autoSpaceDE w:val="0"/>
        <w:autoSpaceDN w:val="0"/>
        <w:adjustRightInd w:val="0"/>
        <w:ind w:firstLine="709"/>
        <w:jc w:val="both"/>
        <w:rPr>
          <w:rFonts w:eastAsiaTheme="minorHAnsi"/>
          <w:lang w:eastAsia="en-US"/>
        </w:rPr>
      </w:pPr>
    </w:p>
    <w:p w14:paraId="6E538A88" w14:textId="77777777" w:rsidR="00C00787" w:rsidRPr="00E55E40" w:rsidRDefault="00C00787" w:rsidP="00C00787">
      <w:pPr>
        <w:autoSpaceDE w:val="0"/>
        <w:autoSpaceDN w:val="0"/>
        <w:adjustRightInd w:val="0"/>
        <w:ind w:firstLine="709"/>
        <w:jc w:val="both"/>
        <w:rPr>
          <w:rFonts w:eastAsiaTheme="minorHAnsi"/>
          <w:lang w:eastAsia="en-US"/>
        </w:rPr>
      </w:pPr>
      <w:r w:rsidRPr="00E55E40">
        <w:rPr>
          <w:rFonts w:eastAsiaTheme="minorHAnsi"/>
          <w:lang w:eastAsia="en-US"/>
        </w:rPr>
        <w:t>Из таблицы № 11 видно, что размер базового норматива затрат на оказание первой государственной услуги различался от 332,7 тыс. руб. при её оказании в ДПИ до 505,3 тыс. руб. при её оказании в ГЦ, или на 51,9% больше.</w:t>
      </w:r>
    </w:p>
    <w:p w14:paraId="15F665DD" w14:textId="77777777" w:rsidR="00C00787" w:rsidRPr="00E55E40" w:rsidRDefault="00C00787" w:rsidP="00C00787">
      <w:pPr>
        <w:autoSpaceDE w:val="0"/>
        <w:autoSpaceDN w:val="0"/>
        <w:adjustRightInd w:val="0"/>
        <w:ind w:firstLine="709"/>
        <w:jc w:val="both"/>
        <w:rPr>
          <w:rFonts w:eastAsiaTheme="minorHAnsi"/>
          <w:lang w:eastAsia="en-US"/>
        </w:rPr>
      </w:pPr>
      <w:r w:rsidRPr="00E55E40">
        <w:rPr>
          <w:rFonts w:eastAsiaTheme="minorHAnsi"/>
          <w:lang w:eastAsia="en-US"/>
        </w:rPr>
        <w:t>На оказание второй государственной услуги размер базового норматива затрат различался от 321,7 тыс. руб. при её оказании в ПНИ до 505,3 тыс. руб. при её оказании в ГЦ, или на 57% больше.</w:t>
      </w:r>
    </w:p>
    <w:p w14:paraId="28AE9CD6" w14:textId="77777777" w:rsidR="00C00787" w:rsidRPr="00E55E40" w:rsidRDefault="00C00787" w:rsidP="00C00787">
      <w:pPr>
        <w:autoSpaceDE w:val="0"/>
        <w:autoSpaceDN w:val="0"/>
        <w:adjustRightInd w:val="0"/>
        <w:ind w:firstLine="709"/>
        <w:jc w:val="both"/>
      </w:pPr>
      <w:r w:rsidRPr="00E55E40">
        <w:rPr>
          <w:rFonts w:eastAsiaTheme="minorHAnsi"/>
          <w:lang w:eastAsia="en-US"/>
        </w:rPr>
        <w:t>З</w:t>
      </w:r>
      <w:r w:rsidRPr="00E55E40">
        <w:t>начения базового норматива затрат на оказание государственных услуг в ГЦ были наибольшими во всём проверяемом периоде, кроме 2017 года.</w:t>
      </w:r>
    </w:p>
    <w:p w14:paraId="4DC39781" w14:textId="77777777" w:rsidR="009C2A29" w:rsidRPr="00E55E40" w:rsidRDefault="00C00787" w:rsidP="00773B44">
      <w:pPr>
        <w:autoSpaceDE w:val="0"/>
        <w:autoSpaceDN w:val="0"/>
        <w:adjustRightInd w:val="0"/>
        <w:ind w:firstLine="709"/>
        <w:jc w:val="both"/>
      </w:pPr>
      <w:r w:rsidRPr="00E55E40">
        <w:t xml:space="preserve">Сравнение структуры </w:t>
      </w:r>
      <w:r w:rsidR="009C2A29" w:rsidRPr="00E55E40">
        <w:t xml:space="preserve">утверждённых на 2018 год </w:t>
      </w:r>
      <w:r w:rsidRPr="00E55E40">
        <w:t>базовых нормативов затрат на оказание одинаковой государственной услуги в ДПИ и Г</w:t>
      </w:r>
      <w:r w:rsidR="009C654D" w:rsidRPr="00E55E40">
        <w:t>Ц</w:t>
      </w:r>
      <w:r w:rsidRPr="00E55E40">
        <w:t xml:space="preserve"> показало, что их различия обусловлены главным образом разным</w:t>
      </w:r>
      <w:r w:rsidR="009C2A29" w:rsidRPr="00E55E40">
        <w:t xml:space="preserve"> уровнем </w:t>
      </w:r>
      <w:r w:rsidRPr="00E55E40">
        <w:t>расход</w:t>
      </w:r>
      <w:r w:rsidR="009C2A29" w:rsidRPr="00E55E40">
        <w:t>ов</w:t>
      </w:r>
      <w:r w:rsidRPr="00E55E40">
        <w:t xml:space="preserve"> на оплату труда с начислениями (таблица № 12).</w:t>
      </w:r>
    </w:p>
    <w:p w14:paraId="639820EE" w14:textId="77777777" w:rsidR="00C00787" w:rsidRPr="00E55E40" w:rsidRDefault="00C00787" w:rsidP="00C00787">
      <w:pPr>
        <w:autoSpaceDE w:val="0"/>
        <w:autoSpaceDN w:val="0"/>
        <w:adjustRightInd w:val="0"/>
        <w:ind w:firstLine="709"/>
        <w:jc w:val="right"/>
      </w:pPr>
      <w:r w:rsidRPr="00E55E40">
        <w:t>Таблица № 12, тыс.руб.</w:t>
      </w:r>
    </w:p>
    <w:tbl>
      <w:tblPr>
        <w:tblW w:w="9435" w:type="dxa"/>
        <w:jc w:val="center"/>
        <w:tblLayout w:type="fixed"/>
        <w:tblLook w:val="04A0" w:firstRow="1" w:lastRow="0" w:firstColumn="1" w:lastColumn="0" w:noHBand="0" w:noVBand="1"/>
      </w:tblPr>
      <w:tblGrid>
        <w:gridCol w:w="2850"/>
        <w:gridCol w:w="1057"/>
        <w:gridCol w:w="992"/>
        <w:gridCol w:w="1276"/>
        <w:gridCol w:w="992"/>
        <w:gridCol w:w="992"/>
        <w:gridCol w:w="1276"/>
      </w:tblGrid>
      <w:tr w:rsidR="00C00787" w:rsidRPr="00E55E40" w14:paraId="12A0730B" w14:textId="77777777" w:rsidTr="00C00787">
        <w:trPr>
          <w:trHeight w:val="147"/>
          <w:jc w:val="center"/>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427F8" w14:textId="77777777" w:rsidR="00C00787" w:rsidRPr="00E55E40" w:rsidRDefault="00C00787" w:rsidP="00C00787">
            <w:pPr>
              <w:jc w:val="center"/>
              <w:rPr>
                <w:sz w:val="18"/>
                <w:szCs w:val="18"/>
              </w:rPr>
            </w:pPr>
            <w:r w:rsidRPr="00E55E40">
              <w:rPr>
                <w:sz w:val="18"/>
                <w:szCs w:val="18"/>
              </w:rPr>
              <w:t>Структура расходов, включенных в базовый норматив затрат</w:t>
            </w:r>
          </w:p>
        </w:tc>
        <w:tc>
          <w:tcPr>
            <w:tcW w:w="3325" w:type="dxa"/>
            <w:gridSpan w:val="3"/>
            <w:tcBorders>
              <w:top w:val="single" w:sz="4" w:space="0" w:color="auto"/>
              <w:left w:val="single" w:sz="4" w:space="0" w:color="auto"/>
              <w:bottom w:val="single" w:sz="4" w:space="0" w:color="auto"/>
              <w:right w:val="single" w:sz="4" w:space="0" w:color="auto"/>
            </w:tcBorders>
            <w:vAlign w:val="center"/>
          </w:tcPr>
          <w:p w14:paraId="11EE4950" w14:textId="77777777" w:rsidR="00C00787" w:rsidRPr="00E55E40" w:rsidRDefault="00C00787" w:rsidP="00C00787">
            <w:pPr>
              <w:jc w:val="center"/>
              <w:rPr>
                <w:sz w:val="18"/>
                <w:szCs w:val="18"/>
              </w:rPr>
            </w:pPr>
            <w:r w:rsidRPr="00E55E40">
              <w:rPr>
                <w:sz w:val="18"/>
                <w:szCs w:val="18"/>
              </w:rPr>
              <w:t>социальное обслуживание граждан, полностью утративших способность к самообслуживанию</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7D7F2AF8" w14:textId="77777777" w:rsidR="00C00787" w:rsidRPr="00E55E40" w:rsidRDefault="00C00787" w:rsidP="00C00787">
            <w:pPr>
              <w:jc w:val="center"/>
              <w:rPr>
                <w:sz w:val="18"/>
                <w:szCs w:val="18"/>
              </w:rPr>
            </w:pPr>
            <w:r w:rsidRPr="00E55E40">
              <w:rPr>
                <w:sz w:val="18"/>
                <w:szCs w:val="18"/>
              </w:rPr>
              <w:t>социальное обслуживание граждан, частично утративших способность к самообслуживанию</w:t>
            </w:r>
          </w:p>
        </w:tc>
      </w:tr>
      <w:tr w:rsidR="00C00787" w:rsidRPr="00E55E40" w14:paraId="4F573EC5" w14:textId="77777777" w:rsidTr="00C00787">
        <w:trPr>
          <w:trHeight w:val="413"/>
          <w:jc w:val="center"/>
        </w:trPr>
        <w:tc>
          <w:tcPr>
            <w:tcW w:w="2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A25B8" w14:textId="77777777" w:rsidR="00C00787" w:rsidRPr="00E55E40" w:rsidRDefault="00C00787" w:rsidP="00C00787">
            <w:pPr>
              <w:jc w:val="center"/>
              <w:rPr>
                <w:sz w:val="18"/>
                <w:szCs w:val="18"/>
              </w:rPr>
            </w:pPr>
          </w:p>
        </w:tc>
        <w:tc>
          <w:tcPr>
            <w:tcW w:w="1057" w:type="dxa"/>
            <w:tcBorders>
              <w:top w:val="single" w:sz="4" w:space="0" w:color="auto"/>
              <w:left w:val="single" w:sz="4" w:space="0" w:color="auto"/>
              <w:bottom w:val="single" w:sz="4" w:space="0" w:color="auto"/>
              <w:right w:val="single" w:sz="4" w:space="0" w:color="auto"/>
            </w:tcBorders>
            <w:vAlign w:val="center"/>
          </w:tcPr>
          <w:p w14:paraId="7335CA93" w14:textId="77777777" w:rsidR="00C00787" w:rsidRPr="00E55E40" w:rsidRDefault="00C00787" w:rsidP="00C00787">
            <w:pPr>
              <w:jc w:val="center"/>
              <w:rPr>
                <w:sz w:val="18"/>
                <w:szCs w:val="18"/>
              </w:rPr>
            </w:pPr>
            <w:r w:rsidRPr="00E55E40">
              <w:rPr>
                <w:sz w:val="18"/>
                <w:szCs w:val="18"/>
              </w:rPr>
              <w:t>Порядок</w:t>
            </w:r>
          </w:p>
          <w:p w14:paraId="71A95539" w14:textId="77777777" w:rsidR="00C00787" w:rsidRPr="00E55E40" w:rsidRDefault="00747088" w:rsidP="00C00787">
            <w:pPr>
              <w:jc w:val="center"/>
              <w:rPr>
                <w:sz w:val="18"/>
                <w:szCs w:val="18"/>
              </w:rPr>
            </w:pPr>
            <w:r w:rsidRPr="00E55E40">
              <w:rPr>
                <w:sz w:val="18"/>
                <w:szCs w:val="18"/>
              </w:rPr>
              <w:t>ДПИ</w:t>
            </w:r>
          </w:p>
        </w:tc>
        <w:tc>
          <w:tcPr>
            <w:tcW w:w="992" w:type="dxa"/>
            <w:tcBorders>
              <w:top w:val="single" w:sz="4" w:space="0" w:color="auto"/>
              <w:left w:val="single" w:sz="4" w:space="0" w:color="auto"/>
              <w:bottom w:val="single" w:sz="4" w:space="0" w:color="auto"/>
              <w:right w:val="single" w:sz="4" w:space="0" w:color="auto"/>
            </w:tcBorders>
            <w:vAlign w:val="center"/>
          </w:tcPr>
          <w:p w14:paraId="0837543C" w14:textId="77777777" w:rsidR="00C00787" w:rsidRPr="00E55E40" w:rsidRDefault="00C00787" w:rsidP="00C00787">
            <w:pPr>
              <w:jc w:val="center"/>
              <w:rPr>
                <w:sz w:val="18"/>
                <w:szCs w:val="18"/>
              </w:rPr>
            </w:pPr>
            <w:r w:rsidRPr="00E55E40">
              <w:rPr>
                <w:sz w:val="18"/>
                <w:szCs w:val="18"/>
              </w:rPr>
              <w:t>Порядок</w:t>
            </w:r>
          </w:p>
          <w:p w14:paraId="4DA74442" w14:textId="77777777" w:rsidR="00C00787" w:rsidRPr="00E55E40" w:rsidRDefault="00747088" w:rsidP="00C00787">
            <w:pPr>
              <w:jc w:val="center"/>
              <w:rPr>
                <w:sz w:val="18"/>
                <w:szCs w:val="18"/>
              </w:rPr>
            </w:pPr>
            <w:r w:rsidRPr="00E55E40">
              <w:rPr>
                <w:sz w:val="18"/>
                <w:szCs w:val="18"/>
              </w:rPr>
              <w:t>ГЦ</w:t>
            </w:r>
          </w:p>
        </w:tc>
        <w:tc>
          <w:tcPr>
            <w:tcW w:w="1276" w:type="dxa"/>
            <w:tcBorders>
              <w:top w:val="single" w:sz="4" w:space="0" w:color="auto"/>
              <w:left w:val="single" w:sz="4" w:space="0" w:color="auto"/>
              <w:bottom w:val="single" w:sz="4" w:space="0" w:color="auto"/>
              <w:right w:val="single" w:sz="4" w:space="0" w:color="auto"/>
            </w:tcBorders>
            <w:vAlign w:val="center"/>
          </w:tcPr>
          <w:p w14:paraId="24F2763D" w14:textId="77777777" w:rsidR="00C00787" w:rsidRPr="00E55E40" w:rsidRDefault="00C00787" w:rsidP="00C00787">
            <w:pPr>
              <w:jc w:val="center"/>
              <w:rPr>
                <w:sz w:val="18"/>
                <w:szCs w:val="18"/>
              </w:rPr>
            </w:pPr>
            <w:r w:rsidRPr="00E55E40">
              <w:rPr>
                <w:sz w:val="18"/>
                <w:szCs w:val="18"/>
              </w:rPr>
              <w:t>Отклонение</w:t>
            </w:r>
          </w:p>
        </w:tc>
        <w:tc>
          <w:tcPr>
            <w:tcW w:w="992" w:type="dxa"/>
            <w:tcBorders>
              <w:top w:val="single" w:sz="4" w:space="0" w:color="auto"/>
              <w:left w:val="single" w:sz="4" w:space="0" w:color="auto"/>
              <w:bottom w:val="single" w:sz="4" w:space="0" w:color="auto"/>
              <w:right w:val="single" w:sz="4" w:space="0" w:color="auto"/>
            </w:tcBorders>
            <w:vAlign w:val="center"/>
          </w:tcPr>
          <w:p w14:paraId="04AEC8F9" w14:textId="77777777" w:rsidR="00C00787" w:rsidRPr="00E55E40" w:rsidRDefault="00C00787" w:rsidP="00C00787">
            <w:pPr>
              <w:jc w:val="center"/>
              <w:rPr>
                <w:sz w:val="18"/>
                <w:szCs w:val="18"/>
              </w:rPr>
            </w:pPr>
            <w:r w:rsidRPr="00E55E40">
              <w:rPr>
                <w:sz w:val="18"/>
                <w:szCs w:val="18"/>
              </w:rPr>
              <w:t>Порядок</w:t>
            </w:r>
          </w:p>
          <w:p w14:paraId="40609E85" w14:textId="77777777" w:rsidR="00C00787" w:rsidRPr="00E55E40" w:rsidRDefault="00747088" w:rsidP="00C00787">
            <w:pPr>
              <w:jc w:val="center"/>
              <w:rPr>
                <w:sz w:val="18"/>
                <w:szCs w:val="18"/>
              </w:rPr>
            </w:pPr>
            <w:r w:rsidRPr="00E55E40">
              <w:rPr>
                <w:sz w:val="18"/>
                <w:szCs w:val="18"/>
              </w:rPr>
              <w:t>ДПИ</w:t>
            </w:r>
          </w:p>
        </w:tc>
        <w:tc>
          <w:tcPr>
            <w:tcW w:w="992" w:type="dxa"/>
            <w:tcBorders>
              <w:top w:val="single" w:sz="4" w:space="0" w:color="auto"/>
              <w:left w:val="single" w:sz="4" w:space="0" w:color="auto"/>
              <w:bottom w:val="single" w:sz="4" w:space="0" w:color="auto"/>
              <w:right w:val="single" w:sz="4" w:space="0" w:color="auto"/>
            </w:tcBorders>
            <w:vAlign w:val="center"/>
          </w:tcPr>
          <w:p w14:paraId="55AE38A5" w14:textId="77777777" w:rsidR="00C00787" w:rsidRPr="00E55E40" w:rsidRDefault="00C00787" w:rsidP="00C00787">
            <w:pPr>
              <w:jc w:val="center"/>
              <w:rPr>
                <w:sz w:val="18"/>
                <w:szCs w:val="18"/>
              </w:rPr>
            </w:pPr>
            <w:r w:rsidRPr="00E55E40">
              <w:rPr>
                <w:sz w:val="18"/>
                <w:szCs w:val="18"/>
              </w:rPr>
              <w:t>Порядок</w:t>
            </w:r>
          </w:p>
          <w:p w14:paraId="17BFF41A" w14:textId="77777777" w:rsidR="00C00787" w:rsidRPr="00E55E40" w:rsidRDefault="00747088" w:rsidP="00C00787">
            <w:pPr>
              <w:jc w:val="center"/>
              <w:rPr>
                <w:sz w:val="18"/>
                <w:szCs w:val="18"/>
              </w:rPr>
            </w:pPr>
            <w:r w:rsidRPr="00E55E40">
              <w:rPr>
                <w:sz w:val="18"/>
                <w:szCs w:val="18"/>
              </w:rPr>
              <w:t>ГЦ</w:t>
            </w:r>
          </w:p>
        </w:tc>
        <w:tc>
          <w:tcPr>
            <w:tcW w:w="1276" w:type="dxa"/>
            <w:tcBorders>
              <w:top w:val="single" w:sz="4" w:space="0" w:color="auto"/>
              <w:left w:val="single" w:sz="4" w:space="0" w:color="auto"/>
              <w:bottom w:val="single" w:sz="4" w:space="0" w:color="auto"/>
              <w:right w:val="single" w:sz="4" w:space="0" w:color="auto"/>
            </w:tcBorders>
            <w:vAlign w:val="center"/>
          </w:tcPr>
          <w:p w14:paraId="3A043AF9" w14:textId="77777777" w:rsidR="00C00787" w:rsidRPr="00E55E40" w:rsidRDefault="00C00787" w:rsidP="00C00787">
            <w:pPr>
              <w:jc w:val="center"/>
              <w:rPr>
                <w:sz w:val="18"/>
                <w:szCs w:val="18"/>
              </w:rPr>
            </w:pPr>
            <w:r w:rsidRPr="00E55E40">
              <w:rPr>
                <w:sz w:val="18"/>
                <w:szCs w:val="18"/>
              </w:rPr>
              <w:t>Отклонение</w:t>
            </w:r>
          </w:p>
        </w:tc>
      </w:tr>
      <w:tr w:rsidR="00C00787" w:rsidRPr="00E55E40" w14:paraId="389EA6F0" w14:textId="77777777" w:rsidTr="00C00787">
        <w:trPr>
          <w:trHeight w:val="183"/>
          <w:jc w:val="center"/>
        </w:trPr>
        <w:tc>
          <w:tcPr>
            <w:tcW w:w="943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10FDD03" w14:textId="77777777" w:rsidR="00C00787" w:rsidRPr="00E55E40" w:rsidRDefault="00C00787" w:rsidP="00C00787">
            <w:pPr>
              <w:rPr>
                <w:i/>
                <w:sz w:val="18"/>
                <w:szCs w:val="18"/>
              </w:rPr>
            </w:pPr>
            <w:r w:rsidRPr="00E55E40">
              <w:rPr>
                <w:i/>
                <w:sz w:val="18"/>
                <w:szCs w:val="18"/>
              </w:rPr>
              <w:t>затраты, непосредственно связанные с оказанием государственной услуги</w:t>
            </w:r>
          </w:p>
        </w:tc>
      </w:tr>
      <w:tr w:rsidR="00C00787" w:rsidRPr="00E55E40" w14:paraId="6AFE439D" w14:textId="77777777" w:rsidTr="00C00787">
        <w:trPr>
          <w:trHeight w:val="439"/>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71FC7" w14:textId="77777777" w:rsidR="00C00787" w:rsidRPr="00E55E40" w:rsidRDefault="00C00787" w:rsidP="00C00787">
            <w:pPr>
              <w:rPr>
                <w:sz w:val="18"/>
                <w:szCs w:val="18"/>
              </w:rPr>
            </w:pPr>
            <w:r w:rsidRPr="00E55E40">
              <w:rPr>
                <w:sz w:val="18"/>
                <w:szCs w:val="18"/>
              </w:rPr>
              <w:t>затраты на оплату труда с начислениями</w:t>
            </w:r>
          </w:p>
        </w:tc>
        <w:tc>
          <w:tcPr>
            <w:tcW w:w="1057" w:type="dxa"/>
            <w:tcBorders>
              <w:top w:val="single" w:sz="4" w:space="0" w:color="auto"/>
              <w:left w:val="single" w:sz="4" w:space="0" w:color="auto"/>
              <w:bottom w:val="single" w:sz="4" w:space="0" w:color="auto"/>
              <w:right w:val="single" w:sz="4" w:space="0" w:color="auto"/>
            </w:tcBorders>
            <w:vAlign w:val="center"/>
          </w:tcPr>
          <w:p w14:paraId="2A0ADFEC" w14:textId="77777777" w:rsidR="00C00787" w:rsidRPr="00E55E40" w:rsidRDefault="00C00787" w:rsidP="00C00787">
            <w:pPr>
              <w:jc w:val="center"/>
              <w:rPr>
                <w:sz w:val="18"/>
                <w:szCs w:val="18"/>
              </w:rPr>
            </w:pPr>
            <w:r w:rsidRPr="00E55E40">
              <w:rPr>
                <w:sz w:val="18"/>
                <w:szCs w:val="18"/>
              </w:rPr>
              <w:t>174,3</w:t>
            </w:r>
          </w:p>
        </w:tc>
        <w:tc>
          <w:tcPr>
            <w:tcW w:w="992" w:type="dxa"/>
            <w:tcBorders>
              <w:top w:val="single" w:sz="4" w:space="0" w:color="auto"/>
              <w:left w:val="single" w:sz="4" w:space="0" w:color="auto"/>
              <w:bottom w:val="single" w:sz="4" w:space="0" w:color="auto"/>
              <w:right w:val="single" w:sz="4" w:space="0" w:color="auto"/>
            </w:tcBorders>
            <w:vAlign w:val="center"/>
          </w:tcPr>
          <w:p w14:paraId="7E3D3746" w14:textId="77777777" w:rsidR="00C00787" w:rsidRPr="00E55E40" w:rsidRDefault="00C00787" w:rsidP="00C00787">
            <w:pPr>
              <w:jc w:val="center"/>
              <w:rPr>
                <w:sz w:val="18"/>
                <w:szCs w:val="18"/>
              </w:rPr>
            </w:pPr>
            <w:r w:rsidRPr="00E55E40">
              <w:rPr>
                <w:sz w:val="18"/>
                <w:szCs w:val="18"/>
              </w:rPr>
              <w:t>263,4</w:t>
            </w:r>
          </w:p>
        </w:tc>
        <w:tc>
          <w:tcPr>
            <w:tcW w:w="1276" w:type="dxa"/>
            <w:tcBorders>
              <w:top w:val="single" w:sz="4" w:space="0" w:color="auto"/>
              <w:left w:val="single" w:sz="4" w:space="0" w:color="auto"/>
              <w:bottom w:val="single" w:sz="4" w:space="0" w:color="auto"/>
              <w:right w:val="single" w:sz="4" w:space="0" w:color="auto"/>
            </w:tcBorders>
            <w:vAlign w:val="center"/>
          </w:tcPr>
          <w:p w14:paraId="0D7E70C5" w14:textId="77777777" w:rsidR="00C00787" w:rsidRPr="00E55E40" w:rsidRDefault="00C00787" w:rsidP="00C00787">
            <w:pPr>
              <w:jc w:val="center"/>
              <w:rPr>
                <w:sz w:val="18"/>
                <w:szCs w:val="18"/>
              </w:rPr>
            </w:pPr>
            <w:r w:rsidRPr="00E55E40">
              <w:rPr>
                <w:sz w:val="18"/>
                <w:szCs w:val="18"/>
              </w:rPr>
              <w:t>+89,1</w:t>
            </w:r>
          </w:p>
        </w:tc>
        <w:tc>
          <w:tcPr>
            <w:tcW w:w="992" w:type="dxa"/>
            <w:tcBorders>
              <w:top w:val="single" w:sz="4" w:space="0" w:color="auto"/>
              <w:left w:val="single" w:sz="4" w:space="0" w:color="auto"/>
              <w:bottom w:val="single" w:sz="4" w:space="0" w:color="auto"/>
              <w:right w:val="single" w:sz="4" w:space="0" w:color="auto"/>
            </w:tcBorders>
            <w:vAlign w:val="center"/>
          </w:tcPr>
          <w:p w14:paraId="46B8DE41" w14:textId="77777777" w:rsidR="00C00787" w:rsidRPr="00E55E40" w:rsidRDefault="00C00787" w:rsidP="00C00787">
            <w:pPr>
              <w:jc w:val="center"/>
              <w:rPr>
                <w:sz w:val="18"/>
                <w:szCs w:val="18"/>
              </w:rPr>
            </w:pPr>
            <w:r w:rsidRPr="00E55E40">
              <w:rPr>
                <w:sz w:val="18"/>
                <w:szCs w:val="18"/>
              </w:rPr>
              <w:t>168,9</w:t>
            </w:r>
          </w:p>
        </w:tc>
        <w:tc>
          <w:tcPr>
            <w:tcW w:w="992" w:type="dxa"/>
            <w:tcBorders>
              <w:top w:val="single" w:sz="4" w:space="0" w:color="auto"/>
              <w:left w:val="single" w:sz="4" w:space="0" w:color="auto"/>
              <w:bottom w:val="single" w:sz="4" w:space="0" w:color="auto"/>
              <w:right w:val="single" w:sz="4" w:space="0" w:color="auto"/>
            </w:tcBorders>
            <w:vAlign w:val="center"/>
          </w:tcPr>
          <w:p w14:paraId="3D332F4B" w14:textId="77777777" w:rsidR="00C00787" w:rsidRPr="00E55E40" w:rsidRDefault="00C00787" w:rsidP="00C00787">
            <w:pPr>
              <w:jc w:val="center"/>
              <w:rPr>
                <w:sz w:val="18"/>
                <w:szCs w:val="18"/>
              </w:rPr>
            </w:pPr>
            <w:r w:rsidRPr="00E55E40">
              <w:rPr>
                <w:sz w:val="18"/>
                <w:szCs w:val="18"/>
              </w:rPr>
              <w:t>263,4</w:t>
            </w:r>
          </w:p>
        </w:tc>
        <w:tc>
          <w:tcPr>
            <w:tcW w:w="1276" w:type="dxa"/>
            <w:tcBorders>
              <w:top w:val="single" w:sz="4" w:space="0" w:color="auto"/>
              <w:left w:val="single" w:sz="4" w:space="0" w:color="auto"/>
              <w:bottom w:val="single" w:sz="4" w:space="0" w:color="auto"/>
              <w:right w:val="single" w:sz="4" w:space="0" w:color="auto"/>
            </w:tcBorders>
            <w:vAlign w:val="center"/>
          </w:tcPr>
          <w:p w14:paraId="6FAA1541" w14:textId="77777777" w:rsidR="00C00787" w:rsidRPr="00E55E40" w:rsidRDefault="00C00787" w:rsidP="00C00787">
            <w:pPr>
              <w:jc w:val="center"/>
              <w:rPr>
                <w:sz w:val="18"/>
                <w:szCs w:val="18"/>
              </w:rPr>
            </w:pPr>
            <w:r w:rsidRPr="00E55E40">
              <w:rPr>
                <w:sz w:val="18"/>
                <w:szCs w:val="18"/>
              </w:rPr>
              <w:t>+94.5</w:t>
            </w:r>
          </w:p>
        </w:tc>
      </w:tr>
      <w:tr w:rsidR="00C00787" w:rsidRPr="00E55E40" w14:paraId="1054F59D" w14:textId="77777777" w:rsidTr="00C00787">
        <w:trPr>
          <w:trHeight w:val="400"/>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4D88B" w14:textId="77777777" w:rsidR="00C00787" w:rsidRPr="00E55E40" w:rsidRDefault="00C00787" w:rsidP="00C00787">
            <w:pPr>
              <w:rPr>
                <w:sz w:val="18"/>
                <w:szCs w:val="18"/>
              </w:rPr>
            </w:pPr>
            <w:r w:rsidRPr="00E55E40">
              <w:rPr>
                <w:sz w:val="18"/>
                <w:szCs w:val="18"/>
              </w:rPr>
              <w:t>затраты на приобретение материальных запасов</w:t>
            </w:r>
          </w:p>
        </w:tc>
        <w:tc>
          <w:tcPr>
            <w:tcW w:w="1057" w:type="dxa"/>
            <w:tcBorders>
              <w:top w:val="single" w:sz="4" w:space="0" w:color="auto"/>
              <w:left w:val="single" w:sz="4" w:space="0" w:color="auto"/>
              <w:bottom w:val="single" w:sz="4" w:space="0" w:color="auto"/>
              <w:right w:val="single" w:sz="4" w:space="0" w:color="auto"/>
            </w:tcBorders>
            <w:vAlign w:val="center"/>
          </w:tcPr>
          <w:p w14:paraId="18A425BD" w14:textId="77777777" w:rsidR="00C00787" w:rsidRPr="00E55E40" w:rsidRDefault="00C00787" w:rsidP="00C00787">
            <w:pPr>
              <w:jc w:val="center"/>
              <w:rPr>
                <w:sz w:val="18"/>
                <w:szCs w:val="18"/>
              </w:rPr>
            </w:pPr>
            <w:r w:rsidRPr="00E55E40">
              <w:rPr>
                <w:sz w:val="18"/>
                <w:szCs w:val="18"/>
              </w:rPr>
              <w:t>86,1</w:t>
            </w:r>
          </w:p>
        </w:tc>
        <w:tc>
          <w:tcPr>
            <w:tcW w:w="992" w:type="dxa"/>
            <w:tcBorders>
              <w:top w:val="single" w:sz="4" w:space="0" w:color="auto"/>
              <w:left w:val="single" w:sz="4" w:space="0" w:color="auto"/>
              <w:bottom w:val="single" w:sz="4" w:space="0" w:color="auto"/>
              <w:right w:val="single" w:sz="4" w:space="0" w:color="auto"/>
            </w:tcBorders>
            <w:vAlign w:val="center"/>
          </w:tcPr>
          <w:p w14:paraId="6C4883F2" w14:textId="77777777" w:rsidR="00C00787" w:rsidRPr="00E55E40" w:rsidRDefault="00C00787" w:rsidP="00C00787">
            <w:pPr>
              <w:jc w:val="center"/>
              <w:rPr>
                <w:sz w:val="18"/>
                <w:szCs w:val="18"/>
              </w:rPr>
            </w:pPr>
            <w:r w:rsidRPr="00E55E40">
              <w:rPr>
                <w:sz w:val="18"/>
                <w:szCs w:val="18"/>
              </w:rPr>
              <w:t>82,2</w:t>
            </w:r>
          </w:p>
        </w:tc>
        <w:tc>
          <w:tcPr>
            <w:tcW w:w="1276" w:type="dxa"/>
            <w:tcBorders>
              <w:top w:val="single" w:sz="4" w:space="0" w:color="auto"/>
              <w:left w:val="single" w:sz="4" w:space="0" w:color="auto"/>
              <w:bottom w:val="single" w:sz="4" w:space="0" w:color="auto"/>
              <w:right w:val="single" w:sz="4" w:space="0" w:color="auto"/>
            </w:tcBorders>
            <w:vAlign w:val="center"/>
          </w:tcPr>
          <w:p w14:paraId="34FAD546" w14:textId="77777777" w:rsidR="00C00787" w:rsidRPr="00E55E40" w:rsidRDefault="00C00787" w:rsidP="00C00787">
            <w:pPr>
              <w:jc w:val="center"/>
              <w:rPr>
                <w:sz w:val="18"/>
                <w:szCs w:val="18"/>
              </w:rPr>
            </w:pPr>
            <w:r w:rsidRPr="00E55E40">
              <w:rPr>
                <w:sz w:val="18"/>
                <w:szCs w:val="18"/>
              </w:rPr>
              <w:t>-3,9</w:t>
            </w:r>
          </w:p>
        </w:tc>
        <w:tc>
          <w:tcPr>
            <w:tcW w:w="992" w:type="dxa"/>
            <w:tcBorders>
              <w:top w:val="single" w:sz="4" w:space="0" w:color="auto"/>
              <w:left w:val="single" w:sz="4" w:space="0" w:color="auto"/>
              <w:bottom w:val="single" w:sz="4" w:space="0" w:color="auto"/>
              <w:right w:val="single" w:sz="4" w:space="0" w:color="auto"/>
            </w:tcBorders>
            <w:vAlign w:val="center"/>
          </w:tcPr>
          <w:p w14:paraId="15D4A9BC" w14:textId="77777777" w:rsidR="00C00787" w:rsidRPr="00E55E40" w:rsidRDefault="00C00787" w:rsidP="00C00787">
            <w:pPr>
              <w:jc w:val="center"/>
              <w:rPr>
                <w:sz w:val="18"/>
                <w:szCs w:val="18"/>
              </w:rPr>
            </w:pPr>
            <w:r w:rsidRPr="00E55E40">
              <w:rPr>
                <w:sz w:val="18"/>
                <w:szCs w:val="18"/>
              </w:rPr>
              <w:t>59,6</w:t>
            </w:r>
          </w:p>
        </w:tc>
        <w:tc>
          <w:tcPr>
            <w:tcW w:w="992" w:type="dxa"/>
            <w:tcBorders>
              <w:top w:val="single" w:sz="4" w:space="0" w:color="auto"/>
              <w:left w:val="single" w:sz="4" w:space="0" w:color="auto"/>
              <w:bottom w:val="single" w:sz="4" w:space="0" w:color="auto"/>
              <w:right w:val="single" w:sz="4" w:space="0" w:color="auto"/>
            </w:tcBorders>
            <w:vAlign w:val="center"/>
          </w:tcPr>
          <w:p w14:paraId="1A8059D4" w14:textId="77777777" w:rsidR="00C00787" w:rsidRPr="00E55E40" w:rsidRDefault="00C00787" w:rsidP="00C00787">
            <w:pPr>
              <w:jc w:val="center"/>
              <w:rPr>
                <w:sz w:val="18"/>
                <w:szCs w:val="18"/>
              </w:rPr>
            </w:pPr>
            <w:r w:rsidRPr="00E55E40">
              <w:rPr>
                <w:sz w:val="18"/>
                <w:szCs w:val="18"/>
              </w:rPr>
              <w:t>82,2</w:t>
            </w:r>
          </w:p>
        </w:tc>
        <w:tc>
          <w:tcPr>
            <w:tcW w:w="1276" w:type="dxa"/>
            <w:tcBorders>
              <w:top w:val="single" w:sz="4" w:space="0" w:color="auto"/>
              <w:left w:val="single" w:sz="4" w:space="0" w:color="auto"/>
              <w:bottom w:val="single" w:sz="4" w:space="0" w:color="auto"/>
              <w:right w:val="single" w:sz="4" w:space="0" w:color="auto"/>
            </w:tcBorders>
            <w:vAlign w:val="center"/>
          </w:tcPr>
          <w:p w14:paraId="4902ED43" w14:textId="77777777" w:rsidR="00C00787" w:rsidRPr="00E55E40" w:rsidRDefault="00C00787" w:rsidP="00C00787">
            <w:pPr>
              <w:jc w:val="center"/>
              <w:rPr>
                <w:sz w:val="18"/>
                <w:szCs w:val="18"/>
              </w:rPr>
            </w:pPr>
            <w:r w:rsidRPr="00E55E40">
              <w:rPr>
                <w:sz w:val="18"/>
                <w:szCs w:val="18"/>
              </w:rPr>
              <w:t>+22,6</w:t>
            </w:r>
          </w:p>
        </w:tc>
      </w:tr>
      <w:tr w:rsidR="00C00787" w:rsidRPr="00E55E40" w14:paraId="637424D9" w14:textId="77777777" w:rsidTr="00C00787">
        <w:trPr>
          <w:trHeight w:val="247"/>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F4C72" w14:textId="77777777" w:rsidR="00C00787" w:rsidRPr="00E55E40" w:rsidRDefault="00C00787" w:rsidP="00C00787">
            <w:pPr>
              <w:rPr>
                <w:sz w:val="18"/>
                <w:szCs w:val="18"/>
              </w:rPr>
            </w:pPr>
            <w:r w:rsidRPr="00E55E40">
              <w:rPr>
                <w:sz w:val="18"/>
                <w:szCs w:val="18"/>
              </w:rPr>
              <w:t>иные затраты</w:t>
            </w:r>
          </w:p>
        </w:tc>
        <w:tc>
          <w:tcPr>
            <w:tcW w:w="1057" w:type="dxa"/>
            <w:tcBorders>
              <w:top w:val="single" w:sz="4" w:space="0" w:color="auto"/>
              <w:left w:val="single" w:sz="4" w:space="0" w:color="auto"/>
              <w:bottom w:val="single" w:sz="4" w:space="0" w:color="auto"/>
              <w:right w:val="single" w:sz="4" w:space="0" w:color="auto"/>
            </w:tcBorders>
            <w:vAlign w:val="center"/>
          </w:tcPr>
          <w:p w14:paraId="31048509" w14:textId="77777777" w:rsidR="00C00787" w:rsidRPr="00E55E40" w:rsidRDefault="00C00787" w:rsidP="00C00787">
            <w:pPr>
              <w:jc w:val="center"/>
              <w:rPr>
                <w:sz w:val="18"/>
                <w:szCs w:val="18"/>
              </w:rPr>
            </w:pPr>
            <w:r w:rsidRPr="00E55E40">
              <w:rPr>
                <w:sz w:val="18"/>
                <w:szCs w:val="18"/>
              </w:rPr>
              <w:t>5,6</w:t>
            </w:r>
          </w:p>
        </w:tc>
        <w:tc>
          <w:tcPr>
            <w:tcW w:w="992" w:type="dxa"/>
            <w:tcBorders>
              <w:top w:val="single" w:sz="4" w:space="0" w:color="auto"/>
              <w:left w:val="single" w:sz="4" w:space="0" w:color="auto"/>
              <w:bottom w:val="single" w:sz="4" w:space="0" w:color="auto"/>
              <w:right w:val="single" w:sz="4" w:space="0" w:color="auto"/>
            </w:tcBorders>
            <w:vAlign w:val="center"/>
          </w:tcPr>
          <w:p w14:paraId="15707906" w14:textId="77777777" w:rsidR="00C00787" w:rsidRPr="00E55E40" w:rsidRDefault="00C00787" w:rsidP="00C00787">
            <w:pPr>
              <w:jc w:val="center"/>
              <w:rPr>
                <w:sz w:val="18"/>
                <w:szCs w:val="18"/>
              </w:rPr>
            </w:pPr>
            <w:r w:rsidRPr="00E55E40">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6DF8AFD" w14:textId="77777777" w:rsidR="00C00787" w:rsidRPr="00E55E40" w:rsidRDefault="00C00787" w:rsidP="00C00787">
            <w:pPr>
              <w:jc w:val="center"/>
              <w:rPr>
                <w:sz w:val="18"/>
                <w:szCs w:val="18"/>
              </w:rPr>
            </w:pPr>
            <w:r w:rsidRPr="00E55E40">
              <w:rPr>
                <w:sz w:val="18"/>
                <w:szCs w:val="18"/>
              </w:rPr>
              <w:t>-5,6</w:t>
            </w:r>
          </w:p>
        </w:tc>
        <w:tc>
          <w:tcPr>
            <w:tcW w:w="992" w:type="dxa"/>
            <w:tcBorders>
              <w:top w:val="single" w:sz="4" w:space="0" w:color="auto"/>
              <w:left w:val="single" w:sz="4" w:space="0" w:color="auto"/>
              <w:bottom w:val="single" w:sz="4" w:space="0" w:color="auto"/>
              <w:right w:val="single" w:sz="4" w:space="0" w:color="auto"/>
            </w:tcBorders>
            <w:vAlign w:val="center"/>
          </w:tcPr>
          <w:p w14:paraId="18E3BB0B" w14:textId="77777777" w:rsidR="00C00787" w:rsidRPr="00E55E40" w:rsidRDefault="00C00787" w:rsidP="00C00787">
            <w:pPr>
              <w:jc w:val="center"/>
              <w:rPr>
                <w:sz w:val="18"/>
                <w:szCs w:val="18"/>
              </w:rPr>
            </w:pPr>
            <w:r w:rsidRPr="00E55E40">
              <w:rPr>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738B5222" w14:textId="77777777" w:rsidR="00C00787" w:rsidRPr="00E55E40" w:rsidRDefault="00C00787" w:rsidP="00C00787">
            <w:pPr>
              <w:jc w:val="center"/>
              <w:rPr>
                <w:sz w:val="18"/>
                <w:szCs w:val="18"/>
              </w:rPr>
            </w:pPr>
            <w:r w:rsidRPr="00E55E40">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42DAEAF2" w14:textId="77777777" w:rsidR="00C00787" w:rsidRPr="00E55E40" w:rsidRDefault="00C00787" w:rsidP="00C00787">
            <w:pPr>
              <w:jc w:val="center"/>
              <w:rPr>
                <w:sz w:val="18"/>
                <w:szCs w:val="18"/>
              </w:rPr>
            </w:pPr>
            <w:r w:rsidRPr="00E55E40">
              <w:rPr>
                <w:sz w:val="18"/>
                <w:szCs w:val="18"/>
              </w:rPr>
              <w:t>-2</w:t>
            </w:r>
          </w:p>
        </w:tc>
      </w:tr>
      <w:tr w:rsidR="00C00787" w:rsidRPr="00E55E40" w14:paraId="1F0FA1B5" w14:textId="77777777" w:rsidTr="00C00787">
        <w:trPr>
          <w:trHeight w:val="140"/>
          <w:jc w:val="center"/>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79B677FD" w14:textId="77777777" w:rsidR="00C00787" w:rsidRPr="00E55E40" w:rsidRDefault="00C00787" w:rsidP="00C00787">
            <w:pPr>
              <w:rPr>
                <w:b/>
                <w:bCs/>
                <w:sz w:val="18"/>
                <w:szCs w:val="18"/>
              </w:rPr>
            </w:pPr>
            <w:r w:rsidRPr="00E55E40">
              <w:rPr>
                <w:b/>
                <w:bCs/>
                <w:sz w:val="18"/>
                <w:szCs w:val="18"/>
              </w:rPr>
              <w:t>итого</w:t>
            </w:r>
          </w:p>
        </w:tc>
        <w:tc>
          <w:tcPr>
            <w:tcW w:w="1057" w:type="dxa"/>
            <w:tcBorders>
              <w:top w:val="nil"/>
              <w:left w:val="single" w:sz="4" w:space="0" w:color="auto"/>
              <w:bottom w:val="single" w:sz="4" w:space="0" w:color="auto"/>
              <w:right w:val="single" w:sz="4" w:space="0" w:color="auto"/>
            </w:tcBorders>
            <w:vAlign w:val="center"/>
          </w:tcPr>
          <w:p w14:paraId="682618F9" w14:textId="77777777" w:rsidR="00C00787" w:rsidRPr="00E55E40" w:rsidRDefault="00C00787" w:rsidP="00C00787">
            <w:pPr>
              <w:jc w:val="center"/>
              <w:rPr>
                <w:b/>
                <w:bCs/>
                <w:sz w:val="18"/>
                <w:szCs w:val="18"/>
              </w:rPr>
            </w:pPr>
            <w:r w:rsidRPr="00E55E40">
              <w:rPr>
                <w:b/>
                <w:bCs/>
                <w:sz w:val="18"/>
                <w:szCs w:val="18"/>
              </w:rPr>
              <w:t>266</w:t>
            </w:r>
          </w:p>
        </w:tc>
        <w:tc>
          <w:tcPr>
            <w:tcW w:w="992" w:type="dxa"/>
            <w:tcBorders>
              <w:top w:val="nil"/>
              <w:left w:val="single" w:sz="4" w:space="0" w:color="auto"/>
              <w:bottom w:val="single" w:sz="4" w:space="0" w:color="auto"/>
              <w:right w:val="single" w:sz="4" w:space="0" w:color="auto"/>
            </w:tcBorders>
            <w:vAlign w:val="center"/>
          </w:tcPr>
          <w:p w14:paraId="1898F03C" w14:textId="77777777" w:rsidR="00C00787" w:rsidRPr="00E55E40" w:rsidRDefault="00C00787" w:rsidP="00C00787">
            <w:pPr>
              <w:jc w:val="center"/>
              <w:rPr>
                <w:b/>
                <w:bCs/>
                <w:sz w:val="18"/>
                <w:szCs w:val="18"/>
              </w:rPr>
            </w:pPr>
            <w:r w:rsidRPr="00E55E40">
              <w:rPr>
                <w:b/>
                <w:bCs/>
                <w:sz w:val="18"/>
                <w:szCs w:val="18"/>
              </w:rPr>
              <w:t>345,6</w:t>
            </w:r>
          </w:p>
        </w:tc>
        <w:tc>
          <w:tcPr>
            <w:tcW w:w="1276" w:type="dxa"/>
            <w:tcBorders>
              <w:top w:val="nil"/>
              <w:left w:val="single" w:sz="4" w:space="0" w:color="auto"/>
              <w:bottom w:val="single" w:sz="4" w:space="0" w:color="auto"/>
              <w:right w:val="single" w:sz="4" w:space="0" w:color="auto"/>
            </w:tcBorders>
            <w:vAlign w:val="center"/>
          </w:tcPr>
          <w:p w14:paraId="3E44F73A" w14:textId="77777777" w:rsidR="00C00787" w:rsidRPr="00E55E40" w:rsidRDefault="00C00787" w:rsidP="00C00787">
            <w:pPr>
              <w:jc w:val="center"/>
              <w:rPr>
                <w:b/>
                <w:sz w:val="18"/>
                <w:szCs w:val="18"/>
              </w:rPr>
            </w:pPr>
            <w:r w:rsidRPr="00E55E40">
              <w:rPr>
                <w:b/>
                <w:sz w:val="18"/>
                <w:szCs w:val="18"/>
              </w:rPr>
              <w:t>+79,6</w:t>
            </w:r>
          </w:p>
        </w:tc>
        <w:tc>
          <w:tcPr>
            <w:tcW w:w="992" w:type="dxa"/>
            <w:tcBorders>
              <w:top w:val="nil"/>
              <w:left w:val="single" w:sz="4" w:space="0" w:color="auto"/>
              <w:bottom w:val="single" w:sz="4" w:space="0" w:color="auto"/>
              <w:right w:val="single" w:sz="4" w:space="0" w:color="auto"/>
            </w:tcBorders>
            <w:vAlign w:val="center"/>
          </w:tcPr>
          <w:p w14:paraId="76CD4635" w14:textId="77777777" w:rsidR="00C00787" w:rsidRPr="00E55E40" w:rsidRDefault="00C00787" w:rsidP="00C00787">
            <w:pPr>
              <w:jc w:val="center"/>
              <w:rPr>
                <w:b/>
                <w:bCs/>
                <w:sz w:val="18"/>
                <w:szCs w:val="18"/>
              </w:rPr>
            </w:pPr>
            <w:r w:rsidRPr="00E55E40">
              <w:rPr>
                <w:b/>
                <w:bCs/>
                <w:sz w:val="18"/>
                <w:szCs w:val="18"/>
              </w:rPr>
              <w:t>230,5</w:t>
            </w:r>
          </w:p>
        </w:tc>
        <w:tc>
          <w:tcPr>
            <w:tcW w:w="992" w:type="dxa"/>
            <w:tcBorders>
              <w:top w:val="nil"/>
              <w:left w:val="single" w:sz="4" w:space="0" w:color="auto"/>
              <w:bottom w:val="single" w:sz="4" w:space="0" w:color="auto"/>
              <w:right w:val="single" w:sz="4" w:space="0" w:color="auto"/>
            </w:tcBorders>
            <w:vAlign w:val="center"/>
          </w:tcPr>
          <w:p w14:paraId="3C0B4CCD" w14:textId="77777777" w:rsidR="00C00787" w:rsidRPr="00E55E40" w:rsidRDefault="00C00787" w:rsidP="00C00787">
            <w:pPr>
              <w:jc w:val="center"/>
              <w:rPr>
                <w:b/>
                <w:bCs/>
                <w:sz w:val="18"/>
                <w:szCs w:val="18"/>
              </w:rPr>
            </w:pPr>
            <w:r w:rsidRPr="00E55E40">
              <w:rPr>
                <w:b/>
                <w:bCs/>
                <w:sz w:val="18"/>
                <w:szCs w:val="18"/>
              </w:rPr>
              <w:t>345,6</w:t>
            </w:r>
          </w:p>
        </w:tc>
        <w:tc>
          <w:tcPr>
            <w:tcW w:w="1276" w:type="dxa"/>
            <w:tcBorders>
              <w:top w:val="nil"/>
              <w:left w:val="single" w:sz="4" w:space="0" w:color="auto"/>
              <w:bottom w:val="single" w:sz="4" w:space="0" w:color="auto"/>
              <w:right w:val="single" w:sz="4" w:space="0" w:color="auto"/>
            </w:tcBorders>
            <w:vAlign w:val="center"/>
          </w:tcPr>
          <w:p w14:paraId="188E1D88" w14:textId="77777777" w:rsidR="00C00787" w:rsidRPr="00E55E40" w:rsidRDefault="00C00787" w:rsidP="00C00787">
            <w:pPr>
              <w:jc w:val="center"/>
              <w:rPr>
                <w:b/>
                <w:sz w:val="18"/>
                <w:szCs w:val="18"/>
              </w:rPr>
            </w:pPr>
            <w:r w:rsidRPr="00E55E40">
              <w:rPr>
                <w:b/>
                <w:sz w:val="18"/>
                <w:szCs w:val="18"/>
              </w:rPr>
              <w:t>115,1</w:t>
            </w:r>
          </w:p>
        </w:tc>
      </w:tr>
      <w:tr w:rsidR="00C00787" w:rsidRPr="00E55E40" w14:paraId="6E4C75BE" w14:textId="77777777" w:rsidTr="00C00787">
        <w:trPr>
          <w:trHeight w:val="194"/>
          <w:jc w:val="center"/>
        </w:trPr>
        <w:tc>
          <w:tcPr>
            <w:tcW w:w="9435" w:type="dxa"/>
            <w:gridSpan w:val="7"/>
            <w:tcBorders>
              <w:top w:val="nil"/>
              <w:left w:val="single" w:sz="4" w:space="0" w:color="auto"/>
              <w:bottom w:val="single" w:sz="4" w:space="0" w:color="auto"/>
              <w:right w:val="single" w:sz="4" w:space="0" w:color="auto"/>
            </w:tcBorders>
            <w:shd w:val="clear" w:color="auto" w:fill="auto"/>
            <w:vAlign w:val="bottom"/>
            <w:hideMark/>
          </w:tcPr>
          <w:p w14:paraId="35BB522E" w14:textId="77777777" w:rsidR="00C00787" w:rsidRPr="00E55E40" w:rsidRDefault="00C00787" w:rsidP="00C00787">
            <w:pPr>
              <w:rPr>
                <w:i/>
                <w:sz w:val="18"/>
                <w:szCs w:val="18"/>
              </w:rPr>
            </w:pPr>
            <w:r w:rsidRPr="00E55E40">
              <w:rPr>
                <w:i/>
                <w:sz w:val="18"/>
                <w:szCs w:val="18"/>
              </w:rPr>
              <w:t>затраты на общехозяйственные нужды</w:t>
            </w:r>
          </w:p>
        </w:tc>
      </w:tr>
      <w:tr w:rsidR="00C00787" w:rsidRPr="00E55E40" w14:paraId="6D369084" w14:textId="77777777" w:rsidTr="00773B44">
        <w:trPr>
          <w:trHeight w:val="132"/>
          <w:jc w:val="center"/>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064DDB5C" w14:textId="77777777" w:rsidR="00C00787" w:rsidRPr="00E55E40" w:rsidRDefault="00C00787" w:rsidP="00C00787">
            <w:pPr>
              <w:rPr>
                <w:sz w:val="18"/>
                <w:szCs w:val="18"/>
              </w:rPr>
            </w:pPr>
            <w:r w:rsidRPr="00E55E40">
              <w:rPr>
                <w:sz w:val="18"/>
                <w:szCs w:val="18"/>
              </w:rPr>
              <w:t>затраты на оплату труда</w:t>
            </w:r>
          </w:p>
        </w:tc>
        <w:tc>
          <w:tcPr>
            <w:tcW w:w="1057" w:type="dxa"/>
            <w:tcBorders>
              <w:top w:val="nil"/>
              <w:left w:val="single" w:sz="4" w:space="0" w:color="auto"/>
              <w:bottom w:val="single" w:sz="4" w:space="0" w:color="auto"/>
              <w:right w:val="single" w:sz="4" w:space="0" w:color="auto"/>
            </w:tcBorders>
            <w:vAlign w:val="center"/>
          </w:tcPr>
          <w:p w14:paraId="73E50A19" w14:textId="77777777" w:rsidR="00C00787" w:rsidRPr="00E55E40" w:rsidRDefault="00C00787" w:rsidP="00C00787">
            <w:pPr>
              <w:jc w:val="center"/>
              <w:rPr>
                <w:sz w:val="18"/>
                <w:szCs w:val="18"/>
              </w:rPr>
            </w:pPr>
            <w:r w:rsidRPr="00E55E40">
              <w:rPr>
                <w:sz w:val="18"/>
                <w:szCs w:val="18"/>
              </w:rPr>
              <w:t>34,8</w:t>
            </w:r>
          </w:p>
        </w:tc>
        <w:tc>
          <w:tcPr>
            <w:tcW w:w="992" w:type="dxa"/>
            <w:tcBorders>
              <w:top w:val="nil"/>
              <w:left w:val="single" w:sz="4" w:space="0" w:color="auto"/>
              <w:bottom w:val="single" w:sz="4" w:space="0" w:color="auto"/>
              <w:right w:val="single" w:sz="4" w:space="0" w:color="auto"/>
            </w:tcBorders>
            <w:vAlign w:val="center"/>
          </w:tcPr>
          <w:p w14:paraId="34C14B55" w14:textId="77777777" w:rsidR="00C00787" w:rsidRPr="00E55E40" w:rsidRDefault="00C00787" w:rsidP="00C00787">
            <w:pPr>
              <w:jc w:val="center"/>
              <w:rPr>
                <w:sz w:val="18"/>
                <w:szCs w:val="18"/>
              </w:rPr>
            </w:pPr>
            <w:r w:rsidRPr="00E55E40">
              <w:rPr>
                <w:sz w:val="18"/>
                <w:szCs w:val="18"/>
              </w:rPr>
              <w:t>98,9</w:t>
            </w:r>
          </w:p>
        </w:tc>
        <w:tc>
          <w:tcPr>
            <w:tcW w:w="1276" w:type="dxa"/>
            <w:tcBorders>
              <w:top w:val="nil"/>
              <w:left w:val="single" w:sz="4" w:space="0" w:color="auto"/>
              <w:bottom w:val="single" w:sz="4" w:space="0" w:color="auto"/>
              <w:right w:val="single" w:sz="4" w:space="0" w:color="auto"/>
            </w:tcBorders>
            <w:vAlign w:val="center"/>
          </w:tcPr>
          <w:p w14:paraId="7673C53B" w14:textId="77777777" w:rsidR="00C00787" w:rsidRPr="00E55E40" w:rsidRDefault="00C00787" w:rsidP="00C00787">
            <w:pPr>
              <w:jc w:val="center"/>
              <w:rPr>
                <w:sz w:val="18"/>
                <w:szCs w:val="18"/>
              </w:rPr>
            </w:pPr>
            <w:r w:rsidRPr="00E55E40">
              <w:rPr>
                <w:sz w:val="18"/>
                <w:szCs w:val="18"/>
              </w:rPr>
              <w:t>+64,1</w:t>
            </w:r>
          </w:p>
        </w:tc>
        <w:tc>
          <w:tcPr>
            <w:tcW w:w="992" w:type="dxa"/>
            <w:tcBorders>
              <w:top w:val="nil"/>
              <w:left w:val="single" w:sz="4" w:space="0" w:color="auto"/>
              <w:bottom w:val="single" w:sz="4" w:space="0" w:color="auto"/>
              <w:right w:val="single" w:sz="4" w:space="0" w:color="auto"/>
            </w:tcBorders>
            <w:vAlign w:val="center"/>
          </w:tcPr>
          <w:p w14:paraId="526261F7" w14:textId="77777777" w:rsidR="00C00787" w:rsidRPr="00E55E40" w:rsidRDefault="00C00787" w:rsidP="00C00787">
            <w:pPr>
              <w:jc w:val="center"/>
              <w:rPr>
                <w:sz w:val="18"/>
                <w:szCs w:val="18"/>
              </w:rPr>
            </w:pPr>
            <w:r w:rsidRPr="00E55E40">
              <w:rPr>
                <w:sz w:val="18"/>
                <w:szCs w:val="18"/>
              </w:rPr>
              <w:t>51,8</w:t>
            </w:r>
          </w:p>
        </w:tc>
        <w:tc>
          <w:tcPr>
            <w:tcW w:w="992" w:type="dxa"/>
            <w:tcBorders>
              <w:top w:val="nil"/>
              <w:left w:val="single" w:sz="4" w:space="0" w:color="auto"/>
              <w:bottom w:val="single" w:sz="4" w:space="0" w:color="auto"/>
              <w:right w:val="single" w:sz="4" w:space="0" w:color="auto"/>
            </w:tcBorders>
            <w:vAlign w:val="center"/>
          </w:tcPr>
          <w:p w14:paraId="2355328C" w14:textId="77777777" w:rsidR="00C00787" w:rsidRPr="00E55E40" w:rsidRDefault="00C00787" w:rsidP="00C00787">
            <w:pPr>
              <w:jc w:val="center"/>
              <w:rPr>
                <w:sz w:val="18"/>
                <w:szCs w:val="18"/>
              </w:rPr>
            </w:pPr>
            <w:r w:rsidRPr="00E55E40">
              <w:rPr>
                <w:sz w:val="18"/>
                <w:szCs w:val="18"/>
              </w:rPr>
              <w:t>98,9</w:t>
            </w:r>
          </w:p>
        </w:tc>
        <w:tc>
          <w:tcPr>
            <w:tcW w:w="1276" w:type="dxa"/>
            <w:tcBorders>
              <w:top w:val="nil"/>
              <w:left w:val="single" w:sz="4" w:space="0" w:color="auto"/>
              <w:bottom w:val="single" w:sz="4" w:space="0" w:color="auto"/>
              <w:right w:val="single" w:sz="4" w:space="0" w:color="auto"/>
            </w:tcBorders>
            <w:vAlign w:val="center"/>
          </w:tcPr>
          <w:p w14:paraId="1680FB54" w14:textId="77777777" w:rsidR="00C00787" w:rsidRPr="00E55E40" w:rsidRDefault="00C00787" w:rsidP="00C00787">
            <w:pPr>
              <w:jc w:val="center"/>
              <w:rPr>
                <w:sz w:val="18"/>
                <w:szCs w:val="18"/>
              </w:rPr>
            </w:pPr>
            <w:r w:rsidRPr="00E55E40">
              <w:rPr>
                <w:sz w:val="18"/>
                <w:szCs w:val="18"/>
              </w:rPr>
              <w:t>+47,1</w:t>
            </w:r>
          </w:p>
        </w:tc>
      </w:tr>
      <w:tr w:rsidR="00C00787" w:rsidRPr="00E55E40" w14:paraId="47A31FB0" w14:textId="77777777" w:rsidTr="00773B44">
        <w:trPr>
          <w:trHeight w:val="206"/>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31156" w14:textId="77777777" w:rsidR="00C00787" w:rsidRPr="00E55E40" w:rsidRDefault="00C00787" w:rsidP="00C00787">
            <w:pPr>
              <w:rPr>
                <w:sz w:val="18"/>
                <w:szCs w:val="18"/>
              </w:rPr>
            </w:pPr>
            <w:r w:rsidRPr="00E55E40">
              <w:rPr>
                <w:sz w:val="18"/>
                <w:szCs w:val="18"/>
              </w:rPr>
              <w:t>затраты на услуги связи</w:t>
            </w:r>
          </w:p>
        </w:tc>
        <w:tc>
          <w:tcPr>
            <w:tcW w:w="1057" w:type="dxa"/>
            <w:tcBorders>
              <w:top w:val="single" w:sz="4" w:space="0" w:color="auto"/>
              <w:left w:val="single" w:sz="4" w:space="0" w:color="auto"/>
              <w:bottom w:val="single" w:sz="4" w:space="0" w:color="auto"/>
              <w:right w:val="single" w:sz="4" w:space="0" w:color="auto"/>
            </w:tcBorders>
            <w:vAlign w:val="center"/>
          </w:tcPr>
          <w:p w14:paraId="4ACCF3F9" w14:textId="77777777" w:rsidR="00C00787" w:rsidRPr="00E55E40" w:rsidRDefault="00C00787" w:rsidP="00C00787">
            <w:pPr>
              <w:jc w:val="center"/>
              <w:rPr>
                <w:sz w:val="18"/>
                <w:szCs w:val="18"/>
              </w:rPr>
            </w:pPr>
            <w:r w:rsidRPr="00E55E40">
              <w:rPr>
                <w:sz w:val="18"/>
                <w:szCs w:val="18"/>
              </w:rPr>
              <w:t>0,6</w:t>
            </w:r>
          </w:p>
        </w:tc>
        <w:tc>
          <w:tcPr>
            <w:tcW w:w="992" w:type="dxa"/>
            <w:tcBorders>
              <w:top w:val="single" w:sz="4" w:space="0" w:color="auto"/>
              <w:left w:val="single" w:sz="4" w:space="0" w:color="auto"/>
              <w:bottom w:val="single" w:sz="4" w:space="0" w:color="auto"/>
              <w:right w:val="single" w:sz="4" w:space="0" w:color="auto"/>
            </w:tcBorders>
            <w:vAlign w:val="center"/>
          </w:tcPr>
          <w:p w14:paraId="33B8683B" w14:textId="77777777" w:rsidR="00C00787" w:rsidRPr="00E55E40" w:rsidRDefault="00C00787" w:rsidP="00C00787">
            <w:pPr>
              <w:jc w:val="center"/>
              <w:rPr>
                <w:sz w:val="18"/>
                <w:szCs w:val="18"/>
              </w:rPr>
            </w:pPr>
            <w:r w:rsidRPr="00E55E40">
              <w:rPr>
                <w:sz w:val="18"/>
                <w:szCs w:val="18"/>
              </w:rPr>
              <w:t>2,6</w:t>
            </w:r>
          </w:p>
        </w:tc>
        <w:tc>
          <w:tcPr>
            <w:tcW w:w="1276" w:type="dxa"/>
            <w:tcBorders>
              <w:top w:val="single" w:sz="4" w:space="0" w:color="auto"/>
              <w:left w:val="single" w:sz="4" w:space="0" w:color="auto"/>
              <w:bottom w:val="single" w:sz="4" w:space="0" w:color="auto"/>
              <w:right w:val="single" w:sz="4" w:space="0" w:color="auto"/>
            </w:tcBorders>
            <w:vAlign w:val="center"/>
          </w:tcPr>
          <w:p w14:paraId="448371EE" w14:textId="77777777" w:rsidR="00C00787" w:rsidRPr="00E55E40" w:rsidRDefault="00C00787" w:rsidP="00C00787">
            <w:pPr>
              <w:jc w:val="center"/>
              <w:rPr>
                <w:sz w:val="18"/>
                <w:szCs w:val="18"/>
              </w:rPr>
            </w:pPr>
            <w:r w:rsidRPr="00E55E40">
              <w:rPr>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01B690C8" w14:textId="77777777" w:rsidR="00C00787" w:rsidRPr="00E55E40" w:rsidRDefault="00C00787" w:rsidP="00C00787">
            <w:pPr>
              <w:jc w:val="center"/>
              <w:rPr>
                <w:sz w:val="18"/>
                <w:szCs w:val="18"/>
              </w:rPr>
            </w:pPr>
            <w:r w:rsidRPr="00E55E40">
              <w:rPr>
                <w:sz w:val="18"/>
                <w:szCs w:val="18"/>
              </w:rPr>
              <w:t>1,5</w:t>
            </w:r>
          </w:p>
        </w:tc>
        <w:tc>
          <w:tcPr>
            <w:tcW w:w="992" w:type="dxa"/>
            <w:tcBorders>
              <w:top w:val="single" w:sz="4" w:space="0" w:color="auto"/>
              <w:left w:val="single" w:sz="4" w:space="0" w:color="auto"/>
              <w:bottom w:val="single" w:sz="4" w:space="0" w:color="auto"/>
              <w:right w:val="single" w:sz="4" w:space="0" w:color="auto"/>
            </w:tcBorders>
            <w:vAlign w:val="center"/>
          </w:tcPr>
          <w:p w14:paraId="53DCE98D" w14:textId="77777777" w:rsidR="00C00787" w:rsidRPr="00E55E40" w:rsidRDefault="00C00787" w:rsidP="00C00787">
            <w:pPr>
              <w:jc w:val="center"/>
              <w:rPr>
                <w:sz w:val="18"/>
                <w:szCs w:val="18"/>
              </w:rPr>
            </w:pPr>
            <w:r w:rsidRPr="00E55E40">
              <w:rPr>
                <w:sz w:val="18"/>
                <w:szCs w:val="18"/>
              </w:rPr>
              <w:t>2,6</w:t>
            </w:r>
          </w:p>
        </w:tc>
        <w:tc>
          <w:tcPr>
            <w:tcW w:w="1276" w:type="dxa"/>
            <w:tcBorders>
              <w:top w:val="single" w:sz="4" w:space="0" w:color="auto"/>
              <w:left w:val="single" w:sz="4" w:space="0" w:color="auto"/>
              <w:bottom w:val="single" w:sz="4" w:space="0" w:color="auto"/>
              <w:right w:val="single" w:sz="4" w:space="0" w:color="auto"/>
            </w:tcBorders>
            <w:vAlign w:val="center"/>
          </w:tcPr>
          <w:p w14:paraId="5CF89619" w14:textId="77777777" w:rsidR="00C00787" w:rsidRPr="00E55E40" w:rsidRDefault="00C00787" w:rsidP="00C00787">
            <w:pPr>
              <w:jc w:val="center"/>
              <w:rPr>
                <w:sz w:val="18"/>
                <w:szCs w:val="18"/>
              </w:rPr>
            </w:pPr>
            <w:r w:rsidRPr="00E55E40">
              <w:rPr>
                <w:sz w:val="18"/>
                <w:szCs w:val="18"/>
              </w:rPr>
              <w:t>+1,1</w:t>
            </w:r>
          </w:p>
        </w:tc>
      </w:tr>
      <w:tr w:rsidR="00C00787" w:rsidRPr="00E55E40" w14:paraId="45745531" w14:textId="77777777" w:rsidTr="00773B44">
        <w:trPr>
          <w:trHeight w:val="124"/>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037E46" w14:textId="77777777" w:rsidR="00C00787" w:rsidRPr="00E55E40" w:rsidRDefault="00C00787" w:rsidP="00C00787">
            <w:pPr>
              <w:rPr>
                <w:sz w:val="18"/>
                <w:szCs w:val="18"/>
              </w:rPr>
            </w:pPr>
            <w:r w:rsidRPr="00E55E40">
              <w:rPr>
                <w:sz w:val="18"/>
                <w:szCs w:val="18"/>
              </w:rPr>
              <w:t>затраты на коммунальные услуги</w:t>
            </w:r>
          </w:p>
        </w:tc>
        <w:tc>
          <w:tcPr>
            <w:tcW w:w="1057" w:type="dxa"/>
            <w:tcBorders>
              <w:top w:val="single" w:sz="4" w:space="0" w:color="auto"/>
              <w:left w:val="single" w:sz="4" w:space="0" w:color="auto"/>
              <w:bottom w:val="single" w:sz="4" w:space="0" w:color="auto"/>
              <w:right w:val="single" w:sz="4" w:space="0" w:color="auto"/>
            </w:tcBorders>
            <w:vAlign w:val="center"/>
          </w:tcPr>
          <w:p w14:paraId="19102D62" w14:textId="77777777" w:rsidR="00C00787" w:rsidRPr="00E55E40" w:rsidRDefault="00C00787" w:rsidP="00C00787">
            <w:pPr>
              <w:jc w:val="center"/>
              <w:rPr>
                <w:sz w:val="18"/>
                <w:szCs w:val="18"/>
              </w:rPr>
            </w:pPr>
            <w:r w:rsidRPr="00E55E40">
              <w:rPr>
                <w:sz w:val="18"/>
                <w:szCs w:val="18"/>
              </w:rPr>
              <w:t>19,6</w:t>
            </w:r>
          </w:p>
        </w:tc>
        <w:tc>
          <w:tcPr>
            <w:tcW w:w="992" w:type="dxa"/>
            <w:tcBorders>
              <w:top w:val="single" w:sz="4" w:space="0" w:color="auto"/>
              <w:left w:val="single" w:sz="4" w:space="0" w:color="auto"/>
              <w:bottom w:val="single" w:sz="4" w:space="0" w:color="auto"/>
              <w:right w:val="single" w:sz="4" w:space="0" w:color="auto"/>
            </w:tcBorders>
            <w:vAlign w:val="center"/>
          </w:tcPr>
          <w:p w14:paraId="1CA9B5F0" w14:textId="77777777" w:rsidR="00C00787" w:rsidRPr="00E55E40" w:rsidRDefault="00C00787" w:rsidP="00C00787">
            <w:pPr>
              <w:jc w:val="center"/>
              <w:rPr>
                <w:sz w:val="18"/>
                <w:szCs w:val="18"/>
              </w:rPr>
            </w:pPr>
            <w:r w:rsidRPr="00E55E40">
              <w:rPr>
                <w:sz w:val="18"/>
                <w:szCs w:val="18"/>
              </w:rPr>
              <w:t>33,2</w:t>
            </w:r>
          </w:p>
        </w:tc>
        <w:tc>
          <w:tcPr>
            <w:tcW w:w="1276" w:type="dxa"/>
            <w:tcBorders>
              <w:top w:val="single" w:sz="4" w:space="0" w:color="auto"/>
              <w:left w:val="single" w:sz="4" w:space="0" w:color="auto"/>
              <w:bottom w:val="single" w:sz="4" w:space="0" w:color="auto"/>
              <w:right w:val="single" w:sz="4" w:space="0" w:color="auto"/>
            </w:tcBorders>
            <w:vAlign w:val="center"/>
          </w:tcPr>
          <w:p w14:paraId="35B5678B" w14:textId="77777777" w:rsidR="00C00787" w:rsidRPr="00E55E40" w:rsidRDefault="00C00787" w:rsidP="00C00787">
            <w:pPr>
              <w:jc w:val="center"/>
              <w:rPr>
                <w:sz w:val="18"/>
                <w:szCs w:val="18"/>
              </w:rPr>
            </w:pPr>
            <w:r w:rsidRPr="00E55E40">
              <w:rPr>
                <w:sz w:val="18"/>
                <w:szCs w:val="18"/>
              </w:rPr>
              <w:t>+13,5</w:t>
            </w:r>
          </w:p>
        </w:tc>
        <w:tc>
          <w:tcPr>
            <w:tcW w:w="992" w:type="dxa"/>
            <w:tcBorders>
              <w:top w:val="single" w:sz="4" w:space="0" w:color="auto"/>
              <w:left w:val="single" w:sz="4" w:space="0" w:color="auto"/>
              <w:bottom w:val="single" w:sz="4" w:space="0" w:color="auto"/>
              <w:right w:val="single" w:sz="4" w:space="0" w:color="auto"/>
            </w:tcBorders>
            <w:vAlign w:val="center"/>
          </w:tcPr>
          <w:p w14:paraId="0B52118C" w14:textId="77777777" w:rsidR="00C00787" w:rsidRPr="00E55E40" w:rsidRDefault="00C00787" w:rsidP="00C00787">
            <w:pPr>
              <w:jc w:val="center"/>
              <w:rPr>
                <w:sz w:val="18"/>
                <w:szCs w:val="18"/>
              </w:rPr>
            </w:pPr>
            <w:r w:rsidRPr="00E55E40">
              <w:rPr>
                <w:sz w:val="18"/>
                <w:szCs w:val="18"/>
              </w:rPr>
              <w:t>30,6</w:t>
            </w:r>
          </w:p>
        </w:tc>
        <w:tc>
          <w:tcPr>
            <w:tcW w:w="992" w:type="dxa"/>
            <w:tcBorders>
              <w:top w:val="single" w:sz="4" w:space="0" w:color="auto"/>
              <w:left w:val="single" w:sz="4" w:space="0" w:color="auto"/>
              <w:bottom w:val="single" w:sz="4" w:space="0" w:color="auto"/>
              <w:right w:val="single" w:sz="4" w:space="0" w:color="auto"/>
            </w:tcBorders>
            <w:vAlign w:val="center"/>
          </w:tcPr>
          <w:p w14:paraId="6677D75D" w14:textId="77777777" w:rsidR="00C00787" w:rsidRPr="00E55E40" w:rsidRDefault="00C00787" w:rsidP="00C00787">
            <w:pPr>
              <w:jc w:val="center"/>
              <w:rPr>
                <w:sz w:val="18"/>
                <w:szCs w:val="18"/>
              </w:rPr>
            </w:pPr>
            <w:r w:rsidRPr="00E55E40">
              <w:rPr>
                <w:sz w:val="18"/>
                <w:szCs w:val="18"/>
              </w:rPr>
              <w:t>33,2</w:t>
            </w:r>
          </w:p>
        </w:tc>
        <w:tc>
          <w:tcPr>
            <w:tcW w:w="1276" w:type="dxa"/>
            <w:tcBorders>
              <w:top w:val="single" w:sz="4" w:space="0" w:color="auto"/>
              <w:left w:val="single" w:sz="4" w:space="0" w:color="auto"/>
              <w:bottom w:val="single" w:sz="4" w:space="0" w:color="auto"/>
              <w:right w:val="single" w:sz="4" w:space="0" w:color="auto"/>
            </w:tcBorders>
            <w:vAlign w:val="center"/>
          </w:tcPr>
          <w:p w14:paraId="1E8DEAC5" w14:textId="77777777" w:rsidR="00C00787" w:rsidRPr="00E55E40" w:rsidRDefault="00C00787" w:rsidP="00C00787">
            <w:pPr>
              <w:jc w:val="center"/>
              <w:rPr>
                <w:sz w:val="18"/>
                <w:szCs w:val="18"/>
              </w:rPr>
            </w:pPr>
            <w:r w:rsidRPr="00E55E40">
              <w:rPr>
                <w:sz w:val="18"/>
                <w:szCs w:val="18"/>
              </w:rPr>
              <w:t>+2,5</w:t>
            </w:r>
          </w:p>
        </w:tc>
      </w:tr>
      <w:tr w:rsidR="00C00787" w:rsidRPr="00E55E40" w14:paraId="406D75C9" w14:textId="77777777" w:rsidTr="00C00787">
        <w:trPr>
          <w:trHeight w:val="325"/>
          <w:jc w:val="center"/>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1AF51989" w14:textId="77777777" w:rsidR="00C00787" w:rsidRPr="00E55E40" w:rsidRDefault="00C00787" w:rsidP="00C00787">
            <w:pPr>
              <w:rPr>
                <w:sz w:val="18"/>
                <w:szCs w:val="18"/>
              </w:rPr>
            </w:pPr>
            <w:r w:rsidRPr="00E55E40">
              <w:rPr>
                <w:sz w:val="18"/>
                <w:szCs w:val="18"/>
              </w:rPr>
              <w:t>затраты на содержание недвижимого имущества</w:t>
            </w:r>
          </w:p>
        </w:tc>
        <w:tc>
          <w:tcPr>
            <w:tcW w:w="1057" w:type="dxa"/>
            <w:tcBorders>
              <w:top w:val="nil"/>
              <w:left w:val="single" w:sz="4" w:space="0" w:color="auto"/>
              <w:bottom w:val="single" w:sz="4" w:space="0" w:color="auto"/>
              <w:right w:val="single" w:sz="4" w:space="0" w:color="auto"/>
            </w:tcBorders>
            <w:vAlign w:val="center"/>
          </w:tcPr>
          <w:p w14:paraId="47E1635A" w14:textId="77777777" w:rsidR="00C00787" w:rsidRPr="00E55E40" w:rsidRDefault="00C00787" w:rsidP="00C00787">
            <w:pPr>
              <w:jc w:val="center"/>
              <w:rPr>
                <w:sz w:val="18"/>
                <w:szCs w:val="18"/>
              </w:rPr>
            </w:pPr>
            <w:r w:rsidRPr="00E55E40">
              <w:rPr>
                <w:sz w:val="18"/>
                <w:szCs w:val="18"/>
              </w:rPr>
              <w:t>0</w:t>
            </w:r>
          </w:p>
        </w:tc>
        <w:tc>
          <w:tcPr>
            <w:tcW w:w="992" w:type="dxa"/>
            <w:tcBorders>
              <w:top w:val="nil"/>
              <w:left w:val="single" w:sz="4" w:space="0" w:color="auto"/>
              <w:bottom w:val="single" w:sz="4" w:space="0" w:color="auto"/>
              <w:right w:val="single" w:sz="4" w:space="0" w:color="auto"/>
            </w:tcBorders>
            <w:vAlign w:val="center"/>
          </w:tcPr>
          <w:p w14:paraId="2CAD5195" w14:textId="77777777" w:rsidR="00C00787" w:rsidRPr="00E55E40" w:rsidRDefault="00C00787" w:rsidP="00C00787">
            <w:pPr>
              <w:jc w:val="center"/>
              <w:rPr>
                <w:sz w:val="18"/>
                <w:szCs w:val="18"/>
              </w:rPr>
            </w:pPr>
            <w:r w:rsidRPr="00E55E40">
              <w:rPr>
                <w:sz w:val="18"/>
                <w:szCs w:val="18"/>
              </w:rPr>
              <w:t>0</w:t>
            </w:r>
          </w:p>
        </w:tc>
        <w:tc>
          <w:tcPr>
            <w:tcW w:w="1276" w:type="dxa"/>
            <w:tcBorders>
              <w:top w:val="nil"/>
              <w:left w:val="single" w:sz="4" w:space="0" w:color="auto"/>
              <w:bottom w:val="single" w:sz="4" w:space="0" w:color="auto"/>
              <w:right w:val="single" w:sz="4" w:space="0" w:color="auto"/>
            </w:tcBorders>
            <w:vAlign w:val="center"/>
          </w:tcPr>
          <w:p w14:paraId="101F8B76" w14:textId="77777777" w:rsidR="00C00787" w:rsidRPr="00E55E40" w:rsidRDefault="00C00787" w:rsidP="00C00787">
            <w:pPr>
              <w:jc w:val="center"/>
              <w:rPr>
                <w:sz w:val="18"/>
                <w:szCs w:val="18"/>
              </w:rPr>
            </w:pPr>
            <w:r w:rsidRPr="00E55E40">
              <w:rPr>
                <w:sz w:val="18"/>
                <w:szCs w:val="18"/>
              </w:rPr>
              <w:t>0</w:t>
            </w:r>
          </w:p>
        </w:tc>
        <w:tc>
          <w:tcPr>
            <w:tcW w:w="992" w:type="dxa"/>
            <w:tcBorders>
              <w:top w:val="nil"/>
              <w:left w:val="single" w:sz="4" w:space="0" w:color="auto"/>
              <w:bottom w:val="single" w:sz="4" w:space="0" w:color="auto"/>
              <w:right w:val="single" w:sz="4" w:space="0" w:color="auto"/>
            </w:tcBorders>
            <w:vAlign w:val="center"/>
          </w:tcPr>
          <w:p w14:paraId="2535E88A" w14:textId="77777777" w:rsidR="00C00787" w:rsidRPr="00E55E40" w:rsidRDefault="00C00787" w:rsidP="00C00787">
            <w:pPr>
              <w:jc w:val="center"/>
              <w:rPr>
                <w:sz w:val="18"/>
                <w:szCs w:val="18"/>
              </w:rPr>
            </w:pPr>
            <w:r w:rsidRPr="00E55E40">
              <w:rPr>
                <w:sz w:val="18"/>
                <w:szCs w:val="18"/>
              </w:rPr>
              <w:t>0,6</w:t>
            </w:r>
          </w:p>
        </w:tc>
        <w:tc>
          <w:tcPr>
            <w:tcW w:w="992" w:type="dxa"/>
            <w:tcBorders>
              <w:top w:val="nil"/>
              <w:left w:val="single" w:sz="4" w:space="0" w:color="auto"/>
              <w:bottom w:val="single" w:sz="4" w:space="0" w:color="auto"/>
              <w:right w:val="single" w:sz="4" w:space="0" w:color="auto"/>
            </w:tcBorders>
            <w:vAlign w:val="center"/>
          </w:tcPr>
          <w:p w14:paraId="2026B23A" w14:textId="77777777" w:rsidR="00C00787" w:rsidRPr="00E55E40" w:rsidRDefault="00C00787" w:rsidP="00C00787">
            <w:pPr>
              <w:jc w:val="center"/>
              <w:rPr>
                <w:sz w:val="18"/>
                <w:szCs w:val="18"/>
              </w:rPr>
            </w:pPr>
            <w:r w:rsidRPr="00E55E40">
              <w:rPr>
                <w:sz w:val="18"/>
                <w:szCs w:val="18"/>
              </w:rPr>
              <w:t>0</w:t>
            </w:r>
          </w:p>
        </w:tc>
        <w:tc>
          <w:tcPr>
            <w:tcW w:w="1276" w:type="dxa"/>
            <w:tcBorders>
              <w:top w:val="nil"/>
              <w:left w:val="single" w:sz="4" w:space="0" w:color="auto"/>
              <w:bottom w:val="single" w:sz="4" w:space="0" w:color="auto"/>
              <w:right w:val="single" w:sz="4" w:space="0" w:color="auto"/>
            </w:tcBorders>
            <w:vAlign w:val="center"/>
          </w:tcPr>
          <w:p w14:paraId="0790287A" w14:textId="77777777" w:rsidR="00C00787" w:rsidRPr="00E55E40" w:rsidRDefault="00C00787" w:rsidP="00C00787">
            <w:pPr>
              <w:jc w:val="center"/>
              <w:rPr>
                <w:sz w:val="18"/>
                <w:szCs w:val="18"/>
              </w:rPr>
            </w:pPr>
            <w:r w:rsidRPr="00E55E40">
              <w:rPr>
                <w:sz w:val="18"/>
                <w:szCs w:val="18"/>
              </w:rPr>
              <w:t>-0,6</w:t>
            </w:r>
          </w:p>
        </w:tc>
      </w:tr>
      <w:tr w:rsidR="00C00787" w:rsidRPr="00E55E40" w14:paraId="0278354B" w14:textId="77777777" w:rsidTr="00C00787">
        <w:trPr>
          <w:trHeight w:val="379"/>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C72F7" w14:textId="77777777" w:rsidR="00C00787" w:rsidRPr="00E55E40" w:rsidRDefault="00C00787" w:rsidP="00C00787">
            <w:pPr>
              <w:rPr>
                <w:sz w:val="18"/>
                <w:szCs w:val="18"/>
              </w:rPr>
            </w:pPr>
            <w:r w:rsidRPr="00E55E40">
              <w:rPr>
                <w:sz w:val="18"/>
                <w:szCs w:val="18"/>
              </w:rPr>
              <w:t xml:space="preserve">затраты на содержание особо ценного движимого имущества </w:t>
            </w:r>
          </w:p>
        </w:tc>
        <w:tc>
          <w:tcPr>
            <w:tcW w:w="1057" w:type="dxa"/>
            <w:tcBorders>
              <w:top w:val="single" w:sz="4" w:space="0" w:color="auto"/>
              <w:left w:val="single" w:sz="4" w:space="0" w:color="auto"/>
              <w:bottom w:val="single" w:sz="4" w:space="0" w:color="auto"/>
              <w:right w:val="single" w:sz="4" w:space="0" w:color="auto"/>
            </w:tcBorders>
            <w:vAlign w:val="center"/>
          </w:tcPr>
          <w:p w14:paraId="09E34A7F" w14:textId="77777777" w:rsidR="00C00787" w:rsidRPr="00E55E40" w:rsidRDefault="00C00787" w:rsidP="00C00787">
            <w:pPr>
              <w:jc w:val="center"/>
              <w:rPr>
                <w:sz w:val="18"/>
                <w:szCs w:val="18"/>
              </w:rPr>
            </w:pPr>
            <w:r w:rsidRPr="00E55E40">
              <w:rPr>
                <w:sz w:val="18"/>
                <w:szCs w:val="18"/>
              </w:rPr>
              <w:t>3,3</w:t>
            </w:r>
          </w:p>
        </w:tc>
        <w:tc>
          <w:tcPr>
            <w:tcW w:w="992" w:type="dxa"/>
            <w:tcBorders>
              <w:top w:val="single" w:sz="4" w:space="0" w:color="auto"/>
              <w:left w:val="single" w:sz="4" w:space="0" w:color="auto"/>
              <w:bottom w:val="single" w:sz="4" w:space="0" w:color="auto"/>
              <w:right w:val="single" w:sz="4" w:space="0" w:color="auto"/>
            </w:tcBorders>
            <w:vAlign w:val="center"/>
          </w:tcPr>
          <w:p w14:paraId="6FAD98AA" w14:textId="77777777" w:rsidR="00C00787" w:rsidRPr="00E55E40" w:rsidRDefault="00C00787" w:rsidP="00C00787">
            <w:pPr>
              <w:jc w:val="center"/>
              <w:rPr>
                <w:sz w:val="18"/>
                <w:szCs w:val="18"/>
              </w:rPr>
            </w:pPr>
            <w:r w:rsidRPr="00E55E40">
              <w:rPr>
                <w:sz w:val="18"/>
                <w:szCs w:val="18"/>
              </w:rPr>
              <w:t>12,6</w:t>
            </w:r>
          </w:p>
        </w:tc>
        <w:tc>
          <w:tcPr>
            <w:tcW w:w="1276" w:type="dxa"/>
            <w:tcBorders>
              <w:top w:val="single" w:sz="4" w:space="0" w:color="auto"/>
              <w:left w:val="single" w:sz="4" w:space="0" w:color="auto"/>
              <w:bottom w:val="single" w:sz="4" w:space="0" w:color="auto"/>
              <w:right w:val="single" w:sz="4" w:space="0" w:color="auto"/>
            </w:tcBorders>
            <w:vAlign w:val="center"/>
          </w:tcPr>
          <w:p w14:paraId="71C6AA3D" w14:textId="77777777" w:rsidR="00C00787" w:rsidRPr="00E55E40" w:rsidRDefault="00C00787" w:rsidP="00C00787">
            <w:pPr>
              <w:jc w:val="center"/>
              <w:rPr>
                <w:sz w:val="18"/>
                <w:szCs w:val="18"/>
              </w:rPr>
            </w:pPr>
            <w:r w:rsidRPr="00E55E40">
              <w:rPr>
                <w:sz w:val="18"/>
                <w:szCs w:val="18"/>
              </w:rPr>
              <w:t>+9,3</w:t>
            </w:r>
          </w:p>
        </w:tc>
        <w:tc>
          <w:tcPr>
            <w:tcW w:w="992" w:type="dxa"/>
            <w:tcBorders>
              <w:top w:val="single" w:sz="4" w:space="0" w:color="auto"/>
              <w:left w:val="single" w:sz="4" w:space="0" w:color="auto"/>
              <w:bottom w:val="single" w:sz="4" w:space="0" w:color="auto"/>
              <w:right w:val="single" w:sz="4" w:space="0" w:color="auto"/>
            </w:tcBorders>
            <w:vAlign w:val="center"/>
          </w:tcPr>
          <w:p w14:paraId="6D7DE95B" w14:textId="77777777" w:rsidR="00C00787" w:rsidRPr="00E55E40" w:rsidRDefault="00C00787" w:rsidP="00C00787">
            <w:pPr>
              <w:jc w:val="center"/>
              <w:rPr>
                <w:sz w:val="18"/>
                <w:szCs w:val="18"/>
              </w:rPr>
            </w:pPr>
            <w:r w:rsidRPr="00E55E40">
              <w:rPr>
                <w:sz w:val="18"/>
                <w:szCs w:val="18"/>
              </w:rPr>
              <w:t>5,3</w:t>
            </w:r>
          </w:p>
        </w:tc>
        <w:tc>
          <w:tcPr>
            <w:tcW w:w="992" w:type="dxa"/>
            <w:tcBorders>
              <w:top w:val="single" w:sz="4" w:space="0" w:color="auto"/>
              <w:left w:val="single" w:sz="4" w:space="0" w:color="auto"/>
              <w:bottom w:val="single" w:sz="4" w:space="0" w:color="auto"/>
              <w:right w:val="single" w:sz="4" w:space="0" w:color="auto"/>
            </w:tcBorders>
            <w:vAlign w:val="center"/>
          </w:tcPr>
          <w:p w14:paraId="126E4A5D" w14:textId="77777777" w:rsidR="00C00787" w:rsidRPr="00E55E40" w:rsidRDefault="00C00787" w:rsidP="00C00787">
            <w:pPr>
              <w:jc w:val="center"/>
              <w:rPr>
                <w:sz w:val="18"/>
                <w:szCs w:val="18"/>
              </w:rPr>
            </w:pPr>
            <w:r w:rsidRPr="00E55E40">
              <w:rPr>
                <w:sz w:val="18"/>
                <w:szCs w:val="18"/>
              </w:rPr>
              <w:t>12,6</w:t>
            </w:r>
          </w:p>
        </w:tc>
        <w:tc>
          <w:tcPr>
            <w:tcW w:w="1276" w:type="dxa"/>
            <w:tcBorders>
              <w:top w:val="single" w:sz="4" w:space="0" w:color="auto"/>
              <w:left w:val="single" w:sz="4" w:space="0" w:color="auto"/>
              <w:bottom w:val="single" w:sz="4" w:space="0" w:color="auto"/>
              <w:right w:val="single" w:sz="4" w:space="0" w:color="auto"/>
            </w:tcBorders>
            <w:vAlign w:val="center"/>
          </w:tcPr>
          <w:p w14:paraId="2C278078" w14:textId="77777777" w:rsidR="00C00787" w:rsidRPr="00E55E40" w:rsidRDefault="00C00787" w:rsidP="00C00787">
            <w:pPr>
              <w:jc w:val="center"/>
              <w:rPr>
                <w:sz w:val="18"/>
                <w:szCs w:val="18"/>
              </w:rPr>
            </w:pPr>
            <w:r w:rsidRPr="00E55E40">
              <w:rPr>
                <w:sz w:val="18"/>
                <w:szCs w:val="18"/>
              </w:rPr>
              <w:t>+7,3</w:t>
            </w:r>
          </w:p>
        </w:tc>
      </w:tr>
      <w:tr w:rsidR="00C00787" w:rsidRPr="00E55E40" w14:paraId="2AA69C72" w14:textId="77777777" w:rsidTr="00C00787">
        <w:trPr>
          <w:trHeight w:val="131"/>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12C7A" w14:textId="77777777" w:rsidR="00C00787" w:rsidRPr="00E55E40" w:rsidRDefault="00C00787" w:rsidP="00C00787">
            <w:pPr>
              <w:rPr>
                <w:sz w:val="18"/>
                <w:szCs w:val="18"/>
              </w:rPr>
            </w:pPr>
            <w:r w:rsidRPr="00E55E40">
              <w:rPr>
                <w:sz w:val="18"/>
                <w:szCs w:val="18"/>
              </w:rPr>
              <w:t>прочие</w:t>
            </w:r>
          </w:p>
        </w:tc>
        <w:tc>
          <w:tcPr>
            <w:tcW w:w="1057" w:type="dxa"/>
            <w:tcBorders>
              <w:top w:val="single" w:sz="4" w:space="0" w:color="auto"/>
              <w:left w:val="single" w:sz="4" w:space="0" w:color="auto"/>
              <w:bottom w:val="single" w:sz="4" w:space="0" w:color="auto"/>
              <w:right w:val="single" w:sz="4" w:space="0" w:color="auto"/>
            </w:tcBorders>
            <w:vAlign w:val="center"/>
          </w:tcPr>
          <w:p w14:paraId="3A3420EF" w14:textId="77777777" w:rsidR="00C00787" w:rsidRPr="00E55E40" w:rsidRDefault="00C00787" w:rsidP="00C00787">
            <w:pPr>
              <w:jc w:val="center"/>
              <w:rPr>
                <w:sz w:val="18"/>
                <w:szCs w:val="18"/>
              </w:rPr>
            </w:pPr>
            <w:r w:rsidRPr="00E55E40">
              <w:rPr>
                <w:sz w:val="18"/>
                <w:szCs w:val="18"/>
              </w:rPr>
              <w:t>8,4</w:t>
            </w:r>
          </w:p>
        </w:tc>
        <w:tc>
          <w:tcPr>
            <w:tcW w:w="992" w:type="dxa"/>
            <w:tcBorders>
              <w:top w:val="single" w:sz="4" w:space="0" w:color="auto"/>
              <w:left w:val="single" w:sz="4" w:space="0" w:color="auto"/>
              <w:bottom w:val="single" w:sz="4" w:space="0" w:color="auto"/>
              <w:right w:val="single" w:sz="4" w:space="0" w:color="auto"/>
            </w:tcBorders>
            <w:vAlign w:val="center"/>
          </w:tcPr>
          <w:p w14:paraId="7CE04EC8" w14:textId="77777777" w:rsidR="00C00787" w:rsidRPr="00E55E40" w:rsidRDefault="00C00787" w:rsidP="00C00787">
            <w:pPr>
              <w:jc w:val="center"/>
              <w:rPr>
                <w:sz w:val="18"/>
                <w:szCs w:val="18"/>
              </w:rPr>
            </w:pPr>
            <w:r w:rsidRPr="00E55E40">
              <w:rPr>
                <w:sz w:val="18"/>
                <w:szCs w:val="18"/>
              </w:rPr>
              <w:t>12,4</w:t>
            </w:r>
          </w:p>
        </w:tc>
        <w:tc>
          <w:tcPr>
            <w:tcW w:w="1276" w:type="dxa"/>
            <w:tcBorders>
              <w:top w:val="single" w:sz="4" w:space="0" w:color="auto"/>
              <w:left w:val="single" w:sz="4" w:space="0" w:color="auto"/>
              <w:bottom w:val="single" w:sz="4" w:space="0" w:color="auto"/>
              <w:right w:val="single" w:sz="4" w:space="0" w:color="auto"/>
            </w:tcBorders>
            <w:vAlign w:val="center"/>
          </w:tcPr>
          <w:p w14:paraId="443B4651" w14:textId="77777777" w:rsidR="00C00787" w:rsidRPr="00E55E40" w:rsidRDefault="00C00787" w:rsidP="00C00787">
            <w:pPr>
              <w:jc w:val="center"/>
              <w:rPr>
                <w:sz w:val="18"/>
                <w:szCs w:val="18"/>
              </w:rPr>
            </w:pPr>
            <w:r w:rsidRPr="00E55E40">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31056E6A" w14:textId="77777777" w:rsidR="00C00787" w:rsidRPr="00E55E40" w:rsidRDefault="00C00787" w:rsidP="00C00787">
            <w:pPr>
              <w:jc w:val="center"/>
              <w:rPr>
                <w:sz w:val="18"/>
                <w:szCs w:val="18"/>
              </w:rPr>
            </w:pPr>
            <w:r w:rsidRPr="00E55E40">
              <w:rPr>
                <w:sz w:val="18"/>
                <w:szCs w:val="18"/>
              </w:rPr>
              <w:t>11,4</w:t>
            </w:r>
          </w:p>
        </w:tc>
        <w:tc>
          <w:tcPr>
            <w:tcW w:w="992" w:type="dxa"/>
            <w:tcBorders>
              <w:top w:val="single" w:sz="4" w:space="0" w:color="auto"/>
              <w:left w:val="single" w:sz="4" w:space="0" w:color="auto"/>
              <w:bottom w:val="single" w:sz="4" w:space="0" w:color="auto"/>
              <w:right w:val="single" w:sz="4" w:space="0" w:color="auto"/>
            </w:tcBorders>
            <w:vAlign w:val="center"/>
          </w:tcPr>
          <w:p w14:paraId="38699BF2" w14:textId="77777777" w:rsidR="00C00787" w:rsidRPr="00E55E40" w:rsidRDefault="00C00787" w:rsidP="00C00787">
            <w:pPr>
              <w:jc w:val="center"/>
              <w:rPr>
                <w:sz w:val="18"/>
                <w:szCs w:val="18"/>
              </w:rPr>
            </w:pPr>
            <w:r w:rsidRPr="00E55E40">
              <w:rPr>
                <w:sz w:val="18"/>
                <w:szCs w:val="18"/>
              </w:rPr>
              <w:t>12,4</w:t>
            </w:r>
          </w:p>
        </w:tc>
        <w:tc>
          <w:tcPr>
            <w:tcW w:w="1276" w:type="dxa"/>
            <w:tcBorders>
              <w:top w:val="single" w:sz="4" w:space="0" w:color="auto"/>
              <w:left w:val="single" w:sz="4" w:space="0" w:color="auto"/>
              <w:bottom w:val="single" w:sz="4" w:space="0" w:color="auto"/>
              <w:right w:val="single" w:sz="4" w:space="0" w:color="auto"/>
            </w:tcBorders>
            <w:vAlign w:val="center"/>
          </w:tcPr>
          <w:p w14:paraId="469058AC" w14:textId="77777777" w:rsidR="00C00787" w:rsidRPr="00E55E40" w:rsidRDefault="00C00787" w:rsidP="00C00787">
            <w:pPr>
              <w:jc w:val="center"/>
              <w:rPr>
                <w:sz w:val="18"/>
                <w:szCs w:val="18"/>
              </w:rPr>
            </w:pPr>
            <w:r w:rsidRPr="00E55E40">
              <w:rPr>
                <w:sz w:val="18"/>
                <w:szCs w:val="18"/>
              </w:rPr>
              <w:t>+1</w:t>
            </w:r>
          </w:p>
        </w:tc>
      </w:tr>
      <w:tr w:rsidR="00C00787" w:rsidRPr="00E55E40" w14:paraId="15BF97EA" w14:textId="77777777" w:rsidTr="00C00787">
        <w:trPr>
          <w:trHeight w:val="206"/>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CC92B6" w14:textId="77777777" w:rsidR="00C00787" w:rsidRPr="00E55E40" w:rsidRDefault="00C00787" w:rsidP="00C00787">
            <w:pPr>
              <w:rPr>
                <w:b/>
                <w:bCs/>
                <w:sz w:val="18"/>
                <w:szCs w:val="18"/>
              </w:rPr>
            </w:pPr>
            <w:r w:rsidRPr="00E55E40">
              <w:rPr>
                <w:b/>
                <w:bCs/>
                <w:sz w:val="18"/>
                <w:szCs w:val="18"/>
              </w:rPr>
              <w:t>итого</w:t>
            </w:r>
          </w:p>
        </w:tc>
        <w:tc>
          <w:tcPr>
            <w:tcW w:w="1057" w:type="dxa"/>
            <w:tcBorders>
              <w:top w:val="single" w:sz="4" w:space="0" w:color="auto"/>
              <w:left w:val="single" w:sz="4" w:space="0" w:color="auto"/>
              <w:bottom w:val="single" w:sz="4" w:space="0" w:color="auto"/>
              <w:right w:val="single" w:sz="4" w:space="0" w:color="auto"/>
            </w:tcBorders>
            <w:vAlign w:val="center"/>
          </w:tcPr>
          <w:p w14:paraId="47252D07" w14:textId="77777777" w:rsidR="00C00787" w:rsidRPr="00E55E40" w:rsidRDefault="00C00787" w:rsidP="00C00787">
            <w:pPr>
              <w:jc w:val="center"/>
              <w:rPr>
                <w:b/>
                <w:bCs/>
                <w:sz w:val="18"/>
                <w:szCs w:val="18"/>
              </w:rPr>
            </w:pPr>
            <w:r w:rsidRPr="00E55E40">
              <w:rPr>
                <w:b/>
                <w:bCs/>
                <w:sz w:val="18"/>
                <w:szCs w:val="18"/>
              </w:rPr>
              <w:t>66,7</w:t>
            </w:r>
          </w:p>
        </w:tc>
        <w:tc>
          <w:tcPr>
            <w:tcW w:w="992" w:type="dxa"/>
            <w:tcBorders>
              <w:top w:val="single" w:sz="4" w:space="0" w:color="auto"/>
              <w:left w:val="single" w:sz="4" w:space="0" w:color="auto"/>
              <w:bottom w:val="single" w:sz="4" w:space="0" w:color="auto"/>
              <w:right w:val="single" w:sz="4" w:space="0" w:color="auto"/>
            </w:tcBorders>
            <w:vAlign w:val="center"/>
          </w:tcPr>
          <w:p w14:paraId="783D485F" w14:textId="77777777" w:rsidR="00C00787" w:rsidRPr="00E55E40" w:rsidRDefault="00C00787" w:rsidP="00C00787">
            <w:pPr>
              <w:jc w:val="center"/>
              <w:rPr>
                <w:b/>
                <w:bCs/>
                <w:sz w:val="18"/>
                <w:szCs w:val="18"/>
              </w:rPr>
            </w:pPr>
            <w:r w:rsidRPr="00E55E40">
              <w:rPr>
                <w:b/>
                <w:bCs/>
                <w:sz w:val="18"/>
                <w:szCs w:val="18"/>
              </w:rPr>
              <w:t>159,7</w:t>
            </w:r>
          </w:p>
        </w:tc>
        <w:tc>
          <w:tcPr>
            <w:tcW w:w="1276" w:type="dxa"/>
            <w:tcBorders>
              <w:top w:val="single" w:sz="4" w:space="0" w:color="auto"/>
              <w:left w:val="single" w:sz="4" w:space="0" w:color="auto"/>
              <w:bottom w:val="single" w:sz="4" w:space="0" w:color="auto"/>
              <w:right w:val="single" w:sz="4" w:space="0" w:color="auto"/>
            </w:tcBorders>
            <w:vAlign w:val="center"/>
          </w:tcPr>
          <w:p w14:paraId="620E54C1" w14:textId="77777777" w:rsidR="00C00787" w:rsidRPr="00E55E40" w:rsidRDefault="00C00787" w:rsidP="00C00787">
            <w:pPr>
              <w:jc w:val="center"/>
              <w:rPr>
                <w:b/>
                <w:sz w:val="18"/>
                <w:szCs w:val="18"/>
              </w:rPr>
            </w:pPr>
            <w:r w:rsidRPr="00E55E40">
              <w:rPr>
                <w:b/>
                <w:sz w:val="18"/>
                <w:szCs w:val="18"/>
              </w:rPr>
              <w:t>+93</w:t>
            </w:r>
          </w:p>
        </w:tc>
        <w:tc>
          <w:tcPr>
            <w:tcW w:w="992" w:type="dxa"/>
            <w:tcBorders>
              <w:top w:val="single" w:sz="4" w:space="0" w:color="auto"/>
              <w:left w:val="single" w:sz="4" w:space="0" w:color="auto"/>
              <w:bottom w:val="single" w:sz="4" w:space="0" w:color="auto"/>
              <w:right w:val="single" w:sz="4" w:space="0" w:color="auto"/>
            </w:tcBorders>
            <w:vAlign w:val="center"/>
          </w:tcPr>
          <w:p w14:paraId="5AD64DD9" w14:textId="77777777" w:rsidR="00C00787" w:rsidRPr="00E55E40" w:rsidRDefault="00C00787" w:rsidP="00C00787">
            <w:pPr>
              <w:jc w:val="center"/>
              <w:rPr>
                <w:b/>
                <w:bCs/>
                <w:sz w:val="18"/>
                <w:szCs w:val="18"/>
              </w:rPr>
            </w:pPr>
            <w:r w:rsidRPr="00E55E40">
              <w:rPr>
                <w:b/>
                <w:bCs/>
                <w:sz w:val="18"/>
                <w:szCs w:val="18"/>
              </w:rPr>
              <w:t>101,2</w:t>
            </w:r>
          </w:p>
        </w:tc>
        <w:tc>
          <w:tcPr>
            <w:tcW w:w="992" w:type="dxa"/>
            <w:tcBorders>
              <w:top w:val="single" w:sz="4" w:space="0" w:color="auto"/>
              <w:left w:val="single" w:sz="4" w:space="0" w:color="auto"/>
              <w:bottom w:val="single" w:sz="4" w:space="0" w:color="auto"/>
              <w:right w:val="single" w:sz="4" w:space="0" w:color="auto"/>
            </w:tcBorders>
            <w:vAlign w:val="center"/>
          </w:tcPr>
          <w:p w14:paraId="6A756096" w14:textId="77777777" w:rsidR="00C00787" w:rsidRPr="00E55E40" w:rsidRDefault="00C00787" w:rsidP="00C00787">
            <w:pPr>
              <w:jc w:val="center"/>
              <w:rPr>
                <w:b/>
                <w:bCs/>
                <w:sz w:val="18"/>
                <w:szCs w:val="18"/>
              </w:rPr>
            </w:pPr>
            <w:r w:rsidRPr="00E55E40">
              <w:rPr>
                <w:b/>
                <w:bCs/>
                <w:sz w:val="18"/>
                <w:szCs w:val="18"/>
              </w:rPr>
              <w:t>159,7</w:t>
            </w:r>
          </w:p>
        </w:tc>
        <w:tc>
          <w:tcPr>
            <w:tcW w:w="1276" w:type="dxa"/>
            <w:tcBorders>
              <w:top w:val="single" w:sz="4" w:space="0" w:color="auto"/>
              <w:left w:val="single" w:sz="4" w:space="0" w:color="auto"/>
              <w:bottom w:val="single" w:sz="4" w:space="0" w:color="auto"/>
              <w:right w:val="single" w:sz="4" w:space="0" w:color="auto"/>
            </w:tcBorders>
            <w:vAlign w:val="center"/>
          </w:tcPr>
          <w:p w14:paraId="340743C4" w14:textId="77777777" w:rsidR="00C00787" w:rsidRPr="00E55E40" w:rsidRDefault="00C00787" w:rsidP="00C00787">
            <w:pPr>
              <w:jc w:val="center"/>
              <w:rPr>
                <w:b/>
                <w:sz w:val="18"/>
                <w:szCs w:val="18"/>
              </w:rPr>
            </w:pPr>
            <w:r w:rsidRPr="00E55E40">
              <w:rPr>
                <w:b/>
                <w:sz w:val="18"/>
                <w:szCs w:val="18"/>
              </w:rPr>
              <w:t>+58,5</w:t>
            </w:r>
          </w:p>
        </w:tc>
      </w:tr>
      <w:tr w:rsidR="00C00787" w:rsidRPr="00E55E40" w14:paraId="733B463B" w14:textId="77777777" w:rsidTr="00C00787">
        <w:trPr>
          <w:trHeight w:val="255"/>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39A16" w14:textId="77777777" w:rsidR="00C00787" w:rsidRPr="00E55E40" w:rsidRDefault="00C00787" w:rsidP="00C00787">
            <w:pPr>
              <w:rPr>
                <w:b/>
                <w:bCs/>
                <w:sz w:val="18"/>
                <w:szCs w:val="18"/>
              </w:rPr>
            </w:pPr>
            <w:r w:rsidRPr="00E55E40">
              <w:rPr>
                <w:b/>
                <w:bCs/>
                <w:sz w:val="18"/>
                <w:szCs w:val="18"/>
              </w:rPr>
              <w:t>ВСЕГО</w:t>
            </w:r>
          </w:p>
        </w:tc>
        <w:tc>
          <w:tcPr>
            <w:tcW w:w="1057" w:type="dxa"/>
            <w:tcBorders>
              <w:top w:val="single" w:sz="4" w:space="0" w:color="auto"/>
              <w:left w:val="single" w:sz="4" w:space="0" w:color="auto"/>
              <w:bottom w:val="single" w:sz="4" w:space="0" w:color="auto"/>
              <w:right w:val="single" w:sz="4" w:space="0" w:color="auto"/>
            </w:tcBorders>
            <w:vAlign w:val="center"/>
          </w:tcPr>
          <w:p w14:paraId="40AB3308" w14:textId="77777777" w:rsidR="00C00787" w:rsidRPr="00E55E40" w:rsidRDefault="00C00787" w:rsidP="00C00787">
            <w:pPr>
              <w:jc w:val="center"/>
              <w:rPr>
                <w:b/>
                <w:bCs/>
                <w:sz w:val="18"/>
                <w:szCs w:val="18"/>
              </w:rPr>
            </w:pPr>
            <w:r w:rsidRPr="00E55E40">
              <w:rPr>
                <w:b/>
                <w:bCs/>
                <w:sz w:val="18"/>
                <w:szCs w:val="18"/>
              </w:rPr>
              <w:t>332,7</w:t>
            </w:r>
          </w:p>
        </w:tc>
        <w:tc>
          <w:tcPr>
            <w:tcW w:w="992" w:type="dxa"/>
            <w:tcBorders>
              <w:top w:val="single" w:sz="4" w:space="0" w:color="auto"/>
              <w:left w:val="single" w:sz="4" w:space="0" w:color="auto"/>
              <w:bottom w:val="single" w:sz="4" w:space="0" w:color="auto"/>
              <w:right w:val="single" w:sz="4" w:space="0" w:color="auto"/>
            </w:tcBorders>
            <w:vAlign w:val="center"/>
          </w:tcPr>
          <w:p w14:paraId="02D18942" w14:textId="77777777" w:rsidR="00C00787" w:rsidRPr="00E55E40" w:rsidRDefault="00C00787" w:rsidP="00C00787">
            <w:pPr>
              <w:jc w:val="center"/>
              <w:rPr>
                <w:b/>
                <w:bCs/>
                <w:sz w:val="18"/>
                <w:szCs w:val="18"/>
              </w:rPr>
            </w:pPr>
            <w:r w:rsidRPr="00E55E40">
              <w:rPr>
                <w:b/>
                <w:bCs/>
                <w:sz w:val="18"/>
                <w:szCs w:val="18"/>
              </w:rPr>
              <w:t>505,3</w:t>
            </w:r>
          </w:p>
        </w:tc>
        <w:tc>
          <w:tcPr>
            <w:tcW w:w="1276" w:type="dxa"/>
            <w:tcBorders>
              <w:top w:val="single" w:sz="4" w:space="0" w:color="auto"/>
              <w:left w:val="single" w:sz="4" w:space="0" w:color="auto"/>
              <w:bottom w:val="single" w:sz="4" w:space="0" w:color="auto"/>
              <w:right w:val="single" w:sz="4" w:space="0" w:color="auto"/>
            </w:tcBorders>
            <w:vAlign w:val="center"/>
          </w:tcPr>
          <w:p w14:paraId="3B8B6A2A" w14:textId="77777777" w:rsidR="00C00787" w:rsidRPr="00E55E40" w:rsidRDefault="00C00787" w:rsidP="00C00787">
            <w:pPr>
              <w:jc w:val="center"/>
              <w:rPr>
                <w:b/>
                <w:sz w:val="18"/>
                <w:szCs w:val="18"/>
              </w:rPr>
            </w:pPr>
            <w:r w:rsidRPr="00E55E40">
              <w:rPr>
                <w:b/>
                <w:sz w:val="18"/>
                <w:szCs w:val="18"/>
              </w:rPr>
              <w:t>+172,6</w:t>
            </w:r>
          </w:p>
        </w:tc>
        <w:tc>
          <w:tcPr>
            <w:tcW w:w="992" w:type="dxa"/>
            <w:tcBorders>
              <w:top w:val="single" w:sz="4" w:space="0" w:color="auto"/>
              <w:left w:val="single" w:sz="4" w:space="0" w:color="auto"/>
              <w:bottom w:val="single" w:sz="4" w:space="0" w:color="auto"/>
              <w:right w:val="single" w:sz="4" w:space="0" w:color="auto"/>
            </w:tcBorders>
            <w:vAlign w:val="center"/>
          </w:tcPr>
          <w:p w14:paraId="6E74A825" w14:textId="77777777" w:rsidR="00C00787" w:rsidRPr="00E55E40" w:rsidRDefault="00C00787" w:rsidP="00C00787">
            <w:pPr>
              <w:jc w:val="center"/>
              <w:rPr>
                <w:b/>
                <w:bCs/>
                <w:sz w:val="18"/>
                <w:szCs w:val="18"/>
              </w:rPr>
            </w:pPr>
            <w:r w:rsidRPr="00E55E40">
              <w:rPr>
                <w:b/>
                <w:bCs/>
                <w:sz w:val="18"/>
                <w:szCs w:val="18"/>
              </w:rPr>
              <w:t>331,7</w:t>
            </w:r>
          </w:p>
        </w:tc>
        <w:tc>
          <w:tcPr>
            <w:tcW w:w="992" w:type="dxa"/>
            <w:tcBorders>
              <w:top w:val="single" w:sz="4" w:space="0" w:color="auto"/>
              <w:left w:val="single" w:sz="4" w:space="0" w:color="auto"/>
              <w:bottom w:val="single" w:sz="4" w:space="0" w:color="auto"/>
              <w:right w:val="single" w:sz="4" w:space="0" w:color="auto"/>
            </w:tcBorders>
            <w:vAlign w:val="center"/>
          </w:tcPr>
          <w:p w14:paraId="0C6390F3" w14:textId="77777777" w:rsidR="00C00787" w:rsidRPr="00E55E40" w:rsidRDefault="00C00787" w:rsidP="00C00787">
            <w:pPr>
              <w:jc w:val="center"/>
              <w:rPr>
                <w:b/>
                <w:bCs/>
                <w:sz w:val="18"/>
                <w:szCs w:val="18"/>
              </w:rPr>
            </w:pPr>
            <w:r w:rsidRPr="00E55E40">
              <w:rPr>
                <w:b/>
                <w:bCs/>
                <w:sz w:val="18"/>
                <w:szCs w:val="18"/>
              </w:rPr>
              <w:t>505,3</w:t>
            </w:r>
          </w:p>
        </w:tc>
        <w:tc>
          <w:tcPr>
            <w:tcW w:w="1276" w:type="dxa"/>
            <w:tcBorders>
              <w:top w:val="single" w:sz="4" w:space="0" w:color="auto"/>
              <w:left w:val="single" w:sz="4" w:space="0" w:color="auto"/>
              <w:bottom w:val="single" w:sz="4" w:space="0" w:color="auto"/>
              <w:right w:val="single" w:sz="4" w:space="0" w:color="auto"/>
            </w:tcBorders>
            <w:vAlign w:val="center"/>
          </w:tcPr>
          <w:p w14:paraId="62BC7758" w14:textId="77777777" w:rsidR="00C00787" w:rsidRPr="00E55E40" w:rsidRDefault="00C00787" w:rsidP="00C00787">
            <w:pPr>
              <w:jc w:val="center"/>
              <w:rPr>
                <w:b/>
                <w:sz w:val="18"/>
                <w:szCs w:val="18"/>
              </w:rPr>
            </w:pPr>
            <w:r w:rsidRPr="00E55E40">
              <w:rPr>
                <w:b/>
                <w:sz w:val="18"/>
                <w:szCs w:val="18"/>
              </w:rPr>
              <w:t>+173,6</w:t>
            </w:r>
          </w:p>
        </w:tc>
      </w:tr>
    </w:tbl>
    <w:p w14:paraId="4402286A" w14:textId="77777777" w:rsidR="00C00787" w:rsidRPr="00E55E40" w:rsidRDefault="00C00787" w:rsidP="00C00787">
      <w:pPr>
        <w:autoSpaceDE w:val="0"/>
        <w:autoSpaceDN w:val="0"/>
        <w:adjustRightInd w:val="0"/>
        <w:ind w:firstLine="709"/>
        <w:jc w:val="both"/>
      </w:pPr>
    </w:p>
    <w:p w14:paraId="21D54267" w14:textId="77777777" w:rsidR="00C00787" w:rsidRPr="00E55E40" w:rsidRDefault="00C00787" w:rsidP="00C00787">
      <w:pPr>
        <w:autoSpaceDE w:val="0"/>
        <w:autoSpaceDN w:val="0"/>
        <w:adjustRightInd w:val="0"/>
        <w:ind w:firstLine="709"/>
        <w:jc w:val="both"/>
      </w:pPr>
      <w:r w:rsidRPr="00E55E40">
        <w:t>Как видно из таблицы № 12</w:t>
      </w:r>
      <w:r w:rsidR="00DF6709" w:rsidRPr="00E55E40">
        <w:t>,</w:t>
      </w:r>
      <w:r w:rsidR="009C2A29" w:rsidRPr="00E55E40">
        <w:t xml:space="preserve"> при оказании государственной услуги в </w:t>
      </w:r>
      <w:r w:rsidRPr="00E55E40">
        <w:t xml:space="preserve">ГЦ: </w:t>
      </w:r>
    </w:p>
    <w:p w14:paraId="0D611F5F" w14:textId="77777777" w:rsidR="00C00787" w:rsidRPr="00E55E40" w:rsidRDefault="00C00787" w:rsidP="00C00787">
      <w:pPr>
        <w:autoSpaceDE w:val="0"/>
        <w:autoSpaceDN w:val="0"/>
        <w:adjustRightInd w:val="0"/>
        <w:ind w:firstLine="709"/>
        <w:jc w:val="both"/>
      </w:pPr>
      <w:r w:rsidRPr="00E55E40">
        <w:t>- </w:t>
      </w:r>
      <w:r w:rsidR="009C2A29" w:rsidRPr="00E55E40">
        <w:t xml:space="preserve">гражданам, </w:t>
      </w:r>
      <w:r w:rsidRPr="00E55E40">
        <w:t>полностью утратившим способность к самообслуживанию</w:t>
      </w:r>
      <w:r w:rsidR="009C2A29" w:rsidRPr="00E55E40">
        <w:t>,</w:t>
      </w:r>
      <w:r w:rsidRPr="00E55E40">
        <w:t xml:space="preserve"> расход</w:t>
      </w:r>
      <w:r w:rsidR="009C2A29" w:rsidRPr="00E55E40">
        <w:t>ы</w:t>
      </w:r>
      <w:r w:rsidRPr="00E55E40">
        <w:t xml:space="preserve"> на заработную плату</w:t>
      </w:r>
      <w:r w:rsidR="009C654D" w:rsidRPr="00E55E40">
        <w:t xml:space="preserve"> с начислениями</w:t>
      </w:r>
      <w:r w:rsidRPr="00E55E40">
        <w:t xml:space="preserve"> работников, непосредственно оказывающих государственные услуги, </w:t>
      </w:r>
      <w:r w:rsidR="009C2A29" w:rsidRPr="00E55E40">
        <w:t xml:space="preserve">выше </w:t>
      </w:r>
      <w:r w:rsidRPr="00E55E40">
        <w:t>на 89,1 (на 51,1%)</w:t>
      </w:r>
      <w:r w:rsidR="004170BF" w:rsidRPr="00E55E40">
        <w:t>,</w:t>
      </w:r>
      <w:r w:rsidR="009C2A29" w:rsidRPr="00E55E40">
        <w:t xml:space="preserve"> чем в ДПИ</w:t>
      </w:r>
      <w:r w:rsidRPr="00E55E40">
        <w:t>; работников, не принимающих непосредственного участия в оказании государственны</w:t>
      </w:r>
      <w:r w:rsidR="004170BF" w:rsidRPr="00E55E40">
        <w:t>х</w:t>
      </w:r>
      <w:r w:rsidRPr="00E55E40">
        <w:t xml:space="preserve"> услуг, </w:t>
      </w:r>
      <w:r w:rsidR="009C2A29" w:rsidRPr="00E55E40">
        <w:t xml:space="preserve">- </w:t>
      </w:r>
      <w:r w:rsidRPr="00E55E40">
        <w:t xml:space="preserve">на 64,1 тыс. руб. (в 2,8 раза);  </w:t>
      </w:r>
    </w:p>
    <w:p w14:paraId="61FD2A98" w14:textId="77777777" w:rsidR="00C00787" w:rsidRPr="00E55E40" w:rsidRDefault="00C00787" w:rsidP="00C00787">
      <w:pPr>
        <w:autoSpaceDE w:val="0"/>
        <w:autoSpaceDN w:val="0"/>
        <w:adjustRightInd w:val="0"/>
        <w:ind w:firstLine="709"/>
        <w:jc w:val="both"/>
      </w:pPr>
      <w:r w:rsidRPr="00E55E40">
        <w:t>- </w:t>
      </w:r>
      <w:r w:rsidR="009C2A29" w:rsidRPr="00E55E40">
        <w:t xml:space="preserve">гражданам, </w:t>
      </w:r>
      <w:r w:rsidRPr="00E55E40">
        <w:t>частично утратившим способность к самообслуживанию</w:t>
      </w:r>
      <w:r w:rsidR="009C2A29" w:rsidRPr="00E55E40">
        <w:t>, расходы</w:t>
      </w:r>
      <w:r w:rsidRPr="00E55E40">
        <w:t xml:space="preserve"> на заработную плату работников, непосредственно оказывающих государственны</w:t>
      </w:r>
      <w:r w:rsidR="00DF6709" w:rsidRPr="00E55E40">
        <w:t>е</w:t>
      </w:r>
      <w:r w:rsidRPr="00E55E40">
        <w:t xml:space="preserve"> услуг</w:t>
      </w:r>
      <w:r w:rsidR="00DF6709" w:rsidRPr="00E55E40">
        <w:t>и</w:t>
      </w:r>
      <w:r w:rsidRPr="00E55E40">
        <w:t>,</w:t>
      </w:r>
      <w:r w:rsidR="00DF6709" w:rsidRPr="00E55E40">
        <w:t xml:space="preserve"> </w:t>
      </w:r>
      <w:r w:rsidR="009C2A29" w:rsidRPr="00E55E40">
        <w:t xml:space="preserve">выше </w:t>
      </w:r>
      <w:r w:rsidRPr="00E55E40">
        <w:t>на 94,5 тыс. руб. (на 56%)</w:t>
      </w:r>
      <w:r w:rsidR="009C2A29" w:rsidRPr="00E55E40">
        <w:t xml:space="preserve"> чем в ДПИ</w:t>
      </w:r>
      <w:r w:rsidRPr="00E55E40">
        <w:t>; работников, не принимающих непосредственного участия в оказании государственны</w:t>
      </w:r>
      <w:r w:rsidR="00DF6709" w:rsidRPr="00E55E40">
        <w:t>х</w:t>
      </w:r>
      <w:r w:rsidRPr="00E55E40">
        <w:t xml:space="preserve"> услуг, </w:t>
      </w:r>
      <w:r w:rsidR="009C2A29" w:rsidRPr="00E55E40">
        <w:t xml:space="preserve">- </w:t>
      </w:r>
      <w:r w:rsidRPr="00E55E40">
        <w:t xml:space="preserve">на 47,1 тыс. руб. (почти в 2 раза).  </w:t>
      </w:r>
    </w:p>
    <w:p w14:paraId="4857F411" w14:textId="77777777" w:rsidR="00C00787" w:rsidRPr="00E55E40" w:rsidRDefault="00C00787" w:rsidP="00C00787">
      <w:pPr>
        <w:autoSpaceDE w:val="0"/>
        <w:autoSpaceDN w:val="0"/>
        <w:adjustRightInd w:val="0"/>
        <w:ind w:firstLine="709"/>
        <w:jc w:val="both"/>
      </w:pPr>
      <w:r w:rsidRPr="00E55E40">
        <w:lastRenderedPageBreak/>
        <w:t xml:space="preserve">При этом </w:t>
      </w:r>
      <w:r w:rsidR="009C654D" w:rsidRPr="00E55E40">
        <w:t>п</w:t>
      </w:r>
      <w:r w:rsidRPr="00E55E40">
        <w:t xml:space="preserve">орядки </w:t>
      </w:r>
      <w:r w:rsidR="0048264F" w:rsidRPr="00E55E40">
        <w:t>ДПИ</w:t>
      </w:r>
      <w:r w:rsidRPr="00E55E40">
        <w:t xml:space="preserve"> и </w:t>
      </w:r>
      <w:r w:rsidR="0048264F" w:rsidRPr="00E55E40">
        <w:t>ГЦ</w:t>
      </w:r>
      <w:r w:rsidR="009C654D" w:rsidRPr="00E55E40">
        <w:t xml:space="preserve"> </w:t>
      </w:r>
      <w:r w:rsidRPr="00E55E40">
        <w:rPr>
          <w:rFonts w:eastAsiaTheme="minorHAnsi"/>
          <w:lang w:eastAsia="en-US"/>
        </w:rPr>
        <w:t>не содержат</w:t>
      </w:r>
      <w:r w:rsidRPr="00E55E40">
        <w:t xml:space="preserve"> различий в перечне и объёме социальных услуг</w:t>
      </w:r>
      <w:r w:rsidR="009C654D" w:rsidRPr="00E55E40">
        <w:t xml:space="preserve"> одной и той же категории получателей</w:t>
      </w:r>
      <w:r w:rsidR="009C654D" w:rsidRPr="00E55E40">
        <w:rPr>
          <w:rFonts w:eastAsiaTheme="minorHAnsi"/>
          <w:lang w:eastAsia="en-US"/>
        </w:rPr>
        <w:t xml:space="preserve">, способных оказать </w:t>
      </w:r>
      <w:r w:rsidR="009C654D" w:rsidRPr="00E55E40">
        <w:t xml:space="preserve">существенное </w:t>
      </w:r>
      <w:r w:rsidR="009C654D" w:rsidRPr="00E55E40">
        <w:rPr>
          <w:rFonts w:eastAsiaTheme="minorHAnsi"/>
          <w:lang w:eastAsia="en-US"/>
        </w:rPr>
        <w:t xml:space="preserve">влияние на размеры базовых нормативов затрат. </w:t>
      </w:r>
      <w:r w:rsidRPr="00E55E40">
        <w:rPr>
          <w:rFonts w:eastAsiaTheme="minorHAnsi"/>
          <w:lang w:eastAsia="en-US"/>
        </w:rPr>
        <w:t xml:space="preserve">Уставы ДПИ и ГЦ также не содержат отличий в их деятельности. </w:t>
      </w:r>
      <w:r w:rsidRPr="00E55E40">
        <w:t xml:space="preserve">    </w:t>
      </w:r>
    </w:p>
    <w:p w14:paraId="713B0AC3" w14:textId="77777777" w:rsidR="00C00787" w:rsidRPr="00E55E40" w:rsidRDefault="00C00787" w:rsidP="00C00787">
      <w:pPr>
        <w:autoSpaceDE w:val="0"/>
        <w:autoSpaceDN w:val="0"/>
        <w:adjustRightInd w:val="0"/>
        <w:ind w:firstLine="709"/>
        <w:jc w:val="both"/>
        <w:rPr>
          <w:rFonts w:eastAsiaTheme="minorHAnsi"/>
          <w:lang w:eastAsia="en-US"/>
        </w:rPr>
      </w:pPr>
      <w:r w:rsidRPr="00E55E40">
        <w:rPr>
          <w:rFonts w:eastAsiaTheme="minorHAnsi"/>
          <w:lang w:eastAsia="en-US"/>
        </w:rPr>
        <w:t>По пояснениям Комитета в деятельности ДПИ и ГЦ есть следующие отличия:</w:t>
      </w:r>
    </w:p>
    <w:p w14:paraId="0118CBD6" w14:textId="77777777" w:rsidR="00C00787" w:rsidRPr="00E55E40" w:rsidRDefault="00C00787" w:rsidP="00C00787">
      <w:pPr>
        <w:autoSpaceDE w:val="0"/>
        <w:autoSpaceDN w:val="0"/>
        <w:adjustRightInd w:val="0"/>
        <w:ind w:firstLine="709"/>
        <w:jc w:val="both"/>
        <w:rPr>
          <w:rFonts w:eastAsiaTheme="minorHAnsi"/>
          <w:lang w:eastAsia="en-US"/>
        </w:rPr>
      </w:pPr>
      <w:r w:rsidRPr="00E55E40">
        <w:rPr>
          <w:rFonts w:eastAsiaTheme="minorHAnsi"/>
          <w:lang w:eastAsia="en-US"/>
        </w:rPr>
        <w:t>- в ГЦ чаще, чем в ДПИ</w:t>
      </w:r>
      <w:r w:rsidR="004170BF" w:rsidRPr="00E55E40">
        <w:rPr>
          <w:rFonts w:eastAsiaTheme="minorHAnsi"/>
          <w:lang w:eastAsia="en-US"/>
        </w:rPr>
        <w:t>,</w:t>
      </w:r>
      <w:r w:rsidRPr="00E55E40">
        <w:rPr>
          <w:rFonts w:eastAsiaTheme="minorHAnsi"/>
          <w:lang w:eastAsia="en-US"/>
        </w:rPr>
        <w:t xml:space="preserve"> предоставляется социальная услуга «квалифицированное медицнское консультирование»; </w:t>
      </w:r>
    </w:p>
    <w:p w14:paraId="2F5080EC" w14:textId="77777777" w:rsidR="00C00787" w:rsidRPr="00E55E40" w:rsidRDefault="00C00787" w:rsidP="00C00787">
      <w:pPr>
        <w:autoSpaceDE w:val="0"/>
        <w:autoSpaceDN w:val="0"/>
        <w:adjustRightInd w:val="0"/>
        <w:ind w:firstLine="709"/>
        <w:jc w:val="both"/>
        <w:rPr>
          <w:rFonts w:eastAsiaTheme="minorHAnsi"/>
          <w:lang w:eastAsia="en-US"/>
        </w:rPr>
      </w:pPr>
      <w:r w:rsidRPr="00E55E40">
        <w:rPr>
          <w:rFonts w:eastAsiaTheme="minorHAnsi"/>
          <w:lang w:eastAsia="en-US"/>
        </w:rPr>
        <w:t>- в ГЦ в отличие от ДПИ предоставляется социальная услуга «систематическое наблюдение за получателями социальных услуг в целях выявления отклонений в состоянии здоровья»;</w:t>
      </w:r>
    </w:p>
    <w:p w14:paraId="3E6EAFB5" w14:textId="77777777" w:rsidR="00C00787" w:rsidRPr="00E55E40" w:rsidRDefault="00C00787" w:rsidP="00C00787">
      <w:pPr>
        <w:autoSpaceDE w:val="0"/>
        <w:autoSpaceDN w:val="0"/>
        <w:adjustRightInd w:val="0"/>
        <w:ind w:firstLine="709"/>
        <w:jc w:val="both"/>
        <w:rPr>
          <w:rFonts w:eastAsiaTheme="minorHAnsi"/>
          <w:lang w:eastAsia="en-US"/>
        </w:rPr>
      </w:pPr>
      <w:r w:rsidRPr="00E55E40">
        <w:rPr>
          <w:rFonts w:eastAsiaTheme="minorHAnsi"/>
          <w:lang w:eastAsia="en-US"/>
        </w:rPr>
        <w:t>- ГЦ разрабатывает и внедряет в свою практическую деятельность и деятельность всех стационарных учреждений социального обслуживания граждан пожилого возраста новые социальные технологии, методики, направленные на продление периода активной жизнедеятельности в пожилом и старческом возрасте.</w:t>
      </w:r>
    </w:p>
    <w:p w14:paraId="37578D28" w14:textId="77777777" w:rsidR="008311F8" w:rsidRPr="00E55E40" w:rsidRDefault="00C00787" w:rsidP="00C00787">
      <w:pPr>
        <w:autoSpaceDE w:val="0"/>
        <w:autoSpaceDN w:val="0"/>
        <w:adjustRightInd w:val="0"/>
        <w:ind w:firstLine="709"/>
        <w:jc w:val="both"/>
        <w:rPr>
          <w:rFonts w:eastAsiaTheme="minorHAnsi"/>
          <w:lang w:eastAsia="en-US"/>
        </w:rPr>
      </w:pPr>
      <w:r w:rsidRPr="00E55E40">
        <w:rPr>
          <w:rFonts w:eastAsiaTheme="minorHAnsi"/>
          <w:lang w:eastAsia="en-US"/>
        </w:rPr>
        <w:t xml:space="preserve">Следует отметить, что </w:t>
      </w:r>
      <w:r w:rsidR="009C2A29" w:rsidRPr="00E55E40">
        <w:rPr>
          <w:rFonts w:eastAsiaTheme="minorHAnsi"/>
          <w:lang w:eastAsia="en-US"/>
        </w:rPr>
        <w:t>П</w:t>
      </w:r>
      <w:r w:rsidRPr="00E55E40">
        <w:rPr>
          <w:rFonts w:eastAsiaTheme="minorHAnsi"/>
          <w:lang w:eastAsia="en-US"/>
        </w:rPr>
        <w:t xml:space="preserve">орядком </w:t>
      </w:r>
      <w:r w:rsidR="0048264F" w:rsidRPr="00E55E40">
        <w:rPr>
          <w:rFonts w:eastAsiaTheme="minorHAnsi"/>
          <w:lang w:eastAsia="en-US"/>
        </w:rPr>
        <w:t>ГЦ</w:t>
      </w:r>
      <w:r w:rsidR="009C2A29" w:rsidRPr="00E55E40">
        <w:rPr>
          <w:rFonts w:eastAsiaTheme="minorHAnsi"/>
          <w:lang w:eastAsia="en-US"/>
        </w:rPr>
        <w:t xml:space="preserve"> не предусмотрена б</w:t>
      </w:r>
      <w:r w:rsidR="009C2A29" w:rsidRPr="00E55E40">
        <w:rPr>
          <w:rFonts w:eastAsiaTheme="minorHAnsi"/>
          <w:i/>
          <w:lang w:eastAsia="en-US"/>
        </w:rPr>
        <w:t>о</w:t>
      </w:r>
      <w:r w:rsidR="009C2A29" w:rsidRPr="00E55E40">
        <w:rPr>
          <w:rFonts w:eastAsiaTheme="minorHAnsi"/>
          <w:lang w:eastAsia="en-US"/>
        </w:rPr>
        <w:t xml:space="preserve">льшая периодичность </w:t>
      </w:r>
      <w:r w:rsidRPr="00E55E40">
        <w:rPr>
          <w:rFonts w:eastAsiaTheme="minorHAnsi"/>
          <w:lang w:eastAsia="en-US"/>
        </w:rPr>
        <w:t>предоставления социальной услуги «консультирование по социально-медицнским вопросам» в ГЦ</w:t>
      </w:r>
      <w:r w:rsidR="004170BF" w:rsidRPr="00E55E40">
        <w:rPr>
          <w:rFonts w:eastAsiaTheme="minorHAnsi"/>
          <w:lang w:eastAsia="en-US"/>
        </w:rPr>
        <w:t>,</w:t>
      </w:r>
      <w:r w:rsidRPr="00E55E40">
        <w:rPr>
          <w:rFonts w:eastAsiaTheme="minorHAnsi"/>
          <w:lang w:eastAsia="en-US"/>
        </w:rPr>
        <w:t xml:space="preserve"> чем в ДПИ. </w:t>
      </w:r>
      <w:r w:rsidR="009C2A29" w:rsidRPr="00E55E40">
        <w:rPr>
          <w:rFonts w:eastAsiaTheme="minorHAnsi"/>
          <w:lang w:eastAsia="en-US"/>
        </w:rPr>
        <w:t xml:space="preserve">Анализом </w:t>
      </w:r>
      <w:r w:rsidR="0048264F" w:rsidRPr="00E55E40">
        <w:rPr>
          <w:rFonts w:eastAsiaTheme="minorHAnsi"/>
          <w:lang w:eastAsia="en-US"/>
        </w:rPr>
        <w:t xml:space="preserve">фактически предоставленных учреждениями </w:t>
      </w:r>
      <w:r w:rsidR="009C2A29" w:rsidRPr="00E55E40">
        <w:rPr>
          <w:rFonts w:eastAsiaTheme="minorHAnsi"/>
          <w:lang w:eastAsia="en-US"/>
        </w:rPr>
        <w:t xml:space="preserve">объёмов </w:t>
      </w:r>
      <w:r w:rsidRPr="00E55E40">
        <w:rPr>
          <w:rFonts w:eastAsiaTheme="minorHAnsi"/>
          <w:lang w:eastAsia="en-US"/>
        </w:rPr>
        <w:t>услуги «систематическое наблюдение за получателями социальных услуг в целях выявления отклонений в состоянии здоровья»,</w:t>
      </w:r>
      <w:r w:rsidR="009C2A29" w:rsidRPr="00E55E40">
        <w:rPr>
          <w:rFonts w:eastAsiaTheme="minorHAnsi"/>
          <w:lang w:eastAsia="en-US"/>
        </w:rPr>
        <w:t xml:space="preserve"> предоставленных гражданам в ГЦ и ДПИ, не выяв</w:t>
      </w:r>
      <w:r w:rsidR="004170BF" w:rsidRPr="00E55E40">
        <w:rPr>
          <w:rFonts w:eastAsiaTheme="minorHAnsi"/>
          <w:lang w:eastAsia="en-US"/>
        </w:rPr>
        <w:t xml:space="preserve">лено </w:t>
      </w:r>
      <w:r w:rsidR="009C2A29" w:rsidRPr="00E55E40">
        <w:rPr>
          <w:rFonts w:eastAsiaTheme="minorHAnsi"/>
          <w:lang w:eastAsia="en-US"/>
        </w:rPr>
        <w:t>различий в стоимости</w:t>
      </w:r>
      <w:r w:rsidRPr="00E55E40">
        <w:rPr>
          <w:rFonts w:eastAsiaTheme="minorHAnsi"/>
          <w:lang w:eastAsia="en-US"/>
        </w:rPr>
        <w:t>, способн</w:t>
      </w:r>
      <w:r w:rsidR="009C2A29" w:rsidRPr="00E55E40">
        <w:rPr>
          <w:rFonts w:eastAsiaTheme="minorHAnsi"/>
          <w:lang w:eastAsia="en-US"/>
        </w:rPr>
        <w:t>ой</w:t>
      </w:r>
      <w:r w:rsidRPr="00E55E40">
        <w:rPr>
          <w:rFonts w:eastAsiaTheme="minorHAnsi"/>
          <w:lang w:eastAsia="en-US"/>
        </w:rPr>
        <w:t xml:space="preserve"> </w:t>
      </w:r>
      <w:r w:rsidR="009C2A29" w:rsidRPr="00E55E40">
        <w:rPr>
          <w:rFonts w:eastAsiaTheme="minorHAnsi"/>
          <w:lang w:eastAsia="en-US"/>
        </w:rPr>
        <w:t xml:space="preserve">повлиять на </w:t>
      </w:r>
      <w:r w:rsidRPr="00E55E40">
        <w:rPr>
          <w:rFonts w:eastAsiaTheme="minorHAnsi"/>
          <w:lang w:eastAsia="en-US"/>
        </w:rPr>
        <w:t>разницу в базовых нормативах затрат в ГЦ и ДПИ</w:t>
      </w:r>
      <w:r w:rsidR="009C2A29" w:rsidRPr="00E55E40">
        <w:rPr>
          <w:rFonts w:eastAsiaTheme="minorHAnsi"/>
          <w:lang w:eastAsia="en-US"/>
        </w:rPr>
        <w:t>, указанную в таблице № 12</w:t>
      </w:r>
      <w:r w:rsidRPr="00E55E40">
        <w:rPr>
          <w:rFonts w:eastAsiaTheme="minorHAnsi"/>
          <w:lang w:eastAsia="en-US"/>
        </w:rPr>
        <w:t>.</w:t>
      </w:r>
    </w:p>
    <w:p w14:paraId="34CF03F6" w14:textId="77777777" w:rsidR="004D6DF3" w:rsidRPr="00E55E40" w:rsidRDefault="004D6DF3" w:rsidP="00C00787">
      <w:pPr>
        <w:autoSpaceDE w:val="0"/>
        <w:autoSpaceDN w:val="0"/>
        <w:adjustRightInd w:val="0"/>
        <w:ind w:firstLine="709"/>
        <w:jc w:val="both"/>
        <w:rPr>
          <w:rFonts w:eastAsiaTheme="minorHAnsi"/>
          <w:lang w:eastAsia="en-US"/>
        </w:rPr>
      </w:pPr>
      <w:r w:rsidRPr="00E55E40">
        <w:rPr>
          <w:rFonts w:eastAsiaTheme="minorHAnsi"/>
          <w:lang w:eastAsia="en-US"/>
        </w:rPr>
        <w:t>Вышеизложенное свидетельствует</w:t>
      </w:r>
      <w:r w:rsidR="000F07B8" w:rsidRPr="00E55E40">
        <w:rPr>
          <w:rFonts w:eastAsiaTheme="minorHAnsi"/>
          <w:lang w:eastAsia="en-US"/>
        </w:rPr>
        <w:t xml:space="preserve">, </w:t>
      </w:r>
      <w:r w:rsidRPr="00E55E40">
        <w:rPr>
          <w:rFonts w:eastAsiaTheme="minorHAnsi"/>
          <w:lang w:eastAsia="en-US"/>
        </w:rPr>
        <w:t xml:space="preserve">что </w:t>
      </w:r>
      <w:r w:rsidR="000F07B8" w:rsidRPr="00E55E40">
        <w:rPr>
          <w:rFonts w:eastAsiaTheme="minorHAnsi"/>
          <w:lang w:eastAsia="en-US"/>
        </w:rPr>
        <w:t xml:space="preserve">финансовое обеспечение одной и той же категории получателей социальных услуг осуществляется в различных размерах в зависимости от </w:t>
      </w:r>
      <w:r w:rsidRPr="00E55E40">
        <w:rPr>
          <w:rFonts w:eastAsiaTheme="minorHAnsi"/>
          <w:lang w:eastAsia="en-US"/>
        </w:rPr>
        <w:t xml:space="preserve">типа учреждения, </w:t>
      </w:r>
      <w:r w:rsidR="000F07B8" w:rsidRPr="00E55E40">
        <w:rPr>
          <w:rFonts w:eastAsiaTheme="minorHAnsi"/>
          <w:lang w:eastAsia="en-US"/>
        </w:rPr>
        <w:t>предоставля</w:t>
      </w:r>
      <w:r w:rsidRPr="00E55E40">
        <w:rPr>
          <w:rFonts w:eastAsiaTheme="minorHAnsi"/>
          <w:lang w:eastAsia="en-US"/>
        </w:rPr>
        <w:t>ющего</w:t>
      </w:r>
      <w:r w:rsidR="000F07B8" w:rsidRPr="00E55E40">
        <w:rPr>
          <w:rFonts w:eastAsiaTheme="minorHAnsi"/>
          <w:lang w:eastAsia="en-US"/>
        </w:rPr>
        <w:t xml:space="preserve"> государственн</w:t>
      </w:r>
      <w:r w:rsidRPr="00E55E40">
        <w:rPr>
          <w:rFonts w:eastAsiaTheme="minorHAnsi"/>
          <w:lang w:eastAsia="en-US"/>
        </w:rPr>
        <w:t>ую</w:t>
      </w:r>
      <w:r w:rsidR="000F07B8" w:rsidRPr="00E55E40">
        <w:rPr>
          <w:rFonts w:eastAsiaTheme="minorHAnsi"/>
          <w:lang w:eastAsia="en-US"/>
        </w:rPr>
        <w:t xml:space="preserve"> услуг</w:t>
      </w:r>
      <w:r w:rsidRPr="00E55E40">
        <w:rPr>
          <w:rFonts w:eastAsiaTheme="minorHAnsi"/>
          <w:lang w:eastAsia="en-US"/>
        </w:rPr>
        <w:t>у</w:t>
      </w:r>
      <w:r w:rsidR="000F07B8" w:rsidRPr="00E55E40">
        <w:rPr>
          <w:rFonts w:eastAsiaTheme="minorHAnsi"/>
          <w:lang w:eastAsia="en-US"/>
        </w:rPr>
        <w:t>.</w:t>
      </w:r>
      <w:r w:rsidRPr="00E55E40">
        <w:rPr>
          <w:rFonts w:eastAsiaTheme="minorHAnsi"/>
          <w:lang w:eastAsia="en-US"/>
        </w:rPr>
        <w:t xml:space="preserve"> </w:t>
      </w:r>
    </w:p>
    <w:p w14:paraId="04D7B256" w14:textId="77777777" w:rsidR="00C00787" w:rsidRPr="00E55E40" w:rsidRDefault="00C00787" w:rsidP="00C00787">
      <w:pPr>
        <w:autoSpaceDE w:val="0"/>
        <w:autoSpaceDN w:val="0"/>
        <w:adjustRightInd w:val="0"/>
        <w:ind w:firstLine="709"/>
        <w:jc w:val="both"/>
        <w:rPr>
          <w:rFonts w:eastAsiaTheme="minorHAnsi"/>
          <w:lang w:eastAsia="en-US"/>
        </w:rPr>
      </w:pPr>
      <w:r w:rsidRPr="00E55E40">
        <w:rPr>
          <w:rFonts w:eastAsiaTheme="minorHAnsi"/>
          <w:lang w:eastAsia="en-US"/>
        </w:rPr>
        <w:t xml:space="preserve">Кроме того, </w:t>
      </w:r>
      <w:r w:rsidR="0048264F" w:rsidRPr="00E55E40">
        <w:rPr>
          <w:rFonts w:eastAsiaTheme="minorHAnsi"/>
          <w:lang w:eastAsia="en-US"/>
        </w:rPr>
        <w:t xml:space="preserve">по пояснениям Комитета, </w:t>
      </w:r>
      <w:r w:rsidR="009C2A29" w:rsidRPr="00E55E40">
        <w:rPr>
          <w:rFonts w:eastAsiaTheme="minorHAnsi"/>
          <w:lang w:eastAsia="en-US"/>
        </w:rPr>
        <w:t xml:space="preserve">фактически осуществляемая </w:t>
      </w:r>
      <w:r w:rsidR="008311F8" w:rsidRPr="00E55E40">
        <w:rPr>
          <w:rFonts w:eastAsiaTheme="minorHAnsi"/>
          <w:lang w:eastAsia="en-US"/>
        </w:rPr>
        <w:t xml:space="preserve">ГЦ </w:t>
      </w:r>
      <w:r w:rsidRPr="00E55E40">
        <w:rPr>
          <w:rFonts w:eastAsiaTheme="minorHAnsi"/>
          <w:lang w:eastAsia="en-US"/>
        </w:rPr>
        <w:t xml:space="preserve">деятельность по разработке и внедрению новых социальных технологий, методик, направленных на продление периода активной жизнедеятельности в пожилом и старческом возрасте, не предусмотрена Порядком </w:t>
      </w:r>
      <w:r w:rsidR="0048264F" w:rsidRPr="00E55E40">
        <w:rPr>
          <w:rFonts w:eastAsiaTheme="minorHAnsi"/>
          <w:lang w:eastAsia="en-US"/>
        </w:rPr>
        <w:t>ГЦ</w:t>
      </w:r>
      <w:r w:rsidR="009C2A29" w:rsidRPr="00E55E40">
        <w:rPr>
          <w:rFonts w:eastAsiaTheme="minorHAnsi"/>
          <w:lang w:eastAsia="en-US"/>
        </w:rPr>
        <w:t xml:space="preserve">, в связи с чем не может оказывать влияния на расчёт базового норматива затрат </w:t>
      </w:r>
      <w:r w:rsidRPr="00E55E40">
        <w:rPr>
          <w:rFonts w:eastAsiaTheme="minorHAnsi"/>
          <w:lang w:eastAsia="en-US"/>
        </w:rPr>
        <w:t>и соответственно</w:t>
      </w:r>
      <w:r w:rsidR="009C2A29" w:rsidRPr="00E55E40">
        <w:rPr>
          <w:rFonts w:eastAsiaTheme="minorHAnsi"/>
          <w:lang w:eastAsia="en-US"/>
        </w:rPr>
        <w:t xml:space="preserve"> на объём финансового обеспечения </w:t>
      </w:r>
      <w:r w:rsidRPr="00E55E40">
        <w:rPr>
          <w:rFonts w:eastAsiaTheme="minorHAnsi"/>
          <w:lang w:eastAsia="en-US"/>
        </w:rPr>
        <w:t>государственн</w:t>
      </w:r>
      <w:r w:rsidR="009C2A29" w:rsidRPr="00E55E40">
        <w:rPr>
          <w:rFonts w:eastAsiaTheme="minorHAnsi"/>
          <w:lang w:eastAsia="en-US"/>
        </w:rPr>
        <w:t>ого</w:t>
      </w:r>
      <w:r w:rsidRPr="00E55E40">
        <w:rPr>
          <w:rFonts w:eastAsiaTheme="minorHAnsi"/>
          <w:lang w:eastAsia="en-US"/>
        </w:rPr>
        <w:t xml:space="preserve"> задани</w:t>
      </w:r>
      <w:r w:rsidR="009C2A29" w:rsidRPr="00E55E40">
        <w:rPr>
          <w:rFonts w:eastAsiaTheme="minorHAnsi"/>
          <w:lang w:eastAsia="en-US"/>
        </w:rPr>
        <w:t>я</w:t>
      </w:r>
      <w:r w:rsidRPr="00E55E40">
        <w:rPr>
          <w:rFonts w:eastAsiaTheme="minorHAnsi"/>
          <w:lang w:eastAsia="en-US"/>
        </w:rPr>
        <w:t>.</w:t>
      </w:r>
    </w:p>
    <w:p w14:paraId="61E14909" w14:textId="77777777" w:rsidR="009C2A29" w:rsidRPr="00E55E40" w:rsidRDefault="009C2A29" w:rsidP="00C00787">
      <w:pPr>
        <w:autoSpaceDE w:val="0"/>
        <w:autoSpaceDN w:val="0"/>
        <w:adjustRightInd w:val="0"/>
        <w:ind w:firstLine="709"/>
        <w:jc w:val="both"/>
        <w:rPr>
          <w:rFonts w:eastAsiaTheme="minorHAnsi"/>
          <w:lang w:eastAsia="en-US"/>
        </w:rPr>
      </w:pPr>
      <w:r w:rsidRPr="00E55E40">
        <w:rPr>
          <w:rFonts w:eastAsiaTheme="minorHAnsi"/>
          <w:lang w:eastAsia="en-US"/>
        </w:rPr>
        <w:t>Таким образом,</w:t>
      </w:r>
      <w:r w:rsidR="006A627D" w:rsidRPr="00E55E40">
        <w:rPr>
          <w:rFonts w:eastAsiaTheme="minorHAnsi"/>
          <w:lang w:eastAsia="en-US"/>
        </w:rPr>
        <w:t xml:space="preserve"> </w:t>
      </w:r>
      <w:r w:rsidRPr="00E55E40">
        <w:rPr>
          <w:rFonts w:eastAsiaTheme="minorHAnsi"/>
          <w:lang w:eastAsia="en-US"/>
        </w:rPr>
        <w:t>фактически</w:t>
      </w:r>
      <w:r w:rsidR="00F209CF" w:rsidRPr="00E55E40">
        <w:rPr>
          <w:rFonts w:eastAsiaTheme="minorHAnsi"/>
          <w:lang w:eastAsia="en-US"/>
        </w:rPr>
        <w:t xml:space="preserve"> оказываемая</w:t>
      </w:r>
      <w:r w:rsidRPr="00E55E40">
        <w:rPr>
          <w:rFonts w:eastAsiaTheme="minorHAnsi"/>
          <w:lang w:eastAsia="en-US"/>
        </w:rPr>
        <w:t xml:space="preserve"> </w:t>
      </w:r>
      <w:r w:rsidR="00F209CF" w:rsidRPr="00E55E40">
        <w:rPr>
          <w:rFonts w:eastAsiaTheme="minorHAnsi"/>
          <w:lang w:eastAsia="en-US"/>
        </w:rPr>
        <w:t xml:space="preserve">в ГЦ дополнительная </w:t>
      </w:r>
      <w:r w:rsidRPr="00E55E40">
        <w:rPr>
          <w:rFonts w:eastAsiaTheme="minorHAnsi"/>
          <w:lang w:eastAsia="en-US"/>
        </w:rPr>
        <w:t>деятельность</w:t>
      </w:r>
      <w:r w:rsidR="00F209CF" w:rsidRPr="00E55E40">
        <w:rPr>
          <w:rFonts w:eastAsiaTheme="minorHAnsi"/>
          <w:lang w:eastAsia="en-US"/>
        </w:rPr>
        <w:t xml:space="preserve"> по сравнению с ДПИ</w:t>
      </w:r>
      <w:r w:rsidR="004170BF" w:rsidRPr="00E55E40">
        <w:rPr>
          <w:rFonts w:eastAsiaTheme="minorHAnsi"/>
          <w:lang w:eastAsia="en-US"/>
        </w:rPr>
        <w:t>,</w:t>
      </w:r>
      <w:r w:rsidR="00F209CF" w:rsidRPr="00E55E40">
        <w:rPr>
          <w:rFonts w:eastAsiaTheme="minorHAnsi"/>
          <w:lang w:eastAsia="en-US"/>
        </w:rPr>
        <w:t xml:space="preserve"> не имеет соответствующих показателей количества и качества, что не позволяет оценить эффективность затрачиваемых на эту дополнительную деятельность бюджетных средств.  </w:t>
      </w:r>
    </w:p>
    <w:p w14:paraId="1ABBB62A" w14:textId="77777777" w:rsidR="00C00787" w:rsidRPr="00E55E40" w:rsidRDefault="00C00787" w:rsidP="00C00787">
      <w:pPr>
        <w:autoSpaceDE w:val="0"/>
        <w:autoSpaceDN w:val="0"/>
        <w:adjustRightInd w:val="0"/>
        <w:ind w:firstLine="709"/>
        <w:jc w:val="both"/>
        <w:rPr>
          <w:rFonts w:eastAsiaTheme="minorHAnsi"/>
          <w:lang w:eastAsia="en-US"/>
        </w:rPr>
      </w:pPr>
      <w:r w:rsidRPr="00E55E40">
        <w:rPr>
          <w:rFonts w:eastAsiaTheme="minorHAnsi"/>
          <w:lang w:eastAsia="en-US"/>
        </w:rPr>
        <w:t>В этой связи КСП считает целесообразным использовать опыт других субъектов РФ. Например</w:t>
      </w:r>
      <w:r w:rsidR="009C654D" w:rsidRPr="00E55E40">
        <w:rPr>
          <w:rFonts w:eastAsiaTheme="minorHAnsi"/>
          <w:lang w:eastAsia="en-US"/>
        </w:rPr>
        <w:t>,</w:t>
      </w:r>
      <w:r w:rsidRPr="00E55E40">
        <w:rPr>
          <w:rFonts w:eastAsiaTheme="minorHAnsi"/>
          <w:lang w:eastAsia="en-US"/>
        </w:rPr>
        <w:t xml:space="preserve"> Областному государственному стационарному учреждению социального обслуживания «Геронтологический центр» Челябинской области в государственном задании кроме государственной услуги по предоставлению социального обслуживания</w:t>
      </w:r>
      <w:r w:rsidR="00F209CF" w:rsidRPr="00E55E40">
        <w:rPr>
          <w:rFonts w:eastAsiaTheme="minorHAnsi"/>
          <w:lang w:eastAsia="en-US"/>
        </w:rPr>
        <w:t xml:space="preserve"> граждан </w:t>
      </w:r>
      <w:r w:rsidRPr="00E55E40">
        <w:rPr>
          <w:rFonts w:eastAsiaTheme="minorHAnsi"/>
          <w:lang w:eastAsia="en-US"/>
        </w:rPr>
        <w:t>предусмотрено выполнение государственной работы «предоставление консультационных и методических работ» с показателем</w:t>
      </w:r>
      <w:r w:rsidR="004170BF" w:rsidRPr="00E55E40">
        <w:rPr>
          <w:rFonts w:eastAsiaTheme="minorHAnsi"/>
          <w:lang w:eastAsia="en-US"/>
        </w:rPr>
        <w:t>,</w:t>
      </w:r>
      <w:r w:rsidRPr="00E55E40">
        <w:rPr>
          <w:rFonts w:eastAsiaTheme="minorHAnsi"/>
          <w:lang w:eastAsia="en-US"/>
        </w:rPr>
        <w:t xml:space="preserve"> характеризующ</w:t>
      </w:r>
      <w:r w:rsidR="004170BF" w:rsidRPr="00E55E40">
        <w:rPr>
          <w:rFonts w:eastAsiaTheme="minorHAnsi"/>
          <w:lang w:eastAsia="en-US"/>
        </w:rPr>
        <w:t>и</w:t>
      </w:r>
      <w:r w:rsidRPr="00E55E40">
        <w:rPr>
          <w:rFonts w:eastAsiaTheme="minorHAnsi"/>
          <w:lang w:eastAsia="en-US"/>
        </w:rPr>
        <w:t>м содержание работы «разработка информационно-методических материалов»</w:t>
      </w:r>
      <w:r w:rsidR="004170BF" w:rsidRPr="00E55E40">
        <w:rPr>
          <w:rFonts w:eastAsiaTheme="minorHAnsi"/>
          <w:lang w:eastAsia="en-US"/>
        </w:rPr>
        <w:t>,</w:t>
      </w:r>
      <w:r w:rsidRPr="00E55E40">
        <w:rPr>
          <w:rFonts w:eastAsiaTheme="minorHAnsi"/>
          <w:lang w:eastAsia="en-US"/>
        </w:rPr>
        <w:t xml:space="preserve"> и объёмным показателем «количество разработанных документов», что позволяет оценить эффективность использования на эти цели средств.</w:t>
      </w:r>
    </w:p>
    <w:p w14:paraId="2E481F35" w14:textId="77777777" w:rsidR="00F53FFD" w:rsidRPr="00E55E40" w:rsidRDefault="00F53FFD" w:rsidP="00002EC5">
      <w:pPr>
        <w:autoSpaceDE w:val="0"/>
        <w:autoSpaceDN w:val="0"/>
        <w:adjustRightInd w:val="0"/>
        <w:ind w:firstLine="709"/>
        <w:jc w:val="both"/>
      </w:pPr>
      <w:r w:rsidRPr="00E55E40">
        <w:rPr>
          <w:b/>
        </w:rPr>
        <w:t>2</w:t>
      </w:r>
      <w:r w:rsidR="004103BE" w:rsidRPr="00E55E40">
        <w:rPr>
          <w:b/>
        </w:rPr>
        <w:t>.</w:t>
      </w:r>
      <w:r w:rsidR="004103BE" w:rsidRPr="00E55E40">
        <w:t> </w:t>
      </w:r>
      <w:r w:rsidR="00D8627C" w:rsidRPr="00E55E40">
        <w:t>Установлен</w:t>
      </w:r>
      <w:r w:rsidR="00002EC5" w:rsidRPr="00E55E40">
        <w:t xml:space="preserve">ы неэффективные расходы средств областного бюджета </w:t>
      </w:r>
      <w:r w:rsidR="00EF78D6" w:rsidRPr="00E55E40">
        <w:t>на</w:t>
      </w:r>
      <w:r w:rsidR="00CB0C02" w:rsidRPr="00E55E40">
        <w:t xml:space="preserve"> </w:t>
      </w:r>
      <w:r w:rsidR="00B743B0" w:rsidRPr="00E55E40">
        <w:t>4</w:t>
      </w:r>
      <w:r w:rsidR="004170BF" w:rsidRPr="00E55E40">
        <w:t>9</w:t>
      </w:r>
      <w:r w:rsidR="00B743B0" w:rsidRPr="00E55E40">
        <w:t>,4</w:t>
      </w:r>
      <w:r w:rsidR="00CB0C02" w:rsidRPr="00E55E40">
        <w:t xml:space="preserve"> </w:t>
      </w:r>
      <w:r w:rsidR="00EF78D6" w:rsidRPr="00E55E40">
        <w:t>млн</w:t>
      </w:r>
      <w:r w:rsidR="00CB0C02" w:rsidRPr="00E55E40">
        <w:t>. руб</w:t>
      </w:r>
      <w:r w:rsidR="00EF78D6" w:rsidRPr="00E55E40">
        <w:t>.</w:t>
      </w:r>
      <w:r w:rsidRPr="00E55E40">
        <w:t xml:space="preserve"> и резервы расходов областного бюджета на </w:t>
      </w:r>
      <w:r w:rsidR="004170BF" w:rsidRPr="00E55E40">
        <w:t>5</w:t>
      </w:r>
      <w:r w:rsidRPr="00E55E40">
        <w:t xml:space="preserve"> млн. рублей.</w:t>
      </w:r>
    </w:p>
    <w:p w14:paraId="1FE205B4" w14:textId="77777777" w:rsidR="00002EC5" w:rsidRPr="00E55E40" w:rsidRDefault="00B743B0" w:rsidP="00002EC5">
      <w:pPr>
        <w:autoSpaceDE w:val="0"/>
        <w:autoSpaceDN w:val="0"/>
        <w:adjustRightInd w:val="0"/>
        <w:ind w:firstLine="709"/>
        <w:jc w:val="both"/>
        <w:rPr>
          <w:rFonts w:eastAsiaTheme="minorHAnsi"/>
          <w:lang w:eastAsia="en-US"/>
        </w:rPr>
      </w:pPr>
      <w:r w:rsidRPr="00E55E40">
        <w:t>Так, с</w:t>
      </w:r>
      <w:r w:rsidR="00002EC5" w:rsidRPr="00E55E40">
        <w:t xml:space="preserve">огласно </w:t>
      </w:r>
      <w:r w:rsidR="00002EC5" w:rsidRPr="00E55E40">
        <w:rPr>
          <w:rFonts w:eastAsiaTheme="minorHAnsi"/>
          <w:lang w:eastAsia="en-US"/>
        </w:rPr>
        <w:t xml:space="preserve">п.29 </w:t>
      </w:r>
      <w:hyperlink r:id="rId15" w:history="1">
        <w:r w:rsidR="00002EC5" w:rsidRPr="00E55E40">
          <w:rPr>
            <w:rFonts w:eastAsiaTheme="minorHAnsi"/>
            <w:lang w:eastAsia="en-US"/>
          </w:rPr>
          <w:t>Правил</w:t>
        </w:r>
      </w:hyperlink>
      <w:r w:rsidR="00002EC5" w:rsidRPr="00E55E40">
        <w:rPr>
          <w:rFonts w:eastAsiaTheme="minorHAnsi"/>
          <w:lang w:eastAsia="en-US"/>
        </w:rPr>
        <w:t xml:space="preserve"> организации деятельности организаций социального обслуживания, их структурных подразделений, утверждённых приказом Минтрудсоцзащиты России от 24.11.2014 № 940н</w:t>
      </w:r>
      <w:r w:rsidR="00E87641" w:rsidRPr="00E55E40">
        <w:rPr>
          <w:rFonts w:eastAsiaTheme="minorHAnsi"/>
          <w:lang w:eastAsia="en-US"/>
        </w:rPr>
        <w:t>,</w:t>
      </w:r>
      <w:r w:rsidR="00002EC5" w:rsidRPr="00E55E40">
        <w:rPr>
          <w:rFonts w:eastAsiaTheme="minorHAnsi"/>
          <w:lang w:eastAsia="en-US"/>
        </w:rPr>
        <w:t xml:space="preserve"> ДИМВ не отличается от ДПИ по обслуживаемому контингенту.</w:t>
      </w:r>
    </w:p>
    <w:p w14:paraId="3D018EE0" w14:textId="77777777" w:rsidR="00002EC5" w:rsidRPr="00E55E40" w:rsidRDefault="008A5726" w:rsidP="00002EC5">
      <w:pPr>
        <w:autoSpaceDE w:val="0"/>
        <w:autoSpaceDN w:val="0"/>
        <w:adjustRightInd w:val="0"/>
        <w:ind w:firstLine="709"/>
        <w:jc w:val="both"/>
        <w:rPr>
          <w:rFonts w:eastAsiaTheme="minorHAnsi"/>
          <w:lang w:eastAsia="en-US"/>
        </w:rPr>
      </w:pPr>
      <w:r w:rsidRPr="00E55E40">
        <w:rPr>
          <w:rFonts w:eastAsiaTheme="minorHAnsi"/>
          <w:lang w:eastAsia="en-US"/>
        </w:rPr>
        <w:t xml:space="preserve">Однако </w:t>
      </w:r>
      <w:r w:rsidR="00002EC5" w:rsidRPr="00E55E40">
        <w:rPr>
          <w:rFonts w:eastAsiaTheme="minorHAnsi"/>
          <w:lang w:eastAsia="en-US"/>
        </w:rPr>
        <w:t xml:space="preserve">перечень и объём социальных услуг, предусмотренных Порядком </w:t>
      </w:r>
      <w:r w:rsidR="0048264F" w:rsidRPr="00E55E40">
        <w:rPr>
          <w:rFonts w:eastAsiaTheme="minorHAnsi"/>
          <w:lang w:eastAsia="en-US"/>
        </w:rPr>
        <w:t>ДИМВ</w:t>
      </w:r>
      <w:r w:rsidR="00002EC5" w:rsidRPr="00E55E40">
        <w:rPr>
          <w:rFonts w:eastAsiaTheme="minorHAnsi"/>
          <w:lang w:eastAsia="en-US"/>
        </w:rPr>
        <w:t xml:space="preserve">, </w:t>
      </w:r>
      <w:r w:rsidR="00E87641" w:rsidRPr="00E55E40">
        <w:rPr>
          <w:rFonts w:eastAsiaTheme="minorHAnsi"/>
          <w:lang w:eastAsia="en-US"/>
        </w:rPr>
        <w:t>меньше</w:t>
      </w:r>
      <w:r w:rsidR="00002EC5" w:rsidRPr="00E55E40">
        <w:rPr>
          <w:rFonts w:eastAsiaTheme="minorHAnsi"/>
          <w:lang w:eastAsia="en-US"/>
        </w:rPr>
        <w:t xml:space="preserve"> предусмотренных Порядком ДПИ</w:t>
      </w:r>
      <w:r w:rsidR="00E87641" w:rsidRPr="00E55E40">
        <w:rPr>
          <w:rFonts w:eastAsiaTheme="minorHAnsi"/>
          <w:lang w:eastAsia="en-US"/>
        </w:rPr>
        <w:t>.</w:t>
      </w:r>
      <w:r w:rsidR="00002EC5" w:rsidRPr="00E55E40">
        <w:rPr>
          <w:rFonts w:eastAsiaTheme="minorHAnsi"/>
          <w:lang w:eastAsia="en-US"/>
        </w:rPr>
        <w:t xml:space="preserve"> П</w:t>
      </w:r>
      <w:r w:rsidR="00E87641" w:rsidRPr="00E55E40">
        <w:rPr>
          <w:rFonts w:eastAsiaTheme="minorHAnsi"/>
          <w:lang w:eastAsia="en-US"/>
        </w:rPr>
        <w:t xml:space="preserve">о пояснениям Комитета </w:t>
      </w:r>
      <w:r w:rsidR="00002EC5" w:rsidRPr="00E55E40">
        <w:rPr>
          <w:rFonts w:eastAsiaTheme="minorHAnsi"/>
          <w:lang w:eastAsia="en-US"/>
        </w:rPr>
        <w:t xml:space="preserve">ДИМВ расположены в отдаленных хуторах и селах, поэтому возможность укомплектования их </w:t>
      </w:r>
      <w:r w:rsidR="00002EC5" w:rsidRPr="00E55E40">
        <w:rPr>
          <w:rFonts w:eastAsiaTheme="minorHAnsi"/>
          <w:lang w:eastAsia="en-US"/>
        </w:rPr>
        <w:lastRenderedPageBreak/>
        <w:t>квалифицированными кадрами, особенно психологами и медицинскими работниками</w:t>
      </w:r>
      <w:r w:rsidR="004170BF" w:rsidRPr="00E55E40">
        <w:rPr>
          <w:rFonts w:eastAsiaTheme="minorHAnsi"/>
          <w:lang w:eastAsia="en-US"/>
        </w:rPr>
        <w:t>,</w:t>
      </w:r>
      <w:r w:rsidR="00002EC5" w:rsidRPr="00E55E40">
        <w:rPr>
          <w:rFonts w:eastAsiaTheme="minorHAnsi"/>
          <w:lang w:eastAsia="en-US"/>
        </w:rPr>
        <w:t xml:space="preserve"> низкая, </w:t>
      </w:r>
      <w:r w:rsidR="004170BF" w:rsidRPr="00E55E40">
        <w:rPr>
          <w:rFonts w:eastAsiaTheme="minorHAnsi"/>
          <w:lang w:eastAsia="en-US"/>
        </w:rPr>
        <w:t>в связи с чем</w:t>
      </w:r>
      <w:r w:rsidR="00002EC5" w:rsidRPr="00E55E40">
        <w:rPr>
          <w:rFonts w:eastAsiaTheme="minorHAnsi"/>
          <w:lang w:eastAsia="en-US"/>
        </w:rPr>
        <w:t xml:space="preserve"> </w:t>
      </w:r>
      <w:r w:rsidR="004170BF" w:rsidRPr="00E55E40">
        <w:rPr>
          <w:rFonts w:eastAsiaTheme="minorHAnsi"/>
          <w:lang w:eastAsia="en-US"/>
        </w:rPr>
        <w:t xml:space="preserve">отдельные социальные услуги не </w:t>
      </w:r>
      <w:r w:rsidR="00002EC5" w:rsidRPr="00E55E40">
        <w:rPr>
          <w:rFonts w:eastAsiaTheme="minorHAnsi"/>
          <w:lang w:eastAsia="en-US"/>
        </w:rPr>
        <w:t>предоставл</w:t>
      </w:r>
      <w:r w:rsidR="004170BF" w:rsidRPr="00E55E40">
        <w:rPr>
          <w:rFonts w:eastAsiaTheme="minorHAnsi"/>
          <w:lang w:eastAsia="en-US"/>
        </w:rPr>
        <w:t>яются</w:t>
      </w:r>
      <w:r w:rsidR="00002EC5" w:rsidRPr="00E55E40">
        <w:rPr>
          <w:rFonts w:eastAsiaTheme="minorHAnsi"/>
          <w:lang w:eastAsia="en-US"/>
        </w:rPr>
        <w:t>.</w:t>
      </w:r>
    </w:p>
    <w:p w14:paraId="7FD301F6" w14:textId="77777777" w:rsidR="008A5726" w:rsidRPr="00E55E40" w:rsidRDefault="00002EC5" w:rsidP="00002EC5">
      <w:pPr>
        <w:autoSpaceDE w:val="0"/>
        <w:autoSpaceDN w:val="0"/>
        <w:adjustRightInd w:val="0"/>
        <w:ind w:firstLine="709"/>
        <w:jc w:val="both"/>
        <w:rPr>
          <w:rFonts w:eastAsiaTheme="minorHAnsi"/>
          <w:lang w:eastAsia="en-US"/>
        </w:rPr>
      </w:pPr>
      <w:r w:rsidRPr="00E55E40">
        <w:rPr>
          <w:rFonts w:eastAsiaTheme="minorHAnsi"/>
          <w:lang w:eastAsia="en-US"/>
        </w:rPr>
        <w:t>При этом</w:t>
      </w:r>
      <w:r w:rsidR="008A5726" w:rsidRPr="00E55E40">
        <w:rPr>
          <w:rFonts w:eastAsiaTheme="minorHAnsi"/>
          <w:lang w:eastAsia="en-US"/>
        </w:rPr>
        <w:t xml:space="preserve"> утверждённые Комитетом </w:t>
      </w:r>
      <w:r w:rsidRPr="00E55E40">
        <w:rPr>
          <w:rFonts w:eastAsiaTheme="minorHAnsi"/>
          <w:lang w:eastAsia="en-US"/>
        </w:rPr>
        <w:t>базовы</w:t>
      </w:r>
      <w:r w:rsidR="008A5726" w:rsidRPr="00E55E40">
        <w:rPr>
          <w:rFonts w:eastAsiaTheme="minorHAnsi"/>
          <w:lang w:eastAsia="en-US"/>
        </w:rPr>
        <w:t xml:space="preserve">е </w:t>
      </w:r>
      <w:r w:rsidRPr="00E55E40">
        <w:rPr>
          <w:rFonts w:eastAsiaTheme="minorHAnsi"/>
          <w:lang w:eastAsia="en-US"/>
        </w:rPr>
        <w:t>норматив</w:t>
      </w:r>
      <w:r w:rsidR="008A5726" w:rsidRPr="00E55E40">
        <w:rPr>
          <w:rFonts w:eastAsiaTheme="minorHAnsi"/>
          <w:lang w:eastAsia="en-US"/>
        </w:rPr>
        <w:t>ы</w:t>
      </w:r>
      <w:r w:rsidRPr="00E55E40">
        <w:rPr>
          <w:rFonts w:eastAsiaTheme="minorHAnsi"/>
          <w:lang w:eastAsia="en-US"/>
        </w:rPr>
        <w:t xml:space="preserve"> затрат на оказание государственной услуги </w:t>
      </w:r>
      <w:r w:rsidR="008A5726" w:rsidRPr="00E55E40">
        <w:rPr>
          <w:rFonts w:eastAsiaTheme="minorHAnsi"/>
          <w:lang w:eastAsia="en-US"/>
        </w:rPr>
        <w:t xml:space="preserve">по Порядку </w:t>
      </w:r>
      <w:r w:rsidR="0048264F" w:rsidRPr="00E55E40">
        <w:rPr>
          <w:rFonts w:eastAsiaTheme="minorHAnsi"/>
          <w:lang w:eastAsia="en-US"/>
        </w:rPr>
        <w:t>ДИМВ</w:t>
      </w:r>
      <w:r w:rsidR="008A5726" w:rsidRPr="00E55E40">
        <w:rPr>
          <w:rFonts w:eastAsiaTheme="minorHAnsi"/>
          <w:lang w:eastAsia="en-US"/>
        </w:rPr>
        <w:t xml:space="preserve"> существенно выше базовых нормативов затрат на предоставление такой же государственной услуги по Порядку </w:t>
      </w:r>
      <w:r w:rsidR="0048264F" w:rsidRPr="00E55E40">
        <w:rPr>
          <w:rFonts w:eastAsiaTheme="minorHAnsi"/>
          <w:lang w:eastAsia="en-US"/>
        </w:rPr>
        <w:t>ДПИ</w:t>
      </w:r>
      <w:r w:rsidR="008A5726" w:rsidRPr="00E55E40">
        <w:rPr>
          <w:rFonts w:eastAsiaTheme="minorHAnsi"/>
          <w:lang w:eastAsia="en-US"/>
        </w:rPr>
        <w:t xml:space="preserve">.  </w:t>
      </w:r>
    </w:p>
    <w:p w14:paraId="5CFF2B5C" w14:textId="77777777" w:rsidR="00002EC5" w:rsidRPr="00E55E40" w:rsidRDefault="008A5726" w:rsidP="00002EC5">
      <w:pPr>
        <w:autoSpaceDE w:val="0"/>
        <w:autoSpaceDN w:val="0"/>
        <w:adjustRightInd w:val="0"/>
        <w:ind w:firstLine="709"/>
        <w:jc w:val="both"/>
        <w:rPr>
          <w:rFonts w:eastAsiaTheme="minorHAnsi"/>
          <w:lang w:eastAsia="en-US"/>
        </w:rPr>
      </w:pPr>
      <w:r w:rsidRPr="00E55E40">
        <w:rPr>
          <w:rFonts w:eastAsiaTheme="minorHAnsi"/>
          <w:lang w:eastAsia="en-US"/>
        </w:rPr>
        <w:t xml:space="preserve">Например, базовый норматив затрат </w:t>
      </w:r>
      <w:r w:rsidR="00F53FFD" w:rsidRPr="00E55E40">
        <w:rPr>
          <w:rFonts w:eastAsiaTheme="minorHAnsi"/>
          <w:lang w:eastAsia="en-US"/>
        </w:rPr>
        <w:t>на</w:t>
      </w:r>
      <w:r w:rsidRPr="00E55E40">
        <w:rPr>
          <w:rFonts w:eastAsiaTheme="minorHAnsi"/>
          <w:lang w:eastAsia="en-US"/>
        </w:rPr>
        <w:t xml:space="preserve"> </w:t>
      </w:r>
      <w:r w:rsidR="00002EC5" w:rsidRPr="00E55E40">
        <w:rPr>
          <w:rFonts w:eastAsiaTheme="minorHAnsi"/>
          <w:lang w:eastAsia="en-US"/>
        </w:rPr>
        <w:t xml:space="preserve">2018 году </w:t>
      </w:r>
      <w:r w:rsidR="00F53FFD" w:rsidRPr="00E55E40">
        <w:rPr>
          <w:rFonts w:eastAsiaTheme="minorHAnsi"/>
          <w:lang w:eastAsia="en-US"/>
        </w:rPr>
        <w:t>для</w:t>
      </w:r>
      <w:r w:rsidRPr="00E55E40">
        <w:rPr>
          <w:rFonts w:eastAsiaTheme="minorHAnsi"/>
          <w:lang w:eastAsia="en-US"/>
        </w:rPr>
        <w:t xml:space="preserve"> государственной услуги в ДИМВ </w:t>
      </w:r>
      <w:r w:rsidR="00002EC5" w:rsidRPr="00E55E40">
        <w:rPr>
          <w:rFonts w:eastAsiaTheme="minorHAnsi"/>
          <w:lang w:eastAsia="en-US"/>
        </w:rPr>
        <w:t xml:space="preserve">составляет 481,3 тыс. руб., что на 149,6 тыс. руб. (на 45,1%) больше базового норматива затрат на оказание такой же государственной услуги в ДПИ, составляющий </w:t>
      </w:r>
      <w:r w:rsidR="00002EC5" w:rsidRPr="00E55E40">
        <w:t xml:space="preserve">331,7 </w:t>
      </w:r>
      <w:r w:rsidR="00002EC5" w:rsidRPr="00E55E40">
        <w:rPr>
          <w:rFonts w:eastAsiaTheme="minorHAnsi"/>
          <w:lang w:eastAsia="en-US"/>
        </w:rPr>
        <w:t>тыс. рублей.</w:t>
      </w:r>
    </w:p>
    <w:p w14:paraId="442F3EF7" w14:textId="77777777" w:rsidR="008A5726" w:rsidRPr="00E55E40" w:rsidRDefault="008A5726" w:rsidP="008A5726">
      <w:pPr>
        <w:autoSpaceDE w:val="0"/>
        <w:autoSpaceDN w:val="0"/>
        <w:adjustRightInd w:val="0"/>
        <w:ind w:firstLine="709"/>
        <w:jc w:val="both"/>
        <w:rPr>
          <w:rFonts w:eastAsiaTheme="minorHAnsi"/>
          <w:lang w:eastAsia="en-US"/>
        </w:rPr>
      </w:pPr>
      <w:r w:rsidRPr="00E55E40">
        <w:rPr>
          <w:rFonts w:eastAsiaTheme="minorHAnsi"/>
          <w:lang w:eastAsia="en-US"/>
        </w:rPr>
        <w:t xml:space="preserve">Таким образом, предоставление государственных услуг с оказанием меньшего объёма социальных услуг в условиях ДИМВ осуществляется при больших затратах, что не отвечает принципу эффективности использования бюджетных средств, установленному ст.34 Бюджетного кодекса РФ. </w:t>
      </w:r>
    </w:p>
    <w:p w14:paraId="638F5BB3" w14:textId="77777777" w:rsidR="001D5FE0" w:rsidRPr="00E55E40" w:rsidRDefault="001D5FE0" w:rsidP="001D5FE0">
      <w:pPr>
        <w:autoSpaceDE w:val="0"/>
        <w:autoSpaceDN w:val="0"/>
        <w:adjustRightInd w:val="0"/>
        <w:ind w:firstLine="709"/>
        <w:jc w:val="both"/>
      </w:pPr>
      <w:r w:rsidRPr="00E55E40">
        <w:t>Сравнение структуры базовых нормативов затрат на оказание государственной услуги в ДПИ и ДИМВ на 2018 год показало, что их различия обусловлены главным образом разным уровнем расходов на оплату труда</w:t>
      </w:r>
      <w:r w:rsidR="00066198" w:rsidRPr="00E55E40">
        <w:t xml:space="preserve"> с начислениями</w:t>
      </w:r>
      <w:r w:rsidRPr="00E55E40">
        <w:t xml:space="preserve"> (таблица № 1</w:t>
      </w:r>
      <w:r w:rsidR="00773B44" w:rsidRPr="00E55E40">
        <w:t>3</w:t>
      </w:r>
      <w:r w:rsidRPr="00E55E40">
        <w:t>).</w:t>
      </w:r>
    </w:p>
    <w:p w14:paraId="0DBDD74B" w14:textId="77777777" w:rsidR="00773B44" w:rsidRPr="00E55E40" w:rsidRDefault="00773B44" w:rsidP="001D5FE0">
      <w:pPr>
        <w:autoSpaceDE w:val="0"/>
        <w:autoSpaceDN w:val="0"/>
        <w:adjustRightInd w:val="0"/>
        <w:ind w:firstLine="709"/>
        <w:jc w:val="right"/>
      </w:pPr>
    </w:p>
    <w:p w14:paraId="46F915FD" w14:textId="77777777" w:rsidR="001D5FE0" w:rsidRPr="00E55E40" w:rsidRDefault="001D5FE0" w:rsidP="001D5FE0">
      <w:pPr>
        <w:autoSpaceDE w:val="0"/>
        <w:autoSpaceDN w:val="0"/>
        <w:adjustRightInd w:val="0"/>
        <w:ind w:firstLine="709"/>
        <w:jc w:val="right"/>
      </w:pPr>
      <w:r w:rsidRPr="00E55E40">
        <w:t>Таблица № 1</w:t>
      </w:r>
      <w:r w:rsidR="00773B44" w:rsidRPr="00E55E40">
        <w:t>3</w:t>
      </w:r>
      <w:r w:rsidRPr="00E55E40">
        <w:t xml:space="preserve">, </w:t>
      </w:r>
      <w:r w:rsidR="00F243F3" w:rsidRPr="00E55E40">
        <w:t>тыс. </w:t>
      </w:r>
      <w:r w:rsidRPr="00E55E40">
        <w:t>руб.</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1734"/>
        <w:gridCol w:w="1356"/>
        <w:gridCol w:w="1256"/>
        <w:gridCol w:w="1088"/>
      </w:tblGrid>
      <w:tr w:rsidR="0048264F" w:rsidRPr="00E55E40" w14:paraId="6384E9FE" w14:textId="77777777" w:rsidTr="00E3163E">
        <w:trPr>
          <w:trHeight w:val="411"/>
          <w:jc w:val="center"/>
        </w:trPr>
        <w:tc>
          <w:tcPr>
            <w:tcW w:w="4321" w:type="dxa"/>
            <w:vMerge w:val="restart"/>
            <w:shd w:val="clear" w:color="auto" w:fill="auto"/>
            <w:vAlign w:val="center"/>
            <w:hideMark/>
          </w:tcPr>
          <w:p w14:paraId="5CCD5829" w14:textId="77777777" w:rsidR="0048264F" w:rsidRPr="00E55E40" w:rsidRDefault="0048264F" w:rsidP="00F932F5">
            <w:pPr>
              <w:jc w:val="center"/>
              <w:rPr>
                <w:sz w:val="18"/>
                <w:szCs w:val="18"/>
              </w:rPr>
            </w:pPr>
            <w:r w:rsidRPr="00E55E40">
              <w:rPr>
                <w:sz w:val="18"/>
                <w:szCs w:val="18"/>
              </w:rPr>
              <w:t>Структура расходов, включенных в базовый норматив затрат</w:t>
            </w:r>
          </w:p>
        </w:tc>
        <w:tc>
          <w:tcPr>
            <w:tcW w:w="5434" w:type="dxa"/>
            <w:gridSpan w:val="4"/>
            <w:shd w:val="clear" w:color="auto" w:fill="auto"/>
            <w:vAlign w:val="center"/>
            <w:hideMark/>
          </w:tcPr>
          <w:p w14:paraId="4CBC0126" w14:textId="77777777" w:rsidR="0048264F" w:rsidRPr="00E55E40" w:rsidRDefault="0048264F" w:rsidP="00F932F5">
            <w:pPr>
              <w:jc w:val="center"/>
              <w:rPr>
                <w:sz w:val="18"/>
                <w:szCs w:val="18"/>
              </w:rPr>
            </w:pPr>
            <w:r w:rsidRPr="00E55E40">
              <w:rPr>
                <w:sz w:val="18"/>
                <w:szCs w:val="18"/>
              </w:rPr>
              <w:t>социальное обслуживание граждан, частично утративших способность к самообслуживанию</w:t>
            </w:r>
          </w:p>
        </w:tc>
      </w:tr>
      <w:tr w:rsidR="0048264F" w:rsidRPr="00E55E40" w14:paraId="24DD9FF8" w14:textId="77777777" w:rsidTr="00E3163E">
        <w:trPr>
          <w:trHeight w:val="66"/>
          <w:jc w:val="center"/>
        </w:trPr>
        <w:tc>
          <w:tcPr>
            <w:tcW w:w="4321" w:type="dxa"/>
            <w:vMerge/>
            <w:vAlign w:val="center"/>
            <w:hideMark/>
          </w:tcPr>
          <w:p w14:paraId="7D119148" w14:textId="77777777" w:rsidR="0048264F" w:rsidRPr="00E55E40" w:rsidRDefault="0048264F" w:rsidP="00F932F5">
            <w:pPr>
              <w:jc w:val="center"/>
              <w:rPr>
                <w:sz w:val="18"/>
                <w:szCs w:val="18"/>
              </w:rPr>
            </w:pPr>
          </w:p>
        </w:tc>
        <w:tc>
          <w:tcPr>
            <w:tcW w:w="1734" w:type="dxa"/>
            <w:vMerge w:val="restart"/>
            <w:shd w:val="clear" w:color="auto" w:fill="auto"/>
            <w:vAlign w:val="center"/>
            <w:hideMark/>
          </w:tcPr>
          <w:p w14:paraId="25FF7975" w14:textId="77777777" w:rsidR="0048264F" w:rsidRPr="00E55E40" w:rsidRDefault="0048264F" w:rsidP="0048264F">
            <w:pPr>
              <w:jc w:val="center"/>
              <w:rPr>
                <w:sz w:val="18"/>
                <w:szCs w:val="18"/>
              </w:rPr>
            </w:pPr>
            <w:r w:rsidRPr="00E55E40">
              <w:rPr>
                <w:sz w:val="18"/>
                <w:szCs w:val="18"/>
              </w:rPr>
              <w:t>Порядок ДПИ</w:t>
            </w:r>
          </w:p>
        </w:tc>
        <w:tc>
          <w:tcPr>
            <w:tcW w:w="1356" w:type="dxa"/>
            <w:vMerge w:val="restart"/>
            <w:shd w:val="clear" w:color="auto" w:fill="auto"/>
            <w:vAlign w:val="center"/>
            <w:hideMark/>
          </w:tcPr>
          <w:p w14:paraId="54E3528C" w14:textId="77777777" w:rsidR="0048264F" w:rsidRPr="00E55E40" w:rsidRDefault="0048264F" w:rsidP="0048264F">
            <w:pPr>
              <w:jc w:val="center"/>
              <w:rPr>
                <w:sz w:val="18"/>
                <w:szCs w:val="18"/>
              </w:rPr>
            </w:pPr>
            <w:r w:rsidRPr="00E55E40">
              <w:rPr>
                <w:sz w:val="18"/>
                <w:szCs w:val="18"/>
              </w:rPr>
              <w:t>Порядок ДИМВ</w:t>
            </w:r>
          </w:p>
        </w:tc>
        <w:tc>
          <w:tcPr>
            <w:tcW w:w="2344" w:type="dxa"/>
            <w:gridSpan w:val="2"/>
            <w:shd w:val="clear" w:color="auto" w:fill="auto"/>
            <w:vAlign w:val="center"/>
            <w:hideMark/>
          </w:tcPr>
          <w:p w14:paraId="2FE2A4EB" w14:textId="77777777" w:rsidR="0048264F" w:rsidRPr="00E55E40" w:rsidRDefault="0048264F" w:rsidP="00F932F5">
            <w:pPr>
              <w:jc w:val="center"/>
              <w:rPr>
                <w:sz w:val="18"/>
                <w:szCs w:val="18"/>
              </w:rPr>
            </w:pPr>
            <w:r w:rsidRPr="00E55E40">
              <w:rPr>
                <w:sz w:val="18"/>
                <w:szCs w:val="18"/>
              </w:rPr>
              <w:t>Отклонение</w:t>
            </w:r>
          </w:p>
        </w:tc>
      </w:tr>
      <w:tr w:rsidR="0048264F" w:rsidRPr="00E55E40" w14:paraId="11157FB6" w14:textId="77777777" w:rsidTr="0048264F">
        <w:trPr>
          <w:trHeight w:val="72"/>
          <w:jc w:val="center"/>
        </w:trPr>
        <w:tc>
          <w:tcPr>
            <w:tcW w:w="4321" w:type="dxa"/>
            <w:vMerge/>
            <w:shd w:val="clear" w:color="auto" w:fill="auto"/>
            <w:vAlign w:val="center"/>
            <w:hideMark/>
          </w:tcPr>
          <w:p w14:paraId="654EA357" w14:textId="77777777" w:rsidR="0048264F" w:rsidRPr="00E55E40" w:rsidRDefault="0048264F" w:rsidP="00F932F5">
            <w:pPr>
              <w:jc w:val="center"/>
              <w:rPr>
                <w:i/>
                <w:iCs/>
                <w:sz w:val="18"/>
                <w:szCs w:val="18"/>
              </w:rPr>
            </w:pPr>
          </w:p>
        </w:tc>
        <w:tc>
          <w:tcPr>
            <w:tcW w:w="1734" w:type="dxa"/>
            <w:vMerge/>
            <w:shd w:val="clear" w:color="auto" w:fill="auto"/>
            <w:vAlign w:val="center"/>
          </w:tcPr>
          <w:p w14:paraId="14DD2DEE" w14:textId="77777777" w:rsidR="0048264F" w:rsidRPr="00E55E40" w:rsidRDefault="0048264F" w:rsidP="00F932F5">
            <w:pPr>
              <w:jc w:val="center"/>
              <w:rPr>
                <w:i/>
                <w:iCs/>
                <w:sz w:val="18"/>
                <w:szCs w:val="18"/>
              </w:rPr>
            </w:pPr>
          </w:p>
        </w:tc>
        <w:tc>
          <w:tcPr>
            <w:tcW w:w="1356" w:type="dxa"/>
            <w:vMerge/>
            <w:shd w:val="clear" w:color="auto" w:fill="auto"/>
            <w:vAlign w:val="center"/>
          </w:tcPr>
          <w:p w14:paraId="0437B777" w14:textId="77777777" w:rsidR="0048264F" w:rsidRPr="00E55E40" w:rsidRDefault="0048264F" w:rsidP="00F932F5">
            <w:pPr>
              <w:jc w:val="center"/>
              <w:rPr>
                <w:i/>
                <w:iCs/>
                <w:sz w:val="18"/>
                <w:szCs w:val="18"/>
              </w:rPr>
            </w:pPr>
          </w:p>
        </w:tc>
        <w:tc>
          <w:tcPr>
            <w:tcW w:w="1256" w:type="dxa"/>
            <w:shd w:val="clear" w:color="auto" w:fill="auto"/>
            <w:vAlign w:val="center"/>
          </w:tcPr>
          <w:p w14:paraId="688605F4" w14:textId="77777777" w:rsidR="0048264F" w:rsidRPr="00E55E40" w:rsidRDefault="00F243F3" w:rsidP="00F932F5">
            <w:pPr>
              <w:jc w:val="center"/>
              <w:rPr>
                <w:iCs/>
                <w:sz w:val="18"/>
                <w:szCs w:val="18"/>
              </w:rPr>
            </w:pPr>
            <w:r w:rsidRPr="00E55E40">
              <w:rPr>
                <w:iCs/>
                <w:sz w:val="18"/>
                <w:szCs w:val="18"/>
              </w:rPr>
              <w:t>т.р.</w:t>
            </w:r>
          </w:p>
        </w:tc>
        <w:tc>
          <w:tcPr>
            <w:tcW w:w="1088" w:type="dxa"/>
          </w:tcPr>
          <w:p w14:paraId="789F448B" w14:textId="77777777" w:rsidR="0048264F" w:rsidRPr="00E55E40" w:rsidRDefault="00F243F3" w:rsidP="00F932F5">
            <w:pPr>
              <w:jc w:val="center"/>
              <w:rPr>
                <w:iCs/>
                <w:sz w:val="18"/>
                <w:szCs w:val="18"/>
              </w:rPr>
            </w:pPr>
            <w:r w:rsidRPr="00E55E40">
              <w:rPr>
                <w:iCs/>
                <w:sz w:val="18"/>
                <w:szCs w:val="18"/>
              </w:rPr>
              <w:t>%, раз</w:t>
            </w:r>
          </w:p>
        </w:tc>
      </w:tr>
      <w:tr w:rsidR="0048264F" w:rsidRPr="00E55E40" w14:paraId="71374568" w14:textId="77777777" w:rsidTr="00E3163E">
        <w:trPr>
          <w:trHeight w:val="72"/>
          <w:jc w:val="center"/>
        </w:trPr>
        <w:tc>
          <w:tcPr>
            <w:tcW w:w="9755" w:type="dxa"/>
            <w:gridSpan w:val="5"/>
            <w:shd w:val="clear" w:color="auto" w:fill="auto"/>
            <w:vAlign w:val="center"/>
            <w:hideMark/>
          </w:tcPr>
          <w:p w14:paraId="00D11C4C" w14:textId="77777777" w:rsidR="0048264F" w:rsidRPr="00E55E40" w:rsidRDefault="0048264F" w:rsidP="00F932F5">
            <w:pPr>
              <w:jc w:val="center"/>
              <w:rPr>
                <w:i/>
                <w:iCs/>
                <w:sz w:val="18"/>
                <w:szCs w:val="18"/>
              </w:rPr>
            </w:pPr>
            <w:r w:rsidRPr="00E55E40">
              <w:rPr>
                <w:i/>
                <w:iCs/>
                <w:sz w:val="18"/>
                <w:szCs w:val="18"/>
              </w:rPr>
              <w:t>затраты, непосредственно связанные с оказанием государственной услуги</w:t>
            </w:r>
          </w:p>
        </w:tc>
      </w:tr>
      <w:tr w:rsidR="0048264F" w:rsidRPr="00E55E40" w14:paraId="71603051" w14:textId="77777777" w:rsidTr="00F243F3">
        <w:trPr>
          <w:trHeight w:val="274"/>
          <w:jc w:val="center"/>
        </w:trPr>
        <w:tc>
          <w:tcPr>
            <w:tcW w:w="4321" w:type="dxa"/>
            <w:shd w:val="clear" w:color="auto" w:fill="auto"/>
            <w:vAlign w:val="center"/>
            <w:hideMark/>
          </w:tcPr>
          <w:p w14:paraId="706E90A7" w14:textId="77777777" w:rsidR="0048264F" w:rsidRPr="00E55E40" w:rsidRDefault="0048264F" w:rsidP="00F932F5">
            <w:pPr>
              <w:rPr>
                <w:sz w:val="18"/>
                <w:szCs w:val="18"/>
              </w:rPr>
            </w:pPr>
            <w:r w:rsidRPr="00E55E40">
              <w:rPr>
                <w:sz w:val="18"/>
                <w:szCs w:val="18"/>
              </w:rPr>
              <w:t>затраты на оплату труда с начислениями</w:t>
            </w:r>
          </w:p>
        </w:tc>
        <w:tc>
          <w:tcPr>
            <w:tcW w:w="1734" w:type="dxa"/>
            <w:shd w:val="clear" w:color="auto" w:fill="auto"/>
            <w:vAlign w:val="center"/>
            <w:hideMark/>
          </w:tcPr>
          <w:p w14:paraId="5CB0555F" w14:textId="77777777" w:rsidR="0048264F" w:rsidRPr="00E55E40" w:rsidRDefault="0048264F" w:rsidP="00F932F5">
            <w:pPr>
              <w:jc w:val="center"/>
              <w:rPr>
                <w:sz w:val="18"/>
                <w:szCs w:val="18"/>
              </w:rPr>
            </w:pPr>
            <w:r w:rsidRPr="00E55E40">
              <w:rPr>
                <w:sz w:val="18"/>
                <w:szCs w:val="18"/>
              </w:rPr>
              <w:t>168,9</w:t>
            </w:r>
          </w:p>
        </w:tc>
        <w:tc>
          <w:tcPr>
            <w:tcW w:w="1356" w:type="dxa"/>
            <w:shd w:val="clear" w:color="auto" w:fill="auto"/>
            <w:vAlign w:val="center"/>
            <w:hideMark/>
          </w:tcPr>
          <w:p w14:paraId="73C7FD58" w14:textId="77777777" w:rsidR="0048264F" w:rsidRPr="00E55E40" w:rsidRDefault="0048264F" w:rsidP="00F932F5">
            <w:pPr>
              <w:jc w:val="center"/>
              <w:rPr>
                <w:sz w:val="18"/>
                <w:szCs w:val="18"/>
              </w:rPr>
            </w:pPr>
            <w:r w:rsidRPr="00E55E40">
              <w:rPr>
                <w:sz w:val="18"/>
                <w:szCs w:val="18"/>
              </w:rPr>
              <w:t>242,3</w:t>
            </w:r>
          </w:p>
        </w:tc>
        <w:tc>
          <w:tcPr>
            <w:tcW w:w="1256" w:type="dxa"/>
            <w:shd w:val="clear" w:color="auto" w:fill="auto"/>
            <w:vAlign w:val="center"/>
            <w:hideMark/>
          </w:tcPr>
          <w:p w14:paraId="5A4EFF05" w14:textId="77777777" w:rsidR="0048264F" w:rsidRPr="00E55E40" w:rsidRDefault="00F243F3" w:rsidP="00F932F5">
            <w:pPr>
              <w:jc w:val="center"/>
              <w:rPr>
                <w:sz w:val="18"/>
                <w:szCs w:val="18"/>
              </w:rPr>
            </w:pPr>
            <w:r w:rsidRPr="00E55E40">
              <w:rPr>
                <w:sz w:val="18"/>
                <w:szCs w:val="18"/>
              </w:rPr>
              <w:t>+</w:t>
            </w:r>
            <w:r w:rsidR="0048264F" w:rsidRPr="00E55E40">
              <w:rPr>
                <w:sz w:val="18"/>
                <w:szCs w:val="18"/>
              </w:rPr>
              <w:t>73,4</w:t>
            </w:r>
          </w:p>
        </w:tc>
        <w:tc>
          <w:tcPr>
            <w:tcW w:w="1088" w:type="dxa"/>
            <w:vAlign w:val="center"/>
          </w:tcPr>
          <w:p w14:paraId="239A4BF1" w14:textId="77777777" w:rsidR="0048264F" w:rsidRPr="00E55E40" w:rsidRDefault="00F243F3" w:rsidP="00F243F3">
            <w:pPr>
              <w:jc w:val="center"/>
              <w:rPr>
                <w:sz w:val="18"/>
                <w:szCs w:val="18"/>
              </w:rPr>
            </w:pPr>
            <w:r w:rsidRPr="00E55E40">
              <w:rPr>
                <w:sz w:val="18"/>
                <w:szCs w:val="18"/>
              </w:rPr>
              <w:t>+43,5</w:t>
            </w:r>
          </w:p>
        </w:tc>
      </w:tr>
      <w:tr w:rsidR="0048264F" w:rsidRPr="00E55E40" w14:paraId="716DA2DE" w14:textId="77777777" w:rsidTr="00F243F3">
        <w:trPr>
          <w:trHeight w:val="278"/>
          <w:jc w:val="center"/>
        </w:trPr>
        <w:tc>
          <w:tcPr>
            <w:tcW w:w="4321" w:type="dxa"/>
            <w:shd w:val="clear" w:color="auto" w:fill="auto"/>
            <w:vAlign w:val="center"/>
            <w:hideMark/>
          </w:tcPr>
          <w:p w14:paraId="122A967A" w14:textId="77777777" w:rsidR="0048264F" w:rsidRPr="00E55E40" w:rsidRDefault="0048264F" w:rsidP="00F932F5">
            <w:pPr>
              <w:rPr>
                <w:sz w:val="18"/>
                <w:szCs w:val="18"/>
              </w:rPr>
            </w:pPr>
            <w:r w:rsidRPr="00E55E40">
              <w:rPr>
                <w:sz w:val="18"/>
                <w:szCs w:val="18"/>
              </w:rPr>
              <w:t>затраты на приобретение материальных запасов</w:t>
            </w:r>
          </w:p>
        </w:tc>
        <w:tc>
          <w:tcPr>
            <w:tcW w:w="1734" w:type="dxa"/>
            <w:shd w:val="clear" w:color="auto" w:fill="auto"/>
            <w:vAlign w:val="center"/>
            <w:hideMark/>
          </w:tcPr>
          <w:p w14:paraId="06DB9453" w14:textId="77777777" w:rsidR="0048264F" w:rsidRPr="00E55E40" w:rsidRDefault="0048264F" w:rsidP="00F932F5">
            <w:pPr>
              <w:jc w:val="center"/>
              <w:rPr>
                <w:sz w:val="18"/>
                <w:szCs w:val="18"/>
              </w:rPr>
            </w:pPr>
            <w:r w:rsidRPr="00E55E40">
              <w:rPr>
                <w:sz w:val="18"/>
                <w:szCs w:val="18"/>
              </w:rPr>
              <w:t>59,6</w:t>
            </w:r>
          </w:p>
        </w:tc>
        <w:tc>
          <w:tcPr>
            <w:tcW w:w="1356" w:type="dxa"/>
            <w:shd w:val="clear" w:color="auto" w:fill="auto"/>
            <w:vAlign w:val="center"/>
            <w:hideMark/>
          </w:tcPr>
          <w:p w14:paraId="30D5EB00" w14:textId="77777777" w:rsidR="0048264F" w:rsidRPr="00E55E40" w:rsidRDefault="0048264F" w:rsidP="00F932F5">
            <w:pPr>
              <w:jc w:val="center"/>
              <w:rPr>
                <w:sz w:val="18"/>
                <w:szCs w:val="18"/>
              </w:rPr>
            </w:pPr>
            <w:r w:rsidRPr="00E55E40">
              <w:rPr>
                <w:sz w:val="18"/>
                <w:szCs w:val="18"/>
              </w:rPr>
              <w:t>62,9</w:t>
            </w:r>
          </w:p>
        </w:tc>
        <w:tc>
          <w:tcPr>
            <w:tcW w:w="1256" w:type="dxa"/>
            <w:shd w:val="clear" w:color="auto" w:fill="auto"/>
            <w:vAlign w:val="center"/>
            <w:hideMark/>
          </w:tcPr>
          <w:p w14:paraId="19A53758" w14:textId="77777777" w:rsidR="0048264F" w:rsidRPr="00E55E40" w:rsidRDefault="00F243F3" w:rsidP="00F932F5">
            <w:pPr>
              <w:jc w:val="center"/>
              <w:rPr>
                <w:sz w:val="18"/>
                <w:szCs w:val="18"/>
              </w:rPr>
            </w:pPr>
            <w:r w:rsidRPr="00E55E40">
              <w:rPr>
                <w:sz w:val="18"/>
                <w:szCs w:val="18"/>
              </w:rPr>
              <w:t>+</w:t>
            </w:r>
            <w:r w:rsidR="0048264F" w:rsidRPr="00E55E40">
              <w:rPr>
                <w:sz w:val="18"/>
                <w:szCs w:val="18"/>
              </w:rPr>
              <w:t>3,3</w:t>
            </w:r>
          </w:p>
        </w:tc>
        <w:tc>
          <w:tcPr>
            <w:tcW w:w="1088" w:type="dxa"/>
            <w:vAlign w:val="center"/>
          </w:tcPr>
          <w:p w14:paraId="7248E45C" w14:textId="77777777" w:rsidR="0048264F" w:rsidRPr="00E55E40" w:rsidRDefault="00F243F3" w:rsidP="00F243F3">
            <w:pPr>
              <w:jc w:val="center"/>
              <w:rPr>
                <w:sz w:val="18"/>
                <w:szCs w:val="18"/>
              </w:rPr>
            </w:pPr>
            <w:r w:rsidRPr="00E55E40">
              <w:rPr>
                <w:sz w:val="18"/>
                <w:szCs w:val="18"/>
              </w:rPr>
              <w:t>+5,5</w:t>
            </w:r>
          </w:p>
        </w:tc>
      </w:tr>
      <w:tr w:rsidR="0048264F" w:rsidRPr="00E55E40" w14:paraId="2A6FF1D5" w14:textId="77777777" w:rsidTr="00F243F3">
        <w:trPr>
          <w:trHeight w:val="268"/>
          <w:jc w:val="center"/>
        </w:trPr>
        <w:tc>
          <w:tcPr>
            <w:tcW w:w="4321" w:type="dxa"/>
            <w:shd w:val="clear" w:color="auto" w:fill="auto"/>
            <w:vAlign w:val="center"/>
            <w:hideMark/>
          </w:tcPr>
          <w:p w14:paraId="160E0BD2" w14:textId="77777777" w:rsidR="0048264F" w:rsidRPr="00E55E40" w:rsidRDefault="0048264F" w:rsidP="00F932F5">
            <w:pPr>
              <w:rPr>
                <w:sz w:val="18"/>
                <w:szCs w:val="18"/>
              </w:rPr>
            </w:pPr>
            <w:r w:rsidRPr="00E55E40">
              <w:rPr>
                <w:sz w:val="18"/>
                <w:szCs w:val="18"/>
              </w:rPr>
              <w:t>иные затраты</w:t>
            </w:r>
          </w:p>
        </w:tc>
        <w:tc>
          <w:tcPr>
            <w:tcW w:w="1734" w:type="dxa"/>
            <w:shd w:val="clear" w:color="auto" w:fill="auto"/>
            <w:vAlign w:val="center"/>
            <w:hideMark/>
          </w:tcPr>
          <w:p w14:paraId="33E843CB" w14:textId="77777777" w:rsidR="0048264F" w:rsidRPr="00E55E40" w:rsidRDefault="0048264F" w:rsidP="00F932F5">
            <w:pPr>
              <w:jc w:val="center"/>
              <w:rPr>
                <w:sz w:val="18"/>
                <w:szCs w:val="18"/>
              </w:rPr>
            </w:pPr>
            <w:r w:rsidRPr="00E55E40">
              <w:rPr>
                <w:sz w:val="18"/>
                <w:szCs w:val="18"/>
              </w:rPr>
              <w:t>2</w:t>
            </w:r>
          </w:p>
        </w:tc>
        <w:tc>
          <w:tcPr>
            <w:tcW w:w="1356" w:type="dxa"/>
            <w:shd w:val="clear" w:color="auto" w:fill="auto"/>
            <w:vAlign w:val="center"/>
            <w:hideMark/>
          </w:tcPr>
          <w:p w14:paraId="707D87AD" w14:textId="77777777" w:rsidR="0048264F" w:rsidRPr="00E55E40" w:rsidRDefault="0048264F" w:rsidP="00F932F5">
            <w:pPr>
              <w:jc w:val="center"/>
              <w:rPr>
                <w:sz w:val="18"/>
                <w:szCs w:val="18"/>
              </w:rPr>
            </w:pPr>
            <w:r w:rsidRPr="00E55E40">
              <w:rPr>
                <w:sz w:val="18"/>
                <w:szCs w:val="18"/>
              </w:rPr>
              <w:t>0</w:t>
            </w:r>
          </w:p>
        </w:tc>
        <w:tc>
          <w:tcPr>
            <w:tcW w:w="1256" w:type="dxa"/>
            <w:shd w:val="clear" w:color="auto" w:fill="auto"/>
            <w:vAlign w:val="center"/>
            <w:hideMark/>
          </w:tcPr>
          <w:p w14:paraId="1ACAFC40" w14:textId="77777777" w:rsidR="0048264F" w:rsidRPr="00E55E40" w:rsidRDefault="0048264F" w:rsidP="00F932F5">
            <w:pPr>
              <w:jc w:val="center"/>
              <w:rPr>
                <w:sz w:val="18"/>
                <w:szCs w:val="18"/>
              </w:rPr>
            </w:pPr>
            <w:r w:rsidRPr="00E55E40">
              <w:rPr>
                <w:sz w:val="18"/>
                <w:szCs w:val="18"/>
              </w:rPr>
              <w:t>-2</w:t>
            </w:r>
          </w:p>
        </w:tc>
        <w:tc>
          <w:tcPr>
            <w:tcW w:w="1088" w:type="dxa"/>
            <w:vAlign w:val="center"/>
          </w:tcPr>
          <w:p w14:paraId="783BD539" w14:textId="77777777" w:rsidR="0048264F" w:rsidRPr="00E55E40" w:rsidRDefault="00F243F3" w:rsidP="00F243F3">
            <w:pPr>
              <w:jc w:val="center"/>
              <w:rPr>
                <w:sz w:val="18"/>
                <w:szCs w:val="18"/>
              </w:rPr>
            </w:pPr>
            <w:r w:rsidRPr="00E55E40">
              <w:rPr>
                <w:sz w:val="18"/>
                <w:szCs w:val="18"/>
              </w:rPr>
              <w:t>-</w:t>
            </w:r>
          </w:p>
        </w:tc>
      </w:tr>
      <w:tr w:rsidR="0048264F" w:rsidRPr="00E55E40" w14:paraId="08AF3405" w14:textId="77777777" w:rsidTr="00F243F3">
        <w:trPr>
          <w:trHeight w:val="129"/>
          <w:jc w:val="center"/>
        </w:trPr>
        <w:tc>
          <w:tcPr>
            <w:tcW w:w="4321" w:type="dxa"/>
            <w:shd w:val="clear" w:color="auto" w:fill="auto"/>
            <w:vAlign w:val="center"/>
            <w:hideMark/>
          </w:tcPr>
          <w:p w14:paraId="239D3140" w14:textId="77777777" w:rsidR="0048264F" w:rsidRPr="00E55E40" w:rsidRDefault="0048264F" w:rsidP="00F932F5">
            <w:pPr>
              <w:rPr>
                <w:b/>
                <w:bCs/>
                <w:sz w:val="18"/>
                <w:szCs w:val="18"/>
              </w:rPr>
            </w:pPr>
            <w:r w:rsidRPr="00E55E40">
              <w:rPr>
                <w:b/>
                <w:bCs/>
                <w:sz w:val="18"/>
                <w:szCs w:val="18"/>
              </w:rPr>
              <w:t>итого</w:t>
            </w:r>
          </w:p>
        </w:tc>
        <w:tc>
          <w:tcPr>
            <w:tcW w:w="1734" w:type="dxa"/>
            <w:shd w:val="clear" w:color="auto" w:fill="auto"/>
            <w:vAlign w:val="center"/>
            <w:hideMark/>
          </w:tcPr>
          <w:p w14:paraId="607738EB" w14:textId="77777777" w:rsidR="0048264F" w:rsidRPr="00E55E40" w:rsidRDefault="0048264F" w:rsidP="00F932F5">
            <w:pPr>
              <w:jc w:val="center"/>
              <w:rPr>
                <w:b/>
                <w:bCs/>
                <w:sz w:val="18"/>
                <w:szCs w:val="18"/>
              </w:rPr>
            </w:pPr>
            <w:r w:rsidRPr="00E55E40">
              <w:rPr>
                <w:b/>
                <w:bCs/>
                <w:sz w:val="18"/>
                <w:szCs w:val="18"/>
              </w:rPr>
              <w:t>230,5</w:t>
            </w:r>
          </w:p>
        </w:tc>
        <w:tc>
          <w:tcPr>
            <w:tcW w:w="1356" w:type="dxa"/>
            <w:shd w:val="clear" w:color="auto" w:fill="auto"/>
            <w:vAlign w:val="center"/>
            <w:hideMark/>
          </w:tcPr>
          <w:p w14:paraId="58CF72F3" w14:textId="77777777" w:rsidR="0048264F" w:rsidRPr="00E55E40" w:rsidRDefault="0048264F" w:rsidP="00F932F5">
            <w:pPr>
              <w:jc w:val="center"/>
              <w:rPr>
                <w:b/>
                <w:bCs/>
                <w:sz w:val="18"/>
                <w:szCs w:val="18"/>
              </w:rPr>
            </w:pPr>
            <w:r w:rsidRPr="00E55E40">
              <w:rPr>
                <w:b/>
                <w:bCs/>
                <w:sz w:val="18"/>
                <w:szCs w:val="18"/>
              </w:rPr>
              <w:t>305,2</w:t>
            </w:r>
          </w:p>
        </w:tc>
        <w:tc>
          <w:tcPr>
            <w:tcW w:w="1256" w:type="dxa"/>
            <w:shd w:val="clear" w:color="auto" w:fill="auto"/>
            <w:vAlign w:val="center"/>
            <w:hideMark/>
          </w:tcPr>
          <w:p w14:paraId="2979BD7A" w14:textId="77777777" w:rsidR="0048264F" w:rsidRPr="00E55E40" w:rsidRDefault="00F243F3" w:rsidP="00F932F5">
            <w:pPr>
              <w:jc w:val="center"/>
              <w:rPr>
                <w:b/>
                <w:sz w:val="18"/>
                <w:szCs w:val="18"/>
              </w:rPr>
            </w:pPr>
            <w:r w:rsidRPr="00E55E40">
              <w:rPr>
                <w:b/>
                <w:sz w:val="18"/>
                <w:szCs w:val="18"/>
              </w:rPr>
              <w:t>+</w:t>
            </w:r>
            <w:r w:rsidR="0048264F" w:rsidRPr="00E55E40">
              <w:rPr>
                <w:b/>
                <w:sz w:val="18"/>
                <w:szCs w:val="18"/>
              </w:rPr>
              <w:t>74,7</w:t>
            </w:r>
          </w:p>
        </w:tc>
        <w:tc>
          <w:tcPr>
            <w:tcW w:w="1088" w:type="dxa"/>
            <w:vAlign w:val="center"/>
          </w:tcPr>
          <w:p w14:paraId="3E66CC0F" w14:textId="77777777" w:rsidR="0048264F" w:rsidRPr="00E55E40" w:rsidRDefault="00F243F3" w:rsidP="00F243F3">
            <w:pPr>
              <w:jc w:val="center"/>
              <w:rPr>
                <w:b/>
                <w:sz w:val="18"/>
                <w:szCs w:val="18"/>
              </w:rPr>
            </w:pPr>
            <w:r w:rsidRPr="00E55E40">
              <w:rPr>
                <w:b/>
                <w:sz w:val="18"/>
                <w:szCs w:val="18"/>
              </w:rPr>
              <w:t>+32,4</w:t>
            </w:r>
          </w:p>
        </w:tc>
      </w:tr>
      <w:tr w:rsidR="00F243F3" w:rsidRPr="00E55E40" w14:paraId="6345FDD5" w14:textId="77777777" w:rsidTr="00E3163E">
        <w:trPr>
          <w:trHeight w:val="190"/>
          <w:jc w:val="center"/>
        </w:trPr>
        <w:tc>
          <w:tcPr>
            <w:tcW w:w="9755" w:type="dxa"/>
            <w:gridSpan w:val="5"/>
            <w:shd w:val="clear" w:color="auto" w:fill="auto"/>
            <w:vAlign w:val="center"/>
            <w:hideMark/>
          </w:tcPr>
          <w:p w14:paraId="446B4BC1" w14:textId="77777777" w:rsidR="00F243F3" w:rsidRPr="00E55E40" w:rsidRDefault="00F243F3" w:rsidP="00F243F3">
            <w:pPr>
              <w:jc w:val="center"/>
              <w:rPr>
                <w:i/>
                <w:iCs/>
                <w:sz w:val="18"/>
                <w:szCs w:val="18"/>
              </w:rPr>
            </w:pPr>
            <w:r w:rsidRPr="00E55E40">
              <w:rPr>
                <w:i/>
                <w:iCs/>
                <w:sz w:val="18"/>
                <w:szCs w:val="18"/>
              </w:rPr>
              <w:t>затраты на общехозяйственные нужды</w:t>
            </w:r>
          </w:p>
        </w:tc>
      </w:tr>
      <w:tr w:rsidR="0048264F" w:rsidRPr="00E55E40" w14:paraId="17C07567" w14:textId="77777777" w:rsidTr="00F243F3">
        <w:trPr>
          <w:trHeight w:val="263"/>
          <w:jc w:val="center"/>
        </w:trPr>
        <w:tc>
          <w:tcPr>
            <w:tcW w:w="4321" w:type="dxa"/>
            <w:shd w:val="clear" w:color="auto" w:fill="auto"/>
            <w:vAlign w:val="center"/>
            <w:hideMark/>
          </w:tcPr>
          <w:p w14:paraId="0F27C29A" w14:textId="77777777" w:rsidR="0048264F" w:rsidRPr="00E55E40" w:rsidRDefault="0048264F" w:rsidP="00F932F5">
            <w:pPr>
              <w:rPr>
                <w:sz w:val="18"/>
                <w:szCs w:val="18"/>
              </w:rPr>
            </w:pPr>
            <w:r w:rsidRPr="00E55E40">
              <w:rPr>
                <w:sz w:val="18"/>
                <w:szCs w:val="18"/>
              </w:rPr>
              <w:t>затраты на оплату труда</w:t>
            </w:r>
          </w:p>
        </w:tc>
        <w:tc>
          <w:tcPr>
            <w:tcW w:w="1734" w:type="dxa"/>
            <w:shd w:val="clear" w:color="auto" w:fill="auto"/>
            <w:vAlign w:val="center"/>
            <w:hideMark/>
          </w:tcPr>
          <w:p w14:paraId="036148D8" w14:textId="77777777" w:rsidR="0048264F" w:rsidRPr="00E55E40" w:rsidRDefault="0048264F" w:rsidP="00F932F5">
            <w:pPr>
              <w:jc w:val="center"/>
              <w:rPr>
                <w:sz w:val="18"/>
                <w:szCs w:val="18"/>
              </w:rPr>
            </w:pPr>
            <w:r w:rsidRPr="00E55E40">
              <w:rPr>
                <w:sz w:val="18"/>
                <w:szCs w:val="18"/>
              </w:rPr>
              <w:t>51,8</w:t>
            </w:r>
          </w:p>
        </w:tc>
        <w:tc>
          <w:tcPr>
            <w:tcW w:w="1356" w:type="dxa"/>
            <w:shd w:val="clear" w:color="auto" w:fill="auto"/>
            <w:vAlign w:val="center"/>
            <w:hideMark/>
          </w:tcPr>
          <w:p w14:paraId="4634311A" w14:textId="77777777" w:rsidR="0048264F" w:rsidRPr="00E55E40" w:rsidRDefault="0048264F" w:rsidP="00F932F5">
            <w:pPr>
              <w:jc w:val="center"/>
              <w:rPr>
                <w:sz w:val="18"/>
                <w:szCs w:val="18"/>
              </w:rPr>
            </w:pPr>
            <w:r w:rsidRPr="00E55E40">
              <w:rPr>
                <w:sz w:val="18"/>
                <w:szCs w:val="18"/>
              </w:rPr>
              <w:t>113,3</w:t>
            </w:r>
          </w:p>
        </w:tc>
        <w:tc>
          <w:tcPr>
            <w:tcW w:w="1256" w:type="dxa"/>
            <w:shd w:val="clear" w:color="auto" w:fill="auto"/>
            <w:vAlign w:val="center"/>
            <w:hideMark/>
          </w:tcPr>
          <w:p w14:paraId="5B4C99D8" w14:textId="77777777" w:rsidR="0048264F" w:rsidRPr="00E55E40" w:rsidRDefault="00F243F3" w:rsidP="00F932F5">
            <w:pPr>
              <w:jc w:val="center"/>
              <w:rPr>
                <w:sz w:val="18"/>
                <w:szCs w:val="18"/>
              </w:rPr>
            </w:pPr>
            <w:r w:rsidRPr="00E55E40">
              <w:rPr>
                <w:sz w:val="18"/>
                <w:szCs w:val="18"/>
              </w:rPr>
              <w:t>+</w:t>
            </w:r>
            <w:r w:rsidR="0048264F" w:rsidRPr="00E55E40">
              <w:rPr>
                <w:sz w:val="18"/>
                <w:szCs w:val="18"/>
              </w:rPr>
              <w:t>61,5</w:t>
            </w:r>
          </w:p>
        </w:tc>
        <w:tc>
          <w:tcPr>
            <w:tcW w:w="1088" w:type="dxa"/>
            <w:vAlign w:val="center"/>
          </w:tcPr>
          <w:p w14:paraId="24B6E6C9" w14:textId="77777777" w:rsidR="0048264F" w:rsidRPr="00E55E40" w:rsidRDefault="00F243F3" w:rsidP="00F243F3">
            <w:pPr>
              <w:jc w:val="center"/>
              <w:rPr>
                <w:sz w:val="18"/>
                <w:szCs w:val="18"/>
              </w:rPr>
            </w:pPr>
            <w:r w:rsidRPr="00E55E40">
              <w:rPr>
                <w:sz w:val="18"/>
                <w:szCs w:val="18"/>
              </w:rPr>
              <w:t>в 2,2 раза</w:t>
            </w:r>
          </w:p>
        </w:tc>
      </w:tr>
      <w:tr w:rsidR="0048264F" w:rsidRPr="00E55E40" w14:paraId="459C0FBE" w14:textId="77777777" w:rsidTr="00F243F3">
        <w:trPr>
          <w:trHeight w:val="282"/>
          <w:jc w:val="center"/>
        </w:trPr>
        <w:tc>
          <w:tcPr>
            <w:tcW w:w="4321" w:type="dxa"/>
            <w:shd w:val="clear" w:color="auto" w:fill="auto"/>
            <w:vAlign w:val="center"/>
            <w:hideMark/>
          </w:tcPr>
          <w:p w14:paraId="4D64B5BA" w14:textId="77777777" w:rsidR="0048264F" w:rsidRPr="00E55E40" w:rsidRDefault="0048264F" w:rsidP="00F932F5">
            <w:pPr>
              <w:rPr>
                <w:sz w:val="18"/>
                <w:szCs w:val="18"/>
              </w:rPr>
            </w:pPr>
            <w:r w:rsidRPr="00E55E40">
              <w:rPr>
                <w:sz w:val="18"/>
                <w:szCs w:val="18"/>
              </w:rPr>
              <w:t>затраты на услуги связи</w:t>
            </w:r>
          </w:p>
        </w:tc>
        <w:tc>
          <w:tcPr>
            <w:tcW w:w="1734" w:type="dxa"/>
            <w:shd w:val="clear" w:color="auto" w:fill="auto"/>
            <w:vAlign w:val="center"/>
            <w:hideMark/>
          </w:tcPr>
          <w:p w14:paraId="2B9C7B16" w14:textId="77777777" w:rsidR="0048264F" w:rsidRPr="00E55E40" w:rsidRDefault="0048264F" w:rsidP="00F932F5">
            <w:pPr>
              <w:jc w:val="center"/>
              <w:rPr>
                <w:sz w:val="18"/>
                <w:szCs w:val="18"/>
              </w:rPr>
            </w:pPr>
            <w:r w:rsidRPr="00E55E40">
              <w:rPr>
                <w:sz w:val="18"/>
                <w:szCs w:val="18"/>
              </w:rPr>
              <w:t>1,5</w:t>
            </w:r>
          </w:p>
        </w:tc>
        <w:tc>
          <w:tcPr>
            <w:tcW w:w="1356" w:type="dxa"/>
            <w:shd w:val="clear" w:color="auto" w:fill="auto"/>
            <w:vAlign w:val="center"/>
            <w:hideMark/>
          </w:tcPr>
          <w:p w14:paraId="2D2ABEA7" w14:textId="77777777" w:rsidR="0048264F" w:rsidRPr="00E55E40" w:rsidRDefault="0048264F" w:rsidP="00F932F5">
            <w:pPr>
              <w:jc w:val="center"/>
              <w:rPr>
                <w:sz w:val="18"/>
                <w:szCs w:val="18"/>
              </w:rPr>
            </w:pPr>
            <w:r w:rsidRPr="00E55E40">
              <w:rPr>
                <w:sz w:val="18"/>
                <w:szCs w:val="18"/>
              </w:rPr>
              <w:t>2,7</w:t>
            </w:r>
          </w:p>
        </w:tc>
        <w:tc>
          <w:tcPr>
            <w:tcW w:w="1256" w:type="dxa"/>
            <w:shd w:val="clear" w:color="auto" w:fill="auto"/>
            <w:vAlign w:val="center"/>
            <w:hideMark/>
          </w:tcPr>
          <w:p w14:paraId="5BE0E754" w14:textId="77777777" w:rsidR="0048264F" w:rsidRPr="00E55E40" w:rsidRDefault="00F243F3" w:rsidP="00F932F5">
            <w:pPr>
              <w:jc w:val="center"/>
              <w:rPr>
                <w:sz w:val="18"/>
                <w:szCs w:val="18"/>
              </w:rPr>
            </w:pPr>
            <w:r w:rsidRPr="00E55E40">
              <w:rPr>
                <w:sz w:val="18"/>
                <w:szCs w:val="18"/>
              </w:rPr>
              <w:t>+</w:t>
            </w:r>
            <w:r w:rsidR="0048264F" w:rsidRPr="00E55E40">
              <w:rPr>
                <w:sz w:val="18"/>
                <w:szCs w:val="18"/>
              </w:rPr>
              <w:t>1,2</w:t>
            </w:r>
          </w:p>
        </w:tc>
        <w:tc>
          <w:tcPr>
            <w:tcW w:w="1088" w:type="dxa"/>
            <w:vAlign w:val="center"/>
          </w:tcPr>
          <w:p w14:paraId="5E177979" w14:textId="77777777" w:rsidR="0048264F" w:rsidRPr="00E55E40" w:rsidRDefault="00F243F3" w:rsidP="00F243F3">
            <w:pPr>
              <w:jc w:val="center"/>
              <w:rPr>
                <w:sz w:val="18"/>
                <w:szCs w:val="18"/>
              </w:rPr>
            </w:pPr>
            <w:r w:rsidRPr="00E55E40">
              <w:rPr>
                <w:sz w:val="18"/>
                <w:szCs w:val="18"/>
              </w:rPr>
              <w:t>+80</w:t>
            </w:r>
          </w:p>
        </w:tc>
      </w:tr>
      <w:tr w:rsidR="0048264F" w:rsidRPr="00E55E40" w14:paraId="66294BF5" w14:textId="77777777" w:rsidTr="00F243F3">
        <w:trPr>
          <w:trHeight w:val="271"/>
          <w:jc w:val="center"/>
        </w:trPr>
        <w:tc>
          <w:tcPr>
            <w:tcW w:w="4321" w:type="dxa"/>
            <w:shd w:val="clear" w:color="auto" w:fill="auto"/>
            <w:vAlign w:val="center"/>
            <w:hideMark/>
          </w:tcPr>
          <w:p w14:paraId="0F14BE5F" w14:textId="77777777" w:rsidR="0048264F" w:rsidRPr="00E55E40" w:rsidRDefault="0048264F" w:rsidP="00F932F5">
            <w:pPr>
              <w:rPr>
                <w:sz w:val="18"/>
                <w:szCs w:val="18"/>
              </w:rPr>
            </w:pPr>
            <w:r w:rsidRPr="00E55E40">
              <w:rPr>
                <w:sz w:val="18"/>
                <w:szCs w:val="18"/>
              </w:rPr>
              <w:t>затраты на коммунальные услуги</w:t>
            </w:r>
          </w:p>
        </w:tc>
        <w:tc>
          <w:tcPr>
            <w:tcW w:w="1734" w:type="dxa"/>
            <w:shd w:val="clear" w:color="auto" w:fill="auto"/>
            <w:vAlign w:val="center"/>
            <w:hideMark/>
          </w:tcPr>
          <w:p w14:paraId="29D80DE4" w14:textId="77777777" w:rsidR="0048264F" w:rsidRPr="00E55E40" w:rsidRDefault="0048264F" w:rsidP="00F932F5">
            <w:pPr>
              <w:jc w:val="center"/>
              <w:rPr>
                <w:sz w:val="18"/>
                <w:szCs w:val="18"/>
              </w:rPr>
            </w:pPr>
            <w:r w:rsidRPr="00E55E40">
              <w:rPr>
                <w:sz w:val="18"/>
                <w:szCs w:val="18"/>
              </w:rPr>
              <w:t>30,6</w:t>
            </w:r>
          </w:p>
        </w:tc>
        <w:tc>
          <w:tcPr>
            <w:tcW w:w="1356" w:type="dxa"/>
            <w:shd w:val="clear" w:color="auto" w:fill="auto"/>
            <w:vAlign w:val="center"/>
            <w:hideMark/>
          </w:tcPr>
          <w:p w14:paraId="6099B353" w14:textId="77777777" w:rsidR="0048264F" w:rsidRPr="00E55E40" w:rsidRDefault="0048264F" w:rsidP="00F932F5">
            <w:pPr>
              <w:jc w:val="center"/>
              <w:rPr>
                <w:sz w:val="18"/>
                <w:szCs w:val="18"/>
              </w:rPr>
            </w:pPr>
            <w:r w:rsidRPr="00E55E40">
              <w:rPr>
                <w:sz w:val="18"/>
                <w:szCs w:val="18"/>
              </w:rPr>
              <w:t>34,5</w:t>
            </w:r>
          </w:p>
        </w:tc>
        <w:tc>
          <w:tcPr>
            <w:tcW w:w="1256" w:type="dxa"/>
            <w:shd w:val="clear" w:color="auto" w:fill="auto"/>
            <w:vAlign w:val="center"/>
            <w:hideMark/>
          </w:tcPr>
          <w:p w14:paraId="03816CA5" w14:textId="77777777" w:rsidR="0048264F" w:rsidRPr="00E55E40" w:rsidRDefault="00F243F3" w:rsidP="00F932F5">
            <w:pPr>
              <w:jc w:val="center"/>
              <w:rPr>
                <w:sz w:val="18"/>
                <w:szCs w:val="18"/>
              </w:rPr>
            </w:pPr>
            <w:r w:rsidRPr="00E55E40">
              <w:rPr>
                <w:sz w:val="18"/>
                <w:szCs w:val="18"/>
              </w:rPr>
              <w:t>+</w:t>
            </w:r>
            <w:r w:rsidR="0048264F" w:rsidRPr="00E55E40">
              <w:rPr>
                <w:sz w:val="18"/>
                <w:szCs w:val="18"/>
              </w:rPr>
              <w:t>3,9</w:t>
            </w:r>
          </w:p>
        </w:tc>
        <w:tc>
          <w:tcPr>
            <w:tcW w:w="1088" w:type="dxa"/>
            <w:vAlign w:val="center"/>
          </w:tcPr>
          <w:p w14:paraId="1731A23A" w14:textId="77777777" w:rsidR="0048264F" w:rsidRPr="00E55E40" w:rsidRDefault="00F243F3" w:rsidP="00F243F3">
            <w:pPr>
              <w:jc w:val="center"/>
              <w:rPr>
                <w:sz w:val="18"/>
                <w:szCs w:val="18"/>
              </w:rPr>
            </w:pPr>
            <w:r w:rsidRPr="00E55E40">
              <w:rPr>
                <w:sz w:val="18"/>
                <w:szCs w:val="18"/>
              </w:rPr>
              <w:t>+12,7</w:t>
            </w:r>
          </w:p>
        </w:tc>
      </w:tr>
      <w:tr w:rsidR="0048264F" w:rsidRPr="00E55E40" w14:paraId="48A4EBB9" w14:textId="77777777" w:rsidTr="00F243F3">
        <w:trPr>
          <w:trHeight w:val="276"/>
          <w:jc w:val="center"/>
        </w:trPr>
        <w:tc>
          <w:tcPr>
            <w:tcW w:w="4321" w:type="dxa"/>
            <w:shd w:val="clear" w:color="auto" w:fill="auto"/>
            <w:vAlign w:val="center"/>
            <w:hideMark/>
          </w:tcPr>
          <w:p w14:paraId="5953DB61" w14:textId="77777777" w:rsidR="0048264F" w:rsidRPr="00E55E40" w:rsidRDefault="0048264F" w:rsidP="00F932F5">
            <w:pPr>
              <w:rPr>
                <w:sz w:val="18"/>
                <w:szCs w:val="18"/>
              </w:rPr>
            </w:pPr>
            <w:r w:rsidRPr="00E55E40">
              <w:rPr>
                <w:sz w:val="18"/>
                <w:szCs w:val="18"/>
              </w:rPr>
              <w:t>затраты на содержание недвижимого имущества</w:t>
            </w:r>
          </w:p>
        </w:tc>
        <w:tc>
          <w:tcPr>
            <w:tcW w:w="1734" w:type="dxa"/>
            <w:shd w:val="clear" w:color="auto" w:fill="auto"/>
            <w:vAlign w:val="center"/>
            <w:hideMark/>
          </w:tcPr>
          <w:p w14:paraId="01140F3B" w14:textId="77777777" w:rsidR="0048264F" w:rsidRPr="00E55E40" w:rsidRDefault="0048264F" w:rsidP="00F932F5">
            <w:pPr>
              <w:jc w:val="center"/>
              <w:rPr>
                <w:sz w:val="18"/>
                <w:szCs w:val="18"/>
              </w:rPr>
            </w:pPr>
            <w:r w:rsidRPr="00E55E40">
              <w:rPr>
                <w:sz w:val="18"/>
                <w:szCs w:val="18"/>
              </w:rPr>
              <w:t>0,6</w:t>
            </w:r>
          </w:p>
        </w:tc>
        <w:tc>
          <w:tcPr>
            <w:tcW w:w="1356" w:type="dxa"/>
            <w:shd w:val="clear" w:color="auto" w:fill="auto"/>
            <w:vAlign w:val="center"/>
            <w:hideMark/>
          </w:tcPr>
          <w:p w14:paraId="7998E8A0" w14:textId="77777777" w:rsidR="0048264F" w:rsidRPr="00E55E40" w:rsidRDefault="0048264F" w:rsidP="00F932F5">
            <w:pPr>
              <w:jc w:val="center"/>
              <w:rPr>
                <w:sz w:val="18"/>
                <w:szCs w:val="18"/>
              </w:rPr>
            </w:pPr>
            <w:r w:rsidRPr="00E55E40">
              <w:rPr>
                <w:sz w:val="18"/>
                <w:szCs w:val="18"/>
              </w:rPr>
              <w:t>0</w:t>
            </w:r>
          </w:p>
        </w:tc>
        <w:tc>
          <w:tcPr>
            <w:tcW w:w="1256" w:type="dxa"/>
            <w:shd w:val="clear" w:color="auto" w:fill="auto"/>
            <w:vAlign w:val="center"/>
            <w:hideMark/>
          </w:tcPr>
          <w:p w14:paraId="7A214A0B" w14:textId="77777777" w:rsidR="0048264F" w:rsidRPr="00E55E40" w:rsidRDefault="0048264F" w:rsidP="00F932F5">
            <w:pPr>
              <w:jc w:val="center"/>
              <w:rPr>
                <w:sz w:val="18"/>
                <w:szCs w:val="18"/>
              </w:rPr>
            </w:pPr>
            <w:r w:rsidRPr="00E55E40">
              <w:rPr>
                <w:sz w:val="18"/>
                <w:szCs w:val="18"/>
              </w:rPr>
              <w:t>-0,6</w:t>
            </w:r>
          </w:p>
        </w:tc>
        <w:tc>
          <w:tcPr>
            <w:tcW w:w="1088" w:type="dxa"/>
            <w:vAlign w:val="center"/>
          </w:tcPr>
          <w:p w14:paraId="6A228067" w14:textId="77777777" w:rsidR="0048264F" w:rsidRPr="00E55E40" w:rsidRDefault="00F243F3" w:rsidP="00F243F3">
            <w:pPr>
              <w:jc w:val="center"/>
              <w:rPr>
                <w:sz w:val="18"/>
                <w:szCs w:val="18"/>
              </w:rPr>
            </w:pPr>
            <w:r w:rsidRPr="00E55E40">
              <w:rPr>
                <w:sz w:val="18"/>
                <w:szCs w:val="18"/>
              </w:rPr>
              <w:t>-</w:t>
            </w:r>
          </w:p>
        </w:tc>
      </w:tr>
      <w:tr w:rsidR="0048264F" w:rsidRPr="00E55E40" w14:paraId="7B4FE6F1" w14:textId="77777777" w:rsidTr="00F243F3">
        <w:trPr>
          <w:trHeight w:val="265"/>
          <w:jc w:val="center"/>
        </w:trPr>
        <w:tc>
          <w:tcPr>
            <w:tcW w:w="4321" w:type="dxa"/>
            <w:shd w:val="clear" w:color="auto" w:fill="auto"/>
            <w:vAlign w:val="center"/>
            <w:hideMark/>
          </w:tcPr>
          <w:p w14:paraId="79F3FF28" w14:textId="77777777" w:rsidR="0048264F" w:rsidRPr="00E55E40" w:rsidRDefault="0048264F" w:rsidP="00F932F5">
            <w:pPr>
              <w:rPr>
                <w:sz w:val="18"/>
                <w:szCs w:val="18"/>
              </w:rPr>
            </w:pPr>
            <w:r w:rsidRPr="00E55E40">
              <w:rPr>
                <w:sz w:val="18"/>
                <w:szCs w:val="18"/>
              </w:rPr>
              <w:t>затраты на содержание особо ценного движимого имущества</w:t>
            </w:r>
          </w:p>
        </w:tc>
        <w:tc>
          <w:tcPr>
            <w:tcW w:w="1734" w:type="dxa"/>
            <w:shd w:val="clear" w:color="auto" w:fill="auto"/>
            <w:vAlign w:val="center"/>
            <w:hideMark/>
          </w:tcPr>
          <w:p w14:paraId="20909167" w14:textId="77777777" w:rsidR="0048264F" w:rsidRPr="00E55E40" w:rsidRDefault="0048264F" w:rsidP="00F932F5">
            <w:pPr>
              <w:jc w:val="center"/>
              <w:rPr>
                <w:sz w:val="18"/>
                <w:szCs w:val="18"/>
              </w:rPr>
            </w:pPr>
            <w:r w:rsidRPr="00E55E40">
              <w:rPr>
                <w:sz w:val="18"/>
                <w:szCs w:val="18"/>
              </w:rPr>
              <w:t>5,3</w:t>
            </w:r>
          </w:p>
        </w:tc>
        <w:tc>
          <w:tcPr>
            <w:tcW w:w="1356" w:type="dxa"/>
            <w:shd w:val="clear" w:color="auto" w:fill="auto"/>
            <w:vAlign w:val="center"/>
            <w:hideMark/>
          </w:tcPr>
          <w:p w14:paraId="6526D73C" w14:textId="77777777" w:rsidR="0048264F" w:rsidRPr="00E55E40" w:rsidRDefault="0048264F" w:rsidP="00F932F5">
            <w:pPr>
              <w:jc w:val="center"/>
              <w:rPr>
                <w:sz w:val="18"/>
                <w:szCs w:val="18"/>
              </w:rPr>
            </w:pPr>
            <w:r w:rsidRPr="00E55E40">
              <w:rPr>
                <w:sz w:val="18"/>
                <w:szCs w:val="18"/>
              </w:rPr>
              <w:t>6,1</w:t>
            </w:r>
          </w:p>
        </w:tc>
        <w:tc>
          <w:tcPr>
            <w:tcW w:w="1256" w:type="dxa"/>
            <w:shd w:val="clear" w:color="auto" w:fill="auto"/>
            <w:vAlign w:val="center"/>
            <w:hideMark/>
          </w:tcPr>
          <w:p w14:paraId="1E1C0931" w14:textId="77777777" w:rsidR="0048264F" w:rsidRPr="00E55E40" w:rsidRDefault="00F243F3" w:rsidP="00F932F5">
            <w:pPr>
              <w:jc w:val="center"/>
              <w:rPr>
                <w:sz w:val="18"/>
                <w:szCs w:val="18"/>
              </w:rPr>
            </w:pPr>
            <w:r w:rsidRPr="00E55E40">
              <w:rPr>
                <w:sz w:val="18"/>
                <w:szCs w:val="18"/>
              </w:rPr>
              <w:t>+</w:t>
            </w:r>
            <w:r w:rsidR="0048264F" w:rsidRPr="00E55E40">
              <w:rPr>
                <w:sz w:val="18"/>
                <w:szCs w:val="18"/>
              </w:rPr>
              <w:t>0,7</w:t>
            </w:r>
          </w:p>
        </w:tc>
        <w:tc>
          <w:tcPr>
            <w:tcW w:w="1088" w:type="dxa"/>
            <w:vAlign w:val="center"/>
          </w:tcPr>
          <w:p w14:paraId="349961F6" w14:textId="77777777" w:rsidR="0048264F" w:rsidRPr="00E55E40" w:rsidRDefault="00F243F3" w:rsidP="00F243F3">
            <w:pPr>
              <w:jc w:val="center"/>
              <w:rPr>
                <w:sz w:val="18"/>
                <w:szCs w:val="18"/>
              </w:rPr>
            </w:pPr>
            <w:r w:rsidRPr="00E55E40">
              <w:rPr>
                <w:sz w:val="18"/>
                <w:szCs w:val="18"/>
              </w:rPr>
              <w:t>+15,1</w:t>
            </w:r>
          </w:p>
        </w:tc>
      </w:tr>
      <w:tr w:rsidR="0048264F" w:rsidRPr="00E55E40" w14:paraId="35DDED74" w14:textId="77777777" w:rsidTr="00F243F3">
        <w:trPr>
          <w:trHeight w:val="53"/>
          <w:jc w:val="center"/>
        </w:trPr>
        <w:tc>
          <w:tcPr>
            <w:tcW w:w="4321" w:type="dxa"/>
            <w:shd w:val="clear" w:color="auto" w:fill="auto"/>
            <w:vAlign w:val="center"/>
            <w:hideMark/>
          </w:tcPr>
          <w:p w14:paraId="435B9DD1" w14:textId="77777777" w:rsidR="0048264F" w:rsidRPr="00E55E40" w:rsidRDefault="0048264F" w:rsidP="00F932F5">
            <w:pPr>
              <w:rPr>
                <w:sz w:val="18"/>
                <w:szCs w:val="18"/>
              </w:rPr>
            </w:pPr>
            <w:r w:rsidRPr="00E55E40">
              <w:rPr>
                <w:sz w:val="18"/>
                <w:szCs w:val="18"/>
              </w:rPr>
              <w:t>прочие</w:t>
            </w:r>
          </w:p>
        </w:tc>
        <w:tc>
          <w:tcPr>
            <w:tcW w:w="1734" w:type="dxa"/>
            <w:shd w:val="clear" w:color="auto" w:fill="auto"/>
            <w:vAlign w:val="center"/>
            <w:hideMark/>
          </w:tcPr>
          <w:p w14:paraId="2CC234EB" w14:textId="77777777" w:rsidR="0048264F" w:rsidRPr="00E55E40" w:rsidRDefault="0048264F" w:rsidP="00F932F5">
            <w:pPr>
              <w:jc w:val="center"/>
              <w:rPr>
                <w:sz w:val="18"/>
                <w:szCs w:val="18"/>
              </w:rPr>
            </w:pPr>
            <w:r w:rsidRPr="00E55E40">
              <w:rPr>
                <w:sz w:val="18"/>
                <w:szCs w:val="18"/>
              </w:rPr>
              <w:t>11,4</w:t>
            </w:r>
          </w:p>
        </w:tc>
        <w:tc>
          <w:tcPr>
            <w:tcW w:w="1356" w:type="dxa"/>
            <w:shd w:val="clear" w:color="auto" w:fill="auto"/>
            <w:vAlign w:val="center"/>
            <w:hideMark/>
          </w:tcPr>
          <w:p w14:paraId="3174D49E" w14:textId="77777777" w:rsidR="0048264F" w:rsidRPr="00E55E40" w:rsidRDefault="0048264F" w:rsidP="00F932F5">
            <w:pPr>
              <w:jc w:val="center"/>
              <w:rPr>
                <w:sz w:val="18"/>
                <w:szCs w:val="18"/>
              </w:rPr>
            </w:pPr>
            <w:r w:rsidRPr="00E55E40">
              <w:rPr>
                <w:sz w:val="18"/>
                <w:szCs w:val="18"/>
              </w:rPr>
              <w:t>19,5</w:t>
            </w:r>
          </w:p>
        </w:tc>
        <w:tc>
          <w:tcPr>
            <w:tcW w:w="1256" w:type="dxa"/>
            <w:shd w:val="clear" w:color="auto" w:fill="auto"/>
            <w:vAlign w:val="center"/>
            <w:hideMark/>
          </w:tcPr>
          <w:p w14:paraId="6A0D828B" w14:textId="77777777" w:rsidR="0048264F" w:rsidRPr="00E55E40" w:rsidRDefault="00F243F3" w:rsidP="00F932F5">
            <w:pPr>
              <w:jc w:val="center"/>
              <w:rPr>
                <w:sz w:val="18"/>
                <w:szCs w:val="18"/>
              </w:rPr>
            </w:pPr>
            <w:r w:rsidRPr="00E55E40">
              <w:rPr>
                <w:sz w:val="18"/>
                <w:szCs w:val="18"/>
              </w:rPr>
              <w:t>+</w:t>
            </w:r>
            <w:r w:rsidR="0048264F" w:rsidRPr="00E55E40">
              <w:rPr>
                <w:sz w:val="18"/>
                <w:szCs w:val="18"/>
              </w:rPr>
              <w:t>8,1</w:t>
            </w:r>
          </w:p>
        </w:tc>
        <w:tc>
          <w:tcPr>
            <w:tcW w:w="1088" w:type="dxa"/>
            <w:vAlign w:val="center"/>
          </w:tcPr>
          <w:p w14:paraId="235603D6" w14:textId="77777777" w:rsidR="0048264F" w:rsidRPr="00E55E40" w:rsidRDefault="00F243F3" w:rsidP="00F243F3">
            <w:pPr>
              <w:jc w:val="center"/>
              <w:rPr>
                <w:sz w:val="18"/>
                <w:szCs w:val="18"/>
              </w:rPr>
            </w:pPr>
            <w:r w:rsidRPr="00E55E40">
              <w:rPr>
                <w:sz w:val="18"/>
                <w:szCs w:val="18"/>
              </w:rPr>
              <w:t>+71,1</w:t>
            </w:r>
          </w:p>
        </w:tc>
      </w:tr>
      <w:tr w:rsidR="0048264F" w:rsidRPr="00E55E40" w14:paraId="4F27AD3D" w14:textId="77777777" w:rsidTr="00F243F3">
        <w:trPr>
          <w:trHeight w:val="145"/>
          <w:jc w:val="center"/>
        </w:trPr>
        <w:tc>
          <w:tcPr>
            <w:tcW w:w="4321" w:type="dxa"/>
            <w:shd w:val="clear" w:color="auto" w:fill="auto"/>
            <w:vAlign w:val="center"/>
            <w:hideMark/>
          </w:tcPr>
          <w:p w14:paraId="1DEB4446" w14:textId="77777777" w:rsidR="0048264F" w:rsidRPr="00E55E40" w:rsidRDefault="0048264F" w:rsidP="00F932F5">
            <w:pPr>
              <w:jc w:val="center"/>
              <w:rPr>
                <w:b/>
                <w:bCs/>
                <w:sz w:val="18"/>
                <w:szCs w:val="18"/>
              </w:rPr>
            </w:pPr>
            <w:r w:rsidRPr="00E55E40">
              <w:rPr>
                <w:b/>
                <w:bCs/>
                <w:sz w:val="18"/>
                <w:szCs w:val="18"/>
              </w:rPr>
              <w:t>итого</w:t>
            </w:r>
          </w:p>
        </w:tc>
        <w:tc>
          <w:tcPr>
            <w:tcW w:w="1734" w:type="dxa"/>
            <w:shd w:val="clear" w:color="auto" w:fill="auto"/>
            <w:vAlign w:val="center"/>
            <w:hideMark/>
          </w:tcPr>
          <w:p w14:paraId="65A6EFB1" w14:textId="77777777" w:rsidR="0048264F" w:rsidRPr="00E55E40" w:rsidRDefault="0048264F" w:rsidP="00F932F5">
            <w:pPr>
              <w:jc w:val="center"/>
              <w:rPr>
                <w:b/>
                <w:bCs/>
                <w:sz w:val="18"/>
                <w:szCs w:val="18"/>
              </w:rPr>
            </w:pPr>
            <w:r w:rsidRPr="00E55E40">
              <w:rPr>
                <w:b/>
                <w:bCs/>
                <w:sz w:val="18"/>
                <w:szCs w:val="18"/>
              </w:rPr>
              <w:t>101,2</w:t>
            </w:r>
          </w:p>
        </w:tc>
        <w:tc>
          <w:tcPr>
            <w:tcW w:w="1356" w:type="dxa"/>
            <w:shd w:val="clear" w:color="auto" w:fill="auto"/>
            <w:vAlign w:val="center"/>
            <w:hideMark/>
          </w:tcPr>
          <w:p w14:paraId="50465754" w14:textId="77777777" w:rsidR="0048264F" w:rsidRPr="00E55E40" w:rsidRDefault="0048264F" w:rsidP="00F932F5">
            <w:pPr>
              <w:jc w:val="center"/>
              <w:rPr>
                <w:b/>
                <w:bCs/>
                <w:sz w:val="18"/>
                <w:szCs w:val="18"/>
              </w:rPr>
            </w:pPr>
            <w:r w:rsidRPr="00E55E40">
              <w:rPr>
                <w:b/>
                <w:bCs/>
                <w:sz w:val="18"/>
                <w:szCs w:val="18"/>
              </w:rPr>
              <w:t>176,1</w:t>
            </w:r>
          </w:p>
        </w:tc>
        <w:tc>
          <w:tcPr>
            <w:tcW w:w="1256" w:type="dxa"/>
            <w:shd w:val="clear" w:color="auto" w:fill="auto"/>
            <w:vAlign w:val="center"/>
            <w:hideMark/>
          </w:tcPr>
          <w:p w14:paraId="35911F49" w14:textId="77777777" w:rsidR="0048264F" w:rsidRPr="00E55E40" w:rsidRDefault="00F243F3" w:rsidP="00F932F5">
            <w:pPr>
              <w:jc w:val="center"/>
              <w:rPr>
                <w:b/>
                <w:bCs/>
                <w:sz w:val="18"/>
                <w:szCs w:val="18"/>
              </w:rPr>
            </w:pPr>
            <w:r w:rsidRPr="00E55E40">
              <w:rPr>
                <w:b/>
                <w:bCs/>
                <w:sz w:val="18"/>
                <w:szCs w:val="18"/>
              </w:rPr>
              <w:t>+</w:t>
            </w:r>
            <w:r w:rsidR="0048264F" w:rsidRPr="00E55E40">
              <w:rPr>
                <w:b/>
                <w:bCs/>
                <w:sz w:val="18"/>
                <w:szCs w:val="18"/>
              </w:rPr>
              <w:t>74,8</w:t>
            </w:r>
          </w:p>
        </w:tc>
        <w:tc>
          <w:tcPr>
            <w:tcW w:w="1088" w:type="dxa"/>
            <w:vAlign w:val="center"/>
          </w:tcPr>
          <w:p w14:paraId="1B6A1155" w14:textId="77777777" w:rsidR="0048264F" w:rsidRPr="00E55E40" w:rsidRDefault="00F243F3" w:rsidP="00F243F3">
            <w:pPr>
              <w:jc w:val="center"/>
              <w:rPr>
                <w:b/>
                <w:bCs/>
                <w:sz w:val="18"/>
                <w:szCs w:val="18"/>
              </w:rPr>
            </w:pPr>
            <w:r w:rsidRPr="00E55E40">
              <w:rPr>
                <w:b/>
                <w:bCs/>
                <w:sz w:val="18"/>
                <w:szCs w:val="18"/>
              </w:rPr>
              <w:t>+74</w:t>
            </w:r>
          </w:p>
        </w:tc>
      </w:tr>
      <w:tr w:rsidR="0048264F" w:rsidRPr="00E55E40" w14:paraId="480176E1" w14:textId="77777777" w:rsidTr="00F243F3">
        <w:trPr>
          <w:trHeight w:val="147"/>
          <w:jc w:val="center"/>
        </w:trPr>
        <w:tc>
          <w:tcPr>
            <w:tcW w:w="4321" w:type="dxa"/>
            <w:shd w:val="clear" w:color="auto" w:fill="auto"/>
            <w:vAlign w:val="center"/>
            <w:hideMark/>
          </w:tcPr>
          <w:p w14:paraId="402DE250" w14:textId="77777777" w:rsidR="0048264F" w:rsidRPr="00E55E40" w:rsidRDefault="0048264F" w:rsidP="00F932F5">
            <w:pPr>
              <w:jc w:val="center"/>
              <w:rPr>
                <w:b/>
                <w:bCs/>
                <w:sz w:val="18"/>
                <w:szCs w:val="18"/>
              </w:rPr>
            </w:pPr>
            <w:r w:rsidRPr="00E55E40">
              <w:rPr>
                <w:b/>
                <w:bCs/>
                <w:sz w:val="18"/>
                <w:szCs w:val="18"/>
              </w:rPr>
              <w:t>ВСЕГО</w:t>
            </w:r>
          </w:p>
        </w:tc>
        <w:tc>
          <w:tcPr>
            <w:tcW w:w="1734" w:type="dxa"/>
            <w:shd w:val="clear" w:color="auto" w:fill="auto"/>
            <w:vAlign w:val="center"/>
            <w:hideMark/>
          </w:tcPr>
          <w:p w14:paraId="3B4FF925" w14:textId="77777777" w:rsidR="0048264F" w:rsidRPr="00E55E40" w:rsidRDefault="0048264F" w:rsidP="00F932F5">
            <w:pPr>
              <w:jc w:val="center"/>
              <w:rPr>
                <w:b/>
                <w:bCs/>
                <w:sz w:val="18"/>
                <w:szCs w:val="18"/>
              </w:rPr>
            </w:pPr>
            <w:r w:rsidRPr="00E55E40">
              <w:rPr>
                <w:b/>
                <w:bCs/>
                <w:sz w:val="18"/>
                <w:szCs w:val="18"/>
              </w:rPr>
              <w:t>331,7</w:t>
            </w:r>
          </w:p>
        </w:tc>
        <w:tc>
          <w:tcPr>
            <w:tcW w:w="1356" w:type="dxa"/>
            <w:shd w:val="clear" w:color="auto" w:fill="auto"/>
            <w:vAlign w:val="center"/>
            <w:hideMark/>
          </w:tcPr>
          <w:p w14:paraId="0615D15E" w14:textId="77777777" w:rsidR="0048264F" w:rsidRPr="00E55E40" w:rsidRDefault="0048264F" w:rsidP="00F932F5">
            <w:pPr>
              <w:jc w:val="center"/>
              <w:rPr>
                <w:b/>
                <w:bCs/>
                <w:sz w:val="18"/>
                <w:szCs w:val="18"/>
              </w:rPr>
            </w:pPr>
            <w:r w:rsidRPr="00E55E40">
              <w:rPr>
                <w:b/>
                <w:bCs/>
                <w:sz w:val="18"/>
                <w:szCs w:val="18"/>
              </w:rPr>
              <w:t>481,3</w:t>
            </w:r>
          </w:p>
        </w:tc>
        <w:tc>
          <w:tcPr>
            <w:tcW w:w="1256" w:type="dxa"/>
            <w:shd w:val="clear" w:color="auto" w:fill="auto"/>
            <w:vAlign w:val="center"/>
            <w:hideMark/>
          </w:tcPr>
          <w:p w14:paraId="0E0DBD39" w14:textId="77777777" w:rsidR="0048264F" w:rsidRPr="00E55E40" w:rsidRDefault="00F243F3" w:rsidP="00F932F5">
            <w:pPr>
              <w:jc w:val="center"/>
              <w:rPr>
                <w:b/>
                <w:bCs/>
                <w:sz w:val="18"/>
                <w:szCs w:val="18"/>
              </w:rPr>
            </w:pPr>
            <w:r w:rsidRPr="00E55E40">
              <w:rPr>
                <w:b/>
                <w:bCs/>
                <w:sz w:val="18"/>
                <w:szCs w:val="18"/>
              </w:rPr>
              <w:t>+</w:t>
            </w:r>
            <w:r w:rsidR="0048264F" w:rsidRPr="00E55E40">
              <w:rPr>
                <w:b/>
                <w:bCs/>
                <w:sz w:val="18"/>
                <w:szCs w:val="18"/>
              </w:rPr>
              <w:t>149,5</w:t>
            </w:r>
          </w:p>
        </w:tc>
        <w:tc>
          <w:tcPr>
            <w:tcW w:w="1088" w:type="dxa"/>
            <w:vAlign w:val="center"/>
          </w:tcPr>
          <w:p w14:paraId="4020DE6B" w14:textId="77777777" w:rsidR="0048264F" w:rsidRPr="00E55E40" w:rsidRDefault="00F243F3" w:rsidP="00F243F3">
            <w:pPr>
              <w:jc w:val="center"/>
              <w:rPr>
                <w:b/>
                <w:bCs/>
                <w:sz w:val="18"/>
                <w:szCs w:val="18"/>
              </w:rPr>
            </w:pPr>
            <w:r w:rsidRPr="00E55E40">
              <w:rPr>
                <w:b/>
                <w:bCs/>
                <w:sz w:val="18"/>
                <w:szCs w:val="18"/>
              </w:rPr>
              <w:t>+45,1</w:t>
            </w:r>
          </w:p>
        </w:tc>
      </w:tr>
    </w:tbl>
    <w:p w14:paraId="7B3A5E91" w14:textId="77777777" w:rsidR="001D5FE0" w:rsidRPr="00E55E40" w:rsidRDefault="001D5FE0" w:rsidP="001D5FE0">
      <w:pPr>
        <w:autoSpaceDE w:val="0"/>
        <w:autoSpaceDN w:val="0"/>
        <w:adjustRightInd w:val="0"/>
        <w:ind w:firstLine="709"/>
        <w:jc w:val="both"/>
        <w:rPr>
          <w:rFonts w:eastAsiaTheme="minorHAnsi"/>
          <w:color w:val="FF0000"/>
          <w:lang w:eastAsia="en-US"/>
        </w:rPr>
      </w:pPr>
    </w:p>
    <w:p w14:paraId="094ACFCC" w14:textId="77777777" w:rsidR="001D5FE0" w:rsidRPr="00E55E40" w:rsidRDefault="001D5FE0" w:rsidP="001D5FE0">
      <w:pPr>
        <w:autoSpaceDE w:val="0"/>
        <w:autoSpaceDN w:val="0"/>
        <w:adjustRightInd w:val="0"/>
        <w:ind w:firstLine="709"/>
        <w:jc w:val="both"/>
      </w:pPr>
      <w:r w:rsidRPr="00E55E40">
        <w:t>Как видно из таблицы № 1</w:t>
      </w:r>
      <w:r w:rsidR="00773B44" w:rsidRPr="00E55E40">
        <w:t>3</w:t>
      </w:r>
      <w:r w:rsidRPr="00E55E40">
        <w:t xml:space="preserve">, </w:t>
      </w:r>
      <w:r w:rsidR="00066198" w:rsidRPr="00E55E40">
        <w:t xml:space="preserve">при оказании государственной услуги в </w:t>
      </w:r>
      <w:r w:rsidRPr="00E55E40">
        <w:t>ДИМВ расход</w:t>
      </w:r>
      <w:r w:rsidR="00066198" w:rsidRPr="00E55E40">
        <w:t xml:space="preserve">ы </w:t>
      </w:r>
      <w:r w:rsidRPr="00E55E40">
        <w:t>на заработную плату</w:t>
      </w:r>
      <w:r w:rsidR="00066198" w:rsidRPr="00E55E40">
        <w:t xml:space="preserve"> с начислениями</w:t>
      </w:r>
      <w:r w:rsidRPr="00E55E40">
        <w:t xml:space="preserve"> работников, непосредственно оказывающих государственные услуги, </w:t>
      </w:r>
      <w:r w:rsidR="00066198" w:rsidRPr="00E55E40">
        <w:t xml:space="preserve">выше, чем в ДПИ, </w:t>
      </w:r>
      <w:r w:rsidRPr="00E55E40">
        <w:t>на 73,4 тыс. руб.</w:t>
      </w:r>
      <w:r w:rsidR="00066198" w:rsidRPr="00E55E40">
        <w:t xml:space="preserve"> </w:t>
      </w:r>
      <w:r w:rsidR="006A52D4" w:rsidRPr="00E55E40">
        <w:t>(</w:t>
      </w:r>
      <w:r w:rsidRPr="00E55E40">
        <w:t>на 43,5%</w:t>
      </w:r>
      <w:r w:rsidR="006A52D4" w:rsidRPr="00E55E40">
        <w:t>)</w:t>
      </w:r>
      <w:r w:rsidR="00066198" w:rsidRPr="00E55E40">
        <w:t>,</w:t>
      </w:r>
      <w:r w:rsidRPr="00E55E40">
        <w:t xml:space="preserve"> работников, не принимающих непосредственного участия в оказании государственные услуги, на 61,5 тыс. руб.</w:t>
      </w:r>
      <w:r w:rsidR="00066198" w:rsidRPr="00E55E40">
        <w:t>, или</w:t>
      </w:r>
      <w:r w:rsidRPr="00E55E40">
        <w:t xml:space="preserve"> почти в 2,2 раза.  </w:t>
      </w:r>
    </w:p>
    <w:p w14:paraId="161286F9" w14:textId="77777777" w:rsidR="0021130E" w:rsidRPr="00E55E40" w:rsidRDefault="008A5726" w:rsidP="008A5726">
      <w:pPr>
        <w:spacing w:line="240" w:lineRule="atLeast"/>
        <w:ind w:firstLine="720"/>
        <w:jc w:val="both"/>
        <w:rPr>
          <w:rFonts w:eastAsiaTheme="minorHAnsi"/>
          <w:lang w:eastAsia="en-US"/>
        </w:rPr>
      </w:pPr>
      <w:r w:rsidRPr="00E55E40">
        <w:rPr>
          <w:rFonts w:eastAsiaTheme="minorHAnsi"/>
          <w:lang w:eastAsia="en-US"/>
        </w:rPr>
        <w:t xml:space="preserve">По расчёту КСП сумма неэффективных расходов в связи оказанием государственных услуг </w:t>
      </w:r>
      <w:r w:rsidR="006A52D4" w:rsidRPr="00E55E40">
        <w:rPr>
          <w:rFonts w:eastAsiaTheme="minorHAnsi"/>
          <w:lang w:eastAsia="en-US"/>
        </w:rPr>
        <w:t>в</w:t>
      </w:r>
      <w:r w:rsidRPr="00E55E40">
        <w:rPr>
          <w:rFonts w:eastAsiaTheme="minorHAnsi"/>
          <w:lang w:eastAsia="en-US"/>
        </w:rPr>
        <w:t xml:space="preserve"> ДИМВ за 2017-2018 годы составила 45213,9 тыс. руб., в 2019 году составит 26238,8 тыс. рублей. За вычетом средств, поступающих от пенсий получателей социальных услуг, составляющих в среднем 24% от </w:t>
      </w:r>
      <w:r w:rsidR="006A52D4" w:rsidRPr="00E55E40">
        <w:rPr>
          <w:rFonts w:eastAsiaTheme="minorHAnsi"/>
          <w:lang w:eastAsia="en-US"/>
        </w:rPr>
        <w:t>общего объёма финансового обеспечения</w:t>
      </w:r>
      <w:r w:rsidRPr="00E55E40">
        <w:rPr>
          <w:rFonts w:eastAsiaTheme="minorHAnsi"/>
          <w:lang w:eastAsia="en-US"/>
        </w:rPr>
        <w:t xml:space="preserve"> </w:t>
      </w:r>
      <w:r w:rsidR="006A52D4" w:rsidRPr="00E55E40">
        <w:rPr>
          <w:rFonts w:eastAsiaTheme="minorHAnsi"/>
          <w:lang w:eastAsia="en-US"/>
        </w:rPr>
        <w:t>выполнен</w:t>
      </w:r>
      <w:r w:rsidRPr="00E55E40">
        <w:rPr>
          <w:rFonts w:eastAsiaTheme="minorHAnsi"/>
          <w:lang w:eastAsia="en-US"/>
        </w:rPr>
        <w:t>и</w:t>
      </w:r>
      <w:r w:rsidR="006A52D4" w:rsidRPr="00E55E40">
        <w:rPr>
          <w:rFonts w:eastAsiaTheme="minorHAnsi"/>
          <w:lang w:eastAsia="en-US"/>
        </w:rPr>
        <w:t xml:space="preserve">я </w:t>
      </w:r>
      <w:r w:rsidRPr="00E55E40">
        <w:rPr>
          <w:rFonts w:eastAsiaTheme="minorHAnsi"/>
          <w:lang w:eastAsia="en-US"/>
        </w:rPr>
        <w:t xml:space="preserve">государственного задания, </w:t>
      </w:r>
      <w:r w:rsidR="0021130E" w:rsidRPr="00E55E40">
        <w:rPr>
          <w:rFonts w:eastAsiaTheme="minorHAnsi"/>
          <w:lang w:eastAsia="en-US"/>
        </w:rPr>
        <w:t>неэффективные</w:t>
      </w:r>
      <w:r w:rsidRPr="00E55E40">
        <w:rPr>
          <w:rFonts w:eastAsiaTheme="minorHAnsi"/>
          <w:lang w:eastAsia="en-US"/>
        </w:rPr>
        <w:t xml:space="preserve"> расходы областного бюджета на оказание государственных услуг на территории ДИМВ за 2017-2018 годы </w:t>
      </w:r>
      <w:r w:rsidR="007D4C27" w:rsidRPr="00E55E40">
        <w:rPr>
          <w:rFonts w:eastAsiaTheme="minorHAnsi"/>
          <w:lang w:eastAsia="en-US"/>
        </w:rPr>
        <w:t xml:space="preserve">и 9 месяцев 2019 года </w:t>
      </w:r>
      <w:r w:rsidRPr="00E55E40">
        <w:rPr>
          <w:rFonts w:eastAsiaTheme="minorHAnsi"/>
          <w:lang w:eastAsia="en-US"/>
        </w:rPr>
        <w:t xml:space="preserve">составили </w:t>
      </w:r>
      <w:r w:rsidR="007D4C27" w:rsidRPr="00E55E40">
        <w:rPr>
          <w:rFonts w:eastAsiaTheme="minorHAnsi"/>
          <w:lang w:eastAsia="en-US"/>
        </w:rPr>
        <w:t>49,4</w:t>
      </w:r>
      <w:r w:rsidRPr="00E55E40">
        <w:rPr>
          <w:rFonts w:eastAsiaTheme="minorHAnsi"/>
          <w:lang w:eastAsia="en-US"/>
        </w:rPr>
        <w:t xml:space="preserve"> </w:t>
      </w:r>
      <w:r w:rsidR="007D4C27" w:rsidRPr="00E55E40">
        <w:rPr>
          <w:rFonts w:eastAsiaTheme="minorHAnsi"/>
          <w:lang w:eastAsia="en-US"/>
        </w:rPr>
        <w:t>млн</w:t>
      </w:r>
      <w:r w:rsidRPr="00E55E40">
        <w:rPr>
          <w:rFonts w:eastAsiaTheme="minorHAnsi"/>
          <w:lang w:eastAsia="en-US"/>
        </w:rPr>
        <w:t xml:space="preserve">. руб., </w:t>
      </w:r>
      <w:r w:rsidR="007D4C27" w:rsidRPr="00E55E40">
        <w:rPr>
          <w:rFonts w:eastAsiaTheme="minorHAnsi"/>
          <w:lang w:eastAsia="en-US"/>
        </w:rPr>
        <w:t>резервы расходов областного бюджета за</w:t>
      </w:r>
      <w:r w:rsidRPr="00E55E40">
        <w:rPr>
          <w:rFonts w:eastAsiaTheme="minorHAnsi"/>
          <w:lang w:eastAsia="en-US"/>
        </w:rPr>
        <w:t xml:space="preserve"> </w:t>
      </w:r>
      <w:r w:rsidR="007D4C27" w:rsidRPr="00E55E40">
        <w:rPr>
          <w:rFonts w:eastAsiaTheme="minorHAnsi"/>
          <w:lang w:eastAsia="en-US"/>
        </w:rPr>
        <w:t xml:space="preserve">оставшиеся 3 месяца </w:t>
      </w:r>
      <w:r w:rsidRPr="00E55E40">
        <w:rPr>
          <w:rFonts w:eastAsiaTheme="minorHAnsi"/>
          <w:lang w:eastAsia="en-US"/>
        </w:rPr>
        <w:t>2019 год</w:t>
      </w:r>
      <w:r w:rsidR="007D4C27" w:rsidRPr="00E55E40">
        <w:rPr>
          <w:rFonts w:eastAsiaTheme="minorHAnsi"/>
          <w:lang w:eastAsia="en-US"/>
        </w:rPr>
        <w:t>а</w:t>
      </w:r>
      <w:r w:rsidRPr="00E55E40">
        <w:rPr>
          <w:rFonts w:eastAsiaTheme="minorHAnsi"/>
          <w:lang w:eastAsia="en-US"/>
        </w:rPr>
        <w:t xml:space="preserve"> составят 5 </w:t>
      </w:r>
      <w:r w:rsidR="007D4C27" w:rsidRPr="00E55E40">
        <w:rPr>
          <w:rFonts w:eastAsiaTheme="minorHAnsi"/>
          <w:lang w:eastAsia="en-US"/>
        </w:rPr>
        <w:t>млн</w:t>
      </w:r>
      <w:r w:rsidRPr="00E55E40">
        <w:rPr>
          <w:rFonts w:eastAsiaTheme="minorHAnsi"/>
          <w:lang w:eastAsia="en-US"/>
        </w:rPr>
        <w:t>. рублей.</w:t>
      </w:r>
    </w:p>
    <w:p w14:paraId="5FD0CB55" w14:textId="77777777" w:rsidR="007D4C27" w:rsidRPr="00E55E40" w:rsidRDefault="007D4C27" w:rsidP="00D43ECE">
      <w:pPr>
        <w:spacing w:line="240" w:lineRule="atLeast"/>
        <w:ind w:firstLine="720"/>
        <w:jc w:val="both"/>
        <w:rPr>
          <w:rFonts w:eastAsiaTheme="minorHAnsi"/>
          <w:lang w:eastAsia="en-US"/>
        </w:rPr>
      </w:pPr>
      <w:r w:rsidRPr="00E55E40">
        <w:rPr>
          <w:rFonts w:eastAsiaTheme="minorHAnsi"/>
          <w:lang w:eastAsia="en-US"/>
        </w:rPr>
        <w:t>(</w:t>
      </w:r>
      <w:r w:rsidRPr="00E55E40">
        <w:rPr>
          <w:rFonts w:eastAsiaTheme="minorHAnsi"/>
          <w:color w:val="0000CC"/>
          <w:lang w:eastAsia="en-US"/>
        </w:rPr>
        <w:t>Приложение №</w:t>
      </w:r>
      <w:r w:rsidR="009F6827" w:rsidRPr="00E55E40">
        <w:rPr>
          <w:rFonts w:eastAsiaTheme="minorHAnsi"/>
          <w:color w:val="0000CC"/>
          <w:lang w:eastAsia="en-US"/>
        </w:rPr>
        <w:t xml:space="preserve"> 3</w:t>
      </w:r>
      <w:r w:rsidRPr="00E55E40">
        <w:rPr>
          <w:rFonts w:eastAsiaTheme="minorHAnsi"/>
          <w:lang w:eastAsia="en-US"/>
        </w:rPr>
        <w:t xml:space="preserve"> – </w:t>
      </w:r>
      <w:r w:rsidR="006C05E0" w:rsidRPr="00E55E40">
        <w:rPr>
          <w:rFonts w:eastAsiaTheme="minorHAnsi"/>
          <w:lang w:eastAsia="en-US"/>
        </w:rPr>
        <w:t>расчет неэффективных расходов и резервов областного бюджета на осуществление социального обслуживания на территории ДИМВ)</w:t>
      </w:r>
      <w:r w:rsidR="009F6827" w:rsidRPr="00E55E40">
        <w:rPr>
          <w:rFonts w:eastAsiaTheme="minorHAnsi"/>
          <w:lang w:eastAsia="en-US"/>
        </w:rPr>
        <w:t>.</w:t>
      </w:r>
    </w:p>
    <w:p w14:paraId="681563A7" w14:textId="77777777" w:rsidR="00C96912" w:rsidRPr="00E55E40" w:rsidRDefault="00843908" w:rsidP="00D43ECE">
      <w:pPr>
        <w:spacing w:line="240" w:lineRule="atLeast"/>
        <w:ind w:firstLine="720"/>
        <w:jc w:val="both"/>
        <w:rPr>
          <w:rFonts w:eastAsiaTheme="minorHAnsi"/>
          <w:lang w:eastAsia="en-US"/>
        </w:rPr>
      </w:pPr>
      <w:r w:rsidRPr="00E55E40">
        <w:rPr>
          <w:rFonts w:eastAsiaTheme="minorHAnsi"/>
          <w:lang w:eastAsia="en-US"/>
        </w:rPr>
        <w:lastRenderedPageBreak/>
        <w:t xml:space="preserve">В этой связи следует отметить, что </w:t>
      </w:r>
      <w:r w:rsidR="004B0AC1" w:rsidRPr="00E55E40">
        <w:rPr>
          <w:rFonts w:eastAsiaTheme="minorHAnsi"/>
          <w:lang w:eastAsia="en-US"/>
        </w:rPr>
        <w:t>количество коек, развернутых в организациях, подведомственных Комитету, за 2016-2019 годы сократилось на 289, или на 6,2</w:t>
      </w:r>
      <w:r w:rsidR="00C96912" w:rsidRPr="00E55E40">
        <w:rPr>
          <w:rFonts w:eastAsiaTheme="minorHAnsi"/>
          <w:lang w:eastAsia="en-US"/>
        </w:rPr>
        <w:t>%, что п</w:t>
      </w:r>
      <w:r w:rsidR="004B0AC1" w:rsidRPr="00E55E40">
        <w:rPr>
          <w:rFonts w:eastAsiaTheme="minorHAnsi"/>
          <w:lang w:eastAsia="en-US"/>
        </w:rPr>
        <w:t xml:space="preserve">о пояснениям Комитета </w:t>
      </w:r>
      <w:r w:rsidR="00C96912" w:rsidRPr="00E55E40">
        <w:rPr>
          <w:rFonts w:eastAsiaTheme="minorHAnsi"/>
          <w:lang w:eastAsia="en-US"/>
        </w:rPr>
        <w:t>связано с необходимостью соблюдения нормативов обеспечения площадью жилых помещений при предоставлении социальных услуг организациями социального обслуживания Волгоградской области, утверждённых приказом Минтрудсоцзащиты Волгоградской области от 10.09.2014 № 1355 (далее Приказ № 1355)</w:t>
      </w:r>
      <w:r w:rsidR="00D43ECE" w:rsidRPr="00E55E40">
        <w:rPr>
          <w:rFonts w:eastAsiaTheme="minorHAnsi"/>
          <w:lang w:eastAsia="en-US"/>
        </w:rPr>
        <w:t xml:space="preserve"> для организаций социального обслуживания, осуществляющи</w:t>
      </w:r>
      <w:r w:rsidR="00ED0DE3" w:rsidRPr="00E55E40">
        <w:rPr>
          <w:rFonts w:eastAsiaTheme="minorHAnsi"/>
          <w:lang w:eastAsia="en-US"/>
        </w:rPr>
        <w:t>х</w:t>
      </w:r>
      <w:r w:rsidR="00D43ECE" w:rsidRPr="00E55E40">
        <w:rPr>
          <w:rFonts w:eastAsiaTheme="minorHAnsi"/>
          <w:lang w:eastAsia="en-US"/>
        </w:rPr>
        <w:t xml:space="preserve"> деятельность по уходу за престарелыми и инвалидами с обеспечением проживания </w:t>
      </w:r>
      <w:r w:rsidR="00C96912" w:rsidRPr="00E55E40">
        <w:rPr>
          <w:rFonts w:eastAsiaTheme="minorHAnsi"/>
          <w:lang w:eastAsia="en-US"/>
        </w:rPr>
        <w:t>в размере 6 кв.м на 1 человека.</w:t>
      </w:r>
    </w:p>
    <w:p w14:paraId="179CED77" w14:textId="77777777" w:rsidR="00D43ECE" w:rsidRPr="00E55E40" w:rsidRDefault="00C96912" w:rsidP="00D43ECE">
      <w:pPr>
        <w:spacing w:after="1" w:line="220" w:lineRule="atLeast"/>
        <w:ind w:firstLine="709"/>
        <w:jc w:val="both"/>
        <w:rPr>
          <w:rFonts w:eastAsiaTheme="minorHAnsi"/>
          <w:lang w:eastAsia="en-US"/>
        </w:rPr>
      </w:pPr>
      <w:r w:rsidRPr="00E55E40">
        <w:rPr>
          <w:rFonts w:eastAsiaTheme="minorHAnsi"/>
          <w:lang w:eastAsia="en-US"/>
        </w:rPr>
        <w:t>С</w:t>
      </w:r>
      <w:r w:rsidR="00D43ECE" w:rsidRPr="00E55E40">
        <w:rPr>
          <w:rFonts w:eastAsiaTheme="minorHAnsi"/>
          <w:lang w:eastAsia="en-US"/>
        </w:rPr>
        <w:t xml:space="preserve">ледует указать, что согласно </w:t>
      </w:r>
      <w:r w:rsidRPr="00E55E40">
        <w:rPr>
          <w:rFonts w:eastAsiaTheme="minorHAnsi"/>
          <w:lang w:eastAsia="en-US"/>
        </w:rPr>
        <w:t>предоставленн</w:t>
      </w:r>
      <w:r w:rsidR="00D43ECE" w:rsidRPr="00E55E40">
        <w:rPr>
          <w:rFonts w:eastAsiaTheme="minorHAnsi"/>
          <w:lang w:eastAsia="en-US"/>
        </w:rPr>
        <w:t>ой</w:t>
      </w:r>
      <w:r w:rsidRPr="00E55E40">
        <w:rPr>
          <w:rFonts w:eastAsiaTheme="minorHAnsi"/>
          <w:lang w:eastAsia="en-US"/>
        </w:rPr>
        <w:t xml:space="preserve"> Комитетом </w:t>
      </w:r>
      <w:r w:rsidR="00D43ECE" w:rsidRPr="00E55E40">
        <w:rPr>
          <w:rFonts w:eastAsiaTheme="minorHAnsi"/>
          <w:lang w:eastAsia="en-US"/>
        </w:rPr>
        <w:t xml:space="preserve">информации в отдельных организациях площадь жилых помещений, приходящаяся на 1 человека, в несколько раз превышает установленный норматив, например в Мачешанском ДПИ - 35,2 кв.м/чел., или в 6 раз больше, в Иловатском ПНИ - 31,2 кв.м/чел., или в 5 раз больше, в Палласовском ДПИ» - 25,3 кв.м/чел., или в 4 раза больше, в Харьковском ДПИ - 20,7 кв.м/чел., или в 3 раза больше. </w:t>
      </w:r>
    </w:p>
    <w:p w14:paraId="7A4EA201" w14:textId="77777777" w:rsidR="00C96912" w:rsidRPr="00E55E40" w:rsidRDefault="00D43ECE" w:rsidP="00C96912">
      <w:pPr>
        <w:spacing w:after="1" w:line="220" w:lineRule="atLeast"/>
        <w:ind w:firstLine="709"/>
        <w:jc w:val="both"/>
        <w:rPr>
          <w:rFonts w:eastAsiaTheme="minorHAnsi"/>
          <w:lang w:eastAsia="en-US"/>
        </w:rPr>
      </w:pPr>
      <w:r w:rsidRPr="00E55E40">
        <w:rPr>
          <w:rFonts w:eastAsiaTheme="minorHAnsi"/>
          <w:lang w:eastAsia="en-US"/>
        </w:rPr>
        <w:t>По информации Комитета п</w:t>
      </w:r>
      <w:r w:rsidR="00C96912" w:rsidRPr="00E55E40">
        <w:rPr>
          <w:rFonts w:eastAsiaTheme="minorHAnsi"/>
          <w:lang w:eastAsia="en-US"/>
        </w:rPr>
        <w:t>ревышение нормативной площади связано с необходимостью соблюдения вместимости спальных комнат, утверждённой Приказом №</w:t>
      </w:r>
      <w:r w:rsidRPr="00E55E40">
        <w:rPr>
          <w:rFonts w:eastAsiaTheme="minorHAnsi"/>
          <w:lang w:eastAsia="en-US"/>
        </w:rPr>
        <w:t> </w:t>
      </w:r>
      <w:r w:rsidR="00C96912" w:rsidRPr="00E55E40">
        <w:rPr>
          <w:rFonts w:eastAsiaTheme="minorHAnsi"/>
          <w:lang w:eastAsia="en-US"/>
        </w:rPr>
        <w:t>1355 для ПНИ в количестве 4-6 человек в одной спальной комнате, для ДПИ, ДИМВ и ГЦ - в количестве 1-3 человек.</w:t>
      </w:r>
    </w:p>
    <w:p w14:paraId="35A9EDE9" w14:textId="77777777" w:rsidR="001745C0" w:rsidRPr="00E55E40" w:rsidRDefault="00D43ECE" w:rsidP="001745C0">
      <w:pPr>
        <w:spacing w:after="1" w:line="220" w:lineRule="atLeast"/>
        <w:ind w:firstLine="709"/>
        <w:jc w:val="both"/>
        <w:rPr>
          <w:rFonts w:eastAsiaTheme="minorHAnsi"/>
          <w:lang w:eastAsia="en-US"/>
        </w:rPr>
      </w:pPr>
      <w:r w:rsidRPr="00E55E40">
        <w:rPr>
          <w:rFonts w:eastAsiaTheme="minorHAnsi"/>
          <w:lang w:eastAsia="en-US"/>
        </w:rPr>
        <w:t>Необходимо</w:t>
      </w:r>
      <w:r w:rsidR="00C96912" w:rsidRPr="00E55E40">
        <w:rPr>
          <w:rFonts w:eastAsiaTheme="minorHAnsi"/>
          <w:lang w:eastAsia="en-US"/>
        </w:rPr>
        <w:t xml:space="preserve"> отметить, что</w:t>
      </w:r>
      <w:r w:rsidR="00AF6A2A" w:rsidRPr="00E55E40">
        <w:rPr>
          <w:rFonts w:eastAsiaTheme="minorHAnsi"/>
          <w:lang w:eastAsia="en-US"/>
        </w:rPr>
        <w:t xml:space="preserve"> Федеральным законом № 442-ФЗ</w:t>
      </w:r>
      <w:r w:rsidR="00C96912" w:rsidRPr="00E55E40">
        <w:rPr>
          <w:rFonts w:eastAsiaTheme="minorHAnsi"/>
          <w:lang w:eastAsia="en-US"/>
        </w:rPr>
        <w:t xml:space="preserve"> </w:t>
      </w:r>
      <w:r w:rsidRPr="00E55E40">
        <w:rPr>
          <w:rFonts w:eastAsiaTheme="minorHAnsi"/>
          <w:lang w:eastAsia="en-US"/>
        </w:rPr>
        <w:t xml:space="preserve">к полномочиям субъектов РФ </w:t>
      </w:r>
      <w:r w:rsidR="001745C0" w:rsidRPr="00E55E40">
        <w:rPr>
          <w:rFonts w:eastAsiaTheme="minorHAnsi"/>
          <w:lang w:eastAsia="en-US"/>
        </w:rPr>
        <w:t>отнесено установление нормативов обеспечения мягким инвентарем и площадью жилых помещений при предоставлении социальных услуг.</w:t>
      </w:r>
    </w:p>
    <w:p w14:paraId="5318CCB3" w14:textId="77777777" w:rsidR="001745C0" w:rsidRPr="00E55E40" w:rsidRDefault="001745C0" w:rsidP="001745C0">
      <w:pPr>
        <w:spacing w:after="1" w:line="220" w:lineRule="atLeast"/>
        <w:ind w:firstLine="709"/>
        <w:jc w:val="both"/>
        <w:rPr>
          <w:rFonts w:eastAsiaTheme="minorHAnsi"/>
          <w:lang w:eastAsia="en-US"/>
        </w:rPr>
      </w:pPr>
      <w:r w:rsidRPr="00E55E40">
        <w:rPr>
          <w:rFonts w:eastAsiaTheme="minorHAnsi"/>
          <w:lang w:eastAsia="en-US"/>
        </w:rPr>
        <w:t>Проведённы</w:t>
      </w:r>
      <w:r w:rsidR="00E3163E" w:rsidRPr="00E55E40">
        <w:rPr>
          <w:rFonts w:eastAsiaTheme="minorHAnsi"/>
          <w:lang w:eastAsia="en-US"/>
        </w:rPr>
        <w:t>й</w:t>
      </w:r>
      <w:r w:rsidRPr="00E55E40">
        <w:rPr>
          <w:rFonts w:eastAsiaTheme="minorHAnsi"/>
          <w:lang w:eastAsia="en-US"/>
        </w:rPr>
        <w:t xml:space="preserve"> КСП анализ законодательства 20 субъектов РФ показал, что только в Волгоградской области на региональном уровне утверждена вместимость спальных комнат.</w:t>
      </w:r>
    </w:p>
    <w:p w14:paraId="7971CCAF" w14:textId="77777777" w:rsidR="00C96912" w:rsidRPr="00E55E40" w:rsidRDefault="00FF63E0" w:rsidP="00C96912">
      <w:pPr>
        <w:spacing w:after="1" w:line="220" w:lineRule="atLeast"/>
        <w:ind w:firstLine="709"/>
        <w:jc w:val="both"/>
        <w:rPr>
          <w:rFonts w:eastAsiaTheme="minorHAnsi"/>
          <w:lang w:eastAsia="en-US"/>
        </w:rPr>
      </w:pPr>
      <w:r w:rsidRPr="00E55E40">
        <w:rPr>
          <w:rFonts w:eastAsiaTheme="minorHAnsi"/>
          <w:lang w:eastAsia="en-US"/>
        </w:rPr>
        <w:t>В</w:t>
      </w:r>
      <w:r w:rsidR="00C96912" w:rsidRPr="00E55E40">
        <w:rPr>
          <w:rFonts w:eastAsiaTheme="minorHAnsi"/>
          <w:lang w:eastAsia="en-US"/>
        </w:rPr>
        <w:t>местимость</w:t>
      </w:r>
      <w:r w:rsidRPr="00E55E40">
        <w:rPr>
          <w:rFonts w:eastAsiaTheme="minorHAnsi"/>
          <w:lang w:eastAsia="en-US"/>
        </w:rPr>
        <w:t xml:space="preserve"> спальных комнат</w:t>
      </w:r>
      <w:r w:rsidR="00C96912" w:rsidRPr="00E55E40">
        <w:rPr>
          <w:rFonts w:eastAsiaTheme="minorHAnsi"/>
          <w:lang w:eastAsia="en-US"/>
        </w:rPr>
        <w:t>, утверждённая Приказом № 1355, соответствует нормативам</w:t>
      </w:r>
      <w:r w:rsidRPr="00E55E40">
        <w:rPr>
          <w:rFonts w:eastAsiaTheme="minorHAnsi"/>
          <w:lang w:eastAsia="en-US"/>
        </w:rPr>
        <w:t>,</w:t>
      </w:r>
      <w:r w:rsidR="00C96912" w:rsidRPr="00E55E40">
        <w:rPr>
          <w:rFonts w:eastAsiaTheme="minorHAnsi"/>
          <w:lang w:eastAsia="en-US"/>
        </w:rPr>
        <w:t xml:space="preserve"> установленным «Санитарно-эпидемиологическими требованиями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утвержденными  постановлением Главного государственного санитарного врача РФ от 27.05.2016 № 69 (далее СП 2.1.2.3358-16).</w:t>
      </w:r>
    </w:p>
    <w:p w14:paraId="1DC657BA" w14:textId="77777777" w:rsidR="00C96912" w:rsidRPr="00E55E40" w:rsidRDefault="00C96912" w:rsidP="00C96912">
      <w:pPr>
        <w:spacing w:after="1" w:line="220" w:lineRule="atLeast"/>
        <w:ind w:firstLine="709"/>
        <w:jc w:val="both"/>
        <w:rPr>
          <w:rFonts w:eastAsiaTheme="minorHAnsi"/>
          <w:lang w:eastAsia="en-US"/>
        </w:rPr>
      </w:pPr>
      <w:r w:rsidRPr="00E55E40">
        <w:rPr>
          <w:rFonts w:eastAsiaTheme="minorHAnsi"/>
          <w:lang w:eastAsia="en-US"/>
        </w:rPr>
        <w:t>При этом согласно п.1.2 СП 2.1.2.3358-16 санитарные правила не распространяются на объекты организаций социального обслуживания, находящиеся в стадии проектирования, строительства, реконструкции и ввода в эксплуатацию на момент вступления в силу настоящих санитарных правил. Ранее построенные здания организаций социального обслуживания в части архитектурно-планировочных решений эксплуатируются в соответствии с проектом, по которому они были построены.</w:t>
      </w:r>
    </w:p>
    <w:p w14:paraId="5D2041AD" w14:textId="77777777" w:rsidR="00C96912" w:rsidRPr="00E55E40" w:rsidRDefault="00C96912" w:rsidP="00C96912">
      <w:pPr>
        <w:spacing w:after="1" w:line="220" w:lineRule="atLeast"/>
        <w:ind w:firstLine="709"/>
        <w:jc w:val="both"/>
        <w:rPr>
          <w:rFonts w:eastAsiaTheme="minorHAnsi"/>
          <w:lang w:eastAsia="en-US"/>
        </w:rPr>
      </w:pPr>
      <w:r w:rsidRPr="00E55E40">
        <w:rPr>
          <w:rFonts w:eastAsiaTheme="minorHAnsi"/>
          <w:lang w:eastAsia="en-US"/>
        </w:rPr>
        <w:t xml:space="preserve">То есть нормативы вместимости спальных комнат могут быть применимы </w:t>
      </w:r>
      <w:r w:rsidR="006A52D4" w:rsidRPr="00E55E40">
        <w:rPr>
          <w:rFonts w:eastAsiaTheme="minorHAnsi"/>
          <w:lang w:eastAsia="en-US"/>
        </w:rPr>
        <w:t xml:space="preserve">только </w:t>
      </w:r>
      <w:r w:rsidRPr="00E55E40">
        <w:rPr>
          <w:rFonts w:eastAsiaTheme="minorHAnsi"/>
          <w:lang w:eastAsia="en-US"/>
        </w:rPr>
        <w:t>при строительстве и реконструкции объектов организаций социального обслуживания с начала срока действия указанных санитарных правил.</w:t>
      </w:r>
    </w:p>
    <w:p w14:paraId="39847226" w14:textId="77777777" w:rsidR="00F243F3" w:rsidRPr="00E55E40" w:rsidRDefault="00617B4B" w:rsidP="00C96912">
      <w:pPr>
        <w:spacing w:after="1" w:line="220" w:lineRule="atLeast"/>
        <w:ind w:firstLine="709"/>
        <w:jc w:val="both"/>
        <w:rPr>
          <w:rFonts w:eastAsiaTheme="minorHAnsi"/>
          <w:lang w:eastAsia="en-US"/>
        </w:rPr>
      </w:pPr>
      <w:r w:rsidRPr="00E55E40">
        <w:rPr>
          <w:rFonts w:eastAsiaTheme="minorHAnsi"/>
          <w:lang w:eastAsia="en-US"/>
        </w:rPr>
        <w:t>С</w:t>
      </w:r>
      <w:r w:rsidR="00F243F3" w:rsidRPr="00E55E40">
        <w:rPr>
          <w:rFonts w:eastAsiaTheme="minorHAnsi"/>
          <w:lang w:eastAsia="en-US"/>
        </w:rPr>
        <w:t>о</w:t>
      </w:r>
      <w:r w:rsidRPr="00E55E40">
        <w:rPr>
          <w:rFonts w:eastAsiaTheme="minorHAnsi"/>
          <w:lang w:eastAsia="en-US"/>
        </w:rPr>
        <w:t>гласно</w:t>
      </w:r>
      <w:r w:rsidR="00F243F3" w:rsidRPr="00E55E40">
        <w:rPr>
          <w:rFonts w:eastAsiaTheme="minorHAnsi"/>
          <w:lang w:eastAsia="en-US"/>
        </w:rPr>
        <w:t xml:space="preserve"> </w:t>
      </w:r>
      <w:r w:rsidRPr="00E55E40">
        <w:rPr>
          <w:rFonts w:eastAsiaTheme="minorHAnsi"/>
          <w:lang w:eastAsia="en-US"/>
        </w:rPr>
        <w:t>разногласиям</w:t>
      </w:r>
      <w:r w:rsidR="00F243F3" w:rsidRPr="00E55E40">
        <w:rPr>
          <w:rFonts w:eastAsiaTheme="minorHAnsi"/>
          <w:lang w:eastAsia="en-US"/>
        </w:rPr>
        <w:t xml:space="preserve"> Комитета</w:t>
      </w:r>
      <w:r w:rsidR="00B8787B" w:rsidRPr="00E55E40">
        <w:rPr>
          <w:rFonts w:eastAsiaTheme="minorHAnsi"/>
          <w:lang w:eastAsia="en-US"/>
        </w:rPr>
        <w:t xml:space="preserve"> исполнение </w:t>
      </w:r>
      <w:r w:rsidR="00C65765" w:rsidRPr="00E55E40">
        <w:rPr>
          <w:rFonts w:eastAsiaTheme="minorHAnsi"/>
          <w:lang w:eastAsia="en-US"/>
        </w:rPr>
        <w:t xml:space="preserve">норматива по вместимости спальных комнат организаций социального обслуживания, установленного </w:t>
      </w:r>
      <w:r w:rsidR="00F243F3" w:rsidRPr="00E55E40">
        <w:rPr>
          <w:rFonts w:eastAsiaTheme="minorHAnsi"/>
          <w:lang w:eastAsia="en-US"/>
        </w:rPr>
        <w:t xml:space="preserve"> </w:t>
      </w:r>
      <w:r w:rsidR="00C65765" w:rsidRPr="00E55E40">
        <w:rPr>
          <w:rFonts w:eastAsiaTheme="minorHAnsi"/>
          <w:lang w:eastAsia="en-US"/>
        </w:rPr>
        <w:t>СП 2.1.2.3358-16, является постоянным предметом проверки органами государственного контроля в сфере социального обслуживания (Роструд), в сфере защиты прав потребителей и благополучия человека (Роспотребнадзор), а также прокуратуры. В настоящее время у 9 стационарных учреждений социального обслуживания граждан пожилого возраста и инвалидов на исполнении имеются предписания Роструда и Роспотребнадзора.</w:t>
      </w:r>
    </w:p>
    <w:p w14:paraId="291BEFA7" w14:textId="77777777" w:rsidR="00F243F3" w:rsidRPr="00E55E40" w:rsidRDefault="00E3163E" w:rsidP="00C96912">
      <w:pPr>
        <w:spacing w:after="1" w:line="220" w:lineRule="atLeast"/>
        <w:ind w:firstLine="709"/>
        <w:jc w:val="both"/>
        <w:rPr>
          <w:rFonts w:eastAsiaTheme="minorHAnsi"/>
          <w:lang w:eastAsia="en-US"/>
        </w:rPr>
      </w:pPr>
      <w:r w:rsidRPr="00E55E40">
        <w:rPr>
          <w:rFonts w:eastAsiaTheme="minorHAnsi"/>
          <w:lang w:eastAsia="en-US"/>
        </w:rPr>
        <w:t xml:space="preserve">В этой связи КСП обращает внимание на наличие </w:t>
      </w:r>
      <w:r w:rsidR="00ED0DE3" w:rsidRPr="00E55E40">
        <w:rPr>
          <w:rFonts w:eastAsiaTheme="minorHAnsi"/>
          <w:lang w:eastAsia="en-US"/>
        </w:rPr>
        <w:t xml:space="preserve">в других регионах РФ </w:t>
      </w:r>
      <w:r w:rsidRPr="00E55E40">
        <w:rPr>
          <w:rFonts w:eastAsiaTheme="minorHAnsi"/>
          <w:lang w:eastAsia="en-US"/>
        </w:rPr>
        <w:t xml:space="preserve">судебной практики </w:t>
      </w:r>
      <w:r w:rsidRPr="00E55E40">
        <w:t>в отношении аналогичной нормы, действующей ранее (п. 1.3 СанПиН 2.1.2.2564-09</w:t>
      </w:r>
      <w:r w:rsidRPr="00E55E40">
        <w:rPr>
          <w:rFonts w:eastAsiaTheme="minorHAnsi"/>
          <w:lang w:eastAsia="en-US"/>
        </w:rPr>
        <w:t xml:space="preserve">, отменяющей требования Роструда и Роспотребнадзора о соблюдении нормативов вместимости спальных комнат для </w:t>
      </w:r>
      <w:r w:rsidR="00530904" w:rsidRPr="00E55E40">
        <w:rPr>
          <w:rFonts w:eastAsiaTheme="minorHAnsi"/>
          <w:lang w:eastAsia="en-US"/>
        </w:rPr>
        <w:t>объектов организаций социального обслуживания, находящихся в стадии проектирования, строительства, реконструкции и ввода до вступления в силу санитарных правил.</w:t>
      </w:r>
      <w:r w:rsidR="00ED0DE3" w:rsidRPr="00E55E40">
        <w:rPr>
          <w:rFonts w:eastAsiaTheme="minorHAnsi"/>
          <w:lang w:eastAsia="en-US"/>
        </w:rPr>
        <w:t xml:space="preserve"> В Волгоградской области в судебном порядке такие требования контролирующих органов не обжаловались.</w:t>
      </w:r>
    </w:p>
    <w:p w14:paraId="2FC596F6" w14:textId="77777777" w:rsidR="00CD29C3" w:rsidRPr="00E55E40" w:rsidRDefault="00CD29C3" w:rsidP="00CD29C3">
      <w:pPr>
        <w:spacing w:line="240" w:lineRule="atLeast"/>
        <w:ind w:firstLine="720"/>
        <w:jc w:val="both"/>
        <w:rPr>
          <w:rFonts w:eastAsiaTheme="minorHAnsi"/>
          <w:b/>
          <w:lang w:eastAsia="en-US"/>
        </w:rPr>
      </w:pPr>
      <w:r w:rsidRPr="00E55E40">
        <w:rPr>
          <w:rFonts w:eastAsiaTheme="minorHAnsi"/>
          <w:lang w:eastAsia="en-US"/>
        </w:rPr>
        <w:lastRenderedPageBreak/>
        <w:t>По мнению КСП</w:t>
      </w:r>
      <w:r w:rsidR="00B743B0" w:rsidRPr="00E55E40">
        <w:rPr>
          <w:rFonts w:eastAsiaTheme="minorHAnsi"/>
          <w:lang w:eastAsia="en-US"/>
        </w:rPr>
        <w:t>,</w:t>
      </w:r>
      <w:r w:rsidRPr="00E55E40">
        <w:rPr>
          <w:rFonts w:eastAsiaTheme="minorHAnsi"/>
          <w:lang w:eastAsia="en-US"/>
        </w:rPr>
        <w:t xml:space="preserve"> вышеизложенное позволяет рассмотреть возможность перевода граждан, являющихся в настоящее время получателями социальных услуг в ДИМВ (согласно государственным заданиям на 2019 год – 90 чел.), в другие стационарные организации социального обслуживания, подведомственные Комитету, что позволит обеспечить получение гражданами более широкого спектра социальных услуг при сокращении расходов областного бюджета</w:t>
      </w:r>
      <w:r w:rsidR="00502A6D" w:rsidRPr="00E55E40">
        <w:rPr>
          <w:rFonts w:eastAsiaTheme="minorHAnsi"/>
          <w:lang w:eastAsia="en-US"/>
        </w:rPr>
        <w:t xml:space="preserve">, либо рассмотреть возможность финансирования государственных услуг, оказываемых в ДИМВ, исходя из базового норматива, установленного для ДПИ, по аналогии </w:t>
      </w:r>
      <w:r w:rsidR="00502A6D" w:rsidRPr="00E55E40">
        <w:t>с Нижнегнутовским ДИМВ, ставшим не филиалом, а отделением Суровикинского ПНИ</w:t>
      </w:r>
      <w:r w:rsidRPr="00E55E40">
        <w:rPr>
          <w:rFonts w:eastAsiaTheme="minorHAnsi"/>
          <w:lang w:eastAsia="en-US"/>
        </w:rPr>
        <w:t xml:space="preserve">. </w:t>
      </w:r>
    </w:p>
    <w:p w14:paraId="4A3D252C" w14:textId="77777777" w:rsidR="00CB0C02" w:rsidRPr="00E55E40" w:rsidRDefault="006A52D4" w:rsidP="00CB0C02">
      <w:pPr>
        <w:spacing w:after="1" w:line="220" w:lineRule="atLeast"/>
        <w:ind w:firstLine="709"/>
        <w:jc w:val="both"/>
        <w:rPr>
          <w:rFonts w:eastAsiaTheme="minorHAnsi"/>
          <w:lang w:eastAsia="en-US"/>
        </w:rPr>
      </w:pPr>
      <w:r w:rsidRPr="00E55E40">
        <w:rPr>
          <w:b/>
        </w:rPr>
        <w:t>3</w:t>
      </w:r>
      <w:r w:rsidR="004103BE" w:rsidRPr="00E55E40">
        <w:rPr>
          <w:b/>
        </w:rPr>
        <w:t>.</w:t>
      </w:r>
      <w:r w:rsidR="004103BE" w:rsidRPr="00E55E40">
        <w:t> </w:t>
      </w:r>
      <w:r w:rsidR="00B743B0" w:rsidRPr="00E55E40">
        <w:t>Установлены неэффективные расходы средств областного бюджета на 54,8 млн. рублей. Так, с</w:t>
      </w:r>
      <w:r w:rsidR="00CB0C02" w:rsidRPr="00E55E40">
        <w:rPr>
          <w:rFonts w:eastAsiaTheme="minorHAnsi"/>
          <w:lang w:eastAsia="en-US"/>
        </w:rPr>
        <w:t>огласно п.38 Положения № 818-п принятие решения о перечислении платежа, завершающего выплату субсидии, в 4 квартале должно осуществляться после представления в срок, установленный в государственном задании органом исполнительной власти Волгоградской области, государственным бюджетным или автономным учреждением предварительного отчета о выполнении государственного задания в части предварительной оценки достижения плановых показателей годового объема оказания государственных услуг за соответствующий финансовый год. В случае</w:t>
      </w:r>
      <w:r w:rsidR="001C5647" w:rsidRPr="00E55E40">
        <w:rPr>
          <w:rFonts w:eastAsiaTheme="minorHAnsi"/>
          <w:lang w:eastAsia="en-US"/>
        </w:rPr>
        <w:t>,</w:t>
      </w:r>
      <w:r w:rsidR="00CB0C02" w:rsidRPr="00E55E40">
        <w:rPr>
          <w:rFonts w:eastAsiaTheme="minorHAnsi"/>
          <w:lang w:eastAsia="en-US"/>
        </w:rPr>
        <w:t xml:space="preserve"> если показатели предварительной оценки достижения плановых показателей годового объема оказания государственных услуг, указанные в предварительном отчете, меньше показателей, установленных в государственном задании [с учетом допустимых (возможных) отклонений], то государственное задание подлежит уточнению в соответствии с указанными в предварительном отчете показателями.</w:t>
      </w:r>
    </w:p>
    <w:p w14:paraId="26C7DF9A" w14:textId="77777777" w:rsidR="00CB0C02" w:rsidRPr="00E55E40" w:rsidRDefault="00CB0C02" w:rsidP="00CB0C02">
      <w:pPr>
        <w:spacing w:after="1" w:line="220" w:lineRule="atLeast"/>
        <w:ind w:firstLine="709"/>
        <w:jc w:val="both"/>
        <w:rPr>
          <w:rFonts w:eastAsiaTheme="minorHAnsi"/>
          <w:lang w:eastAsia="en-US"/>
        </w:rPr>
      </w:pPr>
      <w:r w:rsidRPr="00E55E40">
        <w:rPr>
          <w:rFonts w:eastAsiaTheme="minorHAnsi"/>
          <w:lang w:eastAsia="en-US"/>
        </w:rPr>
        <w:t>При выполнении государственного задания на 2018 год у 10 организаций социального обслуживания, осуществляющих деятельность по уходу за престарелыми и инвалидами с обеспечением проживания</w:t>
      </w:r>
      <w:r w:rsidR="00CD29C3" w:rsidRPr="00E55E40">
        <w:rPr>
          <w:rFonts w:eastAsiaTheme="minorHAnsi"/>
          <w:lang w:eastAsia="en-US"/>
        </w:rPr>
        <w:t>,</w:t>
      </w:r>
      <w:r w:rsidRPr="00E55E40">
        <w:rPr>
          <w:rFonts w:eastAsiaTheme="minorHAnsi"/>
          <w:lang w:eastAsia="en-US"/>
        </w:rPr>
        <w:t xml:space="preserve"> показатели предварительной оценки достижения плановых показателей годового объема оказания государственных услуг, указанные в предварительном отчете, меньше показателей, установленных в государственном задании [с учетом допустимых (возможных) отклонений], в связи с чем 28.12.2018 государственное задание данным учреждени</w:t>
      </w:r>
      <w:r w:rsidR="001C5647" w:rsidRPr="00E55E40">
        <w:rPr>
          <w:rFonts w:eastAsiaTheme="minorHAnsi"/>
          <w:lang w:eastAsia="en-US"/>
        </w:rPr>
        <w:t>я</w:t>
      </w:r>
      <w:r w:rsidRPr="00E55E40">
        <w:rPr>
          <w:rFonts w:eastAsiaTheme="minorHAnsi"/>
          <w:lang w:eastAsia="en-US"/>
        </w:rPr>
        <w:t>м было изменено, а именно уменьшены плановые показатели годового объема оказания государственных услуг.</w:t>
      </w:r>
    </w:p>
    <w:p w14:paraId="5CD9EFE2" w14:textId="77777777" w:rsidR="00CB0C02" w:rsidRPr="00E55E40" w:rsidRDefault="00CB0C02" w:rsidP="00CD29C3">
      <w:pPr>
        <w:spacing w:after="1" w:line="220" w:lineRule="atLeast"/>
        <w:ind w:firstLine="709"/>
        <w:jc w:val="both"/>
        <w:rPr>
          <w:rFonts w:eastAsiaTheme="minorHAnsi"/>
          <w:lang w:eastAsia="en-US"/>
        </w:rPr>
      </w:pPr>
      <w:r w:rsidRPr="00E55E40">
        <w:rPr>
          <w:rFonts w:eastAsiaTheme="minorHAnsi"/>
          <w:lang w:eastAsia="en-US"/>
        </w:rPr>
        <w:t>Пунктом 35 Положения № 818-п предусмотрена возможность уменьшения объема субсидии в течение срока выполнения государственного задания при соответствующем изменении государственного задания.</w:t>
      </w:r>
    </w:p>
    <w:p w14:paraId="2FD4A23F" w14:textId="77777777" w:rsidR="00CB0C02" w:rsidRPr="00E55E40" w:rsidRDefault="00CD29C3" w:rsidP="00CD29C3">
      <w:pPr>
        <w:spacing w:after="1" w:line="220" w:lineRule="atLeast"/>
        <w:ind w:firstLine="709"/>
        <w:jc w:val="both"/>
        <w:rPr>
          <w:rFonts w:eastAsiaTheme="minorHAnsi"/>
          <w:lang w:eastAsia="en-US"/>
        </w:rPr>
      </w:pPr>
      <w:r w:rsidRPr="00E55E40">
        <w:rPr>
          <w:rFonts w:eastAsiaTheme="minorHAnsi"/>
          <w:lang w:eastAsia="en-US"/>
        </w:rPr>
        <w:t>С</w:t>
      </w:r>
      <w:r w:rsidR="00CB0C02" w:rsidRPr="00E55E40">
        <w:rPr>
          <w:rFonts w:eastAsiaTheme="minorHAnsi"/>
          <w:lang w:eastAsia="en-US"/>
        </w:rPr>
        <w:t>о</w:t>
      </w:r>
      <w:r w:rsidRPr="00E55E40">
        <w:rPr>
          <w:rFonts w:eastAsiaTheme="minorHAnsi"/>
          <w:lang w:eastAsia="en-US"/>
        </w:rPr>
        <w:t>гласно</w:t>
      </w:r>
      <w:r w:rsidR="00CB0C02" w:rsidRPr="00E55E40">
        <w:rPr>
          <w:rFonts w:eastAsiaTheme="minorHAnsi"/>
          <w:lang w:eastAsia="en-US"/>
        </w:rPr>
        <w:t xml:space="preserve"> соглашениям о предоставлении субсидий на финансовое обеспечение государственных заданий Комитет вправе (п.4.2., п.4.2.2.1., п.4.2.2.1.2.) принимать решение об изменении размера </w:t>
      </w:r>
      <w:r w:rsidRPr="00E55E40">
        <w:rPr>
          <w:rFonts w:eastAsiaTheme="minorHAnsi"/>
          <w:lang w:eastAsia="en-US"/>
        </w:rPr>
        <w:t>с</w:t>
      </w:r>
      <w:r w:rsidR="00CB0C02" w:rsidRPr="00E55E40">
        <w:rPr>
          <w:rFonts w:eastAsiaTheme="minorHAnsi"/>
          <w:lang w:eastAsia="en-US"/>
        </w:rPr>
        <w:t xml:space="preserve">убсидии при соответствующем изменении показателей, характеризующих объем государственных услуг, установленных в государственном задании, в случае уменьшения потребности в оказании государственных услуг. </w:t>
      </w:r>
    </w:p>
    <w:p w14:paraId="0B610901" w14:textId="77777777" w:rsidR="00CB0C02" w:rsidRPr="00E55E40" w:rsidRDefault="00CB0C02" w:rsidP="00CD29C3">
      <w:pPr>
        <w:spacing w:after="1" w:line="220" w:lineRule="atLeast"/>
        <w:ind w:firstLine="709"/>
        <w:jc w:val="both"/>
        <w:rPr>
          <w:rFonts w:eastAsiaTheme="minorHAnsi"/>
          <w:lang w:eastAsia="en-US"/>
        </w:rPr>
      </w:pPr>
      <w:r w:rsidRPr="00E55E40">
        <w:rPr>
          <w:rFonts w:eastAsiaTheme="minorHAnsi"/>
          <w:lang w:eastAsia="en-US"/>
        </w:rPr>
        <w:t>Согласно представленной к проверке пояснительной записке начальника отдела стационарных учреждений и опеки совершеннолетних Комитета от 28.12.2018 невыполнение государственных заданий в 2018 году произошло по причинам приостановки выдачи путевок в учреждения в связи с оптимизационными мероприятиями их деятельности,  а также в связи с тем, что получатели социальных услуг не выбирали учреждения в качестве желаемых.</w:t>
      </w:r>
    </w:p>
    <w:p w14:paraId="24A33518" w14:textId="77777777" w:rsidR="00693E69" w:rsidRPr="00E55E40" w:rsidRDefault="00CB0C02" w:rsidP="00CD29C3">
      <w:pPr>
        <w:spacing w:after="1" w:line="220" w:lineRule="atLeast"/>
        <w:ind w:firstLine="709"/>
        <w:jc w:val="both"/>
        <w:rPr>
          <w:rFonts w:eastAsiaTheme="minorHAnsi"/>
          <w:lang w:eastAsia="en-US"/>
        </w:rPr>
      </w:pPr>
      <w:r w:rsidRPr="00E55E40">
        <w:rPr>
          <w:rFonts w:eastAsiaTheme="minorHAnsi"/>
          <w:lang w:eastAsia="en-US"/>
        </w:rPr>
        <w:t>Однако Комитет, уменьшив объёмные показатели государственных заданий, не воспользовался правом на соответствующее уменьшение объема субсидий</w:t>
      </w:r>
      <w:r w:rsidR="005A1F27" w:rsidRPr="00E55E40">
        <w:rPr>
          <w:rFonts w:eastAsiaTheme="minorHAnsi"/>
          <w:lang w:eastAsia="en-US"/>
        </w:rPr>
        <w:t xml:space="preserve"> на 54,8 млн. руб., </w:t>
      </w:r>
      <w:r w:rsidRPr="00E55E40">
        <w:rPr>
          <w:rFonts w:eastAsiaTheme="minorHAnsi"/>
          <w:lang w:eastAsia="en-US"/>
        </w:rPr>
        <w:t>что не отвечает принципу эффективности, установленному ст.34 Бюджетного кодекса РФ, означающему, что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14:paraId="2438A95F" w14:textId="77777777" w:rsidR="005A2A34" w:rsidRPr="00E55E40" w:rsidRDefault="005A2A34" w:rsidP="00CD29C3">
      <w:pPr>
        <w:spacing w:after="1" w:line="220" w:lineRule="atLeast"/>
        <w:ind w:firstLine="709"/>
        <w:jc w:val="both"/>
        <w:rPr>
          <w:rFonts w:eastAsiaTheme="minorHAnsi"/>
          <w:lang w:eastAsia="en-US"/>
        </w:rPr>
      </w:pPr>
      <w:r w:rsidRPr="00E55E40">
        <w:rPr>
          <w:rFonts w:eastAsiaTheme="minorHAnsi"/>
          <w:lang w:eastAsia="en-US"/>
        </w:rPr>
        <w:t xml:space="preserve">По информации Комитета, изложенной в разногласиях, уменьшить объём субсидии на выполнение государственного задания вследствие изменения показателей государственных </w:t>
      </w:r>
      <w:r w:rsidRPr="00E55E40">
        <w:rPr>
          <w:rFonts w:eastAsiaTheme="minorHAnsi"/>
          <w:lang w:eastAsia="en-US"/>
        </w:rPr>
        <w:lastRenderedPageBreak/>
        <w:t>заданий после 28.12.2018 не представилось возможным в связи с невозможностью регистрации 28.12.2018 в программном комплексе АЦК_Финансы соответствующих дополнительных соглашений об уменьшении размеров субсидий на выполнение государственного задания (регистрация осуществляется не позднее чем за 8 рабочих дней до окончания текущего года).</w:t>
      </w:r>
      <w:r w:rsidR="00455C85" w:rsidRPr="00E55E40">
        <w:rPr>
          <w:rFonts w:eastAsiaTheme="minorHAnsi"/>
          <w:lang w:eastAsia="en-US"/>
        </w:rPr>
        <w:t xml:space="preserve"> </w:t>
      </w:r>
      <w:r w:rsidRPr="00E55E40">
        <w:rPr>
          <w:rFonts w:eastAsiaTheme="minorHAnsi"/>
          <w:lang w:eastAsia="en-US"/>
        </w:rPr>
        <w:t>Кроме того, во исполнение приказа Комитета от 09.12.2016 № 1663</w:t>
      </w:r>
      <w:r w:rsidR="000D5E55" w:rsidRPr="00E55E40">
        <w:rPr>
          <w:rFonts w:eastAsiaTheme="minorHAnsi"/>
          <w:lang w:eastAsia="en-US"/>
        </w:rPr>
        <w:t xml:space="preserve"> (в ред. от 24.05.209 № 982) в государственные задания на 2019 год внесены </w:t>
      </w:r>
      <w:r w:rsidR="00455C85" w:rsidRPr="00E55E40">
        <w:rPr>
          <w:rFonts w:eastAsiaTheme="minorHAnsi"/>
          <w:lang w:eastAsia="en-US"/>
        </w:rPr>
        <w:t>изменения в части установления срока предварительного отчета об исполнении государственных заданий до 15 октября.</w:t>
      </w:r>
      <w:r w:rsidRPr="00E55E40">
        <w:rPr>
          <w:rFonts w:eastAsiaTheme="minorHAnsi"/>
          <w:lang w:eastAsia="en-US"/>
        </w:rPr>
        <w:t xml:space="preserve">   </w:t>
      </w:r>
    </w:p>
    <w:p w14:paraId="2CC65836" w14:textId="77777777" w:rsidR="00C743EA" w:rsidRPr="00E55E40" w:rsidRDefault="006A52D4" w:rsidP="00C743EA">
      <w:pPr>
        <w:autoSpaceDE w:val="0"/>
        <w:autoSpaceDN w:val="0"/>
        <w:adjustRightInd w:val="0"/>
        <w:ind w:firstLine="709"/>
        <w:jc w:val="both"/>
        <w:rPr>
          <w:rFonts w:eastAsia="Calibri"/>
        </w:rPr>
      </w:pPr>
      <w:r w:rsidRPr="00E55E40">
        <w:rPr>
          <w:rFonts w:eastAsiaTheme="minorHAnsi"/>
          <w:b/>
          <w:lang w:eastAsia="en-US"/>
        </w:rPr>
        <w:t>4</w:t>
      </w:r>
      <w:r w:rsidR="00C743EA" w:rsidRPr="00E55E40">
        <w:rPr>
          <w:rFonts w:eastAsiaTheme="minorHAnsi"/>
          <w:b/>
          <w:lang w:eastAsia="en-US"/>
        </w:rPr>
        <w:t>.</w:t>
      </w:r>
      <w:r w:rsidR="00C743EA" w:rsidRPr="00E55E40">
        <w:rPr>
          <w:rFonts w:eastAsiaTheme="minorHAnsi"/>
          <w:lang w:eastAsia="en-US"/>
        </w:rPr>
        <w:t> </w:t>
      </w:r>
      <w:r w:rsidR="00C743EA" w:rsidRPr="00E55E40">
        <w:rPr>
          <w:rFonts w:eastAsia="Calibri"/>
        </w:rPr>
        <w:t>Согласно п.9 Положения № 818-п при расчете финансового обеспечения выполнения государственного задания его объем</w:t>
      </w:r>
      <w:r w:rsidR="00C743EA" w:rsidRPr="00E55E40">
        <w:t xml:space="preserve"> уменьшается на </w:t>
      </w:r>
      <w:r w:rsidR="00C743EA" w:rsidRPr="00E55E40">
        <w:rPr>
          <w:rFonts w:eastAsia="Calibri"/>
        </w:rPr>
        <w:t>неиспользованный по состоянию на 01 января финансового года, на который рассчитывается государственное задание, остаток субсидии на финансовое обеспечение выполнения государственного задания (далее остаток субсидии на государственное задание).</w:t>
      </w:r>
    </w:p>
    <w:p w14:paraId="5032DA05" w14:textId="77777777" w:rsidR="00C743EA" w:rsidRPr="00E55E40" w:rsidRDefault="00C743EA" w:rsidP="00C743EA">
      <w:pPr>
        <w:autoSpaceDE w:val="0"/>
        <w:autoSpaceDN w:val="0"/>
        <w:adjustRightInd w:val="0"/>
        <w:ind w:firstLine="720"/>
        <w:jc w:val="both"/>
        <w:rPr>
          <w:rFonts w:eastAsia="Calibri"/>
        </w:rPr>
      </w:pPr>
      <w:r w:rsidRPr="00E55E40">
        <w:rPr>
          <w:rFonts w:eastAsia="Calibri"/>
        </w:rPr>
        <w:t xml:space="preserve">Фактически Комитетом при расчете финансового обеспечения выполнения государственного задания данное положение не применялось. </w:t>
      </w:r>
    </w:p>
    <w:p w14:paraId="49E2D9D1" w14:textId="77777777" w:rsidR="00C743EA" w:rsidRPr="00E55E40" w:rsidRDefault="00C743EA" w:rsidP="00C743EA">
      <w:pPr>
        <w:autoSpaceDE w:val="0"/>
        <w:autoSpaceDN w:val="0"/>
        <w:adjustRightInd w:val="0"/>
        <w:ind w:firstLine="720"/>
        <w:jc w:val="both"/>
        <w:rPr>
          <w:rFonts w:eastAsia="Calibri"/>
        </w:rPr>
      </w:pPr>
      <w:r w:rsidRPr="00E55E40">
        <w:rPr>
          <w:rFonts w:eastAsia="Calibri"/>
        </w:rPr>
        <w:t>По пояснениям Комитета</w:t>
      </w:r>
      <w:r w:rsidR="004103BE" w:rsidRPr="00E55E40">
        <w:rPr>
          <w:rFonts w:eastAsia="Calibri"/>
        </w:rPr>
        <w:t>,</w:t>
      </w:r>
      <w:r w:rsidRPr="00E55E40">
        <w:rPr>
          <w:rFonts w:eastAsia="Calibri"/>
        </w:rPr>
        <w:t xml:space="preserve"> </w:t>
      </w:r>
      <w:r w:rsidR="004103BE" w:rsidRPr="00E55E40">
        <w:rPr>
          <w:rFonts w:eastAsia="Calibri"/>
        </w:rPr>
        <w:t xml:space="preserve">согласно законодательству РФ объем финансового обеспечения выполнения государственного задания должен быть рассчитан до начала очередного финансового года. В связи с тем, что на момент расчета финансового обеспечения остаток субсидии неизвестен, учесть его </w:t>
      </w:r>
      <w:r w:rsidRPr="00E55E40">
        <w:rPr>
          <w:rFonts w:eastAsia="Calibri"/>
        </w:rPr>
        <w:t>не представ</w:t>
      </w:r>
      <w:r w:rsidR="004103BE" w:rsidRPr="00E55E40">
        <w:rPr>
          <w:rFonts w:eastAsia="Calibri"/>
        </w:rPr>
        <w:t>ляется</w:t>
      </w:r>
      <w:r w:rsidRPr="00E55E40">
        <w:rPr>
          <w:rFonts w:eastAsia="Calibri"/>
        </w:rPr>
        <w:t xml:space="preserve"> возможным.</w:t>
      </w:r>
      <w:r w:rsidR="00693E69" w:rsidRPr="00E55E40">
        <w:rPr>
          <w:rFonts w:eastAsia="Calibri"/>
        </w:rPr>
        <w:t xml:space="preserve"> </w:t>
      </w:r>
      <w:r w:rsidRPr="00E55E40">
        <w:rPr>
          <w:rFonts w:eastAsia="Calibri"/>
        </w:rPr>
        <w:t>Кроме того, в соответствии с п.3 ст. 9.2 Федерального закона от 12.01.1996 № 7-ФЗ «О некоммерческих организациях» и п.35 Положения № 818-п уменьшение объема субсидии в течение срока выполнения государственного задания осуществляется только при соответствующем изменении государственного задания. Поэтому уменьшить объем финансового обеспечения государственного задания без соответствующего изменения государственного задания после начала очередного финансового года, в данном случае – на сумму остатка субсидии на госзадание, не представляется возможным.</w:t>
      </w:r>
    </w:p>
    <w:p w14:paraId="1ECB0543" w14:textId="77777777" w:rsidR="00693E69" w:rsidRPr="00E55E40" w:rsidRDefault="00C743EA" w:rsidP="00C743EA">
      <w:pPr>
        <w:spacing w:line="240" w:lineRule="atLeast"/>
        <w:ind w:firstLine="720"/>
        <w:jc w:val="both"/>
        <w:rPr>
          <w:rFonts w:eastAsia="Calibri"/>
        </w:rPr>
      </w:pPr>
      <w:r w:rsidRPr="00E55E40">
        <w:rPr>
          <w:rFonts w:eastAsia="Calibri"/>
        </w:rPr>
        <w:t>Также согласно п. 41(1) Положения № 818-п средства субсидии подлежат перечислению в областной бюджет в объеме, соответствующем показателям, характеризующим объем неоказанной государственной услуги (невыполненной работы) и (или) некачественно оказанной государственной услуги (выполненной работы) в случае</w:t>
      </w:r>
      <w:r w:rsidR="001C5647" w:rsidRPr="00E55E40">
        <w:rPr>
          <w:rFonts w:eastAsia="Calibri"/>
        </w:rPr>
        <w:t>,</w:t>
      </w:r>
      <w:r w:rsidRPr="00E55E40">
        <w:rPr>
          <w:rFonts w:eastAsia="Calibri"/>
        </w:rPr>
        <w:t xml:space="preserve"> если государственное задание является невыполненным. Таким образом, если государственное задание является выполненным, учреждение не обязано возвращать остаток субсидии в областной бюджет.</w:t>
      </w:r>
    </w:p>
    <w:p w14:paraId="6D95A91D" w14:textId="77777777" w:rsidR="00C743EA" w:rsidRPr="00E55E40" w:rsidRDefault="00693E69" w:rsidP="00C743EA">
      <w:pPr>
        <w:spacing w:line="240" w:lineRule="atLeast"/>
        <w:ind w:firstLine="720"/>
        <w:jc w:val="both"/>
        <w:rPr>
          <w:rFonts w:eastAsia="Calibri"/>
        </w:rPr>
      </w:pPr>
      <w:r w:rsidRPr="00E55E40">
        <w:rPr>
          <w:rFonts w:eastAsia="Calibri"/>
        </w:rPr>
        <w:t>В связи с изложенным</w:t>
      </w:r>
      <w:r w:rsidR="00FB2277" w:rsidRPr="00E55E40">
        <w:rPr>
          <w:rFonts w:eastAsia="Calibri"/>
        </w:rPr>
        <w:t>,</w:t>
      </w:r>
      <w:r w:rsidRPr="00E55E40">
        <w:rPr>
          <w:rFonts w:eastAsia="Calibri"/>
        </w:rPr>
        <w:t xml:space="preserve"> Положение № 818-п </w:t>
      </w:r>
      <w:r w:rsidR="00FB2277" w:rsidRPr="00E55E40">
        <w:rPr>
          <w:rFonts w:eastAsia="Calibri"/>
        </w:rPr>
        <w:t xml:space="preserve">об уменьшении объёма финансовго обеспечения на сумму остатка субсидии прошлого года, </w:t>
      </w:r>
      <w:r w:rsidR="00320AB0" w:rsidRPr="00E55E40">
        <w:rPr>
          <w:rFonts w:eastAsia="Calibri"/>
        </w:rPr>
        <w:t>противоречи</w:t>
      </w:r>
      <w:r w:rsidR="00FB2277" w:rsidRPr="00E55E40">
        <w:rPr>
          <w:rFonts w:eastAsia="Calibri"/>
        </w:rPr>
        <w:t>т</w:t>
      </w:r>
      <w:r w:rsidR="00320AB0" w:rsidRPr="00E55E40">
        <w:rPr>
          <w:rFonts w:eastAsia="Calibri"/>
        </w:rPr>
        <w:t xml:space="preserve"> действующему законодательству.  </w:t>
      </w:r>
      <w:r w:rsidRPr="00E55E40">
        <w:rPr>
          <w:rFonts w:eastAsia="Calibri"/>
        </w:rPr>
        <w:t xml:space="preserve"> </w:t>
      </w:r>
    </w:p>
    <w:p w14:paraId="2185AC35" w14:textId="77777777" w:rsidR="00D13509" w:rsidRPr="00E55E40" w:rsidRDefault="006A52D4" w:rsidP="00D13509">
      <w:pPr>
        <w:ind w:firstLine="709"/>
        <w:jc w:val="both"/>
      </w:pPr>
      <w:r w:rsidRPr="00E55E40">
        <w:rPr>
          <w:b/>
        </w:rPr>
        <w:t>5</w:t>
      </w:r>
      <w:r w:rsidR="00C131A6" w:rsidRPr="00E55E40">
        <w:rPr>
          <w:b/>
        </w:rPr>
        <w:t>.</w:t>
      </w:r>
      <w:r w:rsidR="00C131A6" w:rsidRPr="00E55E40">
        <w:t> </w:t>
      </w:r>
      <w:r w:rsidR="00D13509" w:rsidRPr="00E55E40">
        <w:t>Проверкой Царевского ПНИ установлено, что изменени</w:t>
      </w:r>
      <w:r w:rsidR="001F08E0" w:rsidRPr="00E55E40">
        <w:t>е</w:t>
      </w:r>
      <w:r w:rsidR="00D13509" w:rsidRPr="00E55E40">
        <w:t xml:space="preserve"> объема субсидии на финансовое обеспечение выполнения государственного задания в течение финансового года осуществлял</w:t>
      </w:r>
      <w:r w:rsidR="001F08E0" w:rsidRPr="00E55E40">
        <w:t>о</w:t>
      </w:r>
      <w:r w:rsidR="00D13509" w:rsidRPr="00E55E40">
        <w:t xml:space="preserve">сь </w:t>
      </w:r>
      <w:r w:rsidR="001F08E0" w:rsidRPr="00E55E40">
        <w:t xml:space="preserve">Комитетом </w:t>
      </w:r>
      <w:r w:rsidR="00D13509" w:rsidRPr="00E55E40">
        <w:t xml:space="preserve">без </w:t>
      </w:r>
      <w:r w:rsidR="001F08E0" w:rsidRPr="00E55E40">
        <w:t>наступления событий, при которых в соответствии с Положением № 818-п объём субсидии может изменяться:</w:t>
      </w:r>
    </w:p>
    <w:p w14:paraId="202C2BAC" w14:textId="77777777" w:rsidR="001F08E0" w:rsidRPr="00E55E40" w:rsidRDefault="001F08E0" w:rsidP="001F08E0">
      <w:pPr>
        <w:pStyle w:val="ConsPlusNormal"/>
        <w:ind w:firstLine="709"/>
        <w:jc w:val="both"/>
        <w:rPr>
          <w:sz w:val="24"/>
          <w:szCs w:val="24"/>
        </w:rPr>
      </w:pPr>
      <w:r w:rsidRPr="00E55E40">
        <w:rPr>
          <w:sz w:val="24"/>
          <w:szCs w:val="24"/>
        </w:rPr>
        <w:t>- в случае изменения нормативных затрат в случаях, предусмотренных нормативными правовыми актами РФ и Волгоградской области (включая внесение изменений в указанные нормативные правовые акты), приводящих к изменению объема финансового обеспечения выполнения государственного задания;</w:t>
      </w:r>
    </w:p>
    <w:p w14:paraId="599424B9" w14:textId="77777777" w:rsidR="001F08E0" w:rsidRPr="00E55E40" w:rsidRDefault="001F08E0" w:rsidP="001F08E0">
      <w:pPr>
        <w:pStyle w:val="ConsPlusNormal"/>
        <w:ind w:firstLine="709"/>
        <w:jc w:val="both"/>
        <w:rPr>
          <w:sz w:val="24"/>
          <w:szCs w:val="24"/>
        </w:rPr>
      </w:pPr>
      <w:r w:rsidRPr="00E55E40">
        <w:rPr>
          <w:sz w:val="24"/>
          <w:szCs w:val="24"/>
        </w:rPr>
        <w:t xml:space="preserve">- в случае изменения законодательства РФ и Волгоградской области о налогах и сборах, в том числе в случае отмены ранее установленных налоговых льгот (в редакции постановления </w:t>
      </w:r>
      <w:r w:rsidR="001C5647" w:rsidRPr="00E55E40">
        <w:rPr>
          <w:sz w:val="24"/>
          <w:szCs w:val="24"/>
        </w:rPr>
        <w:t>А</w:t>
      </w:r>
      <w:r w:rsidRPr="00E55E40">
        <w:rPr>
          <w:sz w:val="24"/>
          <w:szCs w:val="24"/>
        </w:rPr>
        <w:t>дминистрации Волгоградской области от 28.05.2018 № 224-п);</w:t>
      </w:r>
    </w:p>
    <w:p w14:paraId="2351B2BD" w14:textId="77777777" w:rsidR="001F08E0" w:rsidRPr="00E55E40" w:rsidRDefault="001F08E0" w:rsidP="001F08E0">
      <w:pPr>
        <w:pStyle w:val="ConsPlusNormal"/>
        <w:ind w:firstLine="709"/>
        <w:jc w:val="both"/>
        <w:rPr>
          <w:sz w:val="24"/>
          <w:szCs w:val="24"/>
        </w:rPr>
      </w:pPr>
      <w:r w:rsidRPr="00E55E40">
        <w:rPr>
          <w:sz w:val="24"/>
          <w:szCs w:val="24"/>
        </w:rPr>
        <w:t>- при соответствующем изменении государственного задания.</w:t>
      </w:r>
    </w:p>
    <w:p w14:paraId="1042B4DC" w14:textId="77777777" w:rsidR="00D13509" w:rsidRPr="00E55E40" w:rsidRDefault="00D13509" w:rsidP="00D13509">
      <w:pPr>
        <w:autoSpaceDE w:val="0"/>
        <w:autoSpaceDN w:val="0"/>
        <w:adjustRightInd w:val="0"/>
        <w:ind w:firstLine="709"/>
        <w:jc w:val="both"/>
      </w:pPr>
      <w:r w:rsidRPr="00E55E40">
        <w:t xml:space="preserve">Например, первоначально предусмотренный объём субсидии соглашением на 2018 год от 21.12.2017 № 18/ГЗ/2018, изменялся 7 раз, в том числе 5 раз в сторону увеличения, 2 раза в сторону уменьшения. В целом объём субсидии изменился с 49673,4 тыс. руб. до 57961,4 тыс. руб., или на 16,7 процента. При этом показатель государственного задания, </w:t>
      </w:r>
      <w:r w:rsidRPr="00E55E40">
        <w:lastRenderedPageBreak/>
        <w:t xml:space="preserve">утверждённый 21.12.2017 на 2018 год в количестве 150 получателей социальных услуг, в течение 2018 года не изменялся. </w:t>
      </w:r>
    </w:p>
    <w:p w14:paraId="6A21183D" w14:textId="77777777" w:rsidR="00D13509" w:rsidRPr="00E55E40" w:rsidRDefault="00D13509" w:rsidP="00D13509">
      <w:pPr>
        <w:ind w:firstLine="709"/>
        <w:jc w:val="both"/>
      </w:pPr>
      <w:r w:rsidRPr="00E55E40">
        <w:t>Аналогичное нарушение установлено при анализе изменения Комитетом объёмов финансового обеспечения выполнения государственного задания в 2018 году Волгоградским</w:t>
      </w:r>
      <w:r w:rsidR="004D60EA">
        <w:t> </w:t>
      </w:r>
      <w:r w:rsidRPr="00E55E40">
        <w:t>ДПИ, Даниловским ДПИ, Палласовским ДПИ, Харьковским ДПИ, Усть-Бузулукским ПНИ и Заплавинским ПНИ.</w:t>
      </w:r>
    </w:p>
    <w:p w14:paraId="12ABBE78" w14:textId="77777777" w:rsidR="008828FD" w:rsidRPr="00E55E40" w:rsidRDefault="00320AB0" w:rsidP="00D13509">
      <w:pPr>
        <w:ind w:firstLine="709"/>
        <w:jc w:val="both"/>
      </w:pPr>
      <w:r w:rsidRPr="00E55E40">
        <w:t xml:space="preserve">По информации Комитета, изложенной в разногласиях к акту проверки, увеличение размера субсидии для учреждений в течение финансового года обусловлено неполным доведением до Комитета лимитов бюджетных обязательств в начале года. Уменьшение размера субсидии </w:t>
      </w:r>
      <w:r w:rsidR="008828FD" w:rsidRPr="00E55E40">
        <w:t>в течение года обусловлено</w:t>
      </w:r>
      <w:r w:rsidRPr="00E55E40">
        <w:t xml:space="preserve"> сокращением лимитов бюджетных обязательств, доведённых до Комитета, на сумму экономии бюджетных средств по результатам закупок товаров, работ и услуг</w:t>
      </w:r>
      <w:r w:rsidR="008828FD" w:rsidRPr="00E55E40">
        <w:t xml:space="preserve"> в соответствии с требованиями постановления Администрации Волгоградской области от 29.01.2015 № 43-п «Об утверждении Порядка взаимодействия органа исполнительной власти Волгоградской области, уполномоченного на определение поставщиков (подрядчиков, исполнителей) для заказчиков Волгоградской области, финансового органа Волгоградской области и заказчиков Волгоградской области при определении поставщиков (подрядчиков, исполнителей) для заказчиков Волгорадской области»</w:t>
      </w:r>
      <w:r w:rsidRPr="00E55E40">
        <w:t xml:space="preserve">. </w:t>
      </w:r>
    </w:p>
    <w:p w14:paraId="61B6C10E" w14:textId="77777777" w:rsidR="00320AB0" w:rsidRPr="00E55E40" w:rsidRDefault="00320AB0" w:rsidP="00D13509">
      <w:pPr>
        <w:ind w:firstLine="709"/>
        <w:jc w:val="both"/>
      </w:pPr>
      <w:r w:rsidRPr="00E55E40">
        <w:t xml:space="preserve">Комитетом </w:t>
      </w:r>
      <w:r w:rsidR="00EA40D1" w:rsidRPr="00E55E40">
        <w:t>в 2017 году направлялось письмо в комитет финансов Волгоградской области об исключении из общей суммы экономии, полученной бюджетными учреждениями при использовании субсидии на финансовое обеспечение выполнения государственного задания, так как это противоречит п.35 положения № 818-п, о</w:t>
      </w:r>
      <w:r w:rsidR="001F0E40" w:rsidRPr="00E55E40">
        <w:t>т</w:t>
      </w:r>
      <w:r w:rsidR="00EA40D1" w:rsidRPr="00E55E40">
        <w:t>вет на которое до настоящего времени не получен.</w:t>
      </w:r>
      <w:r w:rsidRPr="00E55E40">
        <w:t xml:space="preserve">     </w:t>
      </w:r>
    </w:p>
    <w:p w14:paraId="3B193085" w14:textId="77777777" w:rsidR="00FB2277" w:rsidRPr="00E55E40" w:rsidRDefault="00FB2277" w:rsidP="00FB2277">
      <w:pPr>
        <w:spacing w:line="240" w:lineRule="atLeast"/>
        <w:ind w:firstLine="720"/>
        <w:jc w:val="both"/>
      </w:pPr>
      <w:r w:rsidRPr="00E55E40">
        <w:t xml:space="preserve">Вместе с тем Положение № 818-п не содержит иных обстоятельств, кроме перечисленных в п.35, позволяющих изменять объём финансового обеспечения государственного задания без соответствующего изменения его показателей. </w:t>
      </w:r>
    </w:p>
    <w:p w14:paraId="50673083" w14:textId="77777777" w:rsidR="008828FD" w:rsidRPr="00E55E40" w:rsidRDefault="008828FD" w:rsidP="008828FD">
      <w:pPr>
        <w:ind w:firstLine="709"/>
        <w:jc w:val="both"/>
      </w:pPr>
      <w:r w:rsidRPr="00E55E40">
        <w:t xml:space="preserve">Таким образом, особенности фактически сложившегося механизма финансового обеспечения выполнения государственного задания, предполагающие неполное доведение лимитов бюджетных обязательств и их уменьшение на сумму экономии, образовавшейся по результатам закупок, осуществляемых учреждениями, не являющимися получателями бюджетных средств, приводит к нарушению Комитетом Положения № 818-п по независящим от него причинам в части необеспечения взаимосвязи объемов финансирования и показателей государственных заданий.  </w:t>
      </w:r>
    </w:p>
    <w:p w14:paraId="21BCF566" w14:textId="77777777" w:rsidR="00665411" w:rsidRPr="00E55E40" w:rsidRDefault="006A52D4" w:rsidP="00665411">
      <w:pPr>
        <w:pStyle w:val="ConsPlusNormal"/>
        <w:ind w:firstLine="709"/>
        <w:jc w:val="both"/>
        <w:rPr>
          <w:sz w:val="24"/>
          <w:szCs w:val="24"/>
        </w:rPr>
      </w:pPr>
      <w:r w:rsidRPr="00E55E40">
        <w:rPr>
          <w:b/>
          <w:sz w:val="24"/>
          <w:szCs w:val="24"/>
        </w:rPr>
        <w:t>6</w:t>
      </w:r>
      <w:r w:rsidR="00C131A6" w:rsidRPr="00E55E40">
        <w:rPr>
          <w:b/>
          <w:sz w:val="24"/>
          <w:szCs w:val="24"/>
        </w:rPr>
        <w:t>.</w:t>
      </w:r>
      <w:r w:rsidR="00C131A6" w:rsidRPr="00E55E40">
        <w:rPr>
          <w:sz w:val="24"/>
          <w:szCs w:val="24"/>
        </w:rPr>
        <w:t> </w:t>
      </w:r>
      <w:r w:rsidR="00665411" w:rsidRPr="00E55E40">
        <w:rPr>
          <w:sz w:val="24"/>
          <w:szCs w:val="24"/>
        </w:rPr>
        <w:t>В соответствии с п.37 Положения № 818-п предоставление государственному бюджетному или автономному учреждению субсидии в течение финансового года осуществляется на основании соглашения, которое определяет права, обязанности и ответственность сторон, в том числе объем и периодичность перечисления субсидии в течение финансового года, а также количественно измеримые финансовые санкции (штрафы) за нарушение условий выполнения государственного задания (при наличии).</w:t>
      </w:r>
    </w:p>
    <w:p w14:paraId="691EFB6E" w14:textId="77777777" w:rsidR="00665411" w:rsidRPr="00E55E40" w:rsidRDefault="00665411" w:rsidP="00665411">
      <w:pPr>
        <w:pStyle w:val="ConsPlusNormal"/>
        <w:ind w:firstLine="709"/>
        <w:jc w:val="both"/>
        <w:rPr>
          <w:sz w:val="24"/>
          <w:szCs w:val="24"/>
        </w:rPr>
      </w:pPr>
      <w:r w:rsidRPr="00E55E40">
        <w:rPr>
          <w:sz w:val="24"/>
          <w:szCs w:val="24"/>
        </w:rPr>
        <w:t>В нарушение этого соглашения, заключаемые в проверяемом периоде Комитетом с подведомственными учреждениями на финансовое обеспечение выполнения государственного задания, не содержат периодичности перечисления субсидии в течение финансового года.</w:t>
      </w:r>
    </w:p>
    <w:p w14:paraId="64A09FB3" w14:textId="77777777" w:rsidR="00471111" w:rsidRPr="00E55E40" w:rsidRDefault="006A52D4" w:rsidP="00665411">
      <w:pPr>
        <w:pStyle w:val="ConsPlusNormal"/>
        <w:ind w:firstLine="709"/>
        <w:jc w:val="both"/>
        <w:rPr>
          <w:sz w:val="24"/>
          <w:szCs w:val="24"/>
        </w:rPr>
      </w:pPr>
      <w:r w:rsidRPr="00E55E40">
        <w:rPr>
          <w:b/>
          <w:sz w:val="24"/>
          <w:szCs w:val="24"/>
        </w:rPr>
        <w:t>7</w:t>
      </w:r>
      <w:r w:rsidR="001F08E0" w:rsidRPr="00E55E40">
        <w:rPr>
          <w:b/>
          <w:sz w:val="24"/>
          <w:szCs w:val="24"/>
        </w:rPr>
        <w:t>.</w:t>
      </w:r>
      <w:r w:rsidR="000A6220" w:rsidRPr="00E55E40">
        <w:rPr>
          <w:sz w:val="24"/>
          <w:szCs w:val="24"/>
        </w:rPr>
        <w:t> Расчет территориальных коэффициентов</w:t>
      </w:r>
      <w:r w:rsidR="000B5A82" w:rsidRPr="00E55E40">
        <w:rPr>
          <w:sz w:val="24"/>
          <w:szCs w:val="24"/>
        </w:rPr>
        <w:t>, учитывающих территориальные особенности</w:t>
      </w:r>
      <w:r w:rsidR="000A6220" w:rsidRPr="00E55E40">
        <w:rPr>
          <w:sz w:val="24"/>
          <w:szCs w:val="24"/>
        </w:rPr>
        <w:t xml:space="preserve"> </w:t>
      </w:r>
      <w:r w:rsidR="000B5A82" w:rsidRPr="00E55E40">
        <w:rPr>
          <w:sz w:val="24"/>
          <w:szCs w:val="24"/>
        </w:rPr>
        <w:t xml:space="preserve">оказания государственных услуг, </w:t>
      </w:r>
      <w:r w:rsidR="000A6220" w:rsidRPr="00E55E40">
        <w:rPr>
          <w:sz w:val="24"/>
          <w:szCs w:val="24"/>
        </w:rPr>
        <w:t>осуществлялся с нарушением Общих требований № 445н.</w:t>
      </w:r>
    </w:p>
    <w:p w14:paraId="011B6FB8" w14:textId="77777777" w:rsidR="000B5A82" w:rsidRPr="00E55E40" w:rsidRDefault="000A6220" w:rsidP="00665411">
      <w:pPr>
        <w:pStyle w:val="ConsPlusNormal"/>
        <w:ind w:firstLine="709"/>
        <w:jc w:val="both"/>
        <w:rPr>
          <w:sz w:val="24"/>
          <w:szCs w:val="24"/>
        </w:rPr>
      </w:pPr>
      <w:r w:rsidRPr="00E55E40">
        <w:rPr>
          <w:sz w:val="24"/>
          <w:szCs w:val="24"/>
        </w:rPr>
        <w:t xml:space="preserve">Так, </w:t>
      </w:r>
      <w:r w:rsidR="000B5A82" w:rsidRPr="00E55E40">
        <w:rPr>
          <w:sz w:val="24"/>
          <w:szCs w:val="24"/>
        </w:rPr>
        <w:t>согласно п.20 Положения № 818-п территориальный корректирующий коэффициент состоит из территориального коэффициента на оплату труда с начислениями и территориального коэффициента на коммунальные услуги и на содержание недвижимого имущества.</w:t>
      </w:r>
    </w:p>
    <w:p w14:paraId="1499A995" w14:textId="77777777" w:rsidR="001C7E05" w:rsidRPr="00E55E40" w:rsidRDefault="001C7E05" w:rsidP="000B5A82">
      <w:pPr>
        <w:pStyle w:val="ConsPlusNormal"/>
        <w:ind w:firstLine="709"/>
        <w:jc w:val="both"/>
        <w:rPr>
          <w:sz w:val="24"/>
          <w:szCs w:val="24"/>
        </w:rPr>
      </w:pPr>
      <w:r w:rsidRPr="00E55E40">
        <w:rPr>
          <w:sz w:val="24"/>
          <w:szCs w:val="24"/>
        </w:rPr>
        <w:t>И</w:t>
      </w:r>
      <w:r w:rsidR="000A6220" w:rsidRPr="00E55E40">
        <w:rPr>
          <w:sz w:val="24"/>
          <w:szCs w:val="24"/>
        </w:rPr>
        <w:t>с</w:t>
      </w:r>
      <w:r w:rsidRPr="00E55E40">
        <w:rPr>
          <w:sz w:val="24"/>
          <w:szCs w:val="24"/>
        </w:rPr>
        <w:t xml:space="preserve">ходя из </w:t>
      </w:r>
      <w:r w:rsidR="000B5A82" w:rsidRPr="00E55E40">
        <w:rPr>
          <w:sz w:val="24"/>
          <w:szCs w:val="24"/>
        </w:rPr>
        <w:t>Общи</w:t>
      </w:r>
      <w:r w:rsidRPr="00E55E40">
        <w:rPr>
          <w:sz w:val="24"/>
          <w:szCs w:val="24"/>
        </w:rPr>
        <w:t>х</w:t>
      </w:r>
      <w:r w:rsidR="000B5A82" w:rsidRPr="00E55E40">
        <w:rPr>
          <w:sz w:val="24"/>
          <w:szCs w:val="24"/>
        </w:rPr>
        <w:t xml:space="preserve"> требовани</w:t>
      </w:r>
      <w:r w:rsidRPr="00E55E40">
        <w:rPr>
          <w:sz w:val="24"/>
          <w:szCs w:val="24"/>
        </w:rPr>
        <w:t>й № 445н</w:t>
      </w:r>
      <w:r w:rsidR="000B5A82" w:rsidRPr="00E55E40">
        <w:rPr>
          <w:sz w:val="24"/>
          <w:szCs w:val="24"/>
        </w:rPr>
        <w:t xml:space="preserve"> территориальный коэффициент на оплату труда с начислениями</w:t>
      </w:r>
      <w:r w:rsidR="00471111" w:rsidRPr="00E55E40">
        <w:rPr>
          <w:sz w:val="24"/>
          <w:szCs w:val="24"/>
        </w:rPr>
        <w:t xml:space="preserve"> </w:t>
      </w:r>
      <w:r w:rsidR="000B5A82" w:rsidRPr="00E55E40">
        <w:rPr>
          <w:sz w:val="24"/>
          <w:szCs w:val="24"/>
        </w:rPr>
        <w:t>(ТКК</w:t>
      </w:r>
      <w:r w:rsidR="000B5A82" w:rsidRPr="00E55E40">
        <w:rPr>
          <w:sz w:val="24"/>
          <w:szCs w:val="24"/>
          <w:vertAlign w:val="subscript"/>
        </w:rPr>
        <w:t>ОТ</w:t>
      </w:r>
      <w:r w:rsidR="000B5A82" w:rsidRPr="00E55E40">
        <w:rPr>
          <w:sz w:val="24"/>
          <w:szCs w:val="24"/>
        </w:rPr>
        <w:t xml:space="preserve">) </w:t>
      </w:r>
      <w:r w:rsidR="00471111" w:rsidRPr="00E55E40">
        <w:rPr>
          <w:sz w:val="24"/>
          <w:szCs w:val="24"/>
        </w:rPr>
        <w:t xml:space="preserve">рассчитывается как соотношение среднемесячной начисленной </w:t>
      </w:r>
      <w:r w:rsidR="00471111" w:rsidRPr="00E55E40">
        <w:rPr>
          <w:sz w:val="24"/>
          <w:szCs w:val="24"/>
        </w:rPr>
        <w:lastRenderedPageBreak/>
        <w:t>заработной плат</w:t>
      </w:r>
      <w:r w:rsidRPr="00E55E40">
        <w:rPr>
          <w:sz w:val="24"/>
          <w:szCs w:val="24"/>
        </w:rPr>
        <w:t>ы</w:t>
      </w:r>
      <w:r w:rsidR="00471111" w:rsidRPr="00E55E40">
        <w:rPr>
          <w:sz w:val="24"/>
          <w:szCs w:val="24"/>
        </w:rPr>
        <w:t xml:space="preserve"> в целом по экономике по субъекту РФ, на территории которого оказывается услуга, </w:t>
      </w:r>
      <w:r w:rsidRPr="00E55E40">
        <w:rPr>
          <w:sz w:val="24"/>
          <w:szCs w:val="24"/>
        </w:rPr>
        <w:t>к</w:t>
      </w:r>
      <w:r w:rsidR="00471111" w:rsidRPr="00E55E40">
        <w:rPr>
          <w:sz w:val="24"/>
          <w:szCs w:val="24"/>
        </w:rPr>
        <w:t xml:space="preserve"> среднемесячной начисленной заработной плат</w:t>
      </w:r>
      <w:r w:rsidRPr="00E55E40">
        <w:rPr>
          <w:sz w:val="24"/>
          <w:szCs w:val="24"/>
        </w:rPr>
        <w:t>е</w:t>
      </w:r>
      <w:r w:rsidR="006A71F9" w:rsidRPr="00E55E40">
        <w:rPr>
          <w:sz w:val="24"/>
          <w:szCs w:val="24"/>
        </w:rPr>
        <w:t xml:space="preserve"> работников государственных учреждений</w:t>
      </w:r>
      <w:r w:rsidRPr="00E55E40">
        <w:rPr>
          <w:sz w:val="24"/>
          <w:szCs w:val="24"/>
        </w:rPr>
        <w:t>,</w:t>
      </w:r>
      <w:r w:rsidR="00471111" w:rsidRPr="00E55E40">
        <w:rPr>
          <w:sz w:val="24"/>
          <w:szCs w:val="24"/>
        </w:rPr>
        <w:t xml:space="preserve"> </w:t>
      </w:r>
      <w:r w:rsidRPr="00E55E40">
        <w:rPr>
          <w:sz w:val="24"/>
          <w:szCs w:val="24"/>
        </w:rPr>
        <w:t>оказывающих i-</w:t>
      </w:r>
      <w:r w:rsidR="00DF6709" w:rsidRPr="00E55E40">
        <w:rPr>
          <w:sz w:val="24"/>
          <w:szCs w:val="24"/>
        </w:rPr>
        <w:t>ую</w:t>
      </w:r>
      <w:r w:rsidRPr="00E55E40">
        <w:rPr>
          <w:sz w:val="24"/>
          <w:szCs w:val="24"/>
        </w:rPr>
        <w:t xml:space="preserve"> государственную услугу на территории</w:t>
      </w:r>
      <w:r w:rsidR="00471111" w:rsidRPr="00E55E40">
        <w:rPr>
          <w:sz w:val="24"/>
          <w:szCs w:val="24"/>
        </w:rPr>
        <w:t xml:space="preserve"> о</w:t>
      </w:r>
      <w:r w:rsidRPr="00E55E40">
        <w:rPr>
          <w:sz w:val="24"/>
          <w:szCs w:val="24"/>
        </w:rPr>
        <w:t>тдельного</w:t>
      </w:r>
      <w:r w:rsidR="00471111" w:rsidRPr="00E55E40">
        <w:rPr>
          <w:sz w:val="24"/>
          <w:szCs w:val="24"/>
        </w:rPr>
        <w:t xml:space="preserve"> муниципально</w:t>
      </w:r>
      <w:r w:rsidRPr="00E55E40">
        <w:rPr>
          <w:sz w:val="24"/>
          <w:szCs w:val="24"/>
        </w:rPr>
        <w:t>го</w:t>
      </w:r>
      <w:r w:rsidR="00471111" w:rsidRPr="00E55E40">
        <w:rPr>
          <w:sz w:val="24"/>
          <w:szCs w:val="24"/>
        </w:rPr>
        <w:t xml:space="preserve"> образовани</w:t>
      </w:r>
      <w:r w:rsidRPr="00E55E40">
        <w:rPr>
          <w:sz w:val="24"/>
          <w:szCs w:val="24"/>
        </w:rPr>
        <w:t>я.</w:t>
      </w:r>
    </w:p>
    <w:p w14:paraId="660B7465" w14:textId="77777777" w:rsidR="00471111" w:rsidRPr="00E55E40" w:rsidRDefault="000B5A82" w:rsidP="00471111">
      <w:pPr>
        <w:spacing w:line="240" w:lineRule="atLeast"/>
        <w:ind w:firstLine="709"/>
        <w:jc w:val="both"/>
      </w:pPr>
      <w:r w:rsidRPr="00E55E40">
        <w:t>В</w:t>
      </w:r>
      <w:r w:rsidR="00471111" w:rsidRPr="00E55E40">
        <w:t xml:space="preserve"> нарушение </w:t>
      </w:r>
      <w:r w:rsidRPr="00E55E40">
        <w:t xml:space="preserve">этого </w:t>
      </w:r>
      <w:r w:rsidR="00471111" w:rsidRPr="00E55E40">
        <w:t xml:space="preserve">при расчете </w:t>
      </w:r>
      <w:r w:rsidRPr="00E55E40">
        <w:t>ТКК</w:t>
      </w:r>
      <w:r w:rsidRPr="00E55E40">
        <w:rPr>
          <w:vertAlign w:val="subscript"/>
        </w:rPr>
        <w:t>ОТ</w:t>
      </w:r>
      <w:r w:rsidRPr="00E55E40">
        <w:t xml:space="preserve"> </w:t>
      </w:r>
      <w:r w:rsidR="00471111" w:rsidRPr="00E55E40">
        <w:t xml:space="preserve">Комитетом </w:t>
      </w:r>
      <w:r w:rsidR="006A0F1A" w:rsidRPr="00E55E40">
        <w:t xml:space="preserve">в знаменателе </w:t>
      </w:r>
      <w:r w:rsidR="00471111" w:rsidRPr="00E55E40">
        <w:t xml:space="preserve">использована не среднемесячная начисленная заработная плата </w:t>
      </w:r>
      <w:r w:rsidR="001C7E05" w:rsidRPr="00E55E40">
        <w:t>работников государственных учреждений, оказывающих i-</w:t>
      </w:r>
      <w:r w:rsidR="00DF6709" w:rsidRPr="00E55E40">
        <w:t>ую</w:t>
      </w:r>
      <w:r w:rsidR="001C7E05" w:rsidRPr="00E55E40">
        <w:t xml:space="preserve"> государственную услугу на территории отдельного муниципального образования</w:t>
      </w:r>
      <w:r w:rsidR="00471111" w:rsidRPr="00E55E40">
        <w:t>, а среднемесячная начисленная заработная плата всех подведомственных Комитету учреждений, расположенных на соответствующей территории муниципально</w:t>
      </w:r>
      <w:r w:rsidR="001C7E05" w:rsidRPr="00E55E40">
        <w:t xml:space="preserve">го </w:t>
      </w:r>
      <w:r w:rsidR="00471111" w:rsidRPr="00E55E40">
        <w:t>образовани</w:t>
      </w:r>
      <w:r w:rsidR="001C7E05" w:rsidRPr="00E55E40">
        <w:t>я</w:t>
      </w:r>
      <w:r w:rsidR="00471111" w:rsidRPr="00E55E40">
        <w:t xml:space="preserve">, в том числе </w:t>
      </w:r>
      <w:r w:rsidR="007A6390" w:rsidRPr="00E55E40">
        <w:t xml:space="preserve">и </w:t>
      </w:r>
      <w:r w:rsidR="00DF6709" w:rsidRPr="00E55E40">
        <w:t>не оказывающих i-ую</w:t>
      </w:r>
      <w:r w:rsidR="00471111" w:rsidRPr="00E55E40">
        <w:t xml:space="preserve"> государственную услугу.</w:t>
      </w:r>
    </w:p>
    <w:p w14:paraId="607D4608" w14:textId="77777777" w:rsidR="00471111" w:rsidRPr="00E55E40" w:rsidRDefault="00C20BAA" w:rsidP="00471111">
      <w:pPr>
        <w:ind w:firstLine="709"/>
        <w:jc w:val="both"/>
      </w:pPr>
      <w:r w:rsidRPr="00E55E40">
        <w:t xml:space="preserve">Так, </w:t>
      </w:r>
      <w:r w:rsidR="006A0F1A" w:rsidRPr="00E55E40">
        <w:t xml:space="preserve">при расчете </w:t>
      </w:r>
      <w:r w:rsidR="00471111" w:rsidRPr="00E55E40">
        <w:t>ТКК</w:t>
      </w:r>
      <w:r w:rsidR="00471111" w:rsidRPr="00E55E40">
        <w:rPr>
          <w:vertAlign w:val="subscript"/>
        </w:rPr>
        <w:t>ОТ</w:t>
      </w:r>
      <w:r w:rsidR="00471111" w:rsidRPr="00E55E40">
        <w:t xml:space="preserve"> </w:t>
      </w:r>
      <w:r w:rsidR="006A0F1A" w:rsidRPr="00E55E40">
        <w:t>для</w:t>
      </w:r>
      <w:r w:rsidR="00471111" w:rsidRPr="00E55E40">
        <w:t xml:space="preserve"> государственной услуги, оказываемой по Порядку</w:t>
      </w:r>
      <w:r w:rsidR="00256DDC" w:rsidRPr="00E55E40">
        <w:t> ПНИ</w:t>
      </w:r>
      <w:r w:rsidR="00471111" w:rsidRPr="00E55E40">
        <w:t xml:space="preserve"> в </w:t>
      </w:r>
      <w:r w:rsidR="007A6390" w:rsidRPr="00E55E40">
        <w:t>учреждениях</w:t>
      </w:r>
      <w:r w:rsidR="00471111" w:rsidRPr="00E55E40">
        <w:t xml:space="preserve"> г.Волгограда, учтены среднемесячные начисленные заработные платы </w:t>
      </w:r>
      <w:r w:rsidR="006A0F1A" w:rsidRPr="00E55E40">
        <w:t xml:space="preserve">не только работников </w:t>
      </w:r>
      <w:r w:rsidR="007A6390" w:rsidRPr="00E55E40">
        <w:t>учреждений г.Волгограда</w:t>
      </w:r>
      <w:r w:rsidR="006A0F1A" w:rsidRPr="00E55E40">
        <w:t xml:space="preserve">, </w:t>
      </w:r>
      <w:r w:rsidR="007A6390" w:rsidRPr="00E55E40">
        <w:t xml:space="preserve">оказывающих услуги по Порядку ПНИ, </w:t>
      </w:r>
      <w:r w:rsidR="006A0F1A" w:rsidRPr="00E55E40">
        <w:t>но и работников учреждений, не оказывающих услуг</w:t>
      </w:r>
      <w:r w:rsidR="007A6390" w:rsidRPr="00E55E40">
        <w:t>и</w:t>
      </w:r>
      <w:r w:rsidR="006A0F1A" w:rsidRPr="00E55E40">
        <w:t xml:space="preserve"> по Порядку </w:t>
      </w:r>
      <w:r w:rsidR="006E5494" w:rsidRPr="00E55E40">
        <w:t>ПНИ</w:t>
      </w:r>
      <w:r w:rsidR="006A0F1A" w:rsidRPr="00E55E40">
        <w:t xml:space="preserve"> (</w:t>
      </w:r>
      <w:r w:rsidR="00471111" w:rsidRPr="00E55E40">
        <w:t>центр</w:t>
      </w:r>
      <w:r w:rsidR="006A0F1A" w:rsidRPr="00E55E40">
        <w:t>ы</w:t>
      </w:r>
      <w:r w:rsidR="00471111" w:rsidRPr="00E55E40">
        <w:t xml:space="preserve"> социального обслуживания населения</w:t>
      </w:r>
      <w:r w:rsidR="006A0F1A" w:rsidRPr="00E55E40">
        <w:t>,</w:t>
      </w:r>
      <w:r w:rsidR="00471111" w:rsidRPr="00E55E40">
        <w:t xml:space="preserve"> социально-реабилитационных центрах для несовершеннолетних</w:t>
      </w:r>
      <w:r w:rsidR="006A0F1A" w:rsidRPr="00E55E40">
        <w:t>)</w:t>
      </w:r>
      <w:r w:rsidR="00471111" w:rsidRPr="00E55E40">
        <w:t>.</w:t>
      </w:r>
    </w:p>
    <w:p w14:paraId="40F48250" w14:textId="77777777" w:rsidR="00F00042" w:rsidRPr="00E55E40" w:rsidRDefault="007A6390" w:rsidP="00471111">
      <w:pPr>
        <w:ind w:firstLine="709"/>
        <w:jc w:val="both"/>
      </w:pPr>
      <w:r w:rsidRPr="00E55E40">
        <w:t>П</w:t>
      </w:r>
      <w:r w:rsidR="00C20BAA" w:rsidRPr="00E55E40">
        <w:t>о расчёту КСП</w:t>
      </w:r>
      <w:r w:rsidR="00F00042" w:rsidRPr="00E55E40">
        <w:t xml:space="preserve"> размер</w:t>
      </w:r>
      <w:r w:rsidR="00EB2AD6" w:rsidRPr="00E55E40">
        <w:t>ы</w:t>
      </w:r>
      <w:r w:rsidR="00F00042" w:rsidRPr="00E55E40">
        <w:t xml:space="preserve"> ТКК</w:t>
      </w:r>
      <w:r w:rsidR="00F00042" w:rsidRPr="00E55E40">
        <w:rPr>
          <w:vertAlign w:val="subscript"/>
        </w:rPr>
        <w:t>ОТ</w:t>
      </w:r>
      <w:r w:rsidR="00F00042" w:rsidRPr="00E55E40">
        <w:t xml:space="preserve"> для </w:t>
      </w:r>
      <w:r w:rsidR="00E030C4" w:rsidRPr="00E55E40">
        <w:t xml:space="preserve">государственных услуг, оказываемых Волгоградским ДПИ по </w:t>
      </w:r>
      <w:r w:rsidR="00256DDC" w:rsidRPr="00E55E40">
        <w:t>П</w:t>
      </w:r>
      <w:r w:rsidR="00E030C4" w:rsidRPr="00E55E40">
        <w:t>орядк</w:t>
      </w:r>
      <w:r w:rsidR="00256DDC" w:rsidRPr="00E55E40">
        <w:t>у</w:t>
      </w:r>
      <w:r w:rsidR="00E030C4" w:rsidRPr="00E55E40">
        <w:t xml:space="preserve"> </w:t>
      </w:r>
      <w:r w:rsidR="00256DDC" w:rsidRPr="00E55E40">
        <w:t>ПНИ</w:t>
      </w:r>
      <w:r w:rsidR="00E030C4" w:rsidRPr="00E55E40">
        <w:t xml:space="preserve"> и </w:t>
      </w:r>
      <w:r w:rsidR="00256DDC" w:rsidRPr="00E55E40">
        <w:t>Порядку ДПИ</w:t>
      </w:r>
      <w:r w:rsidR="00F00042" w:rsidRPr="00E55E40">
        <w:t>, определённы</w:t>
      </w:r>
      <w:r w:rsidR="00CA1E1B" w:rsidRPr="00E55E40">
        <w:t>е</w:t>
      </w:r>
      <w:r w:rsidR="00F00042" w:rsidRPr="00E55E40">
        <w:t xml:space="preserve"> исходя из заработных плат работников </w:t>
      </w:r>
      <w:r w:rsidR="002C60CE" w:rsidRPr="00E55E40">
        <w:t xml:space="preserve">Волгоградских </w:t>
      </w:r>
      <w:r w:rsidR="00F00042" w:rsidRPr="00E55E40">
        <w:t>учреждений</w:t>
      </w:r>
      <w:r w:rsidR="00EB2AD6" w:rsidRPr="00E55E40">
        <w:t>, оказывающих аналогичные государственные услуги, ниже</w:t>
      </w:r>
      <w:r w:rsidR="000F3B16" w:rsidRPr="00E55E40">
        <w:t>,</w:t>
      </w:r>
      <w:r w:rsidR="00EB2AD6" w:rsidRPr="00E55E40">
        <w:t xml:space="preserve"> чем рассчитаны Комитетом. </w:t>
      </w:r>
      <w:r w:rsidR="00FE314D" w:rsidRPr="00E55E40">
        <w:t>Таким образом</w:t>
      </w:r>
      <w:r w:rsidR="001F0E40" w:rsidRPr="00E55E40">
        <w:t>,</w:t>
      </w:r>
      <w:r w:rsidR="00FE314D" w:rsidRPr="00E55E40">
        <w:t xml:space="preserve"> и</w:t>
      </w:r>
      <w:r w:rsidR="00CA1E1B" w:rsidRPr="00E55E40">
        <w:t>спольз</w:t>
      </w:r>
      <w:r w:rsidR="00FE314D" w:rsidRPr="00E55E40">
        <w:t>уем</w:t>
      </w:r>
      <w:r w:rsidR="00CA1E1B" w:rsidRPr="00E55E40">
        <w:t>ый Комитетом способ расчета прив</w:t>
      </w:r>
      <w:r w:rsidR="00FE314D" w:rsidRPr="00E55E40">
        <w:t>одит</w:t>
      </w:r>
      <w:r w:rsidR="00CA1E1B" w:rsidRPr="00E55E40">
        <w:t xml:space="preserve"> к завышению </w:t>
      </w:r>
      <w:r w:rsidR="00EB2AD6" w:rsidRPr="00E55E40">
        <w:t>нормативных затрат</w:t>
      </w:r>
      <w:r w:rsidR="00FE314D" w:rsidRPr="00E55E40">
        <w:t xml:space="preserve"> и дополнительным расходам в размере 685,5 тыс. рублей.</w:t>
      </w:r>
      <w:r w:rsidR="00CA1E1B" w:rsidRPr="00E55E40">
        <w:t xml:space="preserve"> </w:t>
      </w:r>
    </w:p>
    <w:p w14:paraId="7F3815FE" w14:textId="77777777" w:rsidR="00C20BAA" w:rsidRPr="00E55E40" w:rsidRDefault="00C20BAA" w:rsidP="00471111">
      <w:pPr>
        <w:ind w:firstLine="709"/>
        <w:jc w:val="both"/>
      </w:pPr>
      <w:r w:rsidRPr="00E55E40">
        <w:t>(</w:t>
      </w:r>
      <w:r w:rsidRPr="00E55E40">
        <w:rPr>
          <w:color w:val="0000CC"/>
        </w:rPr>
        <w:t>Приложени</w:t>
      </w:r>
      <w:r w:rsidR="002C60CE" w:rsidRPr="00E55E40">
        <w:rPr>
          <w:color w:val="0000CC"/>
        </w:rPr>
        <w:t>я</w:t>
      </w:r>
      <w:r w:rsidRPr="00E55E40">
        <w:rPr>
          <w:color w:val="0000CC"/>
        </w:rPr>
        <w:t xml:space="preserve"> № </w:t>
      </w:r>
      <w:r w:rsidR="009F6827" w:rsidRPr="00E55E40">
        <w:rPr>
          <w:color w:val="0000CC"/>
        </w:rPr>
        <w:t>4</w:t>
      </w:r>
      <w:r w:rsidR="002C60CE" w:rsidRPr="00E55E40">
        <w:rPr>
          <w:color w:val="0000CC"/>
        </w:rPr>
        <w:t xml:space="preserve"> и № </w:t>
      </w:r>
      <w:r w:rsidR="009F6827" w:rsidRPr="00E55E40">
        <w:rPr>
          <w:color w:val="0000CC"/>
        </w:rPr>
        <w:t>5</w:t>
      </w:r>
      <w:r w:rsidRPr="00E55E40">
        <w:t xml:space="preserve"> – расчет</w:t>
      </w:r>
      <w:r w:rsidR="002C60CE" w:rsidRPr="00E55E40">
        <w:t>ы</w:t>
      </w:r>
      <w:r w:rsidRPr="00E55E40">
        <w:t xml:space="preserve"> территориального коэффициента</w:t>
      </w:r>
      <w:r w:rsidR="002C60CE" w:rsidRPr="00E55E40">
        <w:t xml:space="preserve"> и экономии бюджетных средств</w:t>
      </w:r>
      <w:r w:rsidRPr="00E55E40">
        <w:t>).</w:t>
      </w:r>
    </w:p>
    <w:p w14:paraId="25B0B6CC" w14:textId="77777777" w:rsidR="004667FB" w:rsidRPr="00E55E40" w:rsidRDefault="006A52D4" w:rsidP="004667FB">
      <w:pPr>
        <w:autoSpaceDE w:val="0"/>
        <w:autoSpaceDN w:val="0"/>
        <w:adjustRightInd w:val="0"/>
        <w:ind w:firstLine="709"/>
        <w:jc w:val="both"/>
        <w:rPr>
          <w:rFonts w:eastAsiaTheme="minorHAnsi"/>
          <w:lang w:eastAsia="en-US"/>
        </w:rPr>
      </w:pPr>
      <w:r w:rsidRPr="00E55E40">
        <w:rPr>
          <w:rFonts w:eastAsiaTheme="minorHAnsi"/>
          <w:b/>
          <w:lang w:eastAsia="en-US"/>
        </w:rPr>
        <w:t>8</w:t>
      </w:r>
      <w:r w:rsidR="004667FB" w:rsidRPr="00E55E40">
        <w:rPr>
          <w:rFonts w:eastAsiaTheme="minorHAnsi"/>
          <w:b/>
          <w:lang w:eastAsia="en-US"/>
        </w:rPr>
        <w:t>.</w:t>
      </w:r>
      <w:r w:rsidR="004667FB" w:rsidRPr="00E55E40">
        <w:rPr>
          <w:rFonts w:eastAsiaTheme="minorHAnsi"/>
          <w:lang w:eastAsia="en-US"/>
        </w:rPr>
        <w:t xml:space="preserve"> В случае оказания одним государственным учреждением государственной услуги по разным порядкам предоставления формирование государственного задания осуществлялось с нарушением Положения № 818-п. </w:t>
      </w:r>
    </w:p>
    <w:p w14:paraId="07617DF7" w14:textId="77777777" w:rsidR="004667FB" w:rsidRPr="00E55E40" w:rsidRDefault="004667FB" w:rsidP="004667FB">
      <w:pPr>
        <w:autoSpaceDE w:val="0"/>
        <w:autoSpaceDN w:val="0"/>
        <w:adjustRightInd w:val="0"/>
        <w:ind w:firstLine="709"/>
        <w:jc w:val="both"/>
      </w:pPr>
      <w:r w:rsidRPr="00E55E40">
        <w:rPr>
          <w:rFonts w:eastAsiaTheme="minorHAnsi"/>
          <w:lang w:eastAsia="en-US"/>
        </w:rPr>
        <w:t>Например, государственное задание Калачевскому ПНИ доводилось на 2017-2019 годы на государственную услугу</w:t>
      </w:r>
      <w:r w:rsidRPr="00E55E40">
        <w:t xml:space="preserve"> по предоставлению социального обслуживания в стационарной форме гражданам, частично утратившим способность к самообслуживанию</w:t>
      </w:r>
      <w:r w:rsidRPr="00E55E40">
        <w:rPr>
          <w:rFonts w:eastAsiaTheme="minorHAnsi"/>
          <w:lang w:eastAsia="en-US"/>
        </w:rPr>
        <w:t xml:space="preserve">, </w:t>
      </w:r>
      <w:r w:rsidRPr="00E55E40">
        <w:t xml:space="preserve">по двум порядкам предоставления </w:t>
      </w:r>
      <w:r w:rsidR="00256DDC" w:rsidRPr="00E55E40">
        <w:t xml:space="preserve">для ПНИ </w:t>
      </w:r>
      <w:r w:rsidRPr="00E55E40">
        <w:t xml:space="preserve">и </w:t>
      </w:r>
      <w:r w:rsidR="00256DDC" w:rsidRPr="00E55E40">
        <w:t>ДИМВ</w:t>
      </w:r>
      <w:r w:rsidRPr="00E55E40">
        <w:t xml:space="preserve">. </w:t>
      </w:r>
    </w:p>
    <w:p w14:paraId="422A15A4" w14:textId="77777777" w:rsidR="004667FB" w:rsidRPr="00E55E40" w:rsidRDefault="004667FB" w:rsidP="004667FB">
      <w:pPr>
        <w:autoSpaceDE w:val="0"/>
        <w:autoSpaceDN w:val="0"/>
        <w:adjustRightInd w:val="0"/>
        <w:ind w:firstLine="709"/>
        <w:jc w:val="both"/>
        <w:rPr>
          <w:rFonts w:eastAsiaTheme="minorHAnsi"/>
          <w:lang w:eastAsia="en-US"/>
        </w:rPr>
      </w:pPr>
      <w:r w:rsidRPr="00E55E40">
        <w:rPr>
          <w:rFonts w:eastAsiaTheme="minorHAnsi"/>
          <w:lang w:eastAsia="en-US"/>
        </w:rPr>
        <w:t xml:space="preserve">При этом государственная услуга отражалась в двух разделах государственного задания (в зависимости от порядка оказания), что нарушает п.3 </w:t>
      </w:r>
      <w:hyperlink r:id="rId16" w:history="1">
        <w:r w:rsidRPr="00E55E40">
          <w:rPr>
            <w:rFonts w:eastAsiaTheme="minorHAnsi"/>
            <w:lang w:eastAsia="en-US"/>
          </w:rPr>
          <w:t>Положени</w:t>
        </w:r>
      </w:hyperlink>
      <w:r w:rsidRPr="00E55E40">
        <w:rPr>
          <w:rFonts w:eastAsiaTheme="minorHAnsi"/>
          <w:lang w:eastAsia="en-US"/>
        </w:rPr>
        <w:t>я № 818-п, согласно которому государственное задание формируется из нескольких разделов в случае установления государственному учреждению государственного задания на оказание нескольких государственных услуг.</w:t>
      </w:r>
    </w:p>
    <w:p w14:paraId="638D1529" w14:textId="77777777" w:rsidR="00713850" w:rsidRPr="00E55E40" w:rsidRDefault="006A52D4" w:rsidP="00713850">
      <w:pPr>
        <w:autoSpaceDE w:val="0"/>
        <w:autoSpaceDN w:val="0"/>
        <w:adjustRightInd w:val="0"/>
        <w:ind w:firstLine="709"/>
        <w:jc w:val="both"/>
        <w:rPr>
          <w:rFonts w:eastAsiaTheme="minorHAnsi"/>
          <w:lang w:eastAsia="en-US"/>
        </w:rPr>
      </w:pPr>
      <w:r w:rsidRPr="00E55E40">
        <w:rPr>
          <w:rFonts w:eastAsiaTheme="minorHAnsi"/>
          <w:b/>
          <w:lang w:eastAsia="en-US"/>
        </w:rPr>
        <w:t>9</w:t>
      </w:r>
      <w:r w:rsidR="00713850" w:rsidRPr="00E55E40">
        <w:rPr>
          <w:rFonts w:eastAsiaTheme="minorHAnsi"/>
          <w:b/>
          <w:lang w:eastAsia="en-US"/>
        </w:rPr>
        <w:t>.</w:t>
      </w:r>
      <w:r w:rsidR="00713850" w:rsidRPr="00E55E40">
        <w:rPr>
          <w:rFonts w:eastAsiaTheme="minorHAnsi"/>
          <w:lang w:eastAsia="en-US"/>
        </w:rPr>
        <w:t> В нарушение Порядка расчета коэффициента выравнивания, который учитывает объём бюджетных ассигнований и доведенных лимитов бюджетных обязательств, утверждённо</w:t>
      </w:r>
      <w:r w:rsidR="001F0E40" w:rsidRPr="00E55E40">
        <w:rPr>
          <w:rFonts w:eastAsiaTheme="minorHAnsi"/>
          <w:lang w:eastAsia="en-US"/>
        </w:rPr>
        <w:t>го</w:t>
      </w:r>
      <w:r w:rsidR="00713850" w:rsidRPr="00E55E40">
        <w:rPr>
          <w:rFonts w:eastAsiaTheme="minorHAnsi"/>
          <w:lang w:eastAsia="en-US"/>
        </w:rPr>
        <w:t xml:space="preserve"> приказом Комитета от 30.12.2016 № 1907, коэффициент выравнивания К</w:t>
      </w:r>
      <w:r w:rsidR="00713850" w:rsidRPr="00E55E40">
        <w:rPr>
          <w:rFonts w:eastAsiaTheme="minorHAnsi"/>
          <w:vertAlign w:val="subscript"/>
          <w:lang w:eastAsia="en-US"/>
        </w:rPr>
        <w:t>БА</w:t>
      </w:r>
      <w:r w:rsidR="00713850" w:rsidRPr="00E55E40">
        <w:rPr>
          <w:rFonts w:eastAsiaTheme="minorHAnsi"/>
          <w:vertAlign w:val="subscript"/>
          <w:lang w:val="en-US" w:eastAsia="en-US"/>
        </w:rPr>
        <w:t>j</w:t>
      </w:r>
      <w:r w:rsidR="00713850" w:rsidRPr="00E55E40">
        <w:rPr>
          <w:rFonts w:eastAsiaTheme="minorHAnsi"/>
          <w:lang w:eastAsia="en-US"/>
        </w:rPr>
        <w:t>,</w:t>
      </w:r>
      <w:r w:rsidR="00713850" w:rsidRPr="00E55E40">
        <w:rPr>
          <w:rFonts w:eastAsiaTheme="minorHAnsi"/>
          <w:vertAlign w:val="subscript"/>
          <w:lang w:eastAsia="en-US"/>
        </w:rPr>
        <w:t xml:space="preserve"> </w:t>
      </w:r>
      <w:r w:rsidR="00713850" w:rsidRPr="00E55E40">
        <w:rPr>
          <w:rFonts w:eastAsiaTheme="minorHAnsi"/>
          <w:lang w:eastAsia="en-US"/>
        </w:rPr>
        <w:t>учитывающий объём доведенных бюджетных ассигнований, на 2018 и 2019 годы утверждён с нарушением установленных сроков</w:t>
      </w:r>
      <w:r w:rsidR="00BE67C7" w:rsidRPr="00E55E40">
        <w:rPr>
          <w:rFonts w:eastAsiaTheme="minorHAnsi"/>
          <w:lang w:eastAsia="en-US"/>
        </w:rPr>
        <w:t xml:space="preserve"> в связи с тем, что размеры нормативных затрат на 2018 и 2019 годы, с использованием которых определяется коэффициент выравнивания, согласованы комитетом финансов 15.02.2018 и 25.03.2019 соответственно.</w:t>
      </w:r>
    </w:p>
    <w:p w14:paraId="3671A4E8" w14:textId="77777777" w:rsidR="00171FF9" w:rsidRPr="00E55E40" w:rsidRDefault="009432DE" w:rsidP="00171FF9">
      <w:pPr>
        <w:pStyle w:val="ConsPlusNormal"/>
        <w:ind w:firstLine="709"/>
        <w:jc w:val="both"/>
        <w:rPr>
          <w:rFonts w:eastAsiaTheme="minorHAnsi"/>
          <w:sz w:val="24"/>
          <w:szCs w:val="24"/>
          <w:lang w:eastAsia="en-US"/>
        </w:rPr>
      </w:pPr>
      <w:r w:rsidRPr="00E55E40">
        <w:rPr>
          <w:rFonts w:eastAsiaTheme="minorHAnsi"/>
          <w:b/>
          <w:sz w:val="24"/>
          <w:szCs w:val="24"/>
          <w:lang w:eastAsia="en-US"/>
        </w:rPr>
        <w:t>1</w:t>
      </w:r>
      <w:r w:rsidR="006E1BBD" w:rsidRPr="00E55E40">
        <w:rPr>
          <w:rFonts w:eastAsiaTheme="minorHAnsi"/>
          <w:b/>
          <w:sz w:val="24"/>
          <w:szCs w:val="24"/>
          <w:lang w:eastAsia="en-US"/>
        </w:rPr>
        <w:t>0</w:t>
      </w:r>
      <w:r w:rsidRPr="00E55E40">
        <w:rPr>
          <w:rFonts w:eastAsiaTheme="minorHAnsi"/>
          <w:b/>
          <w:sz w:val="24"/>
          <w:szCs w:val="24"/>
          <w:lang w:eastAsia="en-US"/>
        </w:rPr>
        <w:t>.</w:t>
      </w:r>
      <w:r w:rsidRPr="00E55E40">
        <w:rPr>
          <w:rFonts w:eastAsiaTheme="minorHAnsi"/>
          <w:sz w:val="24"/>
          <w:szCs w:val="24"/>
          <w:lang w:eastAsia="en-US"/>
        </w:rPr>
        <w:t> П</w:t>
      </w:r>
      <w:r w:rsidR="00171FF9" w:rsidRPr="00E55E40">
        <w:rPr>
          <w:rFonts w:eastAsiaTheme="minorHAnsi"/>
          <w:sz w:val="24"/>
          <w:szCs w:val="24"/>
          <w:lang w:eastAsia="en-US"/>
        </w:rPr>
        <w:t>ериодичность перечисления субсидии, установленная договором с АНО Благодать о предоставлении из областного бюджета субсидии, не соответствует установленной Порядком № 35-п.</w:t>
      </w:r>
    </w:p>
    <w:p w14:paraId="40D0180C" w14:textId="77777777" w:rsidR="00171FF9" w:rsidRPr="00E55E40" w:rsidRDefault="00171FF9" w:rsidP="00171FF9">
      <w:pPr>
        <w:pStyle w:val="ConsPlusNormal"/>
        <w:ind w:firstLine="709"/>
        <w:jc w:val="both"/>
        <w:rPr>
          <w:rFonts w:eastAsiaTheme="minorHAnsi"/>
          <w:sz w:val="24"/>
          <w:szCs w:val="24"/>
          <w:lang w:eastAsia="en-US"/>
        </w:rPr>
      </w:pPr>
      <w:r w:rsidRPr="00E55E40">
        <w:rPr>
          <w:rFonts w:eastAsiaTheme="minorHAnsi"/>
          <w:sz w:val="24"/>
          <w:szCs w:val="24"/>
          <w:lang w:eastAsia="en-US"/>
        </w:rPr>
        <w:t xml:space="preserve">Так, п.5.5. Порядка </w:t>
      </w:r>
      <w:r w:rsidR="009432DE" w:rsidRPr="00E55E40">
        <w:rPr>
          <w:rFonts w:eastAsiaTheme="minorHAnsi"/>
          <w:sz w:val="24"/>
          <w:szCs w:val="24"/>
          <w:lang w:eastAsia="en-US"/>
        </w:rPr>
        <w:t xml:space="preserve">№ 35-п </w:t>
      </w:r>
      <w:r w:rsidRPr="00E55E40">
        <w:rPr>
          <w:rFonts w:eastAsiaTheme="minorHAnsi"/>
          <w:sz w:val="24"/>
          <w:szCs w:val="24"/>
          <w:lang w:eastAsia="en-US"/>
        </w:rPr>
        <w:t>предусмотрено перечисление субсидии ежеквартально в течение первого месяца квартала в равных долях от общего объема субсидии.</w:t>
      </w:r>
    </w:p>
    <w:p w14:paraId="0A374DF1" w14:textId="77777777" w:rsidR="00171FF9" w:rsidRPr="00E55E40" w:rsidRDefault="00171FF9" w:rsidP="00171FF9">
      <w:pPr>
        <w:pStyle w:val="ConsPlusNormal"/>
        <w:ind w:firstLine="709"/>
        <w:jc w:val="both"/>
        <w:rPr>
          <w:rFonts w:eastAsiaTheme="minorHAnsi"/>
          <w:sz w:val="24"/>
          <w:szCs w:val="24"/>
          <w:lang w:eastAsia="en-US"/>
        </w:rPr>
      </w:pPr>
      <w:r w:rsidRPr="00E55E40">
        <w:rPr>
          <w:rFonts w:eastAsiaTheme="minorHAnsi"/>
          <w:sz w:val="24"/>
          <w:szCs w:val="24"/>
          <w:lang w:eastAsia="en-US"/>
        </w:rPr>
        <w:t>Договором с АНО Благодать предусмотрено перечисление субсидии в 4 квартале 2019 года в размере 3/20 общего размера субсидии до 15.10.2019; в размере 3/40 общего размера субсидии до 1</w:t>
      </w:r>
      <w:r w:rsidR="006E5494" w:rsidRPr="00E55E40">
        <w:rPr>
          <w:rFonts w:eastAsiaTheme="minorHAnsi"/>
          <w:sz w:val="24"/>
          <w:szCs w:val="24"/>
          <w:lang w:eastAsia="en-US"/>
        </w:rPr>
        <w:t>0</w:t>
      </w:r>
      <w:r w:rsidRPr="00E55E40">
        <w:rPr>
          <w:rFonts w:eastAsiaTheme="minorHAnsi"/>
          <w:sz w:val="24"/>
          <w:szCs w:val="24"/>
          <w:lang w:eastAsia="en-US"/>
        </w:rPr>
        <w:t>.1</w:t>
      </w:r>
      <w:r w:rsidR="006E5494" w:rsidRPr="00E55E40">
        <w:rPr>
          <w:rFonts w:eastAsiaTheme="minorHAnsi"/>
          <w:sz w:val="24"/>
          <w:szCs w:val="24"/>
          <w:lang w:eastAsia="en-US"/>
        </w:rPr>
        <w:t>2</w:t>
      </w:r>
      <w:r w:rsidRPr="00E55E40">
        <w:rPr>
          <w:rFonts w:eastAsiaTheme="minorHAnsi"/>
          <w:sz w:val="24"/>
          <w:szCs w:val="24"/>
          <w:lang w:eastAsia="en-US"/>
        </w:rPr>
        <w:t>.2019.</w:t>
      </w:r>
    </w:p>
    <w:p w14:paraId="06B5D844" w14:textId="77777777" w:rsidR="00171FF9" w:rsidRPr="00E55E40" w:rsidRDefault="009432DE" w:rsidP="00171FF9">
      <w:pPr>
        <w:autoSpaceDE w:val="0"/>
        <w:autoSpaceDN w:val="0"/>
        <w:adjustRightInd w:val="0"/>
        <w:ind w:firstLine="709"/>
        <w:jc w:val="both"/>
        <w:rPr>
          <w:rFonts w:eastAsiaTheme="minorHAnsi"/>
          <w:lang w:eastAsia="en-US"/>
        </w:rPr>
      </w:pPr>
      <w:r w:rsidRPr="00E55E40">
        <w:rPr>
          <w:rFonts w:eastAsiaTheme="minorHAnsi"/>
          <w:b/>
          <w:lang w:eastAsia="en-US"/>
        </w:rPr>
        <w:t>1</w:t>
      </w:r>
      <w:r w:rsidR="006E1BBD" w:rsidRPr="00E55E40">
        <w:rPr>
          <w:rFonts w:eastAsiaTheme="minorHAnsi"/>
          <w:b/>
          <w:lang w:eastAsia="en-US"/>
        </w:rPr>
        <w:t>1</w:t>
      </w:r>
      <w:r w:rsidRPr="00E55E40">
        <w:rPr>
          <w:rFonts w:eastAsiaTheme="minorHAnsi"/>
          <w:b/>
          <w:lang w:eastAsia="en-US"/>
        </w:rPr>
        <w:t>.</w:t>
      </w:r>
      <w:r w:rsidRPr="00E55E40">
        <w:rPr>
          <w:rFonts w:eastAsiaTheme="minorHAnsi"/>
          <w:lang w:eastAsia="en-US"/>
        </w:rPr>
        <w:t> В нарушение п.5.4. Порядка № 35-п д</w:t>
      </w:r>
      <w:r w:rsidR="00171FF9" w:rsidRPr="00E55E40">
        <w:rPr>
          <w:rFonts w:eastAsiaTheme="minorHAnsi"/>
          <w:lang w:eastAsia="en-US"/>
        </w:rPr>
        <w:t xml:space="preserve">оговором с АНО Благодать не установлены </w:t>
      </w:r>
      <w:r w:rsidR="00171FF9" w:rsidRPr="00E55E40">
        <w:rPr>
          <w:rFonts w:eastAsiaTheme="minorHAnsi"/>
          <w:i/>
          <w:lang w:eastAsia="en-US"/>
        </w:rPr>
        <w:t>значения</w:t>
      </w:r>
      <w:r w:rsidR="00171FF9" w:rsidRPr="00E55E40">
        <w:rPr>
          <w:rFonts w:eastAsiaTheme="minorHAnsi"/>
          <w:lang w:eastAsia="en-US"/>
        </w:rPr>
        <w:t xml:space="preserve"> показател</w:t>
      </w:r>
      <w:r w:rsidRPr="00E55E40">
        <w:rPr>
          <w:rFonts w:eastAsiaTheme="minorHAnsi"/>
          <w:lang w:eastAsia="en-US"/>
        </w:rPr>
        <w:t>я</w:t>
      </w:r>
      <w:r w:rsidR="00171FF9" w:rsidRPr="00E55E40">
        <w:rPr>
          <w:rFonts w:eastAsiaTheme="minorHAnsi"/>
          <w:lang w:eastAsia="en-US"/>
        </w:rPr>
        <w:t xml:space="preserve"> результативности</w:t>
      </w:r>
      <w:r w:rsidRPr="00E55E40">
        <w:rPr>
          <w:rFonts w:eastAsiaTheme="minorHAnsi"/>
          <w:lang w:eastAsia="en-US"/>
        </w:rPr>
        <w:t xml:space="preserve"> «удовлетворенность получателей социальных услуг в </w:t>
      </w:r>
      <w:r w:rsidRPr="00E55E40">
        <w:rPr>
          <w:rFonts w:eastAsiaTheme="minorHAnsi"/>
          <w:lang w:eastAsia="en-US"/>
        </w:rPr>
        <w:lastRenderedPageBreak/>
        <w:t>оказанных социальных услугах [доля получателей социальных услуг, удовлетворенных качеством предоставляемых социальных услуг, от общего числа получателей социальных услуг по итогам проведенных опросов (анкетирования)]»</w:t>
      </w:r>
      <w:r w:rsidR="00171FF9" w:rsidRPr="00E55E40">
        <w:rPr>
          <w:rFonts w:eastAsiaTheme="minorHAnsi"/>
          <w:lang w:eastAsia="en-US"/>
        </w:rPr>
        <w:t>.</w:t>
      </w:r>
    </w:p>
    <w:p w14:paraId="093667A6" w14:textId="77777777" w:rsidR="00171FF9" w:rsidRPr="00E55E40" w:rsidRDefault="00171FF9" w:rsidP="00713850">
      <w:pPr>
        <w:autoSpaceDE w:val="0"/>
        <w:autoSpaceDN w:val="0"/>
        <w:adjustRightInd w:val="0"/>
        <w:ind w:firstLine="709"/>
        <w:jc w:val="both"/>
        <w:rPr>
          <w:rFonts w:eastAsiaTheme="minorHAnsi"/>
          <w:lang w:eastAsia="en-US"/>
        </w:rPr>
      </w:pPr>
    </w:p>
    <w:p w14:paraId="0732EE9A" w14:textId="77777777" w:rsidR="0005531D" w:rsidRPr="00E55E40" w:rsidRDefault="0005531D" w:rsidP="0005531D">
      <w:pPr>
        <w:pStyle w:val="Style11"/>
        <w:widowControl/>
        <w:tabs>
          <w:tab w:val="left" w:pos="974"/>
        </w:tabs>
        <w:jc w:val="center"/>
        <w:rPr>
          <w:rStyle w:val="FontStyle13"/>
        </w:rPr>
      </w:pPr>
      <w:r w:rsidRPr="00E55E40">
        <w:rPr>
          <w:rStyle w:val="FontStyle13"/>
        </w:rPr>
        <w:t>А</w:t>
      </w:r>
      <w:r w:rsidR="009432DE" w:rsidRPr="00E55E40">
        <w:rPr>
          <w:rStyle w:val="FontStyle13"/>
        </w:rPr>
        <w:t>удит закупок</w:t>
      </w:r>
    </w:p>
    <w:p w14:paraId="47F82C43" w14:textId="77777777" w:rsidR="0005531D" w:rsidRPr="00E55E40" w:rsidRDefault="0005531D" w:rsidP="0005531D">
      <w:pPr>
        <w:pStyle w:val="Style11"/>
        <w:widowControl/>
        <w:tabs>
          <w:tab w:val="left" w:pos="974"/>
        </w:tabs>
        <w:jc w:val="center"/>
        <w:rPr>
          <w:rStyle w:val="FontStyle13"/>
          <w:i/>
        </w:rPr>
      </w:pPr>
    </w:p>
    <w:p w14:paraId="16C6E786"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В ходе проверки КСП исследован вопрос эффективности применения схемы аутсорсинга при организации питания получателей социальных услуг в условиях стационара.</w:t>
      </w:r>
    </w:p>
    <w:p w14:paraId="67ACC9B5"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 xml:space="preserve">Закупка услуг питания </w:t>
      </w:r>
      <w:r w:rsidR="006E5494" w:rsidRPr="00E55E40">
        <w:rPr>
          <w:spacing w:val="2"/>
          <w:sz w:val="24"/>
          <w:szCs w:val="24"/>
        </w:rPr>
        <w:t xml:space="preserve">в 2016-истекшем периоде 2019 года </w:t>
      </w:r>
      <w:r w:rsidRPr="00E55E40">
        <w:rPr>
          <w:spacing w:val="2"/>
          <w:sz w:val="24"/>
          <w:szCs w:val="24"/>
        </w:rPr>
        <w:t>по схеме аутсорсинг осуществлялась в 12 учреждениях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 44-ФЗ), в остальных 8 учреждениях питание организовано собственными силами.</w:t>
      </w:r>
    </w:p>
    <w:p w14:paraId="6AC31046" w14:textId="77777777" w:rsidR="008854D0" w:rsidRPr="00E55E40" w:rsidRDefault="008854D0" w:rsidP="008854D0">
      <w:pPr>
        <w:autoSpaceDE w:val="0"/>
        <w:autoSpaceDN w:val="0"/>
        <w:adjustRightInd w:val="0"/>
        <w:ind w:firstLine="709"/>
        <w:jc w:val="both"/>
        <w:rPr>
          <w:spacing w:val="2"/>
        </w:rPr>
      </w:pPr>
      <w:r w:rsidRPr="00E55E40">
        <w:rPr>
          <w:spacing w:val="2"/>
        </w:rPr>
        <w:t>Установлены неэффективные расходы в результате необоснованного применения Волжским ПНИ и Волгоградским ГЦ при формировании начальной максимальной цены контракта тарифа на социальные услуги, утверждённого приказом комитета тарифного регулирования Волгоградской области от 25.06.2015 № 23/8.</w:t>
      </w:r>
    </w:p>
    <w:p w14:paraId="5854405E" w14:textId="77777777" w:rsidR="008854D0" w:rsidRPr="00E55E40" w:rsidRDefault="008854D0" w:rsidP="008854D0">
      <w:pPr>
        <w:autoSpaceDE w:val="0"/>
        <w:autoSpaceDN w:val="0"/>
        <w:adjustRightInd w:val="0"/>
        <w:ind w:firstLine="709"/>
        <w:jc w:val="both"/>
        <w:rPr>
          <w:rFonts w:eastAsia="Calibri"/>
        </w:rPr>
      </w:pPr>
      <w:r w:rsidRPr="00E55E40">
        <w:rPr>
          <w:spacing w:val="2"/>
        </w:rPr>
        <w:t xml:space="preserve">Так, </w:t>
      </w:r>
      <w:r w:rsidRPr="00E55E40">
        <w:rPr>
          <w:rFonts w:eastAsia="Calibri"/>
        </w:rPr>
        <w:t xml:space="preserve">ст.22 Закона № 44-ФЗ установлено 5 методов определения начальной максимальной цены контракта: </w:t>
      </w:r>
    </w:p>
    <w:p w14:paraId="3336486A" w14:textId="77777777" w:rsidR="008854D0" w:rsidRPr="00E55E40" w:rsidRDefault="008854D0" w:rsidP="008854D0">
      <w:pPr>
        <w:autoSpaceDE w:val="0"/>
        <w:autoSpaceDN w:val="0"/>
        <w:adjustRightInd w:val="0"/>
        <w:ind w:firstLine="709"/>
        <w:jc w:val="both"/>
        <w:rPr>
          <w:rFonts w:eastAsia="Calibri"/>
        </w:rPr>
      </w:pPr>
      <w:r w:rsidRPr="00E55E40">
        <w:rPr>
          <w:rFonts w:eastAsia="Calibri"/>
        </w:rPr>
        <w:t xml:space="preserve">1) метод сопоставимых рыночных цен (анализа рынка); </w:t>
      </w:r>
    </w:p>
    <w:p w14:paraId="4484E46C" w14:textId="77777777" w:rsidR="008854D0" w:rsidRPr="00E55E40" w:rsidRDefault="008854D0" w:rsidP="008854D0">
      <w:pPr>
        <w:autoSpaceDE w:val="0"/>
        <w:autoSpaceDN w:val="0"/>
        <w:adjustRightInd w:val="0"/>
        <w:ind w:firstLine="709"/>
        <w:jc w:val="both"/>
        <w:rPr>
          <w:rFonts w:eastAsia="Calibri"/>
        </w:rPr>
      </w:pPr>
      <w:r w:rsidRPr="00E55E40">
        <w:rPr>
          <w:rFonts w:eastAsia="Calibri"/>
        </w:rPr>
        <w:t xml:space="preserve">2) нормативный метод; </w:t>
      </w:r>
    </w:p>
    <w:p w14:paraId="393BDBE0" w14:textId="77777777" w:rsidR="008854D0" w:rsidRPr="00E55E40" w:rsidRDefault="008854D0" w:rsidP="008854D0">
      <w:pPr>
        <w:autoSpaceDE w:val="0"/>
        <w:autoSpaceDN w:val="0"/>
        <w:adjustRightInd w:val="0"/>
        <w:ind w:firstLine="709"/>
        <w:jc w:val="both"/>
        <w:rPr>
          <w:rFonts w:eastAsia="Calibri"/>
        </w:rPr>
      </w:pPr>
      <w:r w:rsidRPr="00E55E40">
        <w:rPr>
          <w:rFonts w:eastAsia="Calibri"/>
        </w:rPr>
        <w:t xml:space="preserve">3) тарифный метод; </w:t>
      </w:r>
    </w:p>
    <w:p w14:paraId="486EF5A5" w14:textId="77777777" w:rsidR="008854D0" w:rsidRPr="00E55E40" w:rsidRDefault="008854D0" w:rsidP="008854D0">
      <w:pPr>
        <w:autoSpaceDE w:val="0"/>
        <w:autoSpaceDN w:val="0"/>
        <w:adjustRightInd w:val="0"/>
        <w:ind w:firstLine="709"/>
        <w:jc w:val="both"/>
        <w:rPr>
          <w:rFonts w:eastAsia="Calibri"/>
        </w:rPr>
      </w:pPr>
      <w:r w:rsidRPr="00E55E40">
        <w:rPr>
          <w:rFonts w:eastAsia="Calibri"/>
        </w:rPr>
        <w:t xml:space="preserve">4) проектно-сметный метод; </w:t>
      </w:r>
    </w:p>
    <w:p w14:paraId="63D2898A" w14:textId="77777777" w:rsidR="008854D0" w:rsidRPr="00E55E40" w:rsidRDefault="008854D0" w:rsidP="008854D0">
      <w:pPr>
        <w:autoSpaceDE w:val="0"/>
        <w:autoSpaceDN w:val="0"/>
        <w:adjustRightInd w:val="0"/>
        <w:ind w:firstLine="709"/>
        <w:jc w:val="both"/>
        <w:rPr>
          <w:rFonts w:eastAsia="Calibri"/>
        </w:rPr>
      </w:pPr>
      <w:r w:rsidRPr="00E55E40">
        <w:rPr>
          <w:rFonts w:eastAsia="Calibri"/>
        </w:rPr>
        <w:t>5) затратный метод.</w:t>
      </w:r>
    </w:p>
    <w:p w14:paraId="1EF361BB" w14:textId="77777777" w:rsidR="008854D0" w:rsidRPr="00E55E40" w:rsidRDefault="008854D0" w:rsidP="008854D0">
      <w:pPr>
        <w:autoSpaceDE w:val="0"/>
        <w:autoSpaceDN w:val="0"/>
        <w:adjustRightInd w:val="0"/>
        <w:ind w:firstLine="709"/>
        <w:jc w:val="both"/>
        <w:rPr>
          <w:rFonts w:eastAsia="Calibri"/>
        </w:rPr>
      </w:pPr>
      <w:r w:rsidRPr="00E55E40">
        <w:rPr>
          <w:rFonts w:eastAsia="Calibri"/>
        </w:rPr>
        <w:t xml:space="preserve">В соответствии с п.8 ст.22 Закона № 44-ФЗ тарифный </w:t>
      </w:r>
      <w:hyperlink r:id="rId17" w:history="1">
        <w:r w:rsidRPr="00E55E40">
          <w:rPr>
            <w:rFonts w:eastAsia="Calibri"/>
          </w:rPr>
          <w:t>метод</w:t>
        </w:r>
      </w:hyperlink>
      <w:r w:rsidRPr="00E55E40">
        <w:rPr>
          <w:rFonts w:eastAsia="Calibri"/>
        </w:rPr>
        <w:t xml:space="preserve"> применяется заказчиком, если в соответствии с законодательством РФ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определяется по регулируемым ценам (тарифам) на товары, работы, услуги.</w:t>
      </w:r>
    </w:p>
    <w:p w14:paraId="79F8FA4D" w14:textId="77777777" w:rsidR="008854D0" w:rsidRPr="00E55E40" w:rsidRDefault="008854D0" w:rsidP="008854D0">
      <w:pPr>
        <w:autoSpaceDE w:val="0"/>
        <w:autoSpaceDN w:val="0"/>
        <w:adjustRightInd w:val="0"/>
        <w:ind w:firstLine="709"/>
        <w:jc w:val="both"/>
        <w:rPr>
          <w:rFonts w:eastAsia="Calibri"/>
        </w:rPr>
      </w:pPr>
      <w:r w:rsidRPr="00E55E40">
        <w:rPr>
          <w:rFonts w:eastAsia="Calibri"/>
        </w:rPr>
        <w:t xml:space="preserve">В силу </w:t>
      </w:r>
      <w:hyperlink r:id="rId18" w:history="1">
        <w:r w:rsidRPr="00E55E40">
          <w:rPr>
            <w:rFonts w:eastAsia="Calibri"/>
          </w:rPr>
          <w:t>п.1 ст.424</w:t>
        </w:r>
      </w:hyperlink>
      <w:r w:rsidRPr="00E55E40">
        <w:rPr>
          <w:rFonts w:eastAsia="Calibri"/>
        </w:rPr>
        <w:t xml:space="preserve"> Гражданского кодекса РФ случаи государственного регулирования цен (тарифов) устанавливаются законом. Возможность установления таких случаев каким-либо другим нормативным правовым актом не предусмотрена.</w:t>
      </w:r>
    </w:p>
    <w:p w14:paraId="5FA76517" w14:textId="77777777" w:rsidR="008854D0" w:rsidRPr="00E55E40" w:rsidRDefault="008854D0" w:rsidP="008854D0">
      <w:pPr>
        <w:autoSpaceDE w:val="0"/>
        <w:autoSpaceDN w:val="0"/>
        <w:adjustRightInd w:val="0"/>
        <w:ind w:firstLine="709"/>
        <w:jc w:val="both"/>
        <w:rPr>
          <w:spacing w:val="2"/>
        </w:rPr>
      </w:pPr>
      <w:r w:rsidRPr="00E55E40">
        <w:rPr>
          <w:rFonts w:eastAsia="Calibri"/>
        </w:rPr>
        <w:t xml:space="preserve">Законами РФ и Волгоградской области государственное регулирование тарифов на питание в организациях социального обслуживания не </w:t>
      </w:r>
      <w:r w:rsidRPr="00E55E40">
        <w:rPr>
          <w:spacing w:val="2"/>
        </w:rPr>
        <w:t>предусмотрено.</w:t>
      </w:r>
    </w:p>
    <w:p w14:paraId="33DE0CC8" w14:textId="77777777" w:rsidR="008854D0" w:rsidRPr="00E55E40" w:rsidRDefault="008854D0" w:rsidP="008854D0">
      <w:pPr>
        <w:autoSpaceDE w:val="0"/>
        <w:autoSpaceDN w:val="0"/>
        <w:adjustRightInd w:val="0"/>
        <w:ind w:firstLine="709"/>
        <w:jc w:val="both"/>
        <w:rPr>
          <w:spacing w:val="2"/>
        </w:rPr>
      </w:pPr>
      <w:r w:rsidRPr="00E55E40">
        <w:rPr>
          <w:spacing w:val="2"/>
        </w:rPr>
        <w:t>Согласно Закону № 442-ФЗ и Закону № 140-ОД «О социальном обслуживании граждан в Волгоградской области» тарифы на социальные услуги применяются для размера ежемесячной платы за предоставление социальных услуг получателям социальных услуг, а не для закупки товаров, работ и услуг для обеспечения государственных нужд.</w:t>
      </w:r>
    </w:p>
    <w:p w14:paraId="689D1DEF" w14:textId="77777777" w:rsidR="008854D0" w:rsidRPr="00E55E40" w:rsidRDefault="008854D0" w:rsidP="008854D0">
      <w:pPr>
        <w:autoSpaceDE w:val="0"/>
        <w:autoSpaceDN w:val="0"/>
        <w:adjustRightInd w:val="0"/>
        <w:ind w:firstLine="709"/>
        <w:jc w:val="both"/>
        <w:rPr>
          <w:spacing w:val="2"/>
        </w:rPr>
      </w:pPr>
      <w:r w:rsidRPr="00E55E40">
        <w:rPr>
          <w:spacing w:val="2"/>
        </w:rPr>
        <w:t>Таким образом, тариф, утверждённый приказом комитета тарифного регулирования Волгоградской области от 25.06.2015 № 23/8, не может быть применим при формировании НМЦК для закупки услуг питания государственными организациями социального обслуживания населения.</w:t>
      </w:r>
    </w:p>
    <w:p w14:paraId="6E924C63" w14:textId="77777777" w:rsidR="008854D0" w:rsidRPr="00E55E40" w:rsidRDefault="007A6390" w:rsidP="008854D0">
      <w:pPr>
        <w:autoSpaceDE w:val="0"/>
        <w:autoSpaceDN w:val="0"/>
        <w:adjustRightInd w:val="0"/>
        <w:ind w:firstLine="709"/>
        <w:jc w:val="both"/>
        <w:rPr>
          <w:spacing w:val="2"/>
        </w:rPr>
      </w:pPr>
      <w:r w:rsidRPr="00E55E40">
        <w:rPr>
          <w:spacing w:val="2"/>
        </w:rPr>
        <w:t>Н</w:t>
      </w:r>
      <w:r w:rsidR="008854D0" w:rsidRPr="00E55E40">
        <w:rPr>
          <w:spacing w:val="2"/>
        </w:rPr>
        <w:t xml:space="preserve">а </w:t>
      </w:r>
      <w:r w:rsidR="00665F10" w:rsidRPr="00E55E40">
        <w:rPr>
          <w:spacing w:val="2"/>
        </w:rPr>
        <w:t xml:space="preserve">период с сентября </w:t>
      </w:r>
      <w:r w:rsidR="008854D0" w:rsidRPr="00E55E40">
        <w:rPr>
          <w:spacing w:val="2"/>
        </w:rPr>
        <w:t>2016</w:t>
      </w:r>
      <w:r w:rsidR="00665F10" w:rsidRPr="00E55E40">
        <w:rPr>
          <w:spacing w:val="2"/>
        </w:rPr>
        <w:t xml:space="preserve"> года и </w:t>
      </w:r>
      <w:r w:rsidR="008854D0" w:rsidRPr="00E55E40">
        <w:rPr>
          <w:spacing w:val="2"/>
        </w:rPr>
        <w:t>2017 год Волжским ПНИ определена НМЦК на основании  утверждённого приказом комитет</w:t>
      </w:r>
      <w:r w:rsidRPr="00E55E40">
        <w:rPr>
          <w:spacing w:val="2"/>
        </w:rPr>
        <w:t>а</w:t>
      </w:r>
      <w:r w:rsidR="008854D0" w:rsidRPr="00E55E40">
        <w:rPr>
          <w:spacing w:val="2"/>
        </w:rPr>
        <w:t xml:space="preserve"> тарифного регулирования Волгоградской области тарифа в размере 300,93 руб. за 1 койко-день. Победил участник, предложивший максимальную стоимость питания 1 койко-дня, равную 300,93 руб., ставший лучшим по результатам квалификационного отбора</w:t>
      </w:r>
      <w:r w:rsidR="00665F10" w:rsidRPr="00E55E40">
        <w:rPr>
          <w:spacing w:val="2"/>
        </w:rPr>
        <w:t>, что в 1,6 раза превысило стоимость питания, осуществляемого Волжским ПНИ собственными силами, сложившуюся за первые 8 месяцев 2016 года в размере 192,02 руб. за 1 койко-день</w:t>
      </w:r>
      <w:r w:rsidR="008854D0" w:rsidRPr="00E55E40">
        <w:rPr>
          <w:spacing w:val="2"/>
        </w:rPr>
        <w:t xml:space="preserve">. </w:t>
      </w:r>
    </w:p>
    <w:p w14:paraId="7D8967C0" w14:textId="77777777" w:rsidR="008854D0" w:rsidRPr="00E55E40" w:rsidRDefault="006E5494" w:rsidP="008854D0">
      <w:pPr>
        <w:autoSpaceDE w:val="0"/>
        <w:autoSpaceDN w:val="0"/>
        <w:adjustRightInd w:val="0"/>
        <w:ind w:firstLine="709"/>
        <w:jc w:val="both"/>
        <w:rPr>
          <w:spacing w:val="2"/>
        </w:rPr>
      </w:pPr>
      <w:r w:rsidRPr="00E55E40">
        <w:rPr>
          <w:spacing w:val="2"/>
        </w:rPr>
        <w:lastRenderedPageBreak/>
        <w:t>Однако, н</w:t>
      </w:r>
      <w:r w:rsidR="008854D0" w:rsidRPr="00E55E40">
        <w:rPr>
          <w:spacing w:val="2"/>
        </w:rPr>
        <w:t>а 2018-2019 годы Волжским ПНИ определена НМЦК исходя из стоимости 1 койко-дня в размерах 240,0 руб. и  250,4 руб. соответственно на основании рыночных цен, сложившихся в данной сфере услуг по исполненным государственным контрактам, размещенным в открытом доступе в единой информационной системе в сфере закупок (далее ЕИСЗ).</w:t>
      </w:r>
    </w:p>
    <w:p w14:paraId="1B5E1F46" w14:textId="77777777" w:rsidR="008854D0" w:rsidRPr="00E55E40" w:rsidRDefault="008854D0" w:rsidP="008854D0">
      <w:pPr>
        <w:autoSpaceDE w:val="0"/>
        <w:autoSpaceDN w:val="0"/>
        <w:adjustRightInd w:val="0"/>
        <w:ind w:firstLine="709"/>
        <w:jc w:val="both"/>
        <w:rPr>
          <w:rFonts w:eastAsiaTheme="minorHAnsi"/>
          <w:lang w:eastAsia="en-US"/>
        </w:rPr>
      </w:pPr>
      <w:r w:rsidRPr="00E55E40">
        <w:rPr>
          <w:spacing w:val="2"/>
        </w:rPr>
        <w:t xml:space="preserve">Таким образом, использование Волжским ПНИ </w:t>
      </w:r>
      <w:r w:rsidRPr="00E55E40">
        <w:rPr>
          <w:rFonts w:eastAsia="Calibri"/>
        </w:rPr>
        <w:t xml:space="preserve">метода сопоставимых рыночных цен при формировании НМЦК позволило сократить расходы на организацию питания </w:t>
      </w:r>
      <w:r w:rsidR="005E6312" w:rsidRPr="00E55E40">
        <w:rPr>
          <w:rFonts w:eastAsia="Calibri"/>
        </w:rPr>
        <w:t>на 20 процентов</w:t>
      </w:r>
      <w:r w:rsidRPr="00E55E40">
        <w:rPr>
          <w:rFonts w:eastAsia="Calibri"/>
        </w:rPr>
        <w:t xml:space="preserve">. Следовательно, организация питания в 2016-2017 годы осуществлялась с использованием большего объёма средств, что не отвечает принципу эффективности, определенному ст.34 Бюджетного кодекса РФ, </w:t>
      </w:r>
      <w:r w:rsidRPr="00E55E40">
        <w:rPr>
          <w:rFonts w:eastAsiaTheme="minorHAnsi"/>
          <w:lang w:eastAsia="en-US"/>
        </w:rPr>
        <w:t>означающему, что при составлении и исполнении бюджетов участники бюджетного процесса должны исходить из необходимости достижения заданных результатов с использованием наименьшего объема средств (экономности).</w:t>
      </w:r>
    </w:p>
    <w:p w14:paraId="04E270EA" w14:textId="77777777" w:rsidR="00990C1E" w:rsidRPr="00E55E40" w:rsidRDefault="008854D0" w:rsidP="00990C1E">
      <w:pPr>
        <w:autoSpaceDE w:val="0"/>
        <w:autoSpaceDN w:val="0"/>
        <w:adjustRightInd w:val="0"/>
        <w:ind w:firstLine="709"/>
        <w:jc w:val="both"/>
        <w:rPr>
          <w:rFonts w:eastAsia="Calibri"/>
        </w:rPr>
      </w:pPr>
      <w:r w:rsidRPr="00E55E40">
        <w:rPr>
          <w:rFonts w:eastAsia="Calibri"/>
        </w:rPr>
        <w:t xml:space="preserve">Сумма неэффективно израсходованных средств составила </w:t>
      </w:r>
      <w:r w:rsidRPr="00E55E40">
        <w:rPr>
          <w:spacing w:val="2"/>
        </w:rPr>
        <w:t>9,6 млн. руб., из них средств областного бюджета 2,4 млн. руб., средств от внебюджетной деятельности, осуществляемой в рамках государственного задания</w:t>
      </w:r>
      <w:r w:rsidR="007140E8" w:rsidRPr="00E55E40">
        <w:rPr>
          <w:spacing w:val="2"/>
        </w:rPr>
        <w:t>,</w:t>
      </w:r>
      <w:r w:rsidRPr="00E55E40">
        <w:rPr>
          <w:spacing w:val="2"/>
        </w:rPr>
        <w:t xml:space="preserve"> - 7,2 млн. рублей.</w:t>
      </w:r>
      <w:r w:rsidR="00990C1E" w:rsidRPr="00E55E40">
        <w:rPr>
          <w:spacing w:val="2"/>
        </w:rPr>
        <w:t xml:space="preserve"> Сумма </w:t>
      </w:r>
      <w:r w:rsidR="007140E8" w:rsidRPr="00E55E40">
        <w:rPr>
          <w:spacing w:val="2"/>
        </w:rPr>
        <w:t>рассчитана</w:t>
      </w:r>
      <w:r w:rsidR="00990C1E" w:rsidRPr="00E55E40">
        <w:rPr>
          <w:spacing w:val="2"/>
        </w:rPr>
        <w:t xml:space="preserve"> как произведение объема услуг по аутсорсингу, полученн</w:t>
      </w:r>
      <w:r w:rsidR="007140E8" w:rsidRPr="00E55E40">
        <w:rPr>
          <w:spacing w:val="2"/>
        </w:rPr>
        <w:t>ых</w:t>
      </w:r>
      <w:r w:rsidR="00990C1E" w:rsidRPr="00E55E40">
        <w:rPr>
          <w:spacing w:val="2"/>
        </w:rPr>
        <w:t xml:space="preserve"> в 2016</w:t>
      </w:r>
      <w:r w:rsidR="007140E8" w:rsidRPr="00E55E40">
        <w:rPr>
          <w:spacing w:val="2"/>
        </w:rPr>
        <w:t>-</w:t>
      </w:r>
      <w:r w:rsidR="00990C1E" w:rsidRPr="00E55E40">
        <w:rPr>
          <w:spacing w:val="2"/>
        </w:rPr>
        <w:t>2017 годах</w:t>
      </w:r>
      <w:r w:rsidR="007140E8" w:rsidRPr="00E55E40">
        <w:rPr>
          <w:spacing w:val="2"/>
        </w:rPr>
        <w:t xml:space="preserve"> в количестве </w:t>
      </w:r>
      <w:r w:rsidR="00990C1E" w:rsidRPr="00E55E40">
        <w:rPr>
          <w:spacing w:val="2"/>
        </w:rPr>
        <w:t>172462 койко-дн</w:t>
      </w:r>
      <w:r w:rsidR="007140E8" w:rsidRPr="00E55E40">
        <w:rPr>
          <w:spacing w:val="2"/>
        </w:rPr>
        <w:t>я,</w:t>
      </w:r>
      <w:r w:rsidR="00990C1E" w:rsidRPr="00E55E40">
        <w:rPr>
          <w:spacing w:val="2"/>
        </w:rPr>
        <w:t xml:space="preserve"> и разницы между ценой 1 койко-дня в 2016-2017 год</w:t>
      </w:r>
      <w:r w:rsidR="007140E8" w:rsidRPr="00E55E40">
        <w:rPr>
          <w:spacing w:val="2"/>
        </w:rPr>
        <w:t xml:space="preserve">ы, составившей </w:t>
      </w:r>
      <w:r w:rsidR="00990C1E" w:rsidRPr="00E55E40">
        <w:rPr>
          <w:spacing w:val="2"/>
        </w:rPr>
        <w:t>300,93 руб.</w:t>
      </w:r>
      <w:r w:rsidR="007140E8" w:rsidRPr="00E55E40">
        <w:rPr>
          <w:spacing w:val="2"/>
        </w:rPr>
        <w:t>,</w:t>
      </w:r>
      <w:r w:rsidR="00990C1E" w:rsidRPr="00E55E40">
        <w:rPr>
          <w:spacing w:val="2"/>
        </w:rPr>
        <w:t xml:space="preserve"> и средней ценой 1 койко-дня </w:t>
      </w:r>
      <w:r w:rsidR="007140E8" w:rsidRPr="00E55E40">
        <w:rPr>
          <w:spacing w:val="2"/>
        </w:rPr>
        <w:t>в</w:t>
      </w:r>
      <w:r w:rsidR="00990C1E" w:rsidRPr="00E55E40">
        <w:rPr>
          <w:spacing w:val="2"/>
        </w:rPr>
        <w:t xml:space="preserve"> 2018</w:t>
      </w:r>
      <w:r w:rsidR="007140E8" w:rsidRPr="00E55E40">
        <w:rPr>
          <w:spacing w:val="2"/>
        </w:rPr>
        <w:t>-</w:t>
      </w:r>
      <w:r w:rsidR="00990C1E" w:rsidRPr="00E55E40">
        <w:rPr>
          <w:spacing w:val="2"/>
        </w:rPr>
        <w:t>2019 год</w:t>
      </w:r>
      <w:r w:rsidR="007140E8" w:rsidRPr="00E55E40">
        <w:rPr>
          <w:spacing w:val="2"/>
        </w:rPr>
        <w:t xml:space="preserve">ы, составившей </w:t>
      </w:r>
      <w:r w:rsidR="00990C1E" w:rsidRPr="00E55E40">
        <w:rPr>
          <w:spacing w:val="2"/>
        </w:rPr>
        <w:t xml:space="preserve">245,2 руб. </w:t>
      </w:r>
      <w:r w:rsidR="007140E8" w:rsidRPr="00E55E40">
        <w:rPr>
          <w:spacing w:val="2"/>
        </w:rPr>
        <w:t xml:space="preserve">- </w:t>
      </w:r>
      <w:r w:rsidR="00990C1E" w:rsidRPr="00E55E40">
        <w:rPr>
          <w:spacing w:val="2"/>
        </w:rPr>
        <w:t>(172462</w:t>
      </w:r>
      <w:r w:rsidR="007140E8" w:rsidRPr="00E55E40">
        <w:rPr>
          <w:spacing w:val="2"/>
        </w:rPr>
        <w:t xml:space="preserve"> койко-дня</w:t>
      </w:r>
      <w:r w:rsidR="00990C1E" w:rsidRPr="00E55E40">
        <w:rPr>
          <w:spacing w:val="2"/>
        </w:rPr>
        <w:t>*(300,93 руб.– 24</w:t>
      </w:r>
      <w:r w:rsidR="007140E8" w:rsidRPr="00E55E40">
        <w:rPr>
          <w:spacing w:val="2"/>
        </w:rPr>
        <w:t>5,2</w:t>
      </w:r>
      <w:r w:rsidR="00990C1E" w:rsidRPr="00E55E40">
        <w:rPr>
          <w:spacing w:val="2"/>
        </w:rPr>
        <w:t xml:space="preserve"> руб.).</w:t>
      </w:r>
    </w:p>
    <w:p w14:paraId="7E12621F" w14:textId="77777777" w:rsidR="008854D0" w:rsidRPr="00E55E40" w:rsidRDefault="007140E8" w:rsidP="008854D0">
      <w:pPr>
        <w:autoSpaceDE w:val="0"/>
        <w:autoSpaceDN w:val="0"/>
        <w:adjustRightInd w:val="0"/>
        <w:ind w:firstLine="709"/>
        <w:jc w:val="both"/>
        <w:rPr>
          <w:spacing w:val="2"/>
        </w:rPr>
      </w:pPr>
      <w:r w:rsidRPr="00E55E40">
        <w:rPr>
          <w:spacing w:val="2"/>
        </w:rPr>
        <w:t>А</w:t>
      </w:r>
      <w:r w:rsidR="008854D0" w:rsidRPr="00E55E40">
        <w:rPr>
          <w:spacing w:val="2"/>
        </w:rPr>
        <w:t xml:space="preserve">налогично, Волгоградским ГЦ на 2019 год НМЦК на аутсорсинг питания определена на основании тарифа, утверждённого комитетом тарифного регулирования Волгоградской области в размере 300,93 руб. за 1 койко-день. Государственный контракт заключен без понижения цены с </w:t>
      </w:r>
      <w:r w:rsidR="006E5494" w:rsidRPr="00E55E40">
        <w:rPr>
          <w:spacing w:val="2"/>
        </w:rPr>
        <w:t xml:space="preserve">ООО «ПРОКонсалт» - </w:t>
      </w:r>
      <w:r w:rsidR="008854D0" w:rsidRPr="00E55E40">
        <w:rPr>
          <w:spacing w:val="2"/>
        </w:rPr>
        <w:t>единственным поставщиком, который осуществлял аутсорсинг питания</w:t>
      </w:r>
      <w:r w:rsidR="006E5494" w:rsidRPr="00E55E40">
        <w:rPr>
          <w:spacing w:val="2"/>
        </w:rPr>
        <w:t xml:space="preserve"> в ГЦ и</w:t>
      </w:r>
      <w:r w:rsidR="008854D0" w:rsidRPr="00E55E40">
        <w:rPr>
          <w:spacing w:val="2"/>
        </w:rPr>
        <w:t xml:space="preserve"> в 2017-2018 годах</w:t>
      </w:r>
      <w:r w:rsidR="006E5494" w:rsidRPr="00E55E40">
        <w:rPr>
          <w:spacing w:val="2"/>
        </w:rPr>
        <w:t xml:space="preserve"> (также как единственный поставщик), но</w:t>
      </w:r>
      <w:r w:rsidR="008854D0" w:rsidRPr="00E55E40">
        <w:rPr>
          <w:spacing w:val="2"/>
        </w:rPr>
        <w:t xml:space="preserve"> по цене 253,0 руб. и 268,0 руб. за 1 койко-день соответственно. То есть в 2019 году стоимость питания по сравнению с 2018 годом в результате необоснованного применения способа определения НМЦК выросла на 15,6%, что опережает рост цен на товары и услуги на потребительском рынке Волгоградской области, составивший по данным Росстата 2,2% в июле 2019 года по отношению к декабрю 2018 года. В связи с этим цена контракта увеличилась на 1,3 млн. рублей.</w:t>
      </w:r>
    </w:p>
    <w:p w14:paraId="224B4A68"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Проведен выборочный анализ данных 4 учреждений, полученных по запросу КСП, об изменении фактических расходов до и после организации питания по схеме аутсорсинг, результаты которого приведены в таблице № </w:t>
      </w:r>
      <w:r w:rsidR="00773B44" w:rsidRPr="00E55E40">
        <w:rPr>
          <w:spacing w:val="2"/>
          <w:sz w:val="24"/>
          <w:szCs w:val="24"/>
        </w:rPr>
        <w:t>14</w:t>
      </w:r>
      <w:r w:rsidRPr="00E55E40">
        <w:rPr>
          <w:spacing w:val="2"/>
          <w:sz w:val="24"/>
          <w:szCs w:val="24"/>
        </w:rPr>
        <w:t xml:space="preserve">. </w:t>
      </w:r>
    </w:p>
    <w:p w14:paraId="3D723719" w14:textId="77777777" w:rsidR="008854D0" w:rsidRPr="00E55E40" w:rsidRDefault="008854D0" w:rsidP="008854D0">
      <w:pPr>
        <w:pStyle w:val="3"/>
        <w:spacing w:after="0"/>
        <w:ind w:left="0" w:firstLine="708"/>
        <w:jc w:val="right"/>
        <w:rPr>
          <w:spacing w:val="2"/>
          <w:sz w:val="24"/>
          <w:szCs w:val="24"/>
        </w:rPr>
      </w:pPr>
      <w:r w:rsidRPr="00E55E40">
        <w:rPr>
          <w:spacing w:val="2"/>
          <w:sz w:val="24"/>
          <w:szCs w:val="24"/>
        </w:rPr>
        <w:t xml:space="preserve">Таблица № </w:t>
      </w:r>
      <w:r w:rsidR="00773B44" w:rsidRPr="00E55E40">
        <w:rPr>
          <w:spacing w:val="2"/>
          <w:sz w:val="24"/>
          <w:szCs w:val="24"/>
        </w:rPr>
        <w:t>14</w:t>
      </w:r>
    </w:p>
    <w:tbl>
      <w:tblPr>
        <w:tblW w:w="9755" w:type="dxa"/>
        <w:jc w:val="center"/>
        <w:tblLook w:val="04A0" w:firstRow="1" w:lastRow="0" w:firstColumn="1" w:lastColumn="0" w:noHBand="0" w:noVBand="1"/>
      </w:tblPr>
      <w:tblGrid>
        <w:gridCol w:w="2085"/>
        <w:gridCol w:w="1157"/>
        <w:gridCol w:w="1157"/>
        <w:gridCol w:w="1157"/>
        <w:gridCol w:w="1133"/>
        <w:gridCol w:w="1145"/>
        <w:gridCol w:w="1111"/>
        <w:gridCol w:w="810"/>
      </w:tblGrid>
      <w:tr w:rsidR="00BD5111" w:rsidRPr="00E55E40" w14:paraId="6FD18410" w14:textId="77777777" w:rsidTr="00BD5111">
        <w:trPr>
          <w:trHeight w:val="711"/>
          <w:jc w:val="center"/>
        </w:trPr>
        <w:tc>
          <w:tcPr>
            <w:tcW w:w="2085" w:type="dxa"/>
            <w:vMerge w:val="restart"/>
            <w:tcBorders>
              <w:top w:val="single" w:sz="4" w:space="0" w:color="auto"/>
              <w:left w:val="single" w:sz="4" w:space="0" w:color="auto"/>
              <w:right w:val="single" w:sz="4" w:space="0" w:color="auto"/>
            </w:tcBorders>
            <w:shd w:val="clear" w:color="auto" w:fill="auto"/>
            <w:vAlign w:val="center"/>
            <w:hideMark/>
          </w:tcPr>
          <w:p w14:paraId="61B88037" w14:textId="77777777" w:rsidR="00BD5111" w:rsidRPr="00E55E40" w:rsidRDefault="00BD5111" w:rsidP="009D0322">
            <w:pPr>
              <w:jc w:val="center"/>
              <w:rPr>
                <w:spacing w:val="2"/>
              </w:rPr>
            </w:pPr>
            <w:r w:rsidRPr="00E55E40">
              <w:rPr>
                <w:spacing w:val="2"/>
              </w:rPr>
              <w:t>Наименование учреждения</w:t>
            </w:r>
          </w:p>
        </w:tc>
        <w:tc>
          <w:tcPr>
            <w:tcW w:w="3471" w:type="dxa"/>
            <w:gridSpan w:val="3"/>
            <w:tcBorders>
              <w:top w:val="single" w:sz="4" w:space="0" w:color="auto"/>
              <w:left w:val="single" w:sz="4" w:space="0" w:color="auto"/>
              <w:bottom w:val="single" w:sz="4" w:space="0" w:color="auto"/>
              <w:right w:val="single" w:sz="4" w:space="0" w:color="auto"/>
            </w:tcBorders>
          </w:tcPr>
          <w:p w14:paraId="7E1B986A" w14:textId="77777777" w:rsidR="00BD5111" w:rsidRPr="00E55E40" w:rsidRDefault="00BD5111" w:rsidP="009D0322">
            <w:pPr>
              <w:jc w:val="center"/>
              <w:rPr>
                <w:spacing w:val="2"/>
              </w:rPr>
            </w:pPr>
            <w:r w:rsidRPr="00E55E40">
              <w:rPr>
                <w:spacing w:val="2"/>
              </w:rPr>
              <w:t>Количество койко-дней</w:t>
            </w:r>
          </w:p>
        </w:tc>
        <w:tc>
          <w:tcPr>
            <w:tcW w:w="2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323EE" w14:textId="77777777" w:rsidR="00BD5111" w:rsidRPr="00E55E40" w:rsidRDefault="00BD5111" w:rsidP="009D0322">
            <w:pPr>
              <w:jc w:val="center"/>
              <w:rPr>
                <w:spacing w:val="2"/>
              </w:rPr>
            </w:pPr>
            <w:r w:rsidRPr="00E55E40">
              <w:rPr>
                <w:spacing w:val="2"/>
              </w:rPr>
              <w:t>Фактические расходы, тыс.руб.</w:t>
            </w:r>
          </w:p>
        </w:tc>
        <w:tc>
          <w:tcPr>
            <w:tcW w:w="1921" w:type="dxa"/>
            <w:gridSpan w:val="2"/>
            <w:vMerge w:val="restart"/>
            <w:tcBorders>
              <w:top w:val="single" w:sz="4" w:space="0" w:color="auto"/>
              <w:left w:val="nil"/>
              <w:right w:val="single" w:sz="4" w:space="0" w:color="auto"/>
            </w:tcBorders>
            <w:shd w:val="clear" w:color="auto" w:fill="auto"/>
            <w:vAlign w:val="center"/>
            <w:hideMark/>
          </w:tcPr>
          <w:p w14:paraId="0A761A09" w14:textId="77777777" w:rsidR="00BD5111" w:rsidRPr="00E55E40" w:rsidRDefault="00BD5111" w:rsidP="009D0322">
            <w:pPr>
              <w:jc w:val="center"/>
              <w:rPr>
                <w:spacing w:val="2"/>
              </w:rPr>
            </w:pPr>
            <w:r w:rsidRPr="00E55E40">
              <w:rPr>
                <w:spacing w:val="2"/>
              </w:rPr>
              <w:t>Отклонение</w:t>
            </w:r>
          </w:p>
        </w:tc>
      </w:tr>
      <w:tr w:rsidR="00BD5111" w:rsidRPr="00E55E40" w14:paraId="5E6B6C81" w14:textId="77777777" w:rsidTr="00BD5111">
        <w:trPr>
          <w:trHeight w:val="517"/>
          <w:jc w:val="center"/>
        </w:trPr>
        <w:tc>
          <w:tcPr>
            <w:tcW w:w="2085" w:type="dxa"/>
            <w:vMerge/>
            <w:tcBorders>
              <w:left w:val="single" w:sz="4" w:space="0" w:color="auto"/>
              <w:right w:val="single" w:sz="4" w:space="0" w:color="auto"/>
            </w:tcBorders>
            <w:shd w:val="clear" w:color="auto" w:fill="auto"/>
            <w:vAlign w:val="center"/>
            <w:hideMark/>
          </w:tcPr>
          <w:p w14:paraId="53C44DE0" w14:textId="77777777" w:rsidR="00BD5111" w:rsidRPr="00E55E40" w:rsidRDefault="00BD5111" w:rsidP="009D0322">
            <w:pPr>
              <w:jc w:val="center"/>
              <w:rPr>
                <w:spacing w:val="2"/>
              </w:rPr>
            </w:pPr>
          </w:p>
        </w:tc>
        <w:tc>
          <w:tcPr>
            <w:tcW w:w="1157" w:type="dxa"/>
            <w:vMerge w:val="restart"/>
            <w:tcBorders>
              <w:top w:val="single" w:sz="4" w:space="0" w:color="auto"/>
              <w:left w:val="single" w:sz="4" w:space="0" w:color="auto"/>
              <w:right w:val="single" w:sz="4" w:space="0" w:color="auto"/>
            </w:tcBorders>
            <w:vAlign w:val="center"/>
          </w:tcPr>
          <w:p w14:paraId="2CEC7227" w14:textId="77777777" w:rsidR="00BD5111" w:rsidRPr="00E55E40" w:rsidRDefault="00BD5111" w:rsidP="00B012E0">
            <w:pPr>
              <w:jc w:val="center"/>
              <w:rPr>
                <w:spacing w:val="2"/>
              </w:rPr>
            </w:pPr>
            <w:r w:rsidRPr="00E55E40">
              <w:rPr>
                <w:spacing w:val="2"/>
              </w:rPr>
              <w:t xml:space="preserve">2016 год </w:t>
            </w:r>
          </w:p>
        </w:tc>
        <w:tc>
          <w:tcPr>
            <w:tcW w:w="1157" w:type="dxa"/>
            <w:vMerge w:val="restart"/>
            <w:tcBorders>
              <w:top w:val="single" w:sz="4" w:space="0" w:color="auto"/>
              <w:left w:val="single" w:sz="4" w:space="0" w:color="auto"/>
              <w:right w:val="single" w:sz="4" w:space="0" w:color="auto"/>
            </w:tcBorders>
            <w:vAlign w:val="center"/>
          </w:tcPr>
          <w:p w14:paraId="05E40B9A" w14:textId="77777777" w:rsidR="00BD5111" w:rsidRPr="00E55E40" w:rsidRDefault="00BD5111" w:rsidP="00B012E0">
            <w:pPr>
              <w:jc w:val="center"/>
              <w:rPr>
                <w:spacing w:val="2"/>
              </w:rPr>
            </w:pPr>
            <w:r w:rsidRPr="00E55E40">
              <w:rPr>
                <w:spacing w:val="2"/>
              </w:rPr>
              <w:t>2017 год</w:t>
            </w:r>
          </w:p>
        </w:tc>
        <w:tc>
          <w:tcPr>
            <w:tcW w:w="1157" w:type="dxa"/>
            <w:vMerge w:val="restart"/>
            <w:tcBorders>
              <w:top w:val="single" w:sz="4" w:space="0" w:color="auto"/>
              <w:left w:val="single" w:sz="4" w:space="0" w:color="auto"/>
              <w:right w:val="single" w:sz="4" w:space="0" w:color="auto"/>
            </w:tcBorders>
            <w:vAlign w:val="center"/>
          </w:tcPr>
          <w:p w14:paraId="189DC6B9" w14:textId="77777777" w:rsidR="00BD5111" w:rsidRPr="00E55E40" w:rsidRDefault="00BD5111" w:rsidP="00BD5111">
            <w:pPr>
              <w:jc w:val="center"/>
              <w:rPr>
                <w:spacing w:val="2"/>
              </w:rPr>
            </w:pPr>
            <w:r w:rsidRPr="00E55E40">
              <w:rPr>
                <w:spacing w:val="2"/>
              </w:rPr>
              <w:t>Откл.,</w:t>
            </w:r>
          </w:p>
          <w:p w14:paraId="77DD6E63" w14:textId="77777777" w:rsidR="00BD5111" w:rsidRPr="00E55E40" w:rsidRDefault="00BD5111" w:rsidP="00BD5111">
            <w:pPr>
              <w:jc w:val="center"/>
              <w:rPr>
                <w:spacing w:val="2"/>
              </w:rPr>
            </w:pPr>
            <w:r w:rsidRPr="00E55E40">
              <w:rPr>
                <w:spacing w:val="2"/>
              </w:rPr>
              <w:t>%</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0BB3D" w14:textId="77777777" w:rsidR="00BD5111" w:rsidRPr="00E55E40" w:rsidRDefault="00BD5111" w:rsidP="009D0322">
            <w:pPr>
              <w:jc w:val="center"/>
              <w:rPr>
                <w:spacing w:val="2"/>
              </w:rPr>
            </w:pPr>
            <w:r w:rsidRPr="00E55E40">
              <w:rPr>
                <w:spacing w:val="2"/>
              </w:rPr>
              <w:t xml:space="preserve">2016 год </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BBC99" w14:textId="77777777" w:rsidR="00BD5111" w:rsidRPr="00E55E40" w:rsidRDefault="00BD5111" w:rsidP="009D0322">
            <w:pPr>
              <w:jc w:val="center"/>
              <w:rPr>
                <w:spacing w:val="2"/>
              </w:rPr>
            </w:pPr>
            <w:r w:rsidRPr="00E55E40">
              <w:rPr>
                <w:spacing w:val="2"/>
              </w:rPr>
              <w:t>2017 год</w:t>
            </w:r>
          </w:p>
        </w:tc>
        <w:tc>
          <w:tcPr>
            <w:tcW w:w="1921" w:type="dxa"/>
            <w:gridSpan w:val="2"/>
            <w:vMerge/>
            <w:tcBorders>
              <w:left w:val="nil"/>
              <w:bottom w:val="single" w:sz="4" w:space="0" w:color="auto"/>
              <w:right w:val="single" w:sz="4" w:space="0" w:color="auto"/>
            </w:tcBorders>
            <w:shd w:val="clear" w:color="auto" w:fill="auto"/>
            <w:vAlign w:val="center"/>
            <w:hideMark/>
          </w:tcPr>
          <w:p w14:paraId="71FEFE37" w14:textId="77777777" w:rsidR="00BD5111" w:rsidRPr="00E55E40" w:rsidRDefault="00BD5111" w:rsidP="009D0322">
            <w:pPr>
              <w:jc w:val="center"/>
              <w:rPr>
                <w:spacing w:val="2"/>
              </w:rPr>
            </w:pPr>
          </w:p>
        </w:tc>
      </w:tr>
      <w:tr w:rsidR="00BD5111" w:rsidRPr="00E55E40" w14:paraId="3C6B4732" w14:textId="77777777" w:rsidTr="00B012E0">
        <w:trPr>
          <w:trHeight w:val="413"/>
          <w:jc w:val="center"/>
        </w:trPr>
        <w:tc>
          <w:tcPr>
            <w:tcW w:w="2085" w:type="dxa"/>
            <w:vMerge/>
            <w:tcBorders>
              <w:left w:val="single" w:sz="4" w:space="0" w:color="auto"/>
              <w:bottom w:val="single" w:sz="4" w:space="0" w:color="auto"/>
              <w:right w:val="single" w:sz="4" w:space="0" w:color="auto"/>
            </w:tcBorders>
            <w:vAlign w:val="center"/>
            <w:hideMark/>
          </w:tcPr>
          <w:p w14:paraId="5A2E79B0" w14:textId="77777777" w:rsidR="00BD5111" w:rsidRPr="00E55E40" w:rsidRDefault="00BD5111" w:rsidP="009D0322">
            <w:pPr>
              <w:jc w:val="center"/>
              <w:rPr>
                <w:spacing w:val="2"/>
              </w:rPr>
            </w:pPr>
          </w:p>
        </w:tc>
        <w:tc>
          <w:tcPr>
            <w:tcW w:w="1157" w:type="dxa"/>
            <w:vMerge/>
            <w:tcBorders>
              <w:left w:val="single" w:sz="4" w:space="0" w:color="auto"/>
              <w:bottom w:val="single" w:sz="4" w:space="0" w:color="auto"/>
              <w:right w:val="single" w:sz="4" w:space="0" w:color="auto"/>
            </w:tcBorders>
          </w:tcPr>
          <w:p w14:paraId="43FF3333" w14:textId="77777777" w:rsidR="00BD5111" w:rsidRPr="00E55E40" w:rsidRDefault="00BD5111" w:rsidP="009D0322">
            <w:pPr>
              <w:jc w:val="center"/>
              <w:rPr>
                <w:spacing w:val="2"/>
              </w:rPr>
            </w:pPr>
          </w:p>
        </w:tc>
        <w:tc>
          <w:tcPr>
            <w:tcW w:w="1157" w:type="dxa"/>
            <w:vMerge/>
            <w:tcBorders>
              <w:left w:val="single" w:sz="4" w:space="0" w:color="auto"/>
              <w:bottom w:val="single" w:sz="4" w:space="0" w:color="auto"/>
              <w:right w:val="single" w:sz="4" w:space="0" w:color="auto"/>
            </w:tcBorders>
          </w:tcPr>
          <w:p w14:paraId="305BF256" w14:textId="77777777" w:rsidR="00BD5111" w:rsidRPr="00E55E40" w:rsidRDefault="00BD5111" w:rsidP="009D0322">
            <w:pPr>
              <w:jc w:val="center"/>
              <w:rPr>
                <w:spacing w:val="2"/>
              </w:rPr>
            </w:pPr>
          </w:p>
        </w:tc>
        <w:tc>
          <w:tcPr>
            <w:tcW w:w="1157" w:type="dxa"/>
            <w:vMerge/>
            <w:tcBorders>
              <w:left w:val="single" w:sz="4" w:space="0" w:color="auto"/>
              <w:bottom w:val="single" w:sz="4" w:space="0" w:color="auto"/>
              <w:right w:val="single" w:sz="4" w:space="0" w:color="auto"/>
            </w:tcBorders>
          </w:tcPr>
          <w:p w14:paraId="526C99AB" w14:textId="77777777" w:rsidR="00BD5111" w:rsidRPr="00E55E40" w:rsidRDefault="00BD5111" w:rsidP="009D0322">
            <w:pPr>
              <w:jc w:val="center"/>
              <w:rPr>
                <w:spacing w:val="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B501974" w14:textId="77777777" w:rsidR="00BD5111" w:rsidRPr="00E55E40" w:rsidRDefault="00BD5111" w:rsidP="009D0322">
            <w:pPr>
              <w:jc w:val="center"/>
              <w:rPr>
                <w:spacing w:val="2"/>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3AED32EF" w14:textId="77777777" w:rsidR="00BD5111" w:rsidRPr="00E55E40" w:rsidRDefault="00BD5111" w:rsidP="009D0322">
            <w:pPr>
              <w:jc w:val="center"/>
              <w:rPr>
                <w:spacing w:val="2"/>
              </w:rPr>
            </w:pPr>
          </w:p>
        </w:tc>
        <w:tc>
          <w:tcPr>
            <w:tcW w:w="1111" w:type="dxa"/>
            <w:tcBorders>
              <w:top w:val="nil"/>
              <w:left w:val="nil"/>
              <w:bottom w:val="single" w:sz="4" w:space="0" w:color="auto"/>
              <w:right w:val="single" w:sz="4" w:space="0" w:color="auto"/>
            </w:tcBorders>
            <w:shd w:val="clear" w:color="auto" w:fill="auto"/>
            <w:vAlign w:val="center"/>
            <w:hideMark/>
          </w:tcPr>
          <w:p w14:paraId="38C7D2B7" w14:textId="77777777" w:rsidR="00BD5111" w:rsidRPr="00E55E40" w:rsidRDefault="00BD5111" w:rsidP="009D0322">
            <w:pPr>
              <w:jc w:val="center"/>
              <w:rPr>
                <w:spacing w:val="2"/>
              </w:rPr>
            </w:pPr>
            <w:r w:rsidRPr="00E55E40">
              <w:rPr>
                <w:spacing w:val="2"/>
              </w:rPr>
              <w:t>тыс. руб.</w:t>
            </w:r>
          </w:p>
        </w:tc>
        <w:tc>
          <w:tcPr>
            <w:tcW w:w="810" w:type="dxa"/>
            <w:tcBorders>
              <w:top w:val="nil"/>
              <w:left w:val="nil"/>
              <w:bottom w:val="single" w:sz="4" w:space="0" w:color="auto"/>
              <w:right w:val="single" w:sz="4" w:space="0" w:color="auto"/>
            </w:tcBorders>
            <w:shd w:val="clear" w:color="auto" w:fill="auto"/>
            <w:vAlign w:val="center"/>
            <w:hideMark/>
          </w:tcPr>
          <w:p w14:paraId="64EB92CA" w14:textId="77777777" w:rsidR="00BD5111" w:rsidRPr="00E55E40" w:rsidRDefault="00BD5111" w:rsidP="009D0322">
            <w:pPr>
              <w:jc w:val="center"/>
              <w:rPr>
                <w:spacing w:val="2"/>
              </w:rPr>
            </w:pPr>
            <w:r w:rsidRPr="00E55E40">
              <w:rPr>
                <w:spacing w:val="2"/>
              </w:rPr>
              <w:t>%</w:t>
            </w:r>
          </w:p>
        </w:tc>
      </w:tr>
      <w:tr w:rsidR="00BD5111" w:rsidRPr="00E55E40" w14:paraId="32A28BD4" w14:textId="77777777" w:rsidTr="00BD5111">
        <w:trPr>
          <w:trHeight w:val="315"/>
          <w:jc w:val="center"/>
        </w:trPr>
        <w:tc>
          <w:tcPr>
            <w:tcW w:w="2085" w:type="dxa"/>
            <w:tcBorders>
              <w:top w:val="nil"/>
              <w:left w:val="single" w:sz="4" w:space="0" w:color="auto"/>
              <w:bottom w:val="single" w:sz="4" w:space="0" w:color="auto"/>
              <w:right w:val="single" w:sz="4" w:space="0" w:color="auto"/>
            </w:tcBorders>
            <w:shd w:val="clear" w:color="auto" w:fill="auto"/>
            <w:vAlign w:val="center"/>
            <w:hideMark/>
          </w:tcPr>
          <w:p w14:paraId="7A970DA5" w14:textId="77777777" w:rsidR="00BD5111" w:rsidRPr="00E55E40" w:rsidRDefault="00BD5111" w:rsidP="009D0322">
            <w:pPr>
              <w:rPr>
                <w:spacing w:val="2"/>
              </w:rPr>
            </w:pPr>
            <w:r w:rsidRPr="00E55E40">
              <w:rPr>
                <w:spacing w:val="2"/>
              </w:rPr>
              <w:t>Жирновский ДПИ</w:t>
            </w:r>
          </w:p>
        </w:tc>
        <w:tc>
          <w:tcPr>
            <w:tcW w:w="1157" w:type="dxa"/>
            <w:tcBorders>
              <w:top w:val="single" w:sz="4" w:space="0" w:color="auto"/>
              <w:left w:val="nil"/>
              <w:bottom w:val="single" w:sz="4" w:space="0" w:color="auto"/>
              <w:right w:val="single" w:sz="4" w:space="0" w:color="auto"/>
            </w:tcBorders>
          </w:tcPr>
          <w:p w14:paraId="0FF373E5" w14:textId="77777777" w:rsidR="00BD5111" w:rsidRPr="00E55E40" w:rsidRDefault="00BD5111" w:rsidP="009D0322">
            <w:pPr>
              <w:jc w:val="center"/>
              <w:rPr>
                <w:spacing w:val="2"/>
              </w:rPr>
            </w:pPr>
            <w:r w:rsidRPr="00E55E40">
              <w:rPr>
                <w:spacing w:val="2"/>
              </w:rPr>
              <w:t>198845</w:t>
            </w:r>
          </w:p>
        </w:tc>
        <w:tc>
          <w:tcPr>
            <w:tcW w:w="1157" w:type="dxa"/>
            <w:tcBorders>
              <w:top w:val="nil"/>
              <w:left w:val="single" w:sz="4" w:space="0" w:color="auto"/>
              <w:bottom w:val="single" w:sz="4" w:space="0" w:color="auto"/>
              <w:right w:val="single" w:sz="4" w:space="0" w:color="auto"/>
            </w:tcBorders>
          </w:tcPr>
          <w:p w14:paraId="09B1E2E6" w14:textId="77777777" w:rsidR="00BD5111" w:rsidRPr="00E55E40" w:rsidRDefault="00BD5111" w:rsidP="009D0322">
            <w:pPr>
              <w:jc w:val="center"/>
              <w:rPr>
                <w:spacing w:val="2"/>
              </w:rPr>
            </w:pPr>
            <w:r w:rsidRPr="00E55E40">
              <w:rPr>
                <w:spacing w:val="2"/>
              </w:rPr>
              <w:t>184867</w:t>
            </w:r>
          </w:p>
        </w:tc>
        <w:tc>
          <w:tcPr>
            <w:tcW w:w="1157" w:type="dxa"/>
            <w:tcBorders>
              <w:top w:val="nil"/>
              <w:left w:val="single" w:sz="4" w:space="0" w:color="auto"/>
              <w:bottom w:val="single" w:sz="4" w:space="0" w:color="auto"/>
              <w:right w:val="single" w:sz="4" w:space="0" w:color="auto"/>
            </w:tcBorders>
          </w:tcPr>
          <w:p w14:paraId="085A48B5" w14:textId="77777777" w:rsidR="00BD5111" w:rsidRPr="00E55E40" w:rsidRDefault="00BD5111" w:rsidP="009D0322">
            <w:pPr>
              <w:jc w:val="center"/>
              <w:rPr>
                <w:spacing w:val="2"/>
              </w:rPr>
            </w:pPr>
            <w:r w:rsidRPr="00E55E40">
              <w:rPr>
                <w:spacing w:val="2"/>
              </w:rPr>
              <w:t>-7</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0AA3EF3F" w14:textId="77777777" w:rsidR="00BD5111" w:rsidRPr="00E55E40" w:rsidRDefault="00BD5111" w:rsidP="009D0322">
            <w:pPr>
              <w:jc w:val="center"/>
              <w:rPr>
                <w:spacing w:val="2"/>
              </w:rPr>
            </w:pPr>
            <w:r w:rsidRPr="00E55E40">
              <w:rPr>
                <w:spacing w:val="2"/>
              </w:rPr>
              <w:t>161860,4</w:t>
            </w:r>
          </w:p>
        </w:tc>
        <w:tc>
          <w:tcPr>
            <w:tcW w:w="1145" w:type="dxa"/>
            <w:tcBorders>
              <w:top w:val="nil"/>
              <w:left w:val="nil"/>
              <w:bottom w:val="single" w:sz="4" w:space="0" w:color="auto"/>
              <w:right w:val="single" w:sz="4" w:space="0" w:color="auto"/>
            </w:tcBorders>
            <w:shd w:val="clear" w:color="auto" w:fill="auto"/>
            <w:vAlign w:val="center"/>
            <w:hideMark/>
          </w:tcPr>
          <w:p w14:paraId="4E1DECCC" w14:textId="77777777" w:rsidR="00BD5111" w:rsidRPr="00E55E40" w:rsidRDefault="00BD5111" w:rsidP="009D0322">
            <w:pPr>
              <w:jc w:val="center"/>
              <w:rPr>
                <w:spacing w:val="2"/>
              </w:rPr>
            </w:pPr>
            <w:r w:rsidRPr="00E55E40">
              <w:rPr>
                <w:spacing w:val="2"/>
              </w:rPr>
              <w:t>180058</w:t>
            </w:r>
          </w:p>
        </w:tc>
        <w:tc>
          <w:tcPr>
            <w:tcW w:w="1111" w:type="dxa"/>
            <w:tcBorders>
              <w:top w:val="nil"/>
              <w:left w:val="nil"/>
              <w:bottom w:val="single" w:sz="4" w:space="0" w:color="auto"/>
              <w:right w:val="single" w:sz="4" w:space="0" w:color="auto"/>
            </w:tcBorders>
            <w:shd w:val="clear" w:color="auto" w:fill="auto"/>
            <w:vAlign w:val="center"/>
            <w:hideMark/>
          </w:tcPr>
          <w:p w14:paraId="6D122EB1" w14:textId="77777777" w:rsidR="00BD5111" w:rsidRPr="00E55E40" w:rsidRDefault="00BD5111" w:rsidP="009D0322">
            <w:pPr>
              <w:jc w:val="center"/>
              <w:rPr>
                <w:spacing w:val="2"/>
              </w:rPr>
            </w:pPr>
            <w:r w:rsidRPr="00E55E40">
              <w:rPr>
                <w:spacing w:val="2"/>
              </w:rPr>
              <w:t>18197,6</w:t>
            </w:r>
          </w:p>
        </w:tc>
        <w:tc>
          <w:tcPr>
            <w:tcW w:w="810" w:type="dxa"/>
            <w:tcBorders>
              <w:top w:val="nil"/>
              <w:left w:val="nil"/>
              <w:bottom w:val="single" w:sz="4" w:space="0" w:color="auto"/>
              <w:right w:val="single" w:sz="4" w:space="0" w:color="auto"/>
            </w:tcBorders>
            <w:shd w:val="clear" w:color="auto" w:fill="auto"/>
            <w:vAlign w:val="center"/>
            <w:hideMark/>
          </w:tcPr>
          <w:p w14:paraId="6D961B4F" w14:textId="77777777" w:rsidR="00BD5111" w:rsidRPr="00E55E40" w:rsidRDefault="00BD5111" w:rsidP="009D0322">
            <w:pPr>
              <w:jc w:val="center"/>
              <w:rPr>
                <w:spacing w:val="2"/>
              </w:rPr>
            </w:pPr>
            <w:r w:rsidRPr="00E55E40">
              <w:rPr>
                <w:spacing w:val="2"/>
              </w:rPr>
              <w:t>11,2</w:t>
            </w:r>
          </w:p>
        </w:tc>
      </w:tr>
      <w:tr w:rsidR="00BD5111" w:rsidRPr="00E55E40" w14:paraId="50CA85D3" w14:textId="77777777" w:rsidTr="00BD5111">
        <w:trPr>
          <w:trHeight w:val="315"/>
          <w:jc w:val="center"/>
        </w:trPr>
        <w:tc>
          <w:tcPr>
            <w:tcW w:w="2085" w:type="dxa"/>
            <w:tcBorders>
              <w:top w:val="nil"/>
              <w:left w:val="single" w:sz="4" w:space="0" w:color="auto"/>
              <w:bottom w:val="single" w:sz="4" w:space="0" w:color="auto"/>
              <w:right w:val="single" w:sz="4" w:space="0" w:color="auto"/>
            </w:tcBorders>
            <w:shd w:val="clear" w:color="auto" w:fill="auto"/>
            <w:vAlign w:val="center"/>
            <w:hideMark/>
          </w:tcPr>
          <w:p w14:paraId="20DB0DAC" w14:textId="77777777" w:rsidR="00BD5111" w:rsidRPr="00E55E40" w:rsidRDefault="00BD5111" w:rsidP="009D0322">
            <w:pPr>
              <w:rPr>
                <w:spacing w:val="2"/>
              </w:rPr>
            </w:pPr>
            <w:r w:rsidRPr="00E55E40">
              <w:rPr>
                <w:spacing w:val="2"/>
              </w:rPr>
              <w:t>Волжский ПНИ</w:t>
            </w:r>
          </w:p>
        </w:tc>
        <w:tc>
          <w:tcPr>
            <w:tcW w:w="1157" w:type="dxa"/>
            <w:tcBorders>
              <w:top w:val="single" w:sz="4" w:space="0" w:color="auto"/>
              <w:left w:val="nil"/>
              <w:bottom w:val="single" w:sz="4" w:space="0" w:color="auto"/>
              <w:right w:val="single" w:sz="4" w:space="0" w:color="auto"/>
            </w:tcBorders>
          </w:tcPr>
          <w:p w14:paraId="0EA8482B" w14:textId="77777777" w:rsidR="00BD5111" w:rsidRPr="00E55E40" w:rsidRDefault="00BD5111" w:rsidP="009D0322">
            <w:pPr>
              <w:jc w:val="center"/>
              <w:rPr>
                <w:spacing w:val="2"/>
              </w:rPr>
            </w:pPr>
            <w:r w:rsidRPr="00E55E40">
              <w:rPr>
                <w:spacing w:val="2"/>
              </w:rPr>
              <w:t>128573</w:t>
            </w:r>
          </w:p>
        </w:tc>
        <w:tc>
          <w:tcPr>
            <w:tcW w:w="1157" w:type="dxa"/>
            <w:tcBorders>
              <w:top w:val="nil"/>
              <w:left w:val="single" w:sz="4" w:space="0" w:color="auto"/>
              <w:bottom w:val="single" w:sz="4" w:space="0" w:color="auto"/>
              <w:right w:val="single" w:sz="4" w:space="0" w:color="auto"/>
            </w:tcBorders>
          </w:tcPr>
          <w:p w14:paraId="68E55470" w14:textId="77777777" w:rsidR="00BD5111" w:rsidRPr="00E55E40" w:rsidRDefault="00BD5111" w:rsidP="009D0322">
            <w:pPr>
              <w:jc w:val="center"/>
              <w:rPr>
                <w:spacing w:val="2"/>
              </w:rPr>
            </w:pPr>
            <w:r w:rsidRPr="00E55E40">
              <w:rPr>
                <w:spacing w:val="2"/>
              </w:rPr>
              <w:t>130393</w:t>
            </w:r>
          </w:p>
        </w:tc>
        <w:tc>
          <w:tcPr>
            <w:tcW w:w="1157" w:type="dxa"/>
            <w:tcBorders>
              <w:top w:val="nil"/>
              <w:left w:val="single" w:sz="4" w:space="0" w:color="auto"/>
              <w:bottom w:val="single" w:sz="4" w:space="0" w:color="auto"/>
              <w:right w:val="single" w:sz="4" w:space="0" w:color="auto"/>
            </w:tcBorders>
          </w:tcPr>
          <w:p w14:paraId="40E53D15" w14:textId="77777777" w:rsidR="00BD5111" w:rsidRPr="00E55E40" w:rsidRDefault="00BD5111" w:rsidP="009D0322">
            <w:pPr>
              <w:jc w:val="center"/>
              <w:rPr>
                <w:spacing w:val="2"/>
              </w:rPr>
            </w:pPr>
            <w:r w:rsidRPr="00E55E40">
              <w:rPr>
                <w:spacing w:val="2"/>
              </w:rPr>
              <w:t>+1,4</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356513CA" w14:textId="77777777" w:rsidR="00BD5111" w:rsidRPr="00E55E40" w:rsidRDefault="00BD5111" w:rsidP="009D0322">
            <w:pPr>
              <w:jc w:val="center"/>
              <w:rPr>
                <w:spacing w:val="2"/>
              </w:rPr>
            </w:pPr>
            <w:r w:rsidRPr="00E55E40">
              <w:rPr>
                <w:spacing w:val="2"/>
              </w:rPr>
              <w:t>99480,7</w:t>
            </w:r>
          </w:p>
        </w:tc>
        <w:tc>
          <w:tcPr>
            <w:tcW w:w="1145" w:type="dxa"/>
            <w:tcBorders>
              <w:top w:val="nil"/>
              <w:left w:val="nil"/>
              <w:bottom w:val="single" w:sz="4" w:space="0" w:color="auto"/>
              <w:right w:val="single" w:sz="4" w:space="0" w:color="auto"/>
            </w:tcBorders>
            <w:shd w:val="clear" w:color="auto" w:fill="auto"/>
            <w:vAlign w:val="center"/>
            <w:hideMark/>
          </w:tcPr>
          <w:p w14:paraId="01B4F8F7" w14:textId="77777777" w:rsidR="00BD5111" w:rsidRPr="00E55E40" w:rsidRDefault="00BD5111" w:rsidP="009D0322">
            <w:pPr>
              <w:jc w:val="center"/>
              <w:rPr>
                <w:spacing w:val="2"/>
              </w:rPr>
            </w:pPr>
            <w:r w:rsidRPr="00E55E40">
              <w:rPr>
                <w:spacing w:val="2"/>
              </w:rPr>
              <w:t>121966,9</w:t>
            </w:r>
          </w:p>
        </w:tc>
        <w:tc>
          <w:tcPr>
            <w:tcW w:w="1111" w:type="dxa"/>
            <w:tcBorders>
              <w:top w:val="nil"/>
              <w:left w:val="nil"/>
              <w:bottom w:val="single" w:sz="4" w:space="0" w:color="auto"/>
              <w:right w:val="single" w:sz="4" w:space="0" w:color="auto"/>
            </w:tcBorders>
            <w:shd w:val="clear" w:color="auto" w:fill="auto"/>
            <w:vAlign w:val="center"/>
            <w:hideMark/>
          </w:tcPr>
          <w:p w14:paraId="16BFC146" w14:textId="77777777" w:rsidR="00BD5111" w:rsidRPr="00E55E40" w:rsidRDefault="00BD5111" w:rsidP="009D0322">
            <w:pPr>
              <w:jc w:val="center"/>
              <w:rPr>
                <w:spacing w:val="2"/>
              </w:rPr>
            </w:pPr>
            <w:r w:rsidRPr="00E55E40">
              <w:rPr>
                <w:spacing w:val="2"/>
              </w:rPr>
              <w:t>22486,2</w:t>
            </w:r>
          </w:p>
        </w:tc>
        <w:tc>
          <w:tcPr>
            <w:tcW w:w="810" w:type="dxa"/>
            <w:tcBorders>
              <w:top w:val="nil"/>
              <w:left w:val="nil"/>
              <w:bottom w:val="single" w:sz="4" w:space="0" w:color="auto"/>
              <w:right w:val="single" w:sz="4" w:space="0" w:color="auto"/>
            </w:tcBorders>
            <w:shd w:val="clear" w:color="auto" w:fill="auto"/>
            <w:vAlign w:val="center"/>
            <w:hideMark/>
          </w:tcPr>
          <w:p w14:paraId="55664DFB" w14:textId="77777777" w:rsidR="00BD5111" w:rsidRPr="00E55E40" w:rsidRDefault="00BD5111" w:rsidP="009D0322">
            <w:pPr>
              <w:jc w:val="center"/>
              <w:rPr>
                <w:spacing w:val="2"/>
              </w:rPr>
            </w:pPr>
            <w:r w:rsidRPr="00E55E40">
              <w:rPr>
                <w:spacing w:val="2"/>
              </w:rPr>
              <w:t>22,6</w:t>
            </w:r>
          </w:p>
        </w:tc>
      </w:tr>
      <w:tr w:rsidR="00BD5111" w:rsidRPr="00E55E40" w14:paraId="4E5A948F" w14:textId="77777777" w:rsidTr="00BD5111">
        <w:trPr>
          <w:trHeight w:val="315"/>
          <w:jc w:val="center"/>
        </w:trPr>
        <w:tc>
          <w:tcPr>
            <w:tcW w:w="2085" w:type="dxa"/>
            <w:tcBorders>
              <w:top w:val="nil"/>
              <w:left w:val="single" w:sz="4" w:space="0" w:color="auto"/>
              <w:bottom w:val="single" w:sz="4" w:space="0" w:color="auto"/>
              <w:right w:val="single" w:sz="4" w:space="0" w:color="auto"/>
            </w:tcBorders>
            <w:shd w:val="clear" w:color="auto" w:fill="auto"/>
            <w:vAlign w:val="center"/>
            <w:hideMark/>
          </w:tcPr>
          <w:p w14:paraId="047CE239" w14:textId="77777777" w:rsidR="00BD5111" w:rsidRPr="00E55E40" w:rsidRDefault="00BD5111" w:rsidP="009D0322">
            <w:pPr>
              <w:rPr>
                <w:spacing w:val="2"/>
              </w:rPr>
            </w:pPr>
            <w:r w:rsidRPr="00E55E40">
              <w:rPr>
                <w:spacing w:val="2"/>
              </w:rPr>
              <w:t>Котовский ПНИ</w:t>
            </w:r>
          </w:p>
        </w:tc>
        <w:tc>
          <w:tcPr>
            <w:tcW w:w="1157" w:type="dxa"/>
            <w:tcBorders>
              <w:top w:val="single" w:sz="4" w:space="0" w:color="auto"/>
              <w:left w:val="nil"/>
              <w:bottom w:val="single" w:sz="4" w:space="0" w:color="auto"/>
              <w:right w:val="single" w:sz="4" w:space="0" w:color="auto"/>
            </w:tcBorders>
          </w:tcPr>
          <w:p w14:paraId="45FF4DC5" w14:textId="77777777" w:rsidR="00BD5111" w:rsidRPr="00E55E40" w:rsidRDefault="00BD5111" w:rsidP="009D0322">
            <w:pPr>
              <w:jc w:val="center"/>
              <w:rPr>
                <w:spacing w:val="2"/>
              </w:rPr>
            </w:pPr>
            <w:r w:rsidRPr="00E55E40">
              <w:rPr>
                <w:spacing w:val="2"/>
              </w:rPr>
              <w:t>149824</w:t>
            </w:r>
          </w:p>
        </w:tc>
        <w:tc>
          <w:tcPr>
            <w:tcW w:w="1157" w:type="dxa"/>
            <w:tcBorders>
              <w:top w:val="nil"/>
              <w:left w:val="single" w:sz="4" w:space="0" w:color="auto"/>
              <w:bottom w:val="single" w:sz="4" w:space="0" w:color="auto"/>
              <w:right w:val="single" w:sz="4" w:space="0" w:color="auto"/>
            </w:tcBorders>
          </w:tcPr>
          <w:p w14:paraId="6E5746B8" w14:textId="77777777" w:rsidR="00BD5111" w:rsidRPr="00E55E40" w:rsidRDefault="00BD5111" w:rsidP="009D0322">
            <w:pPr>
              <w:jc w:val="center"/>
              <w:rPr>
                <w:spacing w:val="2"/>
              </w:rPr>
            </w:pPr>
            <w:r w:rsidRPr="00E55E40">
              <w:rPr>
                <w:spacing w:val="2"/>
              </w:rPr>
              <w:t>147600</w:t>
            </w:r>
          </w:p>
        </w:tc>
        <w:tc>
          <w:tcPr>
            <w:tcW w:w="1157" w:type="dxa"/>
            <w:tcBorders>
              <w:top w:val="nil"/>
              <w:left w:val="single" w:sz="4" w:space="0" w:color="auto"/>
              <w:bottom w:val="single" w:sz="4" w:space="0" w:color="auto"/>
              <w:right w:val="single" w:sz="4" w:space="0" w:color="auto"/>
            </w:tcBorders>
          </w:tcPr>
          <w:p w14:paraId="2540FDFA" w14:textId="77777777" w:rsidR="00BD5111" w:rsidRPr="00E55E40" w:rsidRDefault="00BD5111" w:rsidP="009D0322">
            <w:pPr>
              <w:jc w:val="center"/>
              <w:rPr>
                <w:spacing w:val="2"/>
              </w:rPr>
            </w:pPr>
            <w:r w:rsidRPr="00E55E40">
              <w:rPr>
                <w:spacing w:val="2"/>
              </w:rPr>
              <w:t>-1,5</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495C207C" w14:textId="77777777" w:rsidR="00BD5111" w:rsidRPr="00E55E40" w:rsidRDefault="00BD5111" w:rsidP="009D0322">
            <w:pPr>
              <w:jc w:val="center"/>
              <w:rPr>
                <w:spacing w:val="2"/>
              </w:rPr>
            </w:pPr>
            <w:r w:rsidRPr="00E55E40">
              <w:rPr>
                <w:spacing w:val="2"/>
              </w:rPr>
              <w:t>108980,4</w:t>
            </w:r>
          </w:p>
        </w:tc>
        <w:tc>
          <w:tcPr>
            <w:tcW w:w="1145" w:type="dxa"/>
            <w:tcBorders>
              <w:top w:val="nil"/>
              <w:left w:val="nil"/>
              <w:bottom w:val="single" w:sz="4" w:space="0" w:color="auto"/>
              <w:right w:val="single" w:sz="4" w:space="0" w:color="auto"/>
            </w:tcBorders>
            <w:shd w:val="clear" w:color="auto" w:fill="auto"/>
            <w:vAlign w:val="center"/>
            <w:hideMark/>
          </w:tcPr>
          <w:p w14:paraId="6E570584" w14:textId="77777777" w:rsidR="00BD5111" w:rsidRPr="00E55E40" w:rsidRDefault="00BD5111" w:rsidP="009D0322">
            <w:pPr>
              <w:jc w:val="center"/>
              <w:rPr>
                <w:spacing w:val="2"/>
              </w:rPr>
            </w:pPr>
            <w:r w:rsidRPr="00E55E40">
              <w:rPr>
                <w:spacing w:val="2"/>
              </w:rPr>
              <w:t>138587,7</w:t>
            </w:r>
          </w:p>
        </w:tc>
        <w:tc>
          <w:tcPr>
            <w:tcW w:w="1111" w:type="dxa"/>
            <w:tcBorders>
              <w:top w:val="nil"/>
              <w:left w:val="nil"/>
              <w:bottom w:val="single" w:sz="4" w:space="0" w:color="auto"/>
              <w:right w:val="single" w:sz="4" w:space="0" w:color="auto"/>
            </w:tcBorders>
            <w:shd w:val="clear" w:color="auto" w:fill="auto"/>
            <w:vAlign w:val="center"/>
            <w:hideMark/>
          </w:tcPr>
          <w:p w14:paraId="1B7B9C4E" w14:textId="77777777" w:rsidR="00BD5111" w:rsidRPr="00E55E40" w:rsidRDefault="00BD5111" w:rsidP="009D0322">
            <w:pPr>
              <w:jc w:val="center"/>
              <w:rPr>
                <w:spacing w:val="2"/>
              </w:rPr>
            </w:pPr>
            <w:r w:rsidRPr="00E55E40">
              <w:rPr>
                <w:spacing w:val="2"/>
              </w:rPr>
              <w:t>29607,3</w:t>
            </w:r>
          </w:p>
        </w:tc>
        <w:tc>
          <w:tcPr>
            <w:tcW w:w="810" w:type="dxa"/>
            <w:tcBorders>
              <w:top w:val="nil"/>
              <w:left w:val="nil"/>
              <w:bottom w:val="single" w:sz="4" w:space="0" w:color="auto"/>
              <w:right w:val="single" w:sz="4" w:space="0" w:color="auto"/>
            </w:tcBorders>
            <w:shd w:val="clear" w:color="auto" w:fill="auto"/>
            <w:vAlign w:val="center"/>
            <w:hideMark/>
          </w:tcPr>
          <w:p w14:paraId="70281FD8" w14:textId="77777777" w:rsidR="00BD5111" w:rsidRPr="00E55E40" w:rsidRDefault="00BD5111" w:rsidP="009D0322">
            <w:pPr>
              <w:jc w:val="center"/>
              <w:rPr>
                <w:spacing w:val="2"/>
              </w:rPr>
            </w:pPr>
            <w:r w:rsidRPr="00E55E40">
              <w:rPr>
                <w:spacing w:val="2"/>
              </w:rPr>
              <w:t>27,2</w:t>
            </w:r>
          </w:p>
        </w:tc>
      </w:tr>
      <w:tr w:rsidR="00BD5111" w:rsidRPr="00E55E40" w14:paraId="3C809E77" w14:textId="77777777" w:rsidTr="00BD5111">
        <w:trPr>
          <w:trHeight w:val="315"/>
          <w:jc w:val="center"/>
        </w:trPr>
        <w:tc>
          <w:tcPr>
            <w:tcW w:w="2085" w:type="dxa"/>
            <w:tcBorders>
              <w:top w:val="nil"/>
              <w:left w:val="single" w:sz="4" w:space="0" w:color="auto"/>
              <w:bottom w:val="single" w:sz="4" w:space="0" w:color="auto"/>
              <w:right w:val="single" w:sz="4" w:space="0" w:color="auto"/>
            </w:tcBorders>
            <w:shd w:val="clear" w:color="auto" w:fill="auto"/>
            <w:vAlign w:val="center"/>
            <w:hideMark/>
          </w:tcPr>
          <w:p w14:paraId="04020BCB" w14:textId="77777777" w:rsidR="00BD5111" w:rsidRPr="00E55E40" w:rsidRDefault="00BD5111" w:rsidP="009D0322">
            <w:pPr>
              <w:rPr>
                <w:spacing w:val="2"/>
              </w:rPr>
            </w:pPr>
            <w:r w:rsidRPr="00E55E40">
              <w:rPr>
                <w:spacing w:val="2"/>
              </w:rPr>
              <w:t>Нижнечирский ПНИ</w:t>
            </w:r>
          </w:p>
        </w:tc>
        <w:tc>
          <w:tcPr>
            <w:tcW w:w="1157" w:type="dxa"/>
            <w:tcBorders>
              <w:top w:val="single" w:sz="4" w:space="0" w:color="auto"/>
              <w:left w:val="nil"/>
              <w:bottom w:val="single" w:sz="4" w:space="0" w:color="auto"/>
              <w:right w:val="single" w:sz="4" w:space="0" w:color="auto"/>
            </w:tcBorders>
          </w:tcPr>
          <w:p w14:paraId="5D8B160E" w14:textId="77777777" w:rsidR="00BD5111" w:rsidRPr="00E55E40" w:rsidRDefault="00BD5111" w:rsidP="009D0322">
            <w:pPr>
              <w:jc w:val="center"/>
              <w:rPr>
                <w:spacing w:val="2"/>
              </w:rPr>
            </w:pPr>
            <w:r w:rsidRPr="00E55E40">
              <w:rPr>
                <w:spacing w:val="2"/>
              </w:rPr>
              <w:t>41919</w:t>
            </w:r>
          </w:p>
        </w:tc>
        <w:tc>
          <w:tcPr>
            <w:tcW w:w="1157" w:type="dxa"/>
            <w:tcBorders>
              <w:top w:val="nil"/>
              <w:left w:val="single" w:sz="4" w:space="0" w:color="auto"/>
              <w:bottom w:val="single" w:sz="4" w:space="0" w:color="auto"/>
              <w:right w:val="single" w:sz="4" w:space="0" w:color="auto"/>
            </w:tcBorders>
          </w:tcPr>
          <w:p w14:paraId="3BD9F07A" w14:textId="77777777" w:rsidR="00BD5111" w:rsidRPr="00E55E40" w:rsidRDefault="00BD5111" w:rsidP="009D0322">
            <w:pPr>
              <w:jc w:val="center"/>
              <w:rPr>
                <w:spacing w:val="2"/>
              </w:rPr>
            </w:pPr>
            <w:r w:rsidRPr="00E55E40">
              <w:rPr>
                <w:spacing w:val="2"/>
              </w:rPr>
              <w:t>42721</w:t>
            </w:r>
          </w:p>
        </w:tc>
        <w:tc>
          <w:tcPr>
            <w:tcW w:w="1157" w:type="dxa"/>
            <w:tcBorders>
              <w:top w:val="nil"/>
              <w:left w:val="single" w:sz="4" w:space="0" w:color="auto"/>
              <w:bottom w:val="single" w:sz="4" w:space="0" w:color="auto"/>
              <w:right w:val="single" w:sz="4" w:space="0" w:color="auto"/>
            </w:tcBorders>
          </w:tcPr>
          <w:p w14:paraId="32EB468C" w14:textId="77777777" w:rsidR="00BD5111" w:rsidRPr="00E55E40" w:rsidRDefault="00BD5111" w:rsidP="009D0322">
            <w:pPr>
              <w:jc w:val="center"/>
              <w:rPr>
                <w:spacing w:val="2"/>
              </w:rPr>
            </w:pPr>
            <w:r w:rsidRPr="00E55E40">
              <w:rPr>
                <w:spacing w:val="2"/>
              </w:rPr>
              <w:t>+1,9</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06FE349E" w14:textId="77777777" w:rsidR="00BD5111" w:rsidRPr="00E55E40" w:rsidRDefault="00BD5111" w:rsidP="009D0322">
            <w:pPr>
              <w:jc w:val="center"/>
              <w:rPr>
                <w:spacing w:val="2"/>
              </w:rPr>
            </w:pPr>
            <w:r w:rsidRPr="00E55E40">
              <w:rPr>
                <w:spacing w:val="2"/>
              </w:rPr>
              <w:t>42113,7</w:t>
            </w:r>
          </w:p>
        </w:tc>
        <w:tc>
          <w:tcPr>
            <w:tcW w:w="1145" w:type="dxa"/>
            <w:tcBorders>
              <w:top w:val="nil"/>
              <w:left w:val="nil"/>
              <w:bottom w:val="single" w:sz="4" w:space="0" w:color="auto"/>
              <w:right w:val="single" w:sz="4" w:space="0" w:color="auto"/>
            </w:tcBorders>
            <w:shd w:val="clear" w:color="auto" w:fill="auto"/>
            <w:vAlign w:val="center"/>
            <w:hideMark/>
          </w:tcPr>
          <w:p w14:paraId="61353703" w14:textId="77777777" w:rsidR="00BD5111" w:rsidRPr="00E55E40" w:rsidRDefault="00BD5111" w:rsidP="009D0322">
            <w:pPr>
              <w:jc w:val="center"/>
              <w:rPr>
                <w:spacing w:val="2"/>
              </w:rPr>
            </w:pPr>
            <w:r w:rsidRPr="00E55E40">
              <w:rPr>
                <w:spacing w:val="2"/>
              </w:rPr>
              <w:t>45533,4</w:t>
            </w:r>
          </w:p>
        </w:tc>
        <w:tc>
          <w:tcPr>
            <w:tcW w:w="1111" w:type="dxa"/>
            <w:tcBorders>
              <w:top w:val="nil"/>
              <w:left w:val="nil"/>
              <w:bottom w:val="single" w:sz="4" w:space="0" w:color="auto"/>
              <w:right w:val="single" w:sz="4" w:space="0" w:color="auto"/>
            </w:tcBorders>
            <w:shd w:val="clear" w:color="auto" w:fill="auto"/>
            <w:vAlign w:val="center"/>
            <w:hideMark/>
          </w:tcPr>
          <w:p w14:paraId="518C4EF9" w14:textId="77777777" w:rsidR="00BD5111" w:rsidRPr="00E55E40" w:rsidRDefault="00BD5111" w:rsidP="009D0322">
            <w:pPr>
              <w:jc w:val="center"/>
              <w:rPr>
                <w:spacing w:val="2"/>
              </w:rPr>
            </w:pPr>
            <w:r w:rsidRPr="00E55E40">
              <w:rPr>
                <w:spacing w:val="2"/>
              </w:rPr>
              <w:t>3419,7</w:t>
            </w:r>
          </w:p>
        </w:tc>
        <w:tc>
          <w:tcPr>
            <w:tcW w:w="810" w:type="dxa"/>
            <w:tcBorders>
              <w:top w:val="nil"/>
              <w:left w:val="nil"/>
              <w:bottom w:val="single" w:sz="4" w:space="0" w:color="auto"/>
              <w:right w:val="single" w:sz="4" w:space="0" w:color="auto"/>
            </w:tcBorders>
            <w:shd w:val="clear" w:color="auto" w:fill="auto"/>
            <w:vAlign w:val="center"/>
            <w:hideMark/>
          </w:tcPr>
          <w:p w14:paraId="0EBE7AFB" w14:textId="77777777" w:rsidR="00BD5111" w:rsidRPr="00E55E40" w:rsidRDefault="00BD5111" w:rsidP="009D0322">
            <w:pPr>
              <w:jc w:val="center"/>
              <w:rPr>
                <w:spacing w:val="2"/>
              </w:rPr>
            </w:pPr>
            <w:r w:rsidRPr="00E55E40">
              <w:rPr>
                <w:spacing w:val="2"/>
              </w:rPr>
              <w:t>8,1</w:t>
            </w:r>
          </w:p>
        </w:tc>
      </w:tr>
    </w:tbl>
    <w:p w14:paraId="2D4C064F" w14:textId="77777777" w:rsidR="008854D0" w:rsidRPr="00E55E40" w:rsidRDefault="008854D0" w:rsidP="008854D0">
      <w:pPr>
        <w:pStyle w:val="3"/>
        <w:spacing w:after="0"/>
        <w:ind w:left="0" w:firstLine="708"/>
        <w:jc w:val="right"/>
        <w:rPr>
          <w:color w:val="FF0000"/>
          <w:spacing w:val="2"/>
          <w:sz w:val="24"/>
          <w:szCs w:val="24"/>
        </w:rPr>
      </w:pPr>
    </w:p>
    <w:p w14:paraId="589ADEB0" w14:textId="77777777" w:rsidR="007140E8" w:rsidRPr="00E55E40" w:rsidRDefault="008854D0" w:rsidP="008854D0">
      <w:pPr>
        <w:pStyle w:val="3"/>
        <w:spacing w:after="0"/>
        <w:ind w:left="0" w:firstLine="708"/>
        <w:jc w:val="both"/>
        <w:rPr>
          <w:spacing w:val="2"/>
          <w:sz w:val="24"/>
          <w:szCs w:val="24"/>
        </w:rPr>
      </w:pPr>
      <w:r w:rsidRPr="00E55E40">
        <w:rPr>
          <w:spacing w:val="2"/>
          <w:sz w:val="24"/>
          <w:szCs w:val="24"/>
        </w:rPr>
        <w:t xml:space="preserve">Как следует из таблицы № </w:t>
      </w:r>
      <w:r w:rsidR="00773B44" w:rsidRPr="00E55E40">
        <w:rPr>
          <w:spacing w:val="2"/>
          <w:sz w:val="24"/>
          <w:szCs w:val="24"/>
        </w:rPr>
        <w:t>14</w:t>
      </w:r>
      <w:r w:rsidR="007140E8" w:rsidRPr="00E55E40">
        <w:rPr>
          <w:spacing w:val="2"/>
          <w:sz w:val="24"/>
          <w:szCs w:val="24"/>
        </w:rPr>
        <w:t>,</w:t>
      </w:r>
      <w:r w:rsidRPr="00E55E40">
        <w:rPr>
          <w:spacing w:val="2"/>
          <w:sz w:val="24"/>
          <w:szCs w:val="24"/>
        </w:rPr>
        <w:t xml:space="preserve"> во всех учреждениях наблюдается рост фактических расходов от 8,1% до 27,2 процента. Согласно данным о фактических расходах в разрезе статей затрат, приведенных в </w:t>
      </w:r>
      <w:r w:rsidRPr="00E55E40">
        <w:rPr>
          <w:color w:val="0000FF"/>
          <w:spacing w:val="2"/>
          <w:sz w:val="24"/>
          <w:szCs w:val="24"/>
        </w:rPr>
        <w:t>приложении № </w:t>
      </w:r>
      <w:r w:rsidR="00C60548" w:rsidRPr="00E55E40">
        <w:rPr>
          <w:color w:val="0000FF"/>
          <w:spacing w:val="2"/>
          <w:sz w:val="24"/>
          <w:szCs w:val="24"/>
        </w:rPr>
        <w:t>5</w:t>
      </w:r>
      <w:r w:rsidRPr="00E55E40">
        <w:rPr>
          <w:spacing w:val="2"/>
          <w:sz w:val="24"/>
          <w:szCs w:val="24"/>
        </w:rPr>
        <w:t xml:space="preserve">, </w:t>
      </w:r>
      <w:r w:rsidR="007140E8" w:rsidRPr="00E55E40">
        <w:rPr>
          <w:spacing w:val="2"/>
          <w:sz w:val="24"/>
          <w:szCs w:val="24"/>
        </w:rPr>
        <w:t xml:space="preserve">рост расходов на прочие работы и услуги </w:t>
      </w:r>
      <w:r w:rsidR="007140E8" w:rsidRPr="00E55E40">
        <w:rPr>
          <w:spacing w:val="2"/>
          <w:sz w:val="24"/>
          <w:szCs w:val="24"/>
        </w:rPr>
        <w:lastRenderedPageBreak/>
        <w:t>(за счет которых осуществляется оплата услуг по а</w:t>
      </w:r>
      <w:r w:rsidR="00E323F3" w:rsidRPr="00E55E40">
        <w:rPr>
          <w:spacing w:val="2"/>
          <w:sz w:val="24"/>
          <w:szCs w:val="24"/>
        </w:rPr>
        <w:t xml:space="preserve">утсорсингу) превысили экономию по расходам, производимым ранее учреждениями самостоятельно на питание получателей социальных услуг, например на материальные запасы. </w:t>
      </w:r>
      <w:r w:rsidR="007140E8" w:rsidRPr="00E55E40">
        <w:rPr>
          <w:spacing w:val="2"/>
          <w:sz w:val="24"/>
          <w:szCs w:val="24"/>
        </w:rPr>
        <w:t xml:space="preserve"> </w:t>
      </w:r>
    </w:p>
    <w:p w14:paraId="485DE58C"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Необходимо отметить, что количество фактически выполненных койко-дней в этих учреждениях за 2016-2017 годы изменилось незначительно, а в некоторых даже уменьшилось:</w:t>
      </w:r>
    </w:p>
    <w:p w14:paraId="553BFD01"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Жирновский ДПИ – уменьшились на 13978 койко-дней, или на 7%;</w:t>
      </w:r>
    </w:p>
    <w:p w14:paraId="796604B3"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Волжский ПНИ – увеличились на 1820 койко-дней, или на 1,4%;</w:t>
      </w:r>
    </w:p>
    <w:p w14:paraId="59CF3219"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Котовский ПНИ – уменьшились на 2224 койко-дня, или на 1,5%;</w:t>
      </w:r>
    </w:p>
    <w:p w14:paraId="7CC1D8A6"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Нижнечирский ПНИ – увеличились на 802 койко-дней, или на 1,9 процента.</w:t>
      </w:r>
    </w:p>
    <w:p w14:paraId="33A143E7"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 xml:space="preserve">Таким образом, в Жирновском ДПИ и Котовском ПНИ  фактические расходы выросли </w:t>
      </w:r>
      <w:r w:rsidR="00BD5111" w:rsidRPr="00E55E40">
        <w:rPr>
          <w:spacing w:val="2"/>
          <w:sz w:val="24"/>
          <w:szCs w:val="24"/>
        </w:rPr>
        <w:t xml:space="preserve">на 11,2% и 27,2% </w:t>
      </w:r>
      <w:r w:rsidRPr="00E55E40">
        <w:rPr>
          <w:spacing w:val="2"/>
          <w:sz w:val="24"/>
          <w:szCs w:val="24"/>
        </w:rPr>
        <w:t>при уменьшении объёма койко-дней</w:t>
      </w:r>
      <w:r w:rsidR="00BD5111" w:rsidRPr="00E55E40">
        <w:rPr>
          <w:spacing w:val="2"/>
          <w:sz w:val="24"/>
          <w:szCs w:val="24"/>
        </w:rPr>
        <w:t xml:space="preserve"> на 7% и 1,5% соответветственно</w:t>
      </w:r>
      <w:r w:rsidRPr="00E55E40">
        <w:rPr>
          <w:spacing w:val="2"/>
          <w:sz w:val="24"/>
          <w:szCs w:val="24"/>
        </w:rPr>
        <w:t>, исходя из которых осуществляется оплата питания. Кроме того, рост расходов опережает рост цен на товары и услуги на потребительском рынке Волгоградской области, составивший по данным Росстата 2,4% в декабре 2017 года по отношению к декабрю 2016 года.</w:t>
      </w:r>
    </w:p>
    <w:p w14:paraId="4CB6C876"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 xml:space="preserve">Исходя из вышеизложенного, можно сделать вывод об отсутствии положительного экономического эффекта от применения схемы аутсорсинга при организации питания в этих организациях, подведомственных Комитету.   </w:t>
      </w:r>
    </w:p>
    <w:p w14:paraId="1B354504"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 xml:space="preserve">Необходимо отметить, что все 35 государственных контрактов на аутсорсинг питания заключены учреждениями в 2016–2019 годы по начальной максимальной цене контракта, что не повлекло экономию средств при проведении конкурентных процедур, из них 33 государственных контракта, или 94,3% заключены с единственным поставщиком, что может свидетельствовать о низкой степени конкурентности и эффективности сложившейся системы закупок услуг по питанию на условиях аутсоринга. </w:t>
      </w:r>
    </w:p>
    <w:p w14:paraId="65A55E60"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Анализ данных ЕИСЗ показал, что услуги питания по схеме аутсорсинг на территории Волгоградской области оказывают 5 поставщиков, районы оказания услуг питания между которыми распределены следующим образом:</w:t>
      </w:r>
    </w:p>
    <w:p w14:paraId="1422845C"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ИП Батракова О.В. - г.Волгоград, г.Волжский, Суровикинский, Ленинский и Урюписнкий районы;</w:t>
      </w:r>
    </w:p>
    <w:p w14:paraId="0B3C7E17"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ИП Стрельников А.В. - Жирновский, Котовский и Камышинский районы Волгоградской области;</w:t>
      </w:r>
    </w:p>
    <w:p w14:paraId="2ABDE278"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ООО «ПРОКонсалт» - г.Волгоград и Калачевский район;</w:t>
      </w:r>
    </w:p>
    <w:p w14:paraId="51A5CC37" w14:textId="77777777" w:rsidR="008854D0" w:rsidRPr="00E55E40" w:rsidRDefault="008854D0" w:rsidP="008854D0">
      <w:pPr>
        <w:pStyle w:val="3"/>
        <w:spacing w:after="0"/>
        <w:ind w:left="0" w:firstLine="708"/>
        <w:jc w:val="both"/>
        <w:rPr>
          <w:spacing w:val="2"/>
          <w:sz w:val="24"/>
          <w:szCs w:val="24"/>
        </w:rPr>
      </w:pPr>
      <w:r w:rsidRPr="00E55E40">
        <w:rPr>
          <w:spacing w:val="2"/>
          <w:sz w:val="24"/>
          <w:szCs w:val="24"/>
        </w:rPr>
        <w:t>ООО «Славиа» - Ленинский, Урюпинский и Новоаннинский районы;</w:t>
      </w:r>
    </w:p>
    <w:p w14:paraId="609843C7" w14:textId="77777777" w:rsidR="008854D0" w:rsidRPr="00E55E40" w:rsidRDefault="008854D0" w:rsidP="008854D0">
      <w:pPr>
        <w:pStyle w:val="3"/>
        <w:spacing w:after="0" w:line="60" w:lineRule="atLeast"/>
        <w:ind w:left="0" w:firstLine="709"/>
        <w:jc w:val="both"/>
        <w:rPr>
          <w:spacing w:val="2"/>
          <w:sz w:val="24"/>
          <w:szCs w:val="24"/>
        </w:rPr>
      </w:pPr>
      <w:r w:rsidRPr="00E55E40">
        <w:rPr>
          <w:spacing w:val="2"/>
          <w:sz w:val="24"/>
          <w:szCs w:val="24"/>
        </w:rPr>
        <w:t>ООО «Венера» - г.Волгоград и г.Жирновск.</w:t>
      </w:r>
    </w:p>
    <w:p w14:paraId="4C6D156A" w14:textId="77777777" w:rsidR="008854D0" w:rsidRPr="00E55E40" w:rsidRDefault="008854D0" w:rsidP="008854D0">
      <w:pPr>
        <w:autoSpaceDE w:val="0"/>
        <w:autoSpaceDN w:val="0"/>
        <w:adjustRightInd w:val="0"/>
        <w:ind w:firstLine="709"/>
        <w:jc w:val="both"/>
        <w:rPr>
          <w:spacing w:val="2"/>
        </w:rPr>
      </w:pPr>
      <w:r w:rsidRPr="00E55E40">
        <w:rPr>
          <w:spacing w:val="2"/>
        </w:rPr>
        <w:t>Установлено, что в нарушение ст. 103 Закона № 44-ФЗ отдельными учреждениями некорректно отражается информация о государственных контрактах на аутсорсинг в ЕИСЗ, а именно:</w:t>
      </w:r>
    </w:p>
    <w:p w14:paraId="0FDB6179" w14:textId="77777777" w:rsidR="008854D0" w:rsidRPr="00E55E40" w:rsidRDefault="008854D0" w:rsidP="008854D0">
      <w:pPr>
        <w:autoSpaceDE w:val="0"/>
        <w:autoSpaceDN w:val="0"/>
        <w:adjustRightInd w:val="0"/>
        <w:ind w:firstLine="709"/>
        <w:jc w:val="both"/>
        <w:rPr>
          <w:spacing w:val="2"/>
        </w:rPr>
      </w:pPr>
      <w:r w:rsidRPr="00E55E40">
        <w:rPr>
          <w:spacing w:val="2"/>
        </w:rPr>
        <w:t xml:space="preserve">- Калачевским ПНИ занижена стоимость о фактической оплате государственного контракта от 01.01.2017 № 154, заключенного с ООО «ПРОКонсалт», на 580,8 тыс. руб., или на 1,6 процента. В ходе проверки нарушение устранено;  </w:t>
      </w:r>
    </w:p>
    <w:p w14:paraId="6E3709E3" w14:textId="77777777" w:rsidR="008854D0" w:rsidRPr="00E55E40" w:rsidRDefault="008854D0" w:rsidP="008854D0">
      <w:pPr>
        <w:autoSpaceDE w:val="0"/>
        <w:autoSpaceDN w:val="0"/>
        <w:adjustRightInd w:val="0"/>
        <w:ind w:firstLine="709"/>
        <w:jc w:val="both"/>
        <w:rPr>
          <w:spacing w:val="2"/>
        </w:rPr>
      </w:pPr>
      <w:r w:rsidRPr="00E55E40">
        <w:rPr>
          <w:spacing w:val="2"/>
        </w:rPr>
        <w:t>- Котовским ПНИ не размещена копия дополнительного соглашения о расторжении контракта от 28.12.2017 № 4591, заключенного с ИП Стрельниковым А.В.;</w:t>
      </w:r>
    </w:p>
    <w:p w14:paraId="50834CBD" w14:textId="77777777" w:rsidR="008854D0" w:rsidRPr="00E55E40" w:rsidRDefault="008854D0" w:rsidP="008854D0">
      <w:pPr>
        <w:autoSpaceDE w:val="0"/>
        <w:autoSpaceDN w:val="0"/>
        <w:adjustRightInd w:val="0"/>
        <w:ind w:firstLine="709"/>
        <w:jc w:val="both"/>
        <w:rPr>
          <w:spacing w:val="2"/>
        </w:rPr>
      </w:pPr>
      <w:r w:rsidRPr="00E55E40">
        <w:rPr>
          <w:spacing w:val="2"/>
        </w:rPr>
        <w:t>- Нижнедобринским ПНИ завышена стоимость государственного контракта от 28.12.2017 № 0129200005317004163, заключенного с ИП Стрельников А.В., на 456,5 тыс. руб., или 2,6%;</w:t>
      </w:r>
    </w:p>
    <w:p w14:paraId="5823D17D" w14:textId="77777777" w:rsidR="008854D0" w:rsidRPr="00E55E40" w:rsidRDefault="008854D0" w:rsidP="008854D0">
      <w:pPr>
        <w:autoSpaceDE w:val="0"/>
        <w:autoSpaceDN w:val="0"/>
        <w:adjustRightInd w:val="0"/>
        <w:ind w:firstLine="709"/>
        <w:jc w:val="both"/>
        <w:rPr>
          <w:spacing w:val="2"/>
        </w:rPr>
      </w:pPr>
      <w:r w:rsidRPr="00E55E40">
        <w:rPr>
          <w:spacing w:val="2"/>
        </w:rPr>
        <w:t xml:space="preserve">- Волгоградским ДПИ не размещены акты выполненных работ и платёжные документы по государственным контрактам от 30.12.2016 № 104-КОУ, от 28.12.2017           № 101-КОУ и от 01.01.2019 № 114-КОУ.  </w:t>
      </w:r>
    </w:p>
    <w:p w14:paraId="712898A6" w14:textId="77777777" w:rsidR="008854D0" w:rsidRPr="00E55E40" w:rsidRDefault="008854D0" w:rsidP="008854D0"/>
    <w:p w14:paraId="3D751C41" w14:textId="77777777" w:rsidR="00414FB1" w:rsidRPr="00E55E40" w:rsidRDefault="00BD5111" w:rsidP="00414FB1">
      <w:pPr>
        <w:autoSpaceDE w:val="0"/>
        <w:autoSpaceDN w:val="0"/>
        <w:adjustRightInd w:val="0"/>
        <w:ind w:firstLine="709"/>
        <w:jc w:val="center"/>
        <w:rPr>
          <w:b/>
          <w:spacing w:val="2"/>
        </w:rPr>
      </w:pPr>
      <w:r w:rsidRPr="00E55E40">
        <w:rPr>
          <w:b/>
          <w:spacing w:val="2"/>
        </w:rPr>
        <w:t>Иные н</w:t>
      </w:r>
      <w:r w:rsidR="00414FB1" w:rsidRPr="00E55E40">
        <w:rPr>
          <w:b/>
          <w:spacing w:val="2"/>
        </w:rPr>
        <w:t xml:space="preserve">арушения, установленные проверками государственных организаций социального обслуживания, </w:t>
      </w:r>
      <w:r w:rsidR="00414FB1" w:rsidRPr="00E55E40">
        <w:rPr>
          <w:b/>
        </w:rPr>
        <w:t>подведомственных Комитету</w:t>
      </w:r>
    </w:p>
    <w:p w14:paraId="50C9BE82" w14:textId="77777777" w:rsidR="00414FB1" w:rsidRPr="00E55E40" w:rsidRDefault="00414FB1" w:rsidP="0005531D">
      <w:pPr>
        <w:autoSpaceDE w:val="0"/>
        <w:autoSpaceDN w:val="0"/>
        <w:adjustRightInd w:val="0"/>
        <w:ind w:firstLine="709"/>
        <w:jc w:val="both"/>
        <w:rPr>
          <w:spacing w:val="2"/>
        </w:rPr>
      </w:pPr>
    </w:p>
    <w:p w14:paraId="669E5359" w14:textId="77777777" w:rsidR="00294F15" w:rsidRPr="00E55E40" w:rsidRDefault="00BD5111" w:rsidP="00FD6EEA">
      <w:pPr>
        <w:autoSpaceDE w:val="0"/>
        <w:autoSpaceDN w:val="0"/>
        <w:adjustRightInd w:val="0"/>
        <w:ind w:firstLine="709"/>
        <w:jc w:val="both"/>
        <w:rPr>
          <w:rFonts w:eastAsia="Calibri"/>
        </w:rPr>
      </w:pPr>
      <w:r w:rsidRPr="00E55E40">
        <w:rPr>
          <w:rFonts w:eastAsia="Calibri"/>
          <w:b/>
        </w:rPr>
        <w:t>1.</w:t>
      </w:r>
      <w:r w:rsidRPr="00E55E40">
        <w:rPr>
          <w:rFonts w:eastAsia="Calibri"/>
        </w:rPr>
        <w:t> </w:t>
      </w:r>
      <w:r w:rsidR="00181577" w:rsidRPr="00E55E40">
        <w:rPr>
          <w:rFonts w:eastAsia="Calibri"/>
        </w:rPr>
        <w:t>Установлено, что организациями социального обслуживания</w:t>
      </w:r>
      <w:r w:rsidR="0082008B" w:rsidRPr="00E55E40">
        <w:rPr>
          <w:rFonts w:eastAsia="Calibri"/>
        </w:rPr>
        <w:t>, подведомственными Комитету,</w:t>
      </w:r>
      <w:r w:rsidR="00181577" w:rsidRPr="00E55E40">
        <w:rPr>
          <w:rFonts w:eastAsia="Calibri"/>
        </w:rPr>
        <w:t xml:space="preserve"> излишне</w:t>
      </w:r>
      <w:r w:rsidR="00294F15" w:rsidRPr="00E55E40">
        <w:rPr>
          <w:rFonts w:eastAsia="Calibri"/>
        </w:rPr>
        <w:t xml:space="preserve"> принято к оплате и</w:t>
      </w:r>
      <w:r w:rsidR="00181577" w:rsidRPr="00E55E40">
        <w:rPr>
          <w:rFonts w:eastAsia="Calibri"/>
        </w:rPr>
        <w:t xml:space="preserve"> оплачено услуг по организации питания на условиях аутсорсинга</w:t>
      </w:r>
      <w:r w:rsidR="00294F15" w:rsidRPr="00E55E40">
        <w:rPr>
          <w:rFonts w:eastAsia="Calibri"/>
        </w:rPr>
        <w:t xml:space="preserve"> </w:t>
      </w:r>
      <w:r w:rsidR="00181577" w:rsidRPr="00E55E40">
        <w:rPr>
          <w:rFonts w:eastAsia="Calibri"/>
        </w:rPr>
        <w:t xml:space="preserve">на </w:t>
      </w:r>
      <w:r w:rsidR="00773B44" w:rsidRPr="00E55E40">
        <w:rPr>
          <w:rFonts w:eastAsia="Calibri"/>
        </w:rPr>
        <w:t>72,9</w:t>
      </w:r>
      <w:r w:rsidR="00294F15" w:rsidRPr="00E55E40">
        <w:rPr>
          <w:rFonts w:eastAsia="Calibri"/>
        </w:rPr>
        <w:t xml:space="preserve"> тыс. руб., в том числе:</w:t>
      </w:r>
    </w:p>
    <w:p w14:paraId="62F05A2B" w14:textId="77777777" w:rsidR="00EF3662" w:rsidRPr="00E55E40" w:rsidRDefault="00294F15" w:rsidP="00FD6EEA">
      <w:pPr>
        <w:autoSpaceDE w:val="0"/>
        <w:autoSpaceDN w:val="0"/>
        <w:adjustRightInd w:val="0"/>
        <w:ind w:firstLine="709"/>
        <w:jc w:val="both"/>
        <w:rPr>
          <w:spacing w:val="2"/>
        </w:rPr>
      </w:pPr>
      <w:r w:rsidRPr="00E55E40">
        <w:rPr>
          <w:spacing w:val="2"/>
        </w:rPr>
        <w:t>Волгоградским ДПИ на 0,5 тыс. руб.</w:t>
      </w:r>
      <w:r w:rsidR="00EF3662" w:rsidRPr="00E55E40">
        <w:rPr>
          <w:spacing w:val="2"/>
        </w:rPr>
        <w:t>;</w:t>
      </w:r>
    </w:p>
    <w:p w14:paraId="39BFFF7C" w14:textId="77777777" w:rsidR="00784F37" w:rsidRPr="00E55E40" w:rsidRDefault="00EF3662" w:rsidP="00FD6EEA">
      <w:pPr>
        <w:autoSpaceDE w:val="0"/>
        <w:autoSpaceDN w:val="0"/>
        <w:adjustRightInd w:val="0"/>
        <w:ind w:firstLine="709"/>
        <w:jc w:val="both"/>
        <w:rPr>
          <w:spacing w:val="2"/>
        </w:rPr>
      </w:pPr>
      <w:r w:rsidRPr="00E55E40">
        <w:rPr>
          <w:spacing w:val="2"/>
        </w:rPr>
        <w:t>ГЦ на 72,4 тыс. руб</w:t>
      </w:r>
      <w:r w:rsidR="00FE4775" w:rsidRPr="00E55E40">
        <w:rPr>
          <w:spacing w:val="2"/>
        </w:rPr>
        <w:t>лей</w:t>
      </w:r>
      <w:r w:rsidRPr="00E55E40">
        <w:rPr>
          <w:spacing w:val="2"/>
        </w:rPr>
        <w:t>.</w:t>
      </w:r>
    </w:p>
    <w:p w14:paraId="15B9060D" w14:textId="77777777" w:rsidR="00A508A3" w:rsidRPr="00E55E40" w:rsidRDefault="00294F15" w:rsidP="00A508A3">
      <w:pPr>
        <w:suppressAutoHyphens/>
        <w:ind w:firstLine="708"/>
        <w:jc w:val="both"/>
        <w:rPr>
          <w:iCs/>
        </w:rPr>
      </w:pPr>
      <w:r w:rsidRPr="00E55E40">
        <w:rPr>
          <w:iCs/>
        </w:rPr>
        <w:t>В</w:t>
      </w:r>
      <w:r w:rsidR="00A508A3" w:rsidRPr="00E55E40">
        <w:rPr>
          <w:iCs/>
        </w:rPr>
        <w:t xml:space="preserve"> ходе проверки в адрес </w:t>
      </w:r>
      <w:r w:rsidRPr="00E55E40">
        <w:rPr>
          <w:iCs/>
        </w:rPr>
        <w:t>организаций, осуществляющих организацию питания на условиях аутсорсинга,</w:t>
      </w:r>
      <w:r w:rsidR="00A508A3" w:rsidRPr="00E55E40">
        <w:rPr>
          <w:iCs/>
        </w:rPr>
        <w:t xml:space="preserve"> направлено письмо о </w:t>
      </w:r>
      <w:r w:rsidRPr="00E55E40">
        <w:rPr>
          <w:iCs/>
        </w:rPr>
        <w:t>возврате излишне полученных средств</w:t>
      </w:r>
      <w:r w:rsidR="00A508A3" w:rsidRPr="00E55E40">
        <w:rPr>
          <w:iCs/>
        </w:rPr>
        <w:t>.</w:t>
      </w:r>
    </w:p>
    <w:p w14:paraId="7629D791" w14:textId="77777777" w:rsidR="00E67D5A" w:rsidRPr="00E55E40" w:rsidRDefault="00FE4775" w:rsidP="00A508A3">
      <w:pPr>
        <w:suppressAutoHyphens/>
        <w:ind w:firstLine="708"/>
        <w:jc w:val="both"/>
        <w:rPr>
          <w:rFonts w:eastAsia="Calibri"/>
        </w:rPr>
      </w:pPr>
      <w:r w:rsidRPr="00E55E40">
        <w:rPr>
          <w:rFonts w:eastAsia="Calibri"/>
        </w:rPr>
        <w:t>Кроме того, о</w:t>
      </w:r>
      <w:r w:rsidR="0082008B" w:rsidRPr="00E55E40">
        <w:rPr>
          <w:rFonts w:eastAsia="Calibri"/>
        </w:rPr>
        <w:t xml:space="preserve">рганизациями социального обслуживания </w:t>
      </w:r>
      <w:r w:rsidR="00E67D5A" w:rsidRPr="00E55E40">
        <w:rPr>
          <w:rFonts w:eastAsia="Calibri"/>
        </w:rPr>
        <w:t xml:space="preserve">не </w:t>
      </w:r>
      <w:r w:rsidR="00CA1952" w:rsidRPr="00E55E40">
        <w:rPr>
          <w:rFonts w:eastAsia="Calibri"/>
        </w:rPr>
        <w:t>начислялась пеня и не выставлялись</w:t>
      </w:r>
      <w:r w:rsidR="00E67D5A" w:rsidRPr="00E55E40">
        <w:rPr>
          <w:rFonts w:eastAsia="Calibri"/>
        </w:rPr>
        <w:t xml:space="preserve"> претензии к организациям, осуществляющим </w:t>
      </w:r>
      <w:r w:rsidRPr="00E55E40">
        <w:rPr>
          <w:rFonts w:eastAsia="Calibri"/>
        </w:rPr>
        <w:t xml:space="preserve">капитальный ремонт за </w:t>
      </w:r>
      <w:r w:rsidR="00FB640B" w:rsidRPr="00E55E40">
        <w:rPr>
          <w:rFonts w:eastAsia="Calibri"/>
        </w:rPr>
        <w:t xml:space="preserve">излишне предъявленные к оплате </w:t>
      </w:r>
      <w:r w:rsidRPr="00E55E40">
        <w:rPr>
          <w:rFonts w:eastAsia="Calibri"/>
        </w:rPr>
        <w:t xml:space="preserve">работы, а также </w:t>
      </w:r>
      <w:r w:rsidR="00FB640B" w:rsidRPr="00E55E40">
        <w:rPr>
          <w:rFonts w:eastAsia="Calibri"/>
        </w:rPr>
        <w:t xml:space="preserve">к </w:t>
      </w:r>
      <w:r w:rsidR="00E67D5A" w:rsidRPr="00E55E40">
        <w:rPr>
          <w:rFonts w:eastAsia="Calibri"/>
        </w:rPr>
        <w:t>организаци</w:t>
      </w:r>
      <w:r w:rsidRPr="00E55E40">
        <w:rPr>
          <w:rFonts w:eastAsia="Calibri"/>
        </w:rPr>
        <w:t>ям, осуществляющим</w:t>
      </w:r>
      <w:r w:rsidR="00E67D5A" w:rsidRPr="00E55E40">
        <w:rPr>
          <w:rFonts w:eastAsia="Calibri"/>
        </w:rPr>
        <w:t xml:space="preserve"> питани</w:t>
      </w:r>
      <w:r w:rsidRPr="00E55E40">
        <w:rPr>
          <w:rFonts w:eastAsia="Calibri"/>
        </w:rPr>
        <w:t>е</w:t>
      </w:r>
      <w:r w:rsidR="00E67D5A" w:rsidRPr="00E55E40">
        <w:rPr>
          <w:rFonts w:eastAsia="Calibri"/>
        </w:rPr>
        <w:t xml:space="preserve"> на условиях аутсорсинга, за несвоевременную уплату арендных платежей и несвоевременное возмещение затрат за коммунальные услуги в нарушение у</w:t>
      </w:r>
      <w:r w:rsidR="007B2EEF" w:rsidRPr="00E55E40">
        <w:rPr>
          <w:rFonts w:eastAsia="Calibri"/>
        </w:rPr>
        <w:t>с</w:t>
      </w:r>
      <w:r w:rsidR="00E67D5A" w:rsidRPr="00E55E40">
        <w:rPr>
          <w:rFonts w:eastAsia="Calibri"/>
        </w:rPr>
        <w:t>ло</w:t>
      </w:r>
      <w:r w:rsidR="007B2EEF" w:rsidRPr="00E55E40">
        <w:rPr>
          <w:rFonts w:eastAsia="Calibri"/>
        </w:rPr>
        <w:t>в</w:t>
      </w:r>
      <w:r w:rsidR="00E67D5A" w:rsidRPr="00E55E40">
        <w:rPr>
          <w:rFonts w:eastAsia="Calibri"/>
        </w:rPr>
        <w:t>ий соответс</w:t>
      </w:r>
      <w:r w:rsidR="007B2EEF" w:rsidRPr="00E55E40">
        <w:rPr>
          <w:rFonts w:eastAsia="Calibri"/>
        </w:rPr>
        <w:t>т</w:t>
      </w:r>
      <w:r w:rsidR="00E67D5A" w:rsidRPr="00E55E40">
        <w:rPr>
          <w:rFonts w:eastAsia="Calibri"/>
        </w:rPr>
        <w:t xml:space="preserve">вующих договоров, на сумму </w:t>
      </w:r>
      <w:r w:rsidR="00EF3662" w:rsidRPr="00E55E40">
        <w:rPr>
          <w:rFonts w:eastAsia="Calibri"/>
        </w:rPr>
        <w:t>20</w:t>
      </w:r>
      <w:r w:rsidR="00FB640B" w:rsidRPr="00E55E40">
        <w:rPr>
          <w:rFonts w:eastAsia="Calibri"/>
        </w:rPr>
        <w:t>1,4</w:t>
      </w:r>
      <w:r w:rsidR="00E67D5A" w:rsidRPr="00E55E40">
        <w:rPr>
          <w:rFonts w:eastAsia="Calibri"/>
        </w:rPr>
        <w:t xml:space="preserve"> тыс. руб., в том числе:</w:t>
      </w:r>
    </w:p>
    <w:p w14:paraId="3E3FD461" w14:textId="77777777" w:rsidR="00CA1952" w:rsidRPr="00E55E40" w:rsidRDefault="00CA1952" w:rsidP="00A508A3">
      <w:pPr>
        <w:suppressAutoHyphens/>
        <w:ind w:firstLine="708"/>
        <w:jc w:val="both"/>
        <w:rPr>
          <w:rFonts w:eastAsia="Calibri"/>
        </w:rPr>
      </w:pPr>
      <w:r w:rsidRPr="00E55E40">
        <w:rPr>
          <w:rFonts w:eastAsia="Calibri"/>
        </w:rPr>
        <w:t>Волгоградским ДПИ на 193,3 тыс. руб.,</w:t>
      </w:r>
    </w:p>
    <w:p w14:paraId="31C36D13" w14:textId="77777777" w:rsidR="00EF3662" w:rsidRPr="00E55E40" w:rsidRDefault="00EF3662" w:rsidP="00A508A3">
      <w:pPr>
        <w:suppressAutoHyphens/>
        <w:ind w:firstLine="708"/>
        <w:jc w:val="both"/>
        <w:rPr>
          <w:rFonts w:eastAsia="Calibri"/>
        </w:rPr>
      </w:pPr>
      <w:r w:rsidRPr="00E55E40">
        <w:rPr>
          <w:rFonts w:eastAsia="Calibri"/>
        </w:rPr>
        <w:t xml:space="preserve">ГЦ на </w:t>
      </w:r>
      <w:r w:rsidR="00FB640B" w:rsidRPr="00E55E40">
        <w:rPr>
          <w:rFonts w:eastAsia="Calibri"/>
        </w:rPr>
        <w:t>8</w:t>
      </w:r>
      <w:r w:rsidRPr="00E55E40">
        <w:rPr>
          <w:rFonts w:eastAsia="Calibri"/>
        </w:rPr>
        <w:t>,</w:t>
      </w:r>
      <w:r w:rsidR="00FB640B" w:rsidRPr="00E55E40">
        <w:rPr>
          <w:rFonts w:eastAsia="Calibri"/>
        </w:rPr>
        <w:t>1</w:t>
      </w:r>
      <w:r w:rsidRPr="00E55E40">
        <w:rPr>
          <w:rFonts w:eastAsia="Calibri"/>
        </w:rPr>
        <w:t xml:space="preserve"> тыс. руб</w:t>
      </w:r>
      <w:r w:rsidR="00912900" w:rsidRPr="00E55E40">
        <w:rPr>
          <w:rFonts w:eastAsia="Calibri"/>
        </w:rPr>
        <w:t>лей</w:t>
      </w:r>
      <w:r w:rsidRPr="00E55E40">
        <w:rPr>
          <w:rFonts w:eastAsia="Calibri"/>
        </w:rPr>
        <w:t>.</w:t>
      </w:r>
    </w:p>
    <w:p w14:paraId="313C3198" w14:textId="77777777" w:rsidR="00CA1952" w:rsidRPr="00E55E40" w:rsidRDefault="00CA1952" w:rsidP="00CA1952">
      <w:pPr>
        <w:suppressAutoHyphens/>
        <w:ind w:firstLine="708"/>
        <w:jc w:val="both"/>
        <w:rPr>
          <w:iCs/>
        </w:rPr>
      </w:pPr>
      <w:r w:rsidRPr="00E55E40">
        <w:rPr>
          <w:iCs/>
        </w:rPr>
        <w:t xml:space="preserve">В ходе проверки </w:t>
      </w:r>
      <w:r w:rsidRPr="00E55E40">
        <w:rPr>
          <w:rFonts w:eastAsia="Calibri"/>
        </w:rPr>
        <w:t>организациями социального обслуживания</w:t>
      </w:r>
      <w:r w:rsidRPr="00E55E40">
        <w:rPr>
          <w:iCs/>
        </w:rPr>
        <w:t xml:space="preserve"> начислена пеня и направлены соответствующие претензии в адрес организаций, осуществляющих</w:t>
      </w:r>
      <w:r w:rsidR="00FB640B" w:rsidRPr="00E55E40">
        <w:rPr>
          <w:iCs/>
        </w:rPr>
        <w:t xml:space="preserve"> капитальный ремонт и</w:t>
      </w:r>
      <w:r w:rsidRPr="00E55E40">
        <w:rPr>
          <w:iCs/>
        </w:rPr>
        <w:t xml:space="preserve"> организацию питания на условиях аутсорсинга.</w:t>
      </w:r>
    </w:p>
    <w:p w14:paraId="6D4756D4" w14:textId="77777777" w:rsidR="00DB40F2" w:rsidRPr="00E55E40" w:rsidRDefault="00BD5111" w:rsidP="00D916EB">
      <w:pPr>
        <w:ind w:firstLine="709"/>
        <w:jc w:val="both"/>
        <w:rPr>
          <w:iCs/>
        </w:rPr>
      </w:pPr>
      <w:r w:rsidRPr="00E55E40">
        <w:rPr>
          <w:b/>
          <w:iCs/>
        </w:rPr>
        <w:t>2.</w:t>
      </w:r>
      <w:r w:rsidRPr="00E55E40">
        <w:rPr>
          <w:iCs/>
        </w:rPr>
        <w:t> </w:t>
      </w:r>
      <w:r w:rsidR="00D916EB" w:rsidRPr="00E55E40">
        <w:rPr>
          <w:iCs/>
        </w:rPr>
        <w:t xml:space="preserve">В нарушение п.4.6 Устава </w:t>
      </w:r>
      <w:r w:rsidR="00DB40F2" w:rsidRPr="00E55E40">
        <w:rPr>
          <w:iCs/>
        </w:rPr>
        <w:t>Волгоградского ДПИ на его балансе находятся</w:t>
      </w:r>
      <w:r w:rsidR="00D916EB" w:rsidRPr="00E55E40">
        <w:rPr>
          <w:iCs/>
        </w:rPr>
        <w:t xml:space="preserve"> 3 </w:t>
      </w:r>
      <w:r w:rsidR="00B666DD" w:rsidRPr="00E55E40">
        <w:rPr>
          <w:iCs/>
        </w:rPr>
        <w:t xml:space="preserve">неиспользуемых </w:t>
      </w:r>
      <w:r w:rsidR="00D916EB" w:rsidRPr="00E55E40">
        <w:rPr>
          <w:iCs/>
        </w:rPr>
        <w:t xml:space="preserve">объекта основных средств </w:t>
      </w:r>
      <w:r w:rsidR="00DB40F2" w:rsidRPr="00E55E40">
        <w:rPr>
          <w:iCs/>
        </w:rPr>
        <w:t xml:space="preserve">балансовой стоимостью 4653,8 тыс. руб.: </w:t>
      </w:r>
      <w:r w:rsidR="00D916EB" w:rsidRPr="00E55E40">
        <w:rPr>
          <w:iCs/>
        </w:rPr>
        <w:t xml:space="preserve"> </w:t>
      </w:r>
    </w:p>
    <w:p w14:paraId="64DAEF36" w14:textId="77777777" w:rsidR="00D916EB" w:rsidRPr="00E55E40" w:rsidRDefault="00DB40F2" w:rsidP="00D916EB">
      <w:pPr>
        <w:ind w:firstLine="709"/>
        <w:jc w:val="both"/>
        <w:rPr>
          <w:iCs/>
        </w:rPr>
      </w:pPr>
      <w:r w:rsidRPr="00E55E40">
        <w:rPr>
          <w:iCs/>
        </w:rPr>
        <w:t>- </w:t>
      </w:r>
      <w:r w:rsidR="00D916EB" w:rsidRPr="00E55E40">
        <w:rPr>
          <w:iCs/>
        </w:rPr>
        <w:t>2-х этажный спальный корпус на протяжении 19 лет по причине неприспособленности для размещения в нем получателей социальных услуг и необходимости проведения ремонтных работ</w:t>
      </w:r>
      <w:r w:rsidR="00C45861" w:rsidRPr="00E55E40">
        <w:rPr>
          <w:iCs/>
        </w:rPr>
        <w:t>;</w:t>
      </w:r>
      <w:r w:rsidR="00D916EB" w:rsidRPr="00E55E40">
        <w:rPr>
          <w:iCs/>
        </w:rPr>
        <w:t xml:space="preserve"> </w:t>
      </w:r>
    </w:p>
    <w:p w14:paraId="3E17CF8C" w14:textId="77777777" w:rsidR="00665885" w:rsidRPr="00E55E40" w:rsidRDefault="00665885" w:rsidP="00665885">
      <w:pPr>
        <w:ind w:firstLine="709"/>
        <w:jc w:val="both"/>
        <w:rPr>
          <w:iCs/>
        </w:rPr>
      </w:pPr>
      <w:r w:rsidRPr="00E55E40">
        <w:rPr>
          <w:iCs/>
        </w:rPr>
        <w:t>- здание овощехранилища с 2017 года по причине организации питания на услвоиях аутсорсинга</w:t>
      </w:r>
      <w:r w:rsidR="00C45861" w:rsidRPr="00E55E40">
        <w:rPr>
          <w:iCs/>
        </w:rPr>
        <w:t>;</w:t>
      </w:r>
      <w:r w:rsidRPr="00E55E40">
        <w:rPr>
          <w:iCs/>
        </w:rPr>
        <w:t xml:space="preserve"> </w:t>
      </w:r>
    </w:p>
    <w:p w14:paraId="3281FB09" w14:textId="77777777" w:rsidR="00665885" w:rsidRPr="00E55E40" w:rsidRDefault="00665885" w:rsidP="00665885">
      <w:pPr>
        <w:autoSpaceDE w:val="0"/>
        <w:autoSpaceDN w:val="0"/>
        <w:adjustRightInd w:val="0"/>
        <w:ind w:firstLine="708"/>
        <w:jc w:val="both"/>
        <w:rPr>
          <w:iCs/>
        </w:rPr>
      </w:pPr>
      <w:r w:rsidRPr="00E55E40">
        <w:rPr>
          <w:iCs/>
        </w:rPr>
        <w:t>- морг кирпичный по причине прихода в негодность (отсутствует крыша, от здания сохранились только кирпичные стены).</w:t>
      </w:r>
    </w:p>
    <w:p w14:paraId="3F88658E" w14:textId="77777777" w:rsidR="00665885" w:rsidRPr="00E55E40" w:rsidRDefault="00665885" w:rsidP="00665885">
      <w:pPr>
        <w:autoSpaceDE w:val="0"/>
        <w:autoSpaceDN w:val="0"/>
        <w:adjustRightInd w:val="0"/>
        <w:ind w:firstLine="708"/>
        <w:jc w:val="both"/>
        <w:rPr>
          <w:iCs/>
        </w:rPr>
      </w:pPr>
      <w:r w:rsidRPr="00E55E40">
        <w:rPr>
          <w:iCs/>
        </w:rPr>
        <w:t xml:space="preserve">Сумма неэффективных расходов Волгоградского ДПИ на уплату налога на имущество за неиспользуемые объекты недвижимости за 2016 - 2018 годы составила 173,1 тыс. руб., в 2019 году составит 54,6 тыс. рублей. </w:t>
      </w:r>
    </w:p>
    <w:p w14:paraId="6EACD7E4" w14:textId="77777777" w:rsidR="00D01EAD" w:rsidRPr="00E55E40" w:rsidRDefault="00D01EAD" w:rsidP="009B0BFB">
      <w:pPr>
        <w:ind w:firstLine="709"/>
        <w:jc w:val="both"/>
        <w:rPr>
          <w:iCs/>
        </w:rPr>
      </w:pPr>
      <w:r w:rsidRPr="00E55E40">
        <w:rPr>
          <w:iCs/>
        </w:rPr>
        <w:t xml:space="preserve">Аналогично, на балансе ГЦ находятся </w:t>
      </w:r>
      <w:r w:rsidR="00B666DD" w:rsidRPr="00E55E40">
        <w:rPr>
          <w:iCs/>
        </w:rPr>
        <w:t xml:space="preserve">неиспользуемые </w:t>
      </w:r>
      <w:r w:rsidRPr="00E55E40">
        <w:rPr>
          <w:iCs/>
        </w:rPr>
        <w:t>9 объект</w:t>
      </w:r>
      <w:r w:rsidR="00B666DD" w:rsidRPr="00E55E40">
        <w:rPr>
          <w:iCs/>
        </w:rPr>
        <w:t>ов</w:t>
      </w:r>
      <w:r w:rsidRPr="00E55E40">
        <w:rPr>
          <w:iCs/>
        </w:rPr>
        <w:t xml:space="preserve"> движимого имущества</w:t>
      </w:r>
      <w:r w:rsidR="00B666DD" w:rsidRPr="00E55E40">
        <w:rPr>
          <w:iCs/>
        </w:rPr>
        <w:t xml:space="preserve"> (производственный инвентарь) и 1 объект недвижимого имущества (помещения банного оздоровительного комплекса)</w:t>
      </w:r>
      <w:r w:rsidRPr="00E55E40">
        <w:rPr>
          <w:iCs/>
        </w:rPr>
        <w:t xml:space="preserve"> </w:t>
      </w:r>
      <w:r w:rsidR="00B666DD" w:rsidRPr="00E55E40">
        <w:rPr>
          <w:iCs/>
        </w:rPr>
        <w:t>общей балансовой стоимостью 3412,8 тыс. рублей..</w:t>
      </w:r>
    </w:p>
    <w:p w14:paraId="77E347D3" w14:textId="77777777" w:rsidR="00B666DD" w:rsidRPr="00E55E40" w:rsidRDefault="00B666DD" w:rsidP="009B0BFB">
      <w:pPr>
        <w:pStyle w:val="Style11"/>
        <w:widowControl/>
        <w:ind w:firstLine="709"/>
        <w:jc w:val="both"/>
        <w:rPr>
          <w:iCs/>
        </w:rPr>
      </w:pPr>
      <w:r w:rsidRPr="00E55E40">
        <w:rPr>
          <w:iCs/>
        </w:rPr>
        <w:t>Движимое имущество не используется по причине неисправности, в отношении недвижимого рассматривается вопрос о возможности использования для оказания платных услуг получателям социальных услуг.</w:t>
      </w:r>
    </w:p>
    <w:p w14:paraId="65476F8C" w14:textId="77777777" w:rsidR="00CF4C47" w:rsidRPr="00E55E40" w:rsidRDefault="00C45861" w:rsidP="00CF4C47">
      <w:pPr>
        <w:autoSpaceDE w:val="0"/>
        <w:autoSpaceDN w:val="0"/>
        <w:adjustRightInd w:val="0"/>
        <w:ind w:firstLine="709"/>
        <w:jc w:val="both"/>
        <w:rPr>
          <w:iCs/>
        </w:rPr>
      </w:pPr>
      <w:r w:rsidRPr="00E55E40">
        <w:rPr>
          <w:b/>
          <w:iCs/>
        </w:rPr>
        <w:t>3</w:t>
      </w:r>
      <w:r w:rsidR="00FE4775" w:rsidRPr="00E55E40">
        <w:rPr>
          <w:b/>
          <w:iCs/>
        </w:rPr>
        <w:t>.</w:t>
      </w:r>
      <w:r w:rsidR="00FE4775" w:rsidRPr="00E55E40">
        <w:rPr>
          <w:iCs/>
        </w:rPr>
        <w:t> </w:t>
      </w:r>
      <w:r w:rsidR="00CF4C47" w:rsidRPr="00E55E40">
        <w:rPr>
          <w:iCs/>
        </w:rPr>
        <w:t>Волгоградским ДПИ в нарушение п.1 ст.37 Г</w:t>
      </w:r>
      <w:r w:rsidR="00C64119" w:rsidRPr="00E55E40">
        <w:rPr>
          <w:iCs/>
        </w:rPr>
        <w:t>ражданского кодекса</w:t>
      </w:r>
      <w:r w:rsidR="00CF4C47" w:rsidRPr="00E55E40">
        <w:rPr>
          <w:iCs/>
        </w:rPr>
        <w:t xml:space="preserve"> РФ и п.1.2.1 приказа Комитета от 13.07.2016 № 832 «Об отдельных мероприятиях по учету и сохранности </w:t>
      </w:r>
      <w:r w:rsidR="0077282E" w:rsidRPr="00E55E40">
        <w:rPr>
          <w:iCs/>
        </w:rPr>
        <w:t>личного имущества и денежных средств граждан</w:t>
      </w:r>
      <w:r w:rsidR="00CF4C47" w:rsidRPr="00E55E40">
        <w:rPr>
          <w:iCs/>
        </w:rPr>
        <w:t>»:</w:t>
      </w:r>
    </w:p>
    <w:p w14:paraId="008F3E7B" w14:textId="77777777" w:rsidR="00CF4C47" w:rsidRPr="00E55E40" w:rsidRDefault="00CF4C47" w:rsidP="00CF4C47">
      <w:pPr>
        <w:pStyle w:val="ConsPlusNormal"/>
        <w:ind w:firstLine="708"/>
        <w:jc w:val="both"/>
        <w:rPr>
          <w:iCs/>
          <w:sz w:val="24"/>
          <w:szCs w:val="24"/>
        </w:rPr>
      </w:pPr>
      <w:r w:rsidRPr="00E55E40">
        <w:rPr>
          <w:iCs/>
          <w:sz w:val="24"/>
          <w:szCs w:val="24"/>
        </w:rPr>
        <w:t xml:space="preserve">- денежные средства </w:t>
      </w:r>
      <w:r w:rsidR="005B2771" w:rsidRPr="00E55E40">
        <w:rPr>
          <w:iCs/>
          <w:sz w:val="24"/>
          <w:szCs w:val="24"/>
        </w:rPr>
        <w:t>190</w:t>
      </w:r>
      <w:r w:rsidRPr="00E55E40">
        <w:rPr>
          <w:iCs/>
          <w:sz w:val="24"/>
          <w:szCs w:val="24"/>
        </w:rPr>
        <w:t xml:space="preserve"> получател</w:t>
      </w:r>
      <w:r w:rsidR="005B2771" w:rsidRPr="00E55E40">
        <w:rPr>
          <w:iCs/>
          <w:sz w:val="24"/>
          <w:szCs w:val="24"/>
        </w:rPr>
        <w:t>ей</w:t>
      </w:r>
      <w:r w:rsidRPr="00E55E40">
        <w:rPr>
          <w:iCs/>
          <w:sz w:val="24"/>
          <w:szCs w:val="24"/>
        </w:rPr>
        <w:t xml:space="preserve"> социальных услуг, в отношении которых Волгоградский ДПИ являлся опекуном, </w:t>
      </w:r>
      <w:r w:rsidR="005B2771" w:rsidRPr="00E55E40">
        <w:rPr>
          <w:iCs/>
          <w:sz w:val="24"/>
          <w:szCs w:val="24"/>
        </w:rPr>
        <w:t>на сумму</w:t>
      </w:r>
      <w:r w:rsidRPr="00E55E40">
        <w:rPr>
          <w:iCs/>
          <w:sz w:val="24"/>
          <w:szCs w:val="24"/>
        </w:rPr>
        <w:t xml:space="preserve"> </w:t>
      </w:r>
      <w:r w:rsidR="0077282E" w:rsidRPr="00E55E40">
        <w:rPr>
          <w:iCs/>
          <w:sz w:val="24"/>
          <w:szCs w:val="24"/>
        </w:rPr>
        <w:t>30257,1</w:t>
      </w:r>
      <w:r w:rsidRPr="00E55E40">
        <w:rPr>
          <w:iCs/>
          <w:sz w:val="24"/>
          <w:szCs w:val="24"/>
        </w:rPr>
        <w:t xml:space="preserve"> тыс. руб. </w:t>
      </w:r>
      <w:r w:rsidR="00AA2FEB" w:rsidRPr="00E55E40">
        <w:rPr>
          <w:iCs/>
          <w:sz w:val="24"/>
          <w:szCs w:val="24"/>
        </w:rPr>
        <w:t xml:space="preserve">учитывались на одном лицевом счете, открытом в УФК по Волгоградской области, а не </w:t>
      </w:r>
      <w:r w:rsidRPr="00E55E40">
        <w:rPr>
          <w:iCs/>
          <w:sz w:val="24"/>
          <w:szCs w:val="24"/>
        </w:rPr>
        <w:t>на отдельны</w:t>
      </w:r>
      <w:r w:rsidR="00AA2FEB" w:rsidRPr="00E55E40">
        <w:rPr>
          <w:iCs/>
          <w:sz w:val="24"/>
          <w:szCs w:val="24"/>
        </w:rPr>
        <w:t>х</w:t>
      </w:r>
      <w:r w:rsidRPr="00E55E40">
        <w:rPr>
          <w:iCs/>
          <w:sz w:val="24"/>
          <w:szCs w:val="24"/>
        </w:rPr>
        <w:t xml:space="preserve"> номинальны</w:t>
      </w:r>
      <w:r w:rsidR="00AA2FEB" w:rsidRPr="00E55E40">
        <w:rPr>
          <w:iCs/>
          <w:sz w:val="24"/>
          <w:szCs w:val="24"/>
        </w:rPr>
        <w:t xml:space="preserve">х </w:t>
      </w:r>
      <w:r w:rsidRPr="00E55E40">
        <w:rPr>
          <w:iCs/>
          <w:sz w:val="24"/>
          <w:szCs w:val="24"/>
        </w:rPr>
        <w:t>счета</w:t>
      </w:r>
      <w:r w:rsidR="00AA2FEB" w:rsidRPr="00E55E40">
        <w:rPr>
          <w:iCs/>
          <w:sz w:val="24"/>
          <w:szCs w:val="24"/>
        </w:rPr>
        <w:t>х</w:t>
      </w:r>
      <w:r w:rsidRPr="00E55E40">
        <w:rPr>
          <w:iCs/>
          <w:sz w:val="24"/>
          <w:szCs w:val="24"/>
        </w:rPr>
        <w:t>, открыты</w:t>
      </w:r>
      <w:r w:rsidR="00AA2FEB" w:rsidRPr="00E55E40">
        <w:rPr>
          <w:iCs/>
          <w:sz w:val="24"/>
          <w:szCs w:val="24"/>
        </w:rPr>
        <w:t>х</w:t>
      </w:r>
      <w:r w:rsidRPr="00E55E40">
        <w:rPr>
          <w:iCs/>
          <w:sz w:val="24"/>
          <w:szCs w:val="24"/>
        </w:rPr>
        <w:t xml:space="preserve"> в АО «Россельхозбанк»;</w:t>
      </w:r>
    </w:p>
    <w:p w14:paraId="125CA863" w14:textId="77777777" w:rsidR="00CF4C47" w:rsidRPr="00E55E40" w:rsidRDefault="00CF4C47" w:rsidP="00CF4C47">
      <w:pPr>
        <w:pStyle w:val="ConsPlusNormal"/>
        <w:ind w:firstLine="708"/>
        <w:jc w:val="both"/>
        <w:rPr>
          <w:iCs/>
          <w:sz w:val="24"/>
          <w:szCs w:val="24"/>
        </w:rPr>
      </w:pPr>
      <w:r w:rsidRPr="00E55E40">
        <w:rPr>
          <w:iCs/>
          <w:sz w:val="24"/>
          <w:szCs w:val="24"/>
        </w:rPr>
        <w:t>- на 31 опекаемого получателя социальных услуг</w:t>
      </w:r>
      <w:r w:rsidR="00514439" w:rsidRPr="00E55E40">
        <w:rPr>
          <w:iCs/>
          <w:sz w:val="24"/>
          <w:szCs w:val="24"/>
        </w:rPr>
        <w:t xml:space="preserve">, остаток средств у которых </w:t>
      </w:r>
      <w:r w:rsidR="00B1109E" w:rsidRPr="00E55E40">
        <w:rPr>
          <w:iCs/>
          <w:sz w:val="24"/>
          <w:szCs w:val="24"/>
        </w:rPr>
        <w:t>на 01.07.2019 составляет</w:t>
      </w:r>
      <w:r w:rsidR="0077282E" w:rsidRPr="00E55E40">
        <w:rPr>
          <w:iCs/>
          <w:sz w:val="24"/>
          <w:szCs w:val="24"/>
        </w:rPr>
        <w:t xml:space="preserve"> 4924,8</w:t>
      </w:r>
      <w:r w:rsidR="00B1109E" w:rsidRPr="00E55E40">
        <w:rPr>
          <w:iCs/>
          <w:sz w:val="24"/>
          <w:szCs w:val="24"/>
        </w:rPr>
        <w:t xml:space="preserve"> тыс. руб.</w:t>
      </w:r>
      <w:r w:rsidRPr="00E55E40">
        <w:rPr>
          <w:iCs/>
          <w:sz w:val="24"/>
          <w:szCs w:val="24"/>
        </w:rPr>
        <w:t xml:space="preserve">, </w:t>
      </w:r>
      <w:r w:rsidR="0077282E" w:rsidRPr="00E55E40">
        <w:rPr>
          <w:iCs/>
          <w:sz w:val="24"/>
          <w:szCs w:val="24"/>
        </w:rPr>
        <w:t xml:space="preserve">не открыты </w:t>
      </w:r>
      <w:r w:rsidRPr="00E55E40">
        <w:rPr>
          <w:iCs/>
          <w:sz w:val="24"/>
          <w:szCs w:val="24"/>
        </w:rPr>
        <w:t>номинальные счета в банковском учреждении</w:t>
      </w:r>
      <w:r w:rsidR="0077282E" w:rsidRPr="00E55E40">
        <w:rPr>
          <w:iCs/>
          <w:sz w:val="24"/>
          <w:szCs w:val="24"/>
        </w:rPr>
        <w:t>.</w:t>
      </w:r>
      <w:r w:rsidRPr="00E55E40">
        <w:rPr>
          <w:iCs/>
          <w:sz w:val="24"/>
          <w:szCs w:val="24"/>
        </w:rPr>
        <w:t xml:space="preserve"> </w:t>
      </w:r>
    </w:p>
    <w:p w14:paraId="07B49E2F" w14:textId="77777777" w:rsidR="00CF4C47" w:rsidRPr="00E55E40" w:rsidRDefault="00CD5E6C" w:rsidP="00CF4C47">
      <w:pPr>
        <w:ind w:firstLine="708"/>
        <w:jc w:val="both"/>
      </w:pPr>
      <w:r w:rsidRPr="00E55E40">
        <w:t>Волгоградским ДПИ</w:t>
      </w:r>
      <w:r w:rsidR="00CF4C47" w:rsidRPr="00E55E40">
        <w:t xml:space="preserve"> продолжительное время</w:t>
      </w:r>
      <w:r w:rsidR="00F10CA4" w:rsidRPr="00E55E40">
        <w:t xml:space="preserve"> (от 3 до 14 лет)</w:t>
      </w:r>
      <w:r w:rsidR="00CF4C47" w:rsidRPr="00E55E40">
        <w:t xml:space="preserve"> не принимались меры по передаче выморочного имущества </w:t>
      </w:r>
      <w:r w:rsidR="00F10CA4" w:rsidRPr="00E55E40">
        <w:t xml:space="preserve">стоимостью 1550,7 тыс. руб. </w:t>
      </w:r>
      <w:r w:rsidR="00CF4C47" w:rsidRPr="00E55E40">
        <w:t xml:space="preserve">в собственность РФ </w:t>
      </w:r>
      <w:r w:rsidR="00F10CA4" w:rsidRPr="00E55E40">
        <w:t xml:space="preserve">в соответствии с </w:t>
      </w:r>
      <w:r w:rsidR="00CF4C47" w:rsidRPr="00E55E40">
        <w:t>п.1 ст. 1151 Г</w:t>
      </w:r>
      <w:r w:rsidR="00F10CA4" w:rsidRPr="00E55E40">
        <w:t>ражданского кодекса</w:t>
      </w:r>
      <w:r w:rsidR="00CF4C47" w:rsidRPr="00E55E40">
        <w:t xml:space="preserve"> РФ</w:t>
      </w:r>
      <w:r w:rsidR="00F10CA4" w:rsidRPr="00E55E40">
        <w:t>.</w:t>
      </w:r>
    </w:p>
    <w:p w14:paraId="3725233D" w14:textId="77777777" w:rsidR="00CB39D9" w:rsidRPr="00E55E40" w:rsidRDefault="00CB39D9" w:rsidP="00CB39D9">
      <w:pPr>
        <w:ind w:firstLine="708"/>
        <w:jc w:val="both"/>
      </w:pPr>
      <w:r w:rsidRPr="00E55E40">
        <w:lastRenderedPageBreak/>
        <w:t xml:space="preserve">Волгоградским ДПИ и ГЦ допущены нарушения правил ведения бухгалтерского учета при учете нефинансовых активов, неустойки, оформлении финансово-хозяйственных операций и формировании учётной политики.  </w:t>
      </w:r>
    </w:p>
    <w:p w14:paraId="26C5B929" w14:textId="77777777" w:rsidR="00CB39D9" w:rsidRPr="00E55E40" w:rsidRDefault="00CB39D9" w:rsidP="00CB39D9">
      <w:pPr>
        <w:autoSpaceDE w:val="0"/>
        <w:autoSpaceDN w:val="0"/>
        <w:adjustRightInd w:val="0"/>
        <w:ind w:firstLine="708"/>
        <w:jc w:val="both"/>
        <w:rPr>
          <w:spacing w:val="2"/>
        </w:rPr>
      </w:pPr>
      <w:r w:rsidRPr="00E55E40">
        <w:rPr>
          <w:spacing w:val="2"/>
        </w:rPr>
        <w:t>ГЦ в нарушение п. 10. ч. 2 ст. 103 Закона № 44-ФЗ в ЕИС</w:t>
      </w:r>
      <w:r w:rsidR="0086377A" w:rsidRPr="00E55E40">
        <w:rPr>
          <w:spacing w:val="2"/>
        </w:rPr>
        <w:t>З</w:t>
      </w:r>
      <w:r w:rsidRPr="00E55E40">
        <w:rPr>
          <w:spacing w:val="2"/>
        </w:rPr>
        <w:t xml:space="preserve"> не размещена в установленные законом сроки (5 рабочих дней) информация о начисленной неустойке по государственному контракту, заключенному с ООО «Югпрофэнерго». </w:t>
      </w:r>
    </w:p>
    <w:p w14:paraId="0A5D1B89" w14:textId="77777777" w:rsidR="00FE4775" w:rsidRPr="00E55E40" w:rsidRDefault="00FE4775" w:rsidP="00FE4775">
      <w:pPr>
        <w:autoSpaceDE w:val="0"/>
        <w:autoSpaceDN w:val="0"/>
        <w:adjustRightInd w:val="0"/>
        <w:ind w:firstLine="709"/>
        <w:jc w:val="both"/>
        <w:rPr>
          <w:spacing w:val="2"/>
        </w:rPr>
      </w:pPr>
      <w:r w:rsidRPr="00E55E40">
        <w:rPr>
          <w:spacing w:val="2"/>
        </w:rPr>
        <w:t xml:space="preserve">В нарушение п.351 Инструкции по применению Единого </w:t>
      </w:r>
      <w:hyperlink r:id="rId19" w:history="1">
        <w:r w:rsidRPr="00E55E40">
          <w:t>плана</w:t>
        </w:r>
      </w:hyperlink>
      <w:r w:rsidRPr="00E55E40">
        <w:rPr>
          <w:spacing w:val="2"/>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утверждённой приказом Минфина России от 01.12.2010 № 157н, на забалансовом счете 10 «Обеспечение исполнения обязательств» Волгоградским ДПИ и Царевским ПНИ не учитывались банковские гарантии, предоставленные поставщиками услуг по питанию на условиях аутсорсинга в качестве обеспечения своих обязательств. </w:t>
      </w:r>
    </w:p>
    <w:p w14:paraId="30F60EBE" w14:textId="77777777" w:rsidR="00FE4775" w:rsidRPr="00E55E40" w:rsidRDefault="00FE4775" w:rsidP="00FE4775">
      <w:pPr>
        <w:autoSpaceDE w:val="0"/>
        <w:autoSpaceDN w:val="0"/>
        <w:adjustRightInd w:val="0"/>
        <w:ind w:firstLine="709"/>
        <w:jc w:val="both"/>
        <w:rPr>
          <w:spacing w:val="2"/>
        </w:rPr>
      </w:pPr>
      <w:r w:rsidRPr="00E55E40">
        <w:rPr>
          <w:spacing w:val="2"/>
        </w:rPr>
        <w:t>По информации Комитета от 09.08.2019 № 34-11-01-51/10784 нарушение устранено</w:t>
      </w:r>
      <w:r w:rsidR="004C1F77" w:rsidRPr="00E55E40">
        <w:rPr>
          <w:spacing w:val="2"/>
        </w:rPr>
        <w:t xml:space="preserve"> </w:t>
      </w:r>
      <w:r w:rsidRPr="00E55E40">
        <w:rPr>
          <w:spacing w:val="2"/>
        </w:rPr>
        <w:t xml:space="preserve">путем внесения изменений в бюджетную отчетность учреждений и сводную отчетность комитета за 2018 год по изменению остатков форм 0503730 на </w:t>
      </w:r>
      <w:r w:rsidR="00F446C6" w:rsidRPr="00E55E40">
        <w:rPr>
          <w:spacing w:val="2"/>
        </w:rPr>
        <w:t>сумму банковских гарантий (</w:t>
      </w:r>
      <w:r w:rsidRPr="00E55E40">
        <w:rPr>
          <w:spacing w:val="2"/>
        </w:rPr>
        <w:t>54184,3 тыс. руб.</w:t>
      </w:r>
      <w:r w:rsidR="00F446C6" w:rsidRPr="00E55E40">
        <w:rPr>
          <w:spacing w:val="2"/>
        </w:rPr>
        <w:t>)</w:t>
      </w:r>
      <w:r w:rsidRPr="00E55E40">
        <w:rPr>
          <w:spacing w:val="2"/>
        </w:rPr>
        <w:t xml:space="preserve"> соответственно, направленную в комитет финансов Волгоградской области письмами от 02.08.2019 № 34-11-02-11/10457 и № 34-11-01-51/10458.</w:t>
      </w:r>
    </w:p>
    <w:p w14:paraId="6AA05CCC" w14:textId="77777777" w:rsidR="00B666DD" w:rsidRPr="00E55E40" w:rsidRDefault="00F446C6" w:rsidP="00B666DD">
      <w:pPr>
        <w:pStyle w:val="ConsPlusNormal"/>
        <w:ind w:firstLine="708"/>
        <w:jc w:val="both"/>
        <w:rPr>
          <w:sz w:val="24"/>
          <w:szCs w:val="24"/>
        </w:rPr>
      </w:pPr>
      <w:r w:rsidRPr="00E55E40">
        <w:rPr>
          <w:b/>
          <w:sz w:val="24"/>
          <w:szCs w:val="24"/>
        </w:rPr>
        <w:t>4</w:t>
      </w:r>
      <w:r w:rsidR="00FE4775" w:rsidRPr="00E55E40">
        <w:rPr>
          <w:b/>
          <w:sz w:val="24"/>
          <w:szCs w:val="24"/>
        </w:rPr>
        <w:t>.</w:t>
      </w:r>
      <w:r w:rsidR="00FE4775" w:rsidRPr="00E55E40">
        <w:rPr>
          <w:sz w:val="24"/>
          <w:szCs w:val="24"/>
        </w:rPr>
        <w:t> </w:t>
      </w:r>
      <w:r w:rsidR="00CD4A63" w:rsidRPr="00E55E40">
        <w:rPr>
          <w:sz w:val="24"/>
          <w:szCs w:val="24"/>
        </w:rPr>
        <w:t>Волгоградским ДПИ в</w:t>
      </w:r>
      <w:r w:rsidR="00D916EB" w:rsidRPr="00E55E40">
        <w:rPr>
          <w:sz w:val="24"/>
          <w:szCs w:val="24"/>
        </w:rPr>
        <w:t xml:space="preserve"> нарушение Порядк</w:t>
      </w:r>
      <w:r w:rsidR="00AE768A" w:rsidRPr="00E55E40">
        <w:rPr>
          <w:sz w:val="24"/>
          <w:szCs w:val="24"/>
        </w:rPr>
        <w:t xml:space="preserve">ов </w:t>
      </w:r>
      <w:r w:rsidR="00256DDC" w:rsidRPr="00E55E40">
        <w:rPr>
          <w:sz w:val="24"/>
          <w:szCs w:val="24"/>
        </w:rPr>
        <w:t>ПНИ</w:t>
      </w:r>
      <w:r w:rsidR="00D916EB" w:rsidRPr="00E55E40">
        <w:rPr>
          <w:sz w:val="24"/>
          <w:szCs w:val="24"/>
        </w:rPr>
        <w:t xml:space="preserve"> и </w:t>
      </w:r>
      <w:r w:rsidR="00256DDC" w:rsidRPr="00E55E40">
        <w:rPr>
          <w:sz w:val="24"/>
          <w:szCs w:val="24"/>
        </w:rPr>
        <w:t>ДПИ</w:t>
      </w:r>
      <w:r w:rsidR="00D916EB" w:rsidRPr="00E55E40">
        <w:rPr>
          <w:sz w:val="24"/>
          <w:szCs w:val="24"/>
        </w:rPr>
        <w:t xml:space="preserve"> </w:t>
      </w:r>
      <w:r w:rsidR="00AE768A" w:rsidRPr="00E55E40">
        <w:rPr>
          <w:sz w:val="24"/>
          <w:szCs w:val="24"/>
        </w:rPr>
        <w:t>предоставление</w:t>
      </w:r>
      <w:r w:rsidR="00D916EB" w:rsidRPr="00E55E40">
        <w:rPr>
          <w:sz w:val="24"/>
          <w:szCs w:val="24"/>
        </w:rPr>
        <w:t xml:space="preserve"> социально</w:t>
      </w:r>
      <w:r w:rsidR="004C1F77" w:rsidRPr="00E55E40">
        <w:rPr>
          <w:sz w:val="24"/>
          <w:szCs w:val="24"/>
        </w:rPr>
        <w:t>-</w:t>
      </w:r>
      <w:r w:rsidR="00D916EB" w:rsidRPr="00E55E40">
        <w:rPr>
          <w:sz w:val="24"/>
          <w:szCs w:val="24"/>
        </w:rPr>
        <w:t xml:space="preserve">бытовой услуги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 </w:t>
      </w:r>
      <w:r w:rsidR="00AE768A" w:rsidRPr="00E55E40">
        <w:rPr>
          <w:sz w:val="24"/>
          <w:szCs w:val="24"/>
        </w:rPr>
        <w:t xml:space="preserve">в отдельных случаях осуществлялась без письменной фиксации </w:t>
      </w:r>
      <w:r w:rsidR="00D916EB" w:rsidRPr="00E55E40">
        <w:rPr>
          <w:sz w:val="24"/>
          <w:szCs w:val="24"/>
        </w:rPr>
        <w:t>передач</w:t>
      </w:r>
      <w:r w:rsidR="00AE768A" w:rsidRPr="00E55E40">
        <w:rPr>
          <w:sz w:val="24"/>
          <w:szCs w:val="24"/>
        </w:rPr>
        <w:t>и</w:t>
      </w:r>
      <w:r w:rsidR="00D916EB" w:rsidRPr="00E55E40">
        <w:rPr>
          <w:sz w:val="24"/>
          <w:szCs w:val="24"/>
        </w:rPr>
        <w:t xml:space="preserve"> денежных средств между получателем социальных услуг и сотрудником поставщика социальных услуг под роспись двух сторон (принял-получил)</w:t>
      </w:r>
      <w:r w:rsidR="00AE768A" w:rsidRPr="00E55E40">
        <w:rPr>
          <w:sz w:val="24"/>
          <w:szCs w:val="24"/>
        </w:rPr>
        <w:t>.</w:t>
      </w:r>
      <w:r w:rsidR="00B666DD" w:rsidRPr="00E55E40">
        <w:rPr>
          <w:sz w:val="24"/>
          <w:szCs w:val="24"/>
        </w:rPr>
        <w:t xml:space="preserve"> </w:t>
      </w:r>
      <w:r w:rsidR="000179EE" w:rsidRPr="00E55E40">
        <w:rPr>
          <w:sz w:val="24"/>
          <w:szCs w:val="24"/>
        </w:rPr>
        <w:t xml:space="preserve">В ходе проверки по этому факту нарушения </w:t>
      </w:r>
      <w:r w:rsidR="00D916EB" w:rsidRPr="00E55E40">
        <w:rPr>
          <w:sz w:val="24"/>
          <w:szCs w:val="24"/>
        </w:rPr>
        <w:t>проведено служебное расследование, по результатам которого социальный работник привлечен к дисциплинарной ответственности.</w:t>
      </w:r>
      <w:r w:rsidR="00B666DD" w:rsidRPr="00E55E40">
        <w:rPr>
          <w:sz w:val="24"/>
          <w:szCs w:val="24"/>
        </w:rPr>
        <w:t xml:space="preserve"> Аналогичный факт нарушения установлен в ГЦ. </w:t>
      </w:r>
    </w:p>
    <w:p w14:paraId="2514ECC8" w14:textId="77777777" w:rsidR="00C37BC3" w:rsidRPr="00E55E40" w:rsidRDefault="00CB39D9" w:rsidP="00C37BC3">
      <w:pPr>
        <w:ind w:firstLine="709"/>
        <w:jc w:val="both"/>
      </w:pPr>
      <w:r w:rsidRPr="00E55E40">
        <w:t>Царевским ПНИ при предоставлении социальных услуг допущ</w:t>
      </w:r>
      <w:r w:rsidR="00C37BC3" w:rsidRPr="00E55E40">
        <w:t xml:space="preserve">ены следующие нарушения Порядка </w:t>
      </w:r>
      <w:r w:rsidR="00256DDC" w:rsidRPr="00E55E40">
        <w:t>ПНИ</w:t>
      </w:r>
      <w:r w:rsidR="00C37BC3" w:rsidRPr="00E55E40">
        <w:t>:</w:t>
      </w:r>
    </w:p>
    <w:p w14:paraId="2ECC72FF" w14:textId="77777777" w:rsidR="00C37BC3" w:rsidRPr="00E55E40" w:rsidRDefault="00CB39D9" w:rsidP="00C37BC3">
      <w:pPr>
        <w:ind w:firstLine="709"/>
        <w:jc w:val="both"/>
      </w:pPr>
      <w:r w:rsidRPr="00E55E40">
        <w:t>- </w:t>
      </w:r>
      <w:r w:rsidR="00C37BC3" w:rsidRPr="00E55E40">
        <w:t>в отдельных спальных комнатах установлены двухъярусные кровати. Согласно объяснительной Учреждения от 05.08.2019 № 918 двухъярусные кровати планировалось заменить по мере приобретения одноярусных кроватей, которые приобретены 30.07.2019</w:t>
      </w:r>
      <w:r w:rsidR="00CC5579" w:rsidRPr="00E55E40">
        <w:t>;</w:t>
      </w:r>
    </w:p>
    <w:p w14:paraId="74647F45" w14:textId="77777777" w:rsidR="00C37BC3" w:rsidRPr="00E55E40" w:rsidRDefault="00CC5579" w:rsidP="00CC5579">
      <w:pPr>
        <w:ind w:firstLine="709"/>
        <w:jc w:val="both"/>
      </w:pPr>
      <w:r w:rsidRPr="00E55E40">
        <w:t>-</w:t>
      </w:r>
      <w:r w:rsidR="00C37BC3" w:rsidRPr="00E55E40">
        <w:t xml:space="preserve"> в отдельных случаях обеспечение получателей социальных услуг мягким инвентарем осуществлялось с несоблюдением </w:t>
      </w:r>
      <w:r w:rsidRPr="00E55E40">
        <w:t xml:space="preserve">соответствующих </w:t>
      </w:r>
      <w:r w:rsidR="00C37BC3" w:rsidRPr="00E55E40">
        <w:t>нормативов</w:t>
      </w:r>
      <w:r w:rsidRPr="00E55E40">
        <w:t>;</w:t>
      </w:r>
    </w:p>
    <w:p w14:paraId="4E7363B7" w14:textId="77777777" w:rsidR="009466AD" w:rsidRPr="00E55E40" w:rsidRDefault="009466AD" w:rsidP="00C37BC3">
      <w:pPr>
        <w:ind w:firstLine="709"/>
        <w:jc w:val="both"/>
      </w:pPr>
      <w:r w:rsidRPr="00E55E40">
        <w:t>- </w:t>
      </w:r>
      <w:r w:rsidR="00C37BC3" w:rsidRPr="00E55E40">
        <w:t>социальн</w:t>
      </w:r>
      <w:r w:rsidRPr="00E55E40">
        <w:t>ую</w:t>
      </w:r>
      <w:r w:rsidR="00C37BC3" w:rsidRPr="00E55E40">
        <w:t xml:space="preserve"> услуг</w:t>
      </w:r>
      <w:r w:rsidRPr="00E55E40">
        <w:t>у</w:t>
      </w:r>
      <w:r w:rsidR="00C37BC3" w:rsidRPr="00E55E40">
        <w:t xml:space="preserve">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предоставля</w:t>
      </w:r>
      <w:r w:rsidRPr="00E55E40">
        <w:t>лась</w:t>
      </w:r>
      <w:r w:rsidR="00C37BC3" w:rsidRPr="00E55E40">
        <w:t xml:space="preserve"> специалистом с </w:t>
      </w:r>
      <w:r w:rsidRPr="00E55E40">
        <w:t>ненадлежащим</w:t>
      </w:r>
      <w:r w:rsidR="00C37BC3" w:rsidRPr="00E55E40">
        <w:t xml:space="preserve"> образованием</w:t>
      </w:r>
      <w:r w:rsidRPr="00E55E40">
        <w:t>.</w:t>
      </w:r>
    </w:p>
    <w:p w14:paraId="3BC541D1" w14:textId="77777777" w:rsidR="00970884" w:rsidRPr="00E55E40" w:rsidRDefault="00970884" w:rsidP="00970884">
      <w:pPr>
        <w:pStyle w:val="3"/>
        <w:spacing w:after="0"/>
        <w:ind w:left="0" w:firstLine="708"/>
        <w:jc w:val="center"/>
        <w:rPr>
          <w:b/>
          <w:spacing w:val="2"/>
          <w:sz w:val="24"/>
          <w:szCs w:val="24"/>
        </w:rPr>
      </w:pPr>
      <w:r w:rsidRPr="00E55E40">
        <w:rPr>
          <w:b/>
          <w:spacing w:val="2"/>
          <w:sz w:val="24"/>
          <w:szCs w:val="24"/>
        </w:rPr>
        <w:t>Выводы</w:t>
      </w:r>
    </w:p>
    <w:p w14:paraId="197ABCB4" w14:textId="77777777" w:rsidR="00970884" w:rsidRPr="00E55E40" w:rsidRDefault="00970884" w:rsidP="00F91406">
      <w:pPr>
        <w:pStyle w:val="3"/>
        <w:spacing w:after="0"/>
        <w:ind w:left="0" w:firstLine="708"/>
        <w:jc w:val="both"/>
        <w:rPr>
          <w:spacing w:val="2"/>
          <w:sz w:val="24"/>
          <w:szCs w:val="24"/>
        </w:rPr>
      </w:pPr>
    </w:p>
    <w:p w14:paraId="14A60DB3" w14:textId="77777777" w:rsidR="00B012E0" w:rsidRPr="00E55E40" w:rsidRDefault="00B012E0" w:rsidP="00B012E0">
      <w:pPr>
        <w:pStyle w:val="3"/>
        <w:spacing w:after="0"/>
        <w:ind w:left="0" w:firstLine="709"/>
        <w:jc w:val="both"/>
        <w:rPr>
          <w:sz w:val="24"/>
          <w:szCs w:val="24"/>
        </w:rPr>
      </w:pPr>
      <w:r w:rsidRPr="00E55E40">
        <w:rPr>
          <w:b/>
          <w:sz w:val="24"/>
          <w:szCs w:val="24"/>
        </w:rPr>
        <w:t>1.</w:t>
      </w:r>
      <w:r w:rsidRPr="00E55E40">
        <w:rPr>
          <w:sz w:val="24"/>
          <w:szCs w:val="24"/>
        </w:rPr>
        <w:t> </w:t>
      </w:r>
      <w:r w:rsidR="00EF1847" w:rsidRPr="00E55E40">
        <w:rPr>
          <w:sz w:val="24"/>
          <w:szCs w:val="24"/>
        </w:rPr>
        <w:t>Организованная в государственных учреждениях социального обслуживания Волгоградской области система по уходу за престарелыми и инвалидами с обеспечением проживания характеризуется неэффективной и неконкурентной структурой по сравнению с негосударственными</w:t>
      </w:r>
      <w:r w:rsidRPr="00E55E40">
        <w:rPr>
          <w:sz w:val="24"/>
          <w:szCs w:val="24"/>
        </w:rPr>
        <w:t xml:space="preserve"> некоммерческими</w:t>
      </w:r>
      <w:r w:rsidR="00EF1847" w:rsidRPr="00E55E40">
        <w:rPr>
          <w:sz w:val="24"/>
          <w:szCs w:val="24"/>
        </w:rPr>
        <w:t xml:space="preserve"> </w:t>
      </w:r>
      <w:r w:rsidRPr="00E55E40">
        <w:rPr>
          <w:sz w:val="24"/>
          <w:szCs w:val="24"/>
        </w:rPr>
        <w:t>организац</w:t>
      </w:r>
      <w:r w:rsidR="00EF1847" w:rsidRPr="00E55E40">
        <w:rPr>
          <w:sz w:val="24"/>
          <w:szCs w:val="24"/>
        </w:rPr>
        <w:t xml:space="preserve">иями, осуществляющими аналогичные социальные услуги. </w:t>
      </w:r>
      <w:r w:rsidR="004C1F77" w:rsidRPr="00E55E40">
        <w:rPr>
          <w:sz w:val="24"/>
          <w:szCs w:val="24"/>
        </w:rPr>
        <w:t>Стоимость</w:t>
      </w:r>
      <w:r w:rsidR="00EF1847" w:rsidRPr="00E55E40">
        <w:rPr>
          <w:sz w:val="24"/>
          <w:szCs w:val="24"/>
        </w:rPr>
        <w:t xml:space="preserve"> социально</w:t>
      </w:r>
      <w:r w:rsidR="004C1F77" w:rsidRPr="00E55E40">
        <w:rPr>
          <w:sz w:val="24"/>
          <w:szCs w:val="24"/>
        </w:rPr>
        <w:t>го</w:t>
      </w:r>
      <w:r w:rsidR="00EF1847" w:rsidRPr="00E55E40">
        <w:rPr>
          <w:sz w:val="24"/>
          <w:szCs w:val="24"/>
        </w:rPr>
        <w:t xml:space="preserve"> обслуживани</w:t>
      </w:r>
      <w:r w:rsidR="004C1F77" w:rsidRPr="00E55E40">
        <w:rPr>
          <w:sz w:val="24"/>
          <w:szCs w:val="24"/>
        </w:rPr>
        <w:t>я</w:t>
      </w:r>
      <w:r w:rsidR="00EF1847" w:rsidRPr="00E55E40">
        <w:rPr>
          <w:sz w:val="24"/>
          <w:szCs w:val="24"/>
        </w:rPr>
        <w:t xml:space="preserve"> граждан в государственных </w:t>
      </w:r>
      <w:r w:rsidRPr="00E55E40">
        <w:rPr>
          <w:sz w:val="24"/>
          <w:szCs w:val="24"/>
        </w:rPr>
        <w:t>организациях</w:t>
      </w:r>
      <w:r w:rsidR="00EF1847" w:rsidRPr="00E55E40">
        <w:rPr>
          <w:sz w:val="24"/>
          <w:szCs w:val="24"/>
        </w:rPr>
        <w:t xml:space="preserve"> по сравнению с негосударственными </w:t>
      </w:r>
      <w:r w:rsidR="004C1F77" w:rsidRPr="00E55E40">
        <w:rPr>
          <w:sz w:val="24"/>
          <w:szCs w:val="24"/>
        </w:rPr>
        <w:t>выше</w:t>
      </w:r>
      <w:r w:rsidR="00EF1847" w:rsidRPr="00E55E40">
        <w:rPr>
          <w:sz w:val="24"/>
          <w:szCs w:val="24"/>
        </w:rPr>
        <w:t xml:space="preserve"> в среднем </w:t>
      </w:r>
      <w:r w:rsidR="004C1F77" w:rsidRPr="00E55E40">
        <w:rPr>
          <w:sz w:val="24"/>
          <w:szCs w:val="24"/>
        </w:rPr>
        <w:t xml:space="preserve">на </w:t>
      </w:r>
      <w:r w:rsidR="00EF1847" w:rsidRPr="00E55E40">
        <w:rPr>
          <w:sz w:val="24"/>
          <w:szCs w:val="24"/>
        </w:rPr>
        <w:t>60,4 процента.</w:t>
      </w:r>
    </w:p>
    <w:p w14:paraId="41684A5E" w14:textId="77777777" w:rsidR="00B012E0" w:rsidRPr="00E55E40" w:rsidRDefault="00B012E0" w:rsidP="00B012E0">
      <w:pPr>
        <w:pStyle w:val="3"/>
        <w:spacing w:after="0"/>
        <w:ind w:left="0" w:firstLine="709"/>
        <w:jc w:val="both"/>
        <w:rPr>
          <w:sz w:val="24"/>
          <w:szCs w:val="24"/>
        </w:rPr>
      </w:pPr>
      <w:r w:rsidRPr="00E55E40">
        <w:rPr>
          <w:b/>
          <w:sz w:val="24"/>
          <w:szCs w:val="24"/>
        </w:rPr>
        <w:t>2.</w:t>
      </w:r>
      <w:r w:rsidRPr="00E55E40">
        <w:rPr>
          <w:sz w:val="24"/>
          <w:szCs w:val="24"/>
        </w:rPr>
        <w:t> Порядок № 35-п ограничивает участие в стационарном социальном обслуживании за счет средств областного бюджета поставщик</w:t>
      </w:r>
      <w:r w:rsidR="002365DE">
        <w:rPr>
          <w:sz w:val="24"/>
          <w:szCs w:val="24"/>
        </w:rPr>
        <w:t>ами</w:t>
      </w:r>
      <w:r w:rsidRPr="00E55E40">
        <w:rPr>
          <w:sz w:val="24"/>
          <w:szCs w:val="24"/>
        </w:rPr>
        <w:t xml:space="preserve">, </w:t>
      </w:r>
      <w:r w:rsidR="002365DE">
        <w:rPr>
          <w:sz w:val="24"/>
          <w:szCs w:val="24"/>
        </w:rPr>
        <w:t>являющими</w:t>
      </w:r>
      <w:r w:rsidRPr="00E55E40">
        <w:rPr>
          <w:sz w:val="24"/>
          <w:szCs w:val="24"/>
        </w:rPr>
        <w:t xml:space="preserve">ся </w:t>
      </w:r>
      <w:r w:rsidR="002365DE">
        <w:rPr>
          <w:sz w:val="24"/>
          <w:szCs w:val="24"/>
        </w:rPr>
        <w:t xml:space="preserve">только </w:t>
      </w:r>
      <w:r w:rsidRPr="00E55E40">
        <w:rPr>
          <w:sz w:val="24"/>
          <w:szCs w:val="24"/>
        </w:rPr>
        <w:t>некоммерческими организациям</w:t>
      </w:r>
      <w:r w:rsidR="0088165A" w:rsidRPr="00E55E40">
        <w:rPr>
          <w:sz w:val="24"/>
          <w:szCs w:val="24"/>
        </w:rPr>
        <w:t>.</w:t>
      </w:r>
    </w:p>
    <w:p w14:paraId="58F9D6C8" w14:textId="77777777" w:rsidR="00FB640B" w:rsidRPr="00E55E40" w:rsidRDefault="0088165A" w:rsidP="00FB640B">
      <w:pPr>
        <w:pStyle w:val="3"/>
        <w:spacing w:after="0"/>
        <w:ind w:left="0" w:firstLine="708"/>
        <w:jc w:val="both"/>
        <w:rPr>
          <w:sz w:val="24"/>
          <w:szCs w:val="24"/>
        </w:rPr>
      </w:pPr>
      <w:r w:rsidRPr="00E55E40">
        <w:rPr>
          <w:b/>
          <w:sz w:val="24"/>
          <w:szCs w:val="24"/>
        </w:rPr>
        <w:lastRenderedPageBreak/>
        <w:t>3</w:t>
      </w:r>
      <w:r w:rsidR="00FB640B" w:rsidRPr="00E55E40">
        <w:rPr>
          <w:b/>
          <w:sz w:val="24"/>
          <w:szCs w:val="24"/>
        </w:rPr>
        <w:t>.</w:t>
      </w:r>
      <w:r w:rsidR="00FB640B" w:rsidRPr="00E55E40">
        <w:rPr>
          <w:sz w:val="24"/>
          <w:szCs w:val="24"/>
        </w:rPr>
        <w:t> В нарушение ст.16 Федерального закона от 28.12.2013 № 442-ФЗ «Об основах социального обслуживания граждан в РФ» (далее Закон № 442-ФЗ) формирование индивидуальных программ предоставления социальных услуг осуществляется без учета потребности граждан в социальных услугах.</w:t>
      </w:r>
    </w:p>
    <w:p w14:paraId="03B1A04F" w14:textId="77777777" w:rsidR="00EF1847" w:rsidRPr="00E55E40" w:rsidRDefault="0088165A" w:rsidP="00EF1847">
      <w:pPr>
        <w:pStyle w:val="3"/>
        <w:spacing w:after="0"/>
        <w:ind w:left="0" w:firstLine="708"/>
        <w:jc w:val="both"/>
        <w:rPr>
          <w:sz w:val="24"/>
          <w:szCs w:val="24"/>
        </w:rPr>
      </w:pPr>
      <w:r w:rsidRPr="00E55E40">
        <w:rPr>
          <w:b/>
          <w:sz w:val="24"/>
          <w:szCs w:val="24"/>
        </w:rPr>
        <w:t>4</w:t>
      </w:r>
      <w:r w:rsidR="00EF1847" w:rsidRPr="00E55E40">
        <w:rPr>
          <w:b/>
          <w:sz w:val="24"/>
          <w:szCs w:val="24"/>
        </w:rPr>
        <w:t>.</w:t>
      </w:r>
      <w:r w:rsidR="00EF1847" w:rsidRPr="00E55E40">
        <w:rPr>
          <w:sz w:val="24"/>
          <w:szCs w:val="24"/>
        </w:rPr>
        <w:t> Объёмы финансового обеспечения, направляемые на социальное обслуживание граждан в государственных учреждениях, существенно превосходят стоимость социальных услуг, фактически предоставляемых этими учреждениями.</w:t>
      </w:r>
    </w:p>
    <w:p w14:paraId="505FAE85" w14:textId="77777777" w:rsidR="00EF1847" w:rsidRPr="00E55E40" w:rsidRDefault="0088165A" w:rsidP="00EF1847">
      <w:pPr>
        <w:pStyle w:val="3"/>
        <w:spacing w:after="0"/>
        <w:ind w:left="0" w:firstLine="708"/>
        <w:jc w:val="both"/>
        <w:rPr>
          <w:sz w:val="24"/>
          <w:szCs w:val="24"/>
        </w:rPr>
      </w:pPr>
      <w:r w:rsidRPr="00E55E40">
        <w:rPr>
          <w:b/>
          <w:sz w:val="24"/>
          <w:szCs w:val="24"/>
        </w:rPr>
        <w:t>5</w:t>
      </w:r>
      <w:r w:rsidR="00EF1847" w:rsidRPr="00E55E40">
        <w:rPr>
          <w:b/>
          <w:sz w:val="24"/>
          <w:szCs w:val="24"/>
        </w:rPr>
        <w:t>.</w:t>
      </w:r>
      <w:r w:rsidR="00EF1847" w:rsidRPr="00E55E40">
        <w:rPr>
          <w:sz w:val="24"/>
          <w:szCs w:val="24"/>
        </w:rPr>
        <w:t xml:space="preserve"> Неэффективные расходы областного бюджета при социальном обслуживании граждан составили </w:t>
      </w:r>
      <w:r w:rsidR="00DE0343" w:rsidRPr="00E55E40">
        <w:rPr>
          <w:sz w:val="24"/>
          <w:szCs w:val="24"/>
        </w:rPr>
        <w:t>106</w:t>
      </w:r>
      <w:r w:rsidR="00EF1847" w:rsidRPr="00E55E40">
        <w:rPr>
          <w:sz w:val="24"/>
          <w:szCs w:val="24"/>
        </w:rPr>
        <w:t>,6 млн. руб., в том числе:</w:t>
      </w:r>
    </w:p>
    <w:p w14:paraId="01B70A86" w14:textId="77777777" w:rsidR="00EF1847" w:rsidRPr="00E55E40" w:rsidRDefault="00EF1847" w:rsidP="00EF1847">
      <w:pPr>
        <w:pStyle w:val="3"/>
        <w:spacing w:after="0"/>
        <w:ind w:left="0" w:firstLine="708"/>
        <w:jc w:val="both"/>
        <w:rPr>
          <w:sz w:val="24"/>
          <w:szCs w:val="24"/>
        </w:rPr>
      </w:pPr>
      <w:r w:rsidRPr="00E55E40">
        <w:rPr>
          <w:sz w:val="24"/>
          <w:szCs w:val="24"/>
        </w:rPr>
        <w:t>- 4</w:t>
      </w:r>
      <w:r w:rsidR="00DE0343" w:rsidRPr="00E55E40">
        <w:rPr>
          <w:sz w:val="24"/>
          <w:szCs w:val="24"/>
        </w:rPr>
        <w:t>9</w:t>
      </w:r>
      <w:r w:rsidRPr="00E55E40">
        <w:rPr>
          <w:sz w:val="24"/>
          <w:szCs w:val="24"/>
        </w:rPr>
        <w:t>,4 млн. руб. - предоставление государственных услуг в домах интернатах малой вместимости, являющихся филиалами домов престарелых и инвалидов, в 2017-2018 годы осуществля</w:t>
      </w:r>
      <w:r w:rsidR="00DE0343" w:rsidRPr="00E55E40">
        <w:rPr>
          <w:sz w:val="24"/>
          <w:szCs w:val="24"/>
        </w:rPr>
        <w:t>лось</w:t>
      </w:r>
      <w:r w:rsidRPr="00E55E40">
        <w:rPr>
          <w:sz w:val="24"/>
          <w:szCs w:val="24"/>
        </w:rPr>
        <w:t xml:space="preserve"> с оказанием меньшего объёма социальных услуг, но при больших затратах, чем предоставление аналогичных государственных услуг в домах престарелых и инвалидов; </w:t>
      </w:r>
    </w:p>
    <w:p w14:paraId="661B60DD" w14:textId="77777777" w:rsidR="00EF1847" w:rsidRPr="00E55E40" w:rsidRDefault="00EF1847" w:rsidP="00EF1847">
      <w:pPr>
        <w:pStyle w:val="3"/>
        <w:spacing w:after="0"/>
        <w:ind w:left="0" w:firstLine="708"/>
        <w:jc w:val="both"/>
        <w:rPr>
          <w:sz w:val="24"/>
          <w:szCs w:val="24"/>
        </w:rPr>
      </w:pPr>
      <w:r w:rsidRPr="00E55E40">
        <w:rPr>
          <w:sz w:val="24"/>
          <w:szCs w:val="24"/>
        </w:rPr>
        <w:t xml:space="preserve">- 54,8 млн. руб. - уменьшение показателей государственных заданий для отдельных государственных учреждений осуществлено Комитетом в 2018 году без соответствующего уменьшения объёма субсидии; </w:t>
      </w:r>
    </w:p>
    <w:p w14:paraId="435FE23E" w14:textId="77777777" w:rsidR="00EF1847" w:rsidRPr="00E55E40" w:rsidRDefault="00EF1847" w:rsidP="00EF1847">
      <w:pPr>
        <w:pStyle w:val="3"/>
        <w:spacing w:after="0"/>
        <w:ind w:left="0" w:firstLine="708"/>
        <w:jc w:val="both"/>
        <w:rPr>
          <w:sz w:val="24"/>
          <w:szCs w:val="24"/>
        </w:rPr>
      </w:pPr>
      <w:r w:rsidRPr="00E55E40">
        <w:rPr>
          <w:sz w:val="24"/>
          <w:szCs w:val="24"/>
        </w:rPr>
        <w:t>- 2,4 млн. руб. - необоснованное применения тарифного метода при определении НМЦК повлекло дополнительные расходы при организации питания на условиях аутсорсинга в Волжском ПНИ в 2016-2017 год</w:t>
      </w:r>
      <w:r w:rsidR="00DE0343" w:rsidRPr="00E55E40">
        <w:rPr>
          <w:sz w:val="24"/>
          <w:szCs w:val="24"/>
        </w:rPr>
        <w:t>ах</w:t>
      </w:r>
      <w:r w:rsidRPr="00E55E40">
        <w:rPr>
          <w:sz w:val="24"/>
          <w:szCs w:val="24"/>
        </w:rPr>
        <w:t>.</w:t>
      </w:r>
    </w:p>
    <w:p w14:paraId="50773AD7" w14:textId="77777777" w:rsidR="00EF1847" w:rsidRPr="00E55E40" w:rsidRDefault="0088165A" w:rsidP="00EF1847">
      <w:pPr>
        <w:pStyle w:val="3"/>
        <w:spacing w:after="0"/>
        <w:ind w:left="0" w:firstLine="708"/>
        <w:jc w:val="both"/>
        <w:rPr>
          <w:sz w:val="24"/>
          <w:szCs w:val="24"/>
        </w:rPr>
      </w:pPr>
      <w:r w:rsidRPr="00E55E40">
        <w:rPr>
          <w:b/>
          <w:sz w:val="24"/>
          <w:szCs w:val="24"/>
        </w:rPr>
        <w:t>6</w:t>
      </w:r>
      <w:r w:rsidR="00EF1847" w:rsidRPr="00E55E40">
        <w:rPr>
          <w:b/>
          <w:sz w:val="24"/>
          <w:szCs w:val="24"/>
        </w:rPr>
        <w:t>.</w:t>
      </w:r>
      <w:r w:rsidR="00EF1847" w:rsidRPr="00E55E40">
        <w:rPr>
          <w:sz w:val="24"/>
          <w:szCs w:val="24"/>
        </w:rPr>
        <w:t xml:space="preserve"> Резервы расходов областного бюджета на социальное обслуживание граждан составили </w:t>
      </w:r>
      <w:r w:rsidR="00DE0343" w:rsidRPr="00E55E40">
        <w:rPr>
          <w:sz w:val="24"/>
          <w:szCs w:val="24"/>
        </w:rPr>
        <w:t>771,4</w:t>
      </w:r>
      <w:r w:rsidR="00EF1847" w:rsidRPr="00E55E40">
        <w:rPr>
          <w:sz w:val="24"/>
          <w:szCs w:val="24"/>
        </w:rPr>
        <w:t xml:space="preserve"> млн. руб.</w:t>
      </w:r>
    </w:p>
    <w:p w14:paraId="09192D8A" w14:textId="77777777" w:rsidR="00EF1847" w:rsidRPr="00E55E40" w:rsidRDefault="00EF1847" w:rsidP="00EF1847">
      <w:pPr>
        <w:pStyle w:val="3"/>
        <w:spacing w:after="0"/>
        <w:ind w:left="0" w:firstLine="708"/>
        <w:jc w:val="both"/>
        <w:rPr>
          <w:sz w:val="24"/>
          <w:szCs w:val="24"/>
        </w:rPr>
      </w:pPr>
      <w:r w:rsidRPr="00E55E40">
        <w:rPr>
          <w:sz w:val="24"/>
          <w:szCs w:val="24"/>
        </w:rPr>
        <w:t>- </w:t>
      </w:r>
      <w:r w:rsidR="00DE0343" w:rsidRPr="00E55E40">
        <w:rPr>
          <w:sz w:val="24"/>
          <w:szCs w:val="24"/>
        </w:rPr>
        <w:t>766</w:t>
      </w:r>
      <w:r w:rsidRPr="00E55E40">
        <w:rPr>
          <w:sz w:val="24"/>
          <w:szCs w:val="24"/>
        </w:rPr>
        <w:t>,</w:t>
      </w:r>
      <w:r w:rsidR="00DE0343" w:rsidRPr="00E55E40">
        <w:rPr>
          <w:sz w:val="24"/>
          <w:szCs w:val="24"/>
        </w:rPr>
        <w:t>4</w:t>
      </w:r>
      <w:r w:rsidRPr="00E55E40">
        <w:rPr>
          <w:sz w:val="24"/>
          <w:szCs w:val="24"/>
        </w:rPr>
        <w:t xml:space="preserve"> млн. руб. в случае перевода получателей социальных услуг на социальное обслуживание в </w:t>
      </w:r>
      <w:r w:rsidR="00DE0343" w:rsidRPr="00E55E40">
        <w:rPr>
          <w:sz w:val="24"/>
          <w:szCs w:val="24"/>
        </w:rPr>
        <w:t>негосударственные организации</w:t>
      </w:r>
      <w:r w:rsidRPr="00E55E40">
        <w:rPr>
          <w:sz w:val="24"/>
          <w:szCs w:val="24"/>
        </w:rPr>
        <w:t>;</w:t>
      </w:r>
    </w:p>
    <w:p w14:paraId="25F4BC09" w14:textId="77777777" w:rsidR="00EF1847" w:rsidRPr="00E55E40" w:rsidRDefault="00EF1847" w:rsidP="00EF1847">
      <w:pPr>
        <w:pStyle w:val="3"/>
        <w:spacing w:after="0"/>
        <w:ind w:left="0" w:firstLine="708"/>
        <w:jc w:val="both"/>
        <w:rPr>
          <w:sz w:val="24"/>
          <w:szCs w:val="24"/>
        </w:rPr>
      </w:pPr>
      <w:r w:rsidRPr="00E55E40">
        <w:rPr>
          <w:sz w:val="24"/>
          <w:szCs w:val="24"/>
        </w:rPr>
        <w:t>- </w:t>
      </w:r>
      <w:r w:rsidR="00DE0343" w:rsidRPr="00E55E40">
        <w:rPr>
          <w:sz w:val="24"/>
          <w:szCs w:val="24"/>
        </w:rPr>
        <w:t>5</w:t>
      </w:r>
      <w:r w:rsidRPr="00E55E40">
        <w:rPr>
          <w:sz w:val="24"/>
          <w:szCs w:val="24"/>
        </w:rPr>
        <w:t xml:space="preserve"> млн. руб. в случае применения для домов интернатов малой вместимости, являющихся филиалами домов престарелых и инвалидов, при расчете финансового обеспечения государственного задания такого же базового норматива, как и для домов престарелых и инвалидов.  </w:t>
      </w:r>
    </w:p>
    <w:p w14:paraId="38DE61E3" w14:textId="77777777" w:rsidR="00EF1847" w:rsidRPr="00E55E40" w:rsidRDefault="0088165A" w:rsidP="00EF1847">
      <w:pPr>
        <w:pStyle w:val="3"/>
        <w:spacing w:after="0"/>
        <w:ind w:left="0" w:firstLine="708"/>
        <w:jc w:val="both"/>
        <w:rPr>
          <w:sz w:val="24"/>
          <w:szCs w:val="24"/>
        </w:rPr>
      </w:pPr>
      <w:r w:rsidRPr="00E55E40">
        <w:rPr>
          <w:b/>
          <w:sz w:val="24"/>
          <w:szCs w:val="24"/>
        </w:rPr>
        <w:t>7</w:t>
      </w:r>
      <w:r w:rsidR="00EF1847" w:rsidRPr="00E55E40">
        <w:rPr>
          <w:b/>
          <w:sz w:val="24"/>
          <w:szCs w:val="24"/>
        </w:rPr>
        <w:t>.</w:t>
      </w:r>
      <w:r w:rsidR="00EF1847" w:rsidRPr="00E55E40">
        <w:rPr>
          <w:sz w:val="24"/>
          <w:szCs w:val="24"/>
        </w:rPr>
        <w:t xml:space="preserve"> Фактически </w:t>
      </w:r>
      <w:r w:rsidR="00DE0343" w:rsidRPr="00E55E40">
        <w:rPr>
          <w:sz w:val="24"/>
          <w:szCs w:val="24"/>
        </w:rPr>
        <w:t>осуществляемая</w:t>
      </w:r>
      <w:r w:rsidR="00EF1847" w:rsidRPr="00E55E40">
        <w:rPr>
          <w:sz w:val="24"/>
          <w:szCs w:val="24"/>
        </w:rPr>
        <w:t xml:space="preserve"> в геронтологическом центре дополнительная деятельность не имеет соответствующих показателей количества и качества, что не позволяет оценить эффективность затрачиваемых на эту дополнительную деятельность бюджетных средств.</w:t>
      </w:r>
    </w:p>
    <w:p w14:paraId="465E1948" w14:textId="77777777" w:rsidR="00EF1847" w:rsidRPr="00E55E40" w:rsidRDefault="0088165A" w:rsidP="00EF1847">
      <w:pPr>
        <w:pStyle w:val="3"/>
        <w:spacing w:after="0"/>
        <w:ind w:left="0" w:firstLine="708"/>
        <w:jc w:val="both"/>
        <w:rPr>
          <w:sz w:val="24"/>
          <w:szCs w:val="24"/>
        </w:rPr>
      </w:pPr>
      <w:r w:rsidRPr="00E55E40">
        <w:rPr>
          <w:b/>
          <w:sz w:val="24"/>
          <w:szCs w:val="24"/>
        </w:rPr>
        <w:t>8</w:t>
      </w:r>
      <w:r w:rsidR="00EF1847" w:rsidRPr="00E55E40">
        <w:rPr>
          <w:b/>
          <w:sz w:val="24"/>
          <w:szCs w:val="24"/>
        </w:rPr>
        <w:t>.</w:t>
      </w:r>
      <w:r w:rsidR="00EF1847" w:rsidRPr="00E55E40">
        <w:rPr>
          <w:sz w:val="24"/>
          <w:szCs w:val="24"/>
        </w:rPr>
        <w:t xml:space="preserve"> Установлены нарушения следующих пунктов Положения № 818-п:</w:t>
      </w:r>
    </w:p>
    <w:p w14:paraId="22FCB480" w14:textId="77777777" w:rsidR="00EF1847" w:rsidRPr="00E55E40" w:rsidRDefault="00EF1847" w:rsidP="00EF1847">
      <w:pPr>
        <w:pStyle w:val="3"/>
        <w:spacing w:after="0"/>
        <w:ind w:left="0" w:firstLine="708"/>
        <w:jc w:val="both"/>
        <w:rPr>
          <w:sz w:val="24"/>
          <w:szCs w:val="24"/>
        </w:rPr>
      </w:pPr>
      <w:r w:rsidRPr="00E55E40">
        <w:rPr>
          <w:sz w:val="24"/>
          <w:szCs w:val="24"/>
        </w:rPr>
        <w:t>п.37 - соглашения, заключаемые в проверяемом периоде Комитетом с подведомственными учреждениями на финансовое обеспечение выполнения государственного задания, не содержат периодичности перечисления субсидии в течение финансового года;</w:t>
      </w:r>
    </w:p>
    <w:p w14:paraId="53A56811" w14:textId="77777777" w:rsidR="00EF1847" w:rsidRPr="00E55E40" w:rsidRDefault="00EF1847" w:rsidP="00EF1847">
      <w:pPr>
        <w:pStyle w:val="3"/>
        <w:spacing w:after="0"/>
        <w:ind w:left="0" w:firstLine="708"/>
        <w:jc w:val="both"/>
        <w:rPr>
          <w:sz w:val="24"/>
          <w:szCs w:val="24"/>
        </w:rPr>
      </w:pPr>
      <w:r w:rsidRPr="00E55E40">
        <w:rPr>
          <w:sz w:val="24"/>
          <w:szCs w:val="24"/>
        </w:rPr>
        <w:t>п.3 - при доведении до отдельных государственных учреждений государственных заданий на оказание одинаковой государственной услуги по нескольким порядкам</w:t>
      </w:r>
      <w:r w:rsidR="00DE0343" w:rsidRPr="00E55E40">
        <w:rPr>
          <w:sz w:val="24"/>
          <w:szCs w:val="24"/>
        </w:rPr>
        <w:t xml:space="preserve"> </w:t>
      </w:r>
      <w:r w:rsidRPr="00E55E40">
        <w:rPr>
          <w:sz w:val="24"/>
          <w:szCs w:val="24"/>
        </w:rPr>
        <w:t xml:space="preserve">государственная услуга отражалась в двух разделах государственного задания (в зависимости от порядка оказания), что нарушает </w:t>
      </w:r>
      <w:hyperlink r:id="rId20" w:history="1">
        <w:r w:rsidRPr="00E55E40">
          <w:rPr>
            <w:sz w:val="24"/>
            <w:szCs w:val="24"/>
          </w:rPr>
          <w:t>Положени</w:t>
        </w:r>
      </w:hyperlink>
      <w:r w:rsidRPr="00E55E40">
        <w:rPr>
          <w:sz w:val="24"/>
          <w:szCs w:val="24"/>
        </w:rPr>
        <w:t>е № 818-п, согласно которому государственное задание формируется из нескольких разделов в случае установления государственному учреждению государственного задания на оказание нескольких государственных услуг</w:t>
      </w:r>
      <w:r w:rsidR="009A1FE2" w:rsidRPr="00E55E40">
        <w:rPr>
          <w:sz w:val="24"/>
          <w:szCs w:val="24"/>
        </w:rPr>
        <w:t xml:space="preserve"> (следовало отражать в одном разделе).</w:t>
      </w:r>
    </w:p>
    <w:p w14:paraId="0B963EA7" w14:textId="77777777" w:rsidR="00E469A7" w:rsidRPr="00E55E40" w:rsidRDefault="0088165A" w:rsidP="00E469A7">
      <w:pPr>
        <w:pStyle w:val="3"/>
        <w:spacing w:after="0"/>
        <w:ind w:left="0" w:firstLine="708"/>
        <w:jc w:val="both"/>
        <w:rPr>
          <w:sz w:val="24"/>
          <w:szCs w:val="24"/>
        </w:rPr>
      </w:pPr>
      <w:r w:rsidRPr="00E55E40">
        <w:rPr>
          <w:b/>
          <w:sz w:val="24"/>
          <w:szCs w:val="24"/>
        </w:rPr>
        <w:t>9</w:t>
      </w:r>
      <w:r w:rsidR="00E469A7" w:rsidRPr="00E55E40">
        <w:rPr>
          <w:b/>
          <w:sz w:val="24"/>
          <w:szCs w:val="24"/>
        </w:rPr>
        <w:t>.</w:t>
      </w:r>
      <w:r w:rsidR="00E469A7" w:rsidRPr="00E55E40">
        <w:rPr>
          <w:sz w:val="24"/>
          <w:szCs w:val="24"/>
        </w:rPr>
        <w:t> </w:t>
      </w:r>
      <w:r w:rsidR="00537A3A" w:rsidRPr="00E55E40">
        <w:rPr>
          <w:sz w:val="24"/>
          <w:szCs w:val="24"/>
        </w:rPr>
        <w:t>Пункт 9 Положения № 818-п, согласно которому  расчет финансового обеспечения выполнения государственного задания осуществлялся без уменьшения его объема на неиспользованный по состоянию на 01 января финансового года, на который рассчитывается государственное задание, остатка субсидии на финансовое обеспечение выполнения государственного задания текущего года, противоречит действующему законодательству.</w:t>
      </w:r>
    </w:p>
    <w:p w14:paraId="1DEE446B" w14:textId="77777777" w:rsidR="00E469A7" w:rsidRPr="00E55E40" w:rsidRDefault="0088165A" w:rsidP="00EF1847">
      <w:pPr>
        <w:pStyle w:val="3"/>
        <w:spacing w:after="0"/>
        <w:ind w:left="0" w:firstLine="708"/>
        <w:jc w:val="both"/>
        <w:rPr>
          <w:sz w:val="24"/>
          <w:szCs w:val="24"/>
        </w:rPr>
      </w:pPr>
      <w:r w:rsidRPr="00E55E40">
        <w:rPr>
          <w:b/>
          <w:sz w:val="24"/>
          <w:szCs w:val="24"/>
        </w:rPr>
        <w:t>10</w:t>
      </w:r>
      <w:r w:rsidR="008828FD" w:rsidRPr="00E55E40">
        <w:rPr>
          <w:b/>
          <w:sz w:val="24"/>
          <w:szCs w:val="24"/>
        </w:rPr>
        <w:t>.</w:t>
      </w:r>
      <w:r w:rsidR="008828FD" w:rsidRPr="00E55E40">
        <w:rPr>
          <w:sz w:val="24"/>
          <w:szCs w:val="24"/>
        </w:rPr>
        <w:t xml:space="preserve"> Особенности фактически сложившегося механизма финансового обеспечения выполнения государственного задания, предполагающие неполное доведение лимитов бюджетных обязательств и их уменьшение на сумму экономии, образовавшейся по результатам закупок, осуществляемых учреждениями, не являющимися получателями </w:t>
      </w:r>
      <w:r w:rsidR="008828FD" w:rsidRPr="00E55E40">
        <w:rPr>
          <w:sz w:val="24"/>
          <w:szCs w:val="24"/>
        </w:rPr>
        <w:lastRenderedPageBreak/>
        <w:t>бюджетных средств, приводит к нарушению Комитетом Положения № 818-п по независящим от него причинам в части необеспечения взаимосвязи объемов финансирования и показателей государственных заданий.</w:t>
      </w:r>
    </w:p>
    <w:p w14:paraId="58C375BE" w14:textId="77777777" w:rsidR="00EF1847" w:rsidRPr="00E55E40" w:rsidRDefault="008828FD" w:rsidP="00EF1847">
      <w:pPr>
        <w:pStyle w:val="3"/>
        <w:spacing w:after="0"/>
        <w:ind w:left="0" w:firstLine="708"/>
        <w:jc w:val="both"/>
        <w:rPr>
          <w:sz w:val="24"/>
          <w:szCs w:val="24"/>
        </w:rPr>
      </w:pPr>
      <w:r w:rsidRPr="00E55E40">
        <w:rPr>
          <w:b/>
          <w:sz w:val="24"/>
          <w:szCs w:val="24"/>
        </w:rPr>
        <w:t>1</w:t>
      </w:r>
      <w:r w:rsidR="0088165A" w:rsidRPr="00E55E40">
        <w:rPr>
          <w:b/>
          <w:sz w:val="24"/>
          <w:szCs w:val="24"/>
        </w:rPr>
        <w:t>1</w:t>
      </w:r>
      <w:r w:rsidR="00EF1847" w:rsidRPr="00E55E40">
        <w:rPr>
          <w:b/>
          <w:sz w:val="24"/>
          <w:szCs w:val="24"/>
        </w:rPr>
        <w:t>.</w:t>
      </w:r>
      <w:r w:rsidR="00EF1847" w:rsidRPr="00E55E40">
        <w:rPr>
          <w:sz w:val="24"/>
          <w:szCs w:val="24"/>
        </w:rPr>
        <w:t> Коэффициент выравнивания, учитывающий объём доведенных бюджетных ассигнований, на 2018 и 2019 годы утверждён с нарушением установленного Комитетом срока</w:t>
      </w:r>
      <w:r w:rsidR="00E469A7" w:rsidRPr="00E55E40">
        <w:rPr>
          <w:sz w:val="24"/>
          <w:szCs w:val="24"/>
        </w:rPr>
        <w:t xml:space="preserve"> в связи с тем, что размеры нормативных затрат на 2018 и 2019 годы, с использованием которых определяется коэффициент выравнивания, согласованы комитетом финансов 15.02.2018 и 25.03.2019 соответственно</w:t>
      </w:r>
      <w:r w:rsidR="00EF1847" w:rsidRPr="00E55E40">
        <w:rPr>
          <w:sz w:val="24"/>
          <w:szCs w:val="24"/>
        </w:rPr>
        <w:t>.</w:t>
      </w:r>
    </w:p>
    <w:p w14:paraId="5D88CEB1" w14:textId="77777777" w:rsidR="000F3B16" w:rsidRPr="00E55E40" w:rsidRDefault="008828FD" w:rsidP="000F3B16">
      <w:pPr>
        <w:ind w:firstLine="709"/>
        <w:jc w:val="both"/>
      </w:pPr>
      <w:r w:rsidRPr="00E55E40">
        <w:rPr>
          <w:b/>
        </w:rPr>
        <w:t>1</w:t>
      </w:r>
      <w:r w:rsidR="0088165A" w:rsidRPr="00E55E40">
        <w:rPr>
          <w:b/>
        </w:rPr>
        <w:t>2</w:t>
      </w:r>
      <w:r w:rsidR="00EF1847" w:rsidRPr="00E55E40">
        <w:rPr>
          <w:b/>
        </w:rPr>
        <w:t>.</w:t>
      </w:r>
      <w:r w:rsidR="00EF1847" w:rsidRPr="00E55E40">
        <w:t> Расчет территориальных коэффициентов</w:t>
      </w:r>
      <w:r w:rsidR="001E38C2" w:rsidRPr="00E55E40">
        <w:t xml:space="preserve"> по оплате труда </w:t>
      </w:r>
      <w:r w:rsidR="00EF1847" w:rsidRPr="00E55E40">
        <w:t>осуществлялся с нарушением Общих требований № 445н</w:t>
      </w:r>
      <w:r w:rsidR="001E38C2" w:rsidRPr="00E55E40">
        <w:t>. Например,</w:t>
      </w:r>
      <w:r w:rsidR="000F3B16" w:rsidRPr="00E55E40">
        <w:t xml:space="preserve"> </w:t>
      </w:r>
      <w:r w:rsidR="001E38C2" w:rsidRPr="00E55E40">
        <w:t xml:space="preserve">по Волгоградскому ДПИ это </w:t>
      </w:r>
      <w:r w:rsidR="000F3B16" w:rsidRPr="00E55E40">
        <w:t>прив</w:t>
      </w:r>
      <w:r w:rsidR="001E38C2" w:rsidRPr="00E55E40">
        <w:t>ело</w:t>
      </w:r>
      <w:r w:rsidR="000F3B16" w:rsidRPr="00E55E40">
        <w:t xml:space="preserve"> к завышению нормативных затрат и дополнительным расходам на финансовое обеспечение выполнения государственного задания в 2019 году на 685,5 тыс. рублей. </w:t>
      </w:r>
    </w:p>
    <w:p w14:paraId="646E3FE1" w14:textId="77777777" w:rsidR="00EF1847" w:rsidRPr="00E55E40" w:rsidRDefault="00EF1847" w:rsidP="00EF1847">
      <w:pPr>
        <w:pStyle w:val="3"/>
        <w:spacing w:after="0"/>
        <w:ind w:left="0" w:firstLine="708"/>
        <w:jc w:val="both"/>
        <w:rPr>
          <w:sz w:val="24"/>
          <w:szCs w:val="24"/>
        </w:rPr>
      </w:pPr>
      <w:r w:rsidRPr="00E55E40">
        <w:rPr>
          <w:b/>
          <w:sz w:val="24"/>
          <w:szCs w:val="24"/>
        </w:rPr>
        <w:t>1</w:t>
      </w:r>
      <w:r w:rsidR="0088165A" w:rsidRPr="00E55E40">
        <w:rPr>
          <w:b/>
          <w:sz w:val="24"/>
          <w:szCs w:val="24"/>
        </w:rPr>
        <w:t>3</w:t>
      </w:r>
      <w:r w:rsidRPr="00E55E40">
        <w:rPr>
          <w:b/>
          <w:sz w:val="24"/>
          <w:szCs w:val="24"/>
        </w:rPr>
        <w:t>.</w:t>
      </w:r>
      <w:r w:rsidRPr="00E55E40">
        <w:rPr>
          <w:sz w:val="24"/>
          <w:szCs w:val="24"/>
        </w:rPr>
        <w:t> Установлены нарушения следующих пунктов Порядка № 35-п при заключении договора с АНО:</w:t>
      </w:r>
    </w:p>
    <w:p w14:paraId="749583EF" w14:textId="77777777" w:rsidR="00EF1847" w:rsidRPr="00E55E40" w:rsidRDefault="00EF1847" w:rsidP="00EF1847">
      <w:pPr>
        <w:pStyle w:val="3"/>
        <w:spacing w:after="0"/>
        <w:ind w:left="0" w:firstLine="708"/>
        <w:jc w:val="both"/>
        <w:rPr>
          <w:sz w:val="24"/>
          <w:szCs w:val="24"/>
        </w:rPr>
      </w:pPr>
      <w:r w:rsidRPr="00E55E40">
        <w:rPr>
          <w:sz w:val="24"/>
          <w:szCs w:val="24"/>
        </w:rPr>
        <w:t>п.5.5 - при установлении п</w:t>
      </w:r>
      <w:r w:rsidRPr="00E55E40">
        <w:rPr>
          <w:rFonts w:eastAsiaTheme="minorHAnsi"/>
          <w:sz w:val="24"/>
          <w:szCs w:val="24"/>
          <w:lang w:eastAsia="en-US"/>
        </w:rPr>
        <w:t>ериодичности перечисления субсидии;</w:t>
      </w:r>
    </w:p>
    <w:p w14:paraId="26F368ED" w14:textId="77777777" w:rsidR="00EF1847" w:rsidRPr="00E55E40" w:rsidRDefault="00EF1847" w:rsidP="00EF1847">
      <w:pPr>
        <w:pStyle w:val="3"/>
        <w:spacing w:after="0"/>
        <w:ind w:left="0" w:firstLine="708"/>
        <w:jc w:val="both"/>
        <w:rPr>
          <w:sz w:val="24"/>
          <w:szCs w:val="24"/>
        </w:rPr>
      </w:pPr>
      <w:r w:rsidRPr="00E55E40">
        <w:rPr>
          <w:sz w:val="24"/>
          <w:szCs w:val="24"/>
        </w:rPr>
        <w:t>п.5.4 - при установлении значения показателя результативности «удовлетворенность получателей социальных услуг в оказанных социальных услугах [доля получателей социальных услуг, удовлетворенных качеством предоставляемых социальных услуг, от общего числа получателей социальных услуг по итогам проведенных опросов (анкетирования)]».</w:t>
      </w:r>
    </w:p>
    <w:p w14:paraId="630D24BC" w14:textId="77777777" w:rsidR="00E469A7" w:rsidRPr="00E55E40" w:rsidRDefault="00EF1847" w:rsidP="00EF1847">
      <w:pPr>
        <w:pStyle w:val="3"/>
        <w:spacing w:after="0"/>
        <w:ind w:left="0" w:firstLine="708"/>
        <w:jc w:val="both"/>
        <w:rPr>
          <w:sz w:val="24"/>
          <w:szCs w:val="24"/>
        </w:rPr>
      </w:pPr>
      <w:r w:rsidRPr="00E55E40">
        <w:rPr>
          <w:b/>
          <w:sz w:val="24"/>
          <w:szCs w:val="24"/>
        </w:rPr>
        <w:t>1</w:t>
      </w:r>
      <w:r w:rsidR="0088165A" w:rsidRPr="00E55E40">
        <w:rPr>
          <w:b/>
          <w:sz w:val="24"/>
          <w:szCs w:val="24"/>
        </w:rPr>
        <w:t>4</w:t>
      </w:r>
      <w:r w:rsidRPr="00E55E40">
        <w:rPr>
          <w:b/>
          <w:sz w:val="24"/>
          <w:szCs w:val="24"/>
        </w:rPr>
        <w:t>.</w:t>
      </w:r>
      <w:r w:rsidRPr="00E55E40">
        <w:rPr>
          <w:sz w:val="24"/>
          <w:szCs w:val="24"/>
        </w:rPr>
        <w:t> </w:t>
      </w:r>
      <w:r w:rsidR="00E469A7" w:rsidRPr="00E55E40">
        <w:rPr>
          <w:sz w:val="24"/>
          <w:szCs w:val="24"/>
        </w:rPr>
        <w:t>Нарушения в части аудита закупок:</w:t>
      </w:r>
    </w:p>
    <w:p w14:paraId="0A473BEF" w14:textId="77777777" w:rsidR="00EF1847" w:rsidRPr="00E55E40" w:rsidRDefault="00E469A7" w:rsidP="00EF1847">
      <w:pPr>
        <w:pStyle w:val="3"/>
        <w:spacing w:after="0"/>
        <w:ind w:left="0" w:firstLine="708"/>
        <w:jc w:val="both"/>
        <w:rPr>
          <w:sz w:val="24"/>
          <w:szCs w:val="24"/>
        </w:rPr>
      </w:pPr>
      <w:r w:rsidRPr="00E55E40">
        <w:rPr>
          <w:b/>
          <w:sz w:val="24"/>
          <w:szCs w:val="24"/>
        </w:rPr>
        <w:t>1</w:t>
      </w:r>
      <w:r w:rsidR="0088165A" w:rsidRPr="00E55E40">
        <w:rPr>
          <w:b/>
          <w:sz w:val="24"/>
          <w:szCs w:val="24"/>
        </w:rPr>
        <w:t>4</w:t>
      </w:r>
      <w:r w:rsidRPr="00E55E40">
        <w:rPr>
          <w:b/>
          <w:sz w:val="24"/>
          <w:szCs w:val="24"/>
        </w:rPr>
        <w:t>.1.</w:t>
      </w:r>
      <w:r w:rsidRPr="00E55E40">
        <w:rPr>
          <w:sz w:val="24"/>
          <w:szCs w:val="24"/>
        </w:rPr>
        <w:t> </w:t>
      </w:r>
      <w:r w:rsidR="00EF1847" w:rsidRPr="00E55E40">
        <w:rPr>
          <w:sz w:val="24"/>
          <w:szCs w:val="24"/>
        </w:rPr>
        <w:t>Аудит закупок услуг по питанию на условиях аутсорсинга Жирновским ДПИ, Волжским ПНИ, Котовским ПНИ и Нижнечирском ПНИ не повлек положительный экономический эффект. Рост фактических расходов этих учреждений после перехода на аутсорсинг составил от 8,1 до 27,2 процента.</w:t>
      </w:r>
    </w:p>
    <w:p w14:paraId="69D2E80F" w14:textId="77777777" w:rsidR="00EF1847" w:rsidRPr="00E55E40" w:rsidRDefault="00EF1847" w:rsidP="00EF1847">
      <w:pPr>
        <w:pStyle w:val="3"/>
        <w:spacing w:after="0"/>
        <w:ind w:left="0" w:firstLine="708"/>
        <w:jc w:val="both"/>
        <w:rPr>
          <w:spacing w:val="2"/>
          <w:sz w:val="24"/>
          <w:szCs w:val="24"/>
        </w:rPr>
      </w:pPr>
      <w:r w:rsidRPr="00E55E40">
        <w:rPr>
          <w:b/>
          <w:sz w:val="24"/>
          <w:szCs w:val="24"/>
        </w:rPr>
        <w:t>1</w:t>
      </w:r>
      <w:r w:rsidR="0088165A" w:rsidRPr="00E55E40">
        <w:rPr>
          <w:b/>
          <w:sz w:val="24"/>
          <w:szCs w:val="24"/>
        </w:rPr>
        <w:t>4</w:t>
      </w:r>
      <w:r w:rsidR="00E469A7" w:rsidRPr="00E55E40">
        <w:rPr>
          <w:b/>
          <w:sz w:val="24"/>
          <w:szCs w:val="24"/>
        </w:rPr>
        <w:t>.</w:t>
      </w:r>
      <w:r w:rsidRPr="00E55E40">
        <w:rPr>
          <w:b/>
          <w:sz w:val="24"/>
          <w:szCs w:val="24"/>
        </w:rPr>
        <w:t>2.</w:t>
      </w:r>
      <w:r w:rsidRPr="00E55E40">
        <w:rPr>
          <w:sz w:val="24"/>
          <w:szCs w:val="24"/>
        </w:rPr>
        <w:t> В</w:t>
      </w:r>
      <w:r w:rsidRPr="00E55E40">
        <w:rPr>
          <w:spacing w:val="2"/>
          <w:sz w:val="24"/>
          <w:szCs w:val="24"/>
        </w:rPr>
        <w:t>се 35 государственных контрактов на аутсорсинг питания заключены учреждениями в 2016–2019 годы по начальной максимальной цене контракта, что не повлекло экономию средств при проведении конкурентных процедур, из них 33 государственных контракта, или 94,3% заключены с единственным поставщиком, что может свидетельствовать о низкой степени конкурентности и эффективности сложившейся системы закупок услуг по питанию на условиях аутсоринга.</w:t>
      </w:r>
    </w:p>
    <w:p w14:paraId="5B1D760B" w14:textId="77777777" w:rsidR="00EF1847" w:rsidRPr="00E55E40" w:rsidRDefault="00EF1847" w:rsidP="00EF1847">
      <w:pPr>
        <w:pStyle w:val="3"/>
        <w:spacing w:after="0"/>
        <w:ind w:left="0" w:firstLine="708"/>
        <w:jc w:val="both"/>
        <w:rPr>
          <w:spacing w:val="2"/>
          <w:sz w:val="24"/>
          <w:szCs w:val="24"/>
        </w:rPr>
      </w:pPr>
      <w:r w:rsidRPr="00E55E40">
        <w:rPr>
          <w:b/>
          <w:spacing w:val="2"/>
          <w:sz w:val="24"/>
          <w:szCs w:val="24"/>
        </w:rPr>
        <w:t>1</w:t>
      </w:r>
      <w:r w:rsidR="0088165A" w:rsidRPr="00E55E40">
        <w:rPr>
          <w:b/>
          <w:spacing w:val="2"/>
          <w:sz w:val="24"/>
          <w:szCs w:val="24"/>
        </w:rPr>
        <w:t>4</w:t>
      </w:r>
      <w:r w:rsidR="00E469A7" w:rsidRPr="00E55E40">
        <w:rPr>
          <w:b/>
          <w:spacing w:val="2"/>
          <w:sz w:val="24"/>
          <w:szCs w:val="24"/>
        </w:rPr>
        <w:t>.</w:t>
      </w:r>
      <w:r w:rsidRPr="00E55E40">
        <w:rPr>
          <w:b/>
          <w:spacing w:val="2"/>
          <w:sz w:val="24"/>
          <w:szCs w:val="24"/>
        </w:rPr>
        <w:t>3.</w:t>
      </w:r>
      <w:r w:rsidRPr="00E55E40">
        <w:rPr>
          <w:spacing w:val="2"/>
          <w:sz w:val="24"/>
          <w:szCs w:val="24"/>
        </w:rPr>
        <w:t> В нарушение ст. 103 Закона № 44-ФЗ отдельными учреждениями некорректно отражается информация о государственных контрактах на аутсорсинг в ЕИСЗ.</w:t>
      </w:r>
    </w:p>
    <w:p w14:paraId="144661BC" w14:textId="77777777" w:rsidR="00EF1847" w:rsidRPr="00E55E40" w:rsidRDefault="00EF1847" w:rsidP="00EF1847">
      <w:pPr>
        <w:pStyle w:val="3"/>
        <w:spacing w:after="0"/>
        <w:ind w:left="0" w:firstLine="708"/>
        <w:jc w:val="both"/>
        <w:rPr>
          <w:sz w:val="24"/>
          <w:szCs w:val="24"/>
        </w:rPr>
      </w:pPr>
      <w:r w:rsidRPr="00E55E40">
        <w:rPr>
          <w:b/>
          <w:sz w:val="24"/>
          <w:szCs w:val="24"/>
        </w:rPr>
        <w:t>1</w:t>
      </w:r>
      <w:r w:rsidR="0088165A" w:rsidRPr="00E55E40">
        <w:rPr>
          <w:b/>
          <w:sz w:val="24"/>
          <w:szCs w:val="24"/>
        </w:rPr>
        <w:t>5</w:t>
      </w:r>
      <w:r w:rsidRPr="00E55E40">
        <w:rPr>
          <w:b/>
          <w:sz w:val="24"/>
          <w:szCs w:val="24"/>
        </w:rPr>
        <w:t>.</w:t>
      </w:r>
      <w:r w:rsidRPr="00E55E40">
        <w:rPr>
          <w:sz w:val="24"/>
          <w:szCs w:val="24"/>
        </w:rPr>
        <w:t xml:space="preserve"> Проверками учреждений установлены следующие нарушения и недостатки: </w:t>
      </w:r>
    </w:p>
    <w:p w14:paraId="6B2025B0" w14:textId="77777777" w:rsidR="00EF1847" w:rsidRPr="00E55E40" w:rsidRDefault="00EF1847" w:rsidP="00EF1847">
      <w:pPr>
        <w:pStyle w:val="3"/>
        <w:spacing w:after="0"/>
        <w:ind w:left="0" w:firstLine="708"/>
        <w:jc w:val="both"/>
        <w:rPr>
          <w:sz w:val="24"/>
          <w:szCs w:val="24"/>
        </w:rPr>
      </w:pPr>
      <w:r w:rsidRPr="00E55E40">
        <w:rPr>
          <w:sz w:val="24"/>
          <w:szCs w:val="24"/>
        </w:rPr>
        <w:t xml:space="preserve">- излишняя оплата услуг по аутсорсингу на 72,9 тыс. руб., </w:t>
      </w:r>
    </w:p>
    <w:p w14:paraId="4B52BA36" w14:textId="77777777" w:rsidR="00EF1847" w:rsidRPr="00E55E40" w:rsidRDefault="00EF1847" w:rsidP="00EF1847">
      <w:pPr>
        <w:pStyle w:val="3"/>
        <w:spacing w:after="0"/>
        <w:ind w:left="0" w:firstLine="708"/>
        <w:jc w:val="both"/>
        <w:rPr>
          <w:sz w:val="24"/>
          <w:szCs w:val="24"/>
        </w:rPr>
      </w:pPr>
      <w:r w:rsidRPr="00E55E40">
        <w:rPr>
          <w:sz w:val="24"/>
          <w:szCs w:val="24"/>
        </w:rPr>
        <w:t xml:space="preserve">- неприменение к организациям, предоставляющим услуги по аутсорсингу, экономических санкций за нарушение условия договоров на 200 тыс. руб., </w:t>
      </w:r>
    </w:p>
    <w:p w14:paraId="3FBE8B66" w14:textId="77777777" w:rsidR="00EF1847" w:rsidRPr="00E55E40" w:rsidRDefault="00EF1847" w:rsidP="00EF1847">
      <w:pPr>
        <w:pStyle w:val="3"/>
        <w:spacing w:after="0"/>
        <w:ind w:left="0" w:firstLine="708"/>
        <w:jc w:val="both"/>
        <w:rPr>
          <w:sz w:val="24"/>
          <w:szCs w:val="24"/>
        </w:rPr>
      </w:pPr>
      <w:r w:rsidRPr="00E55E40">
        <w:rPr>
          <w:sz w:val="24"/>
          <w:szCs w:val="24"/>
        </w:rPr>
        <w:t xml:space="preserve">- неэффективные расходы на уплату налога на неиспользуемое имущество на 227,7 тыс. руб., </w:t>
      </w:r>
    </w:p>
    <w:p w14:paraId="0BF6A379" w14:textId="77777777" w:rsidR="00EF1847" w:rsidRPr="00E55E40" w:rsidRDefault="00EF1847" w:rsidP="00EF1847">
      <w:pPr>
        <w:pStyle w:val="3"/>
        <w:spacing w:after="0"/>
        <w:ind w:left="0" w:firstLine="708"/>
        <w:jc w:val="both"/>
        <w:rPr>
          <w:sz w:val="24"/>
          <w:szCs w:val="24"/>
        </w:rPr>
      </w:pPr>
      <w:r w:rsidRPr="00E55E40">
        <w:rPr>
          <w:sz w:val="24"/>
          <w:szCs w:val="24"/>
        </w:rPr>
        <w:t>- необеспечение прав получателей социальных услуг на хранение их личных денежных средств в сумме 35181,9 тыс. руб. на отдельных номинальных счетах в банковских учреждениях,</w:t>
      </w:r>
    </w:p>
    <w:p w14:paraId="0FE9FD27" w14:textId="77777777" w:rsidR="00EF1847" w:rsidRPr="00E55E40" w:rsidRDefault="00EF1847" w:rsidP="00EF1847">
      <w:pPr>
        <w:pStyle w:val="3"/>
        <w:spacing w:after="0"/>
        <w:ind w:left="0" w:firstLine="708"/>
        <w:jc w:val="both"/>
        <w:rPr>
          <w:sz w:val="24"/>
          <w:szCs w:val="24"/>
        </w:rPr>
      </w:pPr>
      <w:r w:rsidRPr="00E55E40">
        <w:rPr>
          <w:sz w:val="24"/>
          <w:szCs w:val="24"/>
        </w:rPr>
        <w:t>- непринятие мер по передаче выморочного имущества стоимостью 1550,7 тыс. руб. в собственность РФ в соответствии с п.1 ст. 1151 Гражданского кодекса РФ в течение продолжительного времени (от 3 до 14 лет),</w:t>
      </w:r>
    </w:p>
    <w:p w14:paraId="1EA16A62" w14:textId="77777777" w:rsidR="00EF1847" w:rsidRPr="00E55E40" w:rsidRDefault="00EF1847" w:rsidP="00EF1847">
      <w:pPr>
        <w:pStyle w:val="3"/>
        <w:spacing w:after="0"/>
        <w:ind w:left="0" w:firstLine="708"/>
        <w:jc w:val="both"/>
        <w:rPr>
          <w:sz w:val="24"/>
          <w:szCs w:val="24"/>
        </w:rPr>
      </w:pPr>
      <w:r w:rsidRPr="00E55E40">
        <w:rPr>
          <w:sz w:val="24"/>
          <w:szCs w:val="24"/>
        </w:rPr>
        <w:t>- предоставление социальных услуг с нарушением соответствующих порядков,</w:t>
      </w:r>
    </w:p>
    <w:p w14:paraId="317AE155" w14:textId="77777777" w:rsidR="00EF1847" w:rsidRPr="00E55E40" w:rsidRDefault="00EF1847" w:rsidP="00EF1847">
      <w:pPr>
        <w:pStyle w:val="3"/>
        <w:spacing w:after="0"/>
        <w:ind w:left="0" w:firstLine="708"/>
        <w:jc w:val="both"/>
        <w:rPr>
          <w:sz w:val="24"/>
          <w:szCs w:val="24"/>
        </w:rPr>
      </w:pPr>
      <w:r w:rsidRPr="00E55E40">
        <w:rPr>
          <w:sz w:val="24"/>
          <w:szCs w:val="24"/>
        </w:rPr>
        <w:t>- нарушения правил ведения бухгалтерского учета при учете нефинансовых активов, неустойки, оформлении финансово-хозяйственных операций и формировании учётной политики.</w:t>
      </w:r>
    </w:p>
    <w:p w14:paraId="52234867" w14:textId="77777777" w:rsidR="00C13094" w:rsidRPr="00E55E40" w:rsidRDefault="00C13094" w:rsidP="00F91406">
      <w:pPr>
        <w:pStyle w:val="3"/>
        <w:spacing w:after="0"/>
        <w:ind w:left="0" w:firstLine="708"/>
        <w:jc w:val="both"/>
        <w:rPr>
          <w:sz w:val="24"/>
          <w:szCs w:val="24"/>
        </w:rPr>
      </w:pPr>
    </w:p>
    <w:p w14:paraId="2E9D7F0C" w14:textId="77777777" w:rsidR="009D0322" w:rsidRPr="00E55E40" w:rsidRDefault="00C13094" w:rsidP="00F91406">
      <w:pPr>
        <w:pStyle w:val="3"/>
        <w:spacing w:after="0"/>
        <w:ind w:left="0" w:firstLine="708"/>
        <w:jc w:val="both"/>
        <w:rPr>
          <w:sz w:val="24"/>
          <w:szCs w:val="24"/>
        </w:rPr>
      </w:pPr>
      <w:r w:rsidRPr="00E55E40">
        <w:rPr>
          <w:sz w:val="24"/>
          <w:szCs w:val="24"/>
        </w:rPr>
        <w:t xml:space="preserve"> </w:t>
      </w:r>
    </w:p>
    <w:p w14:paraId="6B1FAADA" w14:textId="77777777" w:rsidR="007E1664" w:rsidRPr="00FB21E0" w:rsidRDefault="00FB21E0" w:rsidP="00FB21E0">
      <w:pPr>
        <w:autoSpaceDE w:val="0"/>
        <w:autoSpaceDN w:val="0"/>
        <w:adjustRightInd w:val="0"/>
        <w:jc w:val="center"/>
        <w:rPr>
          <w:rFonts w:eastAsiaTheme="minorHAnsi"/>
          <w:b/>
          <w:lang w:eastAsia="en-US"/>
        </w:rPr>
      </w:pPr>
      <w:r w:rsidRPr="00E55E40">
        <w:rPr>
          <w:rFonts w:eastAsiaTheme="minorHAnsi"/>
          <w:b/>
          <w:lang w:eastAsia="en-US"/>
        </w:rPr>
        <w:t xml:space="preserve">      Аудитор</w:t>
      </w:r>
      <w:r w:rsidR="00BD425C" w:rsidRPr="00E55E40">
        <w:rPr>
          <w:rFonts w:eastAsiaTheme="minorHAnsi"/>
          <w:b/>
          <w:lang w:eastAsia="en-US"/>
        </w:rPr>
        <w:tab/>
      </w:r>
      <w:r w:rsidR="00C83914" w:rsidRPr="00E55E40">
        <w:rPr>
          <w:rFonts w:eastAsiaTheme="minorHAnsi"/>
          <w:b/>
          <w:lang w:eastAsia="en-US"/>
        </w:rPr>
        <w:tab/>
      </w:r>
      <w:r w:rsidR="00BD425C" w:rsidRPr="00E55E40">
        <w:rPr>
          <w:rFonts w:eastAsiaTheme="minorHAnsi"/>
          <w:b/>
          <w:lang w:eastAsia="en-US"/>
        </w:rPr>
        <w:tab/>
      </w:r>
      <w:r w:rsidR="00BD425C" w:rsidRPr="00E55E40">
        <w:rPr>
          <w:rFonts w:eastAsiaTheme="minorHAnsi"/>
          <w:b/>
          <w:lang w:eastAsia="en-US"/>
        </w:rPr>
        <w:tab/>
      </w:r>
      <w:r w:rsidR="00BD425C" w:rsidRPr="00E55E40">
        <w:rPr>
          <w:rFonts w:eastAsiaTheme="minorHAnsi"/>
          <w:b/>
          <w:lang w:eastAsia="en-US"/>
        </w:rPr>
        <w:tab/>
      </w:r>
      <w:r w:rsidR="00BD425C" w:rsidRPr="00E55E40">
        <w:rPr>
          <w:rFonts w:eastAsiaTheme="minorHAnsi"/>
          <w:b/>
          <w:lang w:eastAsia="en-US"/>
        </w:rPr>
        <w:tab/>
      </w:r>
      <w:r w:rsidR="00BD425C" w:rsidRPr="00E55E40">
        <w:rPr>
          <w:rFonts w:eastAsiaTheme="minorHAnsi"/>
          <w:b/>
          <w:lang w:eastAsia="en-US"/>
        </w:rPr>
        <w:tab/>
      </w:r>
      <w:r w:rsidRPr="00E55E40">
        <w:rPr>
          <w:rFonts w:eastAsiaTheme="minorHAnsi"/>
          <w:b/>
          <w:lang w:eastAsia="en-US"/>
        </w:rPr>
        <w:tab/>
        <w:t>М.Е</w:t>
      </w:r>
      <w:r w:rsidR="00BD425C" w:rsidRPr="00E55E40">
        <w:rPr>
          <w:rFonts w:eastAsiaTheme="minorHAnsi"/>
          <w:b/>
          <w:lang w:eastAsia="en-US"/>
        </w:rPr>
        <w:t xml:space="preserve">. </w:t>
      </w:r>
      <w:r w:rsidRPr="00E55E40">
        <w:rPr>
          <w:rFonts w:eastAsiaTheme="minorHAnsi"/>
          <w:b/>
          <w:lang w:eastAsia="en-US"/>
        </w:rPr>
        <w:t>Татаринцев</w:t>
      </w:r>
    </w:p>
    <w:p w14:paraId="38EA4F94" w14:textId="77777777" w:rsidR="00761BC5" w:rsidRDefault="00761BC5" w:rsidP="000C75DD">
      <w:pPr>
        <w:autoSpaceDE w:val="0"/>
        <w:autoSpaceDN w:val="0"/>
        <w:adjustRightInd w:val="0"/>
        <w:ind w:firstLine="709"/>
        <w:jc w:val="both"/>
        <w:rPr>
          <w:rFonts w:eastAsiaTheme="minorHAnsi"/>
          <w:lang w:eastAsia="en-US"/>
        </w:rPr>
      </w:pPr>
    </w:p>
    <w:p w14:paraId="0FFBA747" w14:textId="77777777" w:rsidR="00773B44" w:rsidRDefault="00773B44" w:rsidP="000C75DD">
      <w:pPr>
        <w:autoSpaceDE w:val="0"/>
        <w:autoSpaceDN w:val="0"/>
        <w:adjustRightInd w:val="0"/>
        <w:ind w:firstLine="709"/>
        <w:jc w:val="both"/>
        <w:rPr>
          <w:rFonts w:eastAsiaTheme="minorHAnsi"/>
          <w:lang w:eastAsia="en-US"/>
        </w:rPr>
      </w:pPr>
    </w:p>
    <w:p w14:paraId="444CFF59" w14:textId="77777777" w:rsidR="008D3843" w:rsidRPr="00C83914" w:rsidRDefault="008D3843" w:rsidP="008E712C">
      <w:pPr>
        <w:autoSpaceDE w:val="0"/>
        <w:autoSpaceDN w:val="0"/>
        <w:adjustRightInd w:val="0"/>
        <w:ind w:firstLine="709"/>
        <w:jc w:val="both"/>
        <w:rPr>
          <w:rFonts w:eastAsiaTheme="minorHAnsi"/>
          <w:b/>
          <w:lang w:eastAsia="en-US"/>
        </w:rPr>
      </w:pPr>
    </w:p>
    <w:sectPr w:rsidR="008D3843" w:rsidRPr="00C83914" w:rsidSect="008C606D">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F2F57" w14:textId="77777777" w:rsidR="009C0071" w:rsidRDefault="009C0071" w:rsidP="00803B0E">
      <w:r>
        <w:separator/>
      </w:r>
    </w:p>
  </w:endnote>
  <w:endnote w:type="continuationSeparator" w:id="0">
    <w:p w14:paraId="61D72D4A" w14:textId="77777777" w:rsidR="009C0071" w:rsidRDefault="009C0071" w:rsidP="0080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118A" w14:textId="77777777" w:rsidR="00247482" w:rsidRDefault="0024748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6F5F" w14:textId="77777777" w:rsidR="00247482" w:rsidRDefault="0024748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FB77" w14:textId="77777777" w:rsidR="00247482" w:rsidRDefault="002474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787B9" w14:textId="77777777" w:rsidR="009C0071" w:rsidRDefault="009C0071" w:rsidP="00803B0E">
      <w:r>
        <w:separator/>
      </w:r>
    </w:p>
  </w:footnote>
  <w:footnote w:type="continuationSeparator" w:id="0">
    <w:p w14:paraId="46F3445B" w14:textId="77777777" w:rsidR="009C0071" w:rsidRDefault="009C0071" w:rsidP="0080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41D3" w14:textId="77777777" w:rsidR="00247482" w:rsidRDefault="0024748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D31A" w14:textId="77777777" w:rsidR="007140E8" w:rsidRDefault="009C0071">
    <w:pPr>
      <w:pStyle w:val="aa"/>
      <w:jc w:val="center"/>
    </w:pPr>
    <w:sdt>
      <w:sdtPr>
        <w:id w:val="29332915"/>
        <w:docPartObj>
          <w:docPartGallery w:val="Page Numbers (Top of Page)"/>
          <w:docPartUnique/>
        </w:docPartObj>
      </w:sdtPr>
      <w:sdtEndPr/>
      <w:sdtContent>
        <w:r>
          <w:fldChar w:fldCharType="begin"/>
        </w:r>
        <w:r>
          <w:instrText xml:space="preserve"> PAGE   \* MERGEFORMAT </w:instrText>
        </w:r>
        <w:r>
          <w:fldChar w:fldCharType="separate"/>
        </w:r>
        <w:r w:rsidR="00B36B53">
          <w:rPr>
            <w:noProof/>
          </w:rPr>
          <w:t>8</w:t>
        </w:r>
        <w:r>
          <w:rPr>
            <w:noProof/>
          </w:rPr>
          <w:fldChar w:fldCharType="end"/>
        </w:r>
      </w:sdtContent>
    </w:sdt>
  </w:p>
  <w:p w14:paraId="593E543A" w14:textId="77777777" w:rsidR="007140E8" w:rsidRDefault="007140E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02FE5" w14:textId="77777777" w:rsidR="00247482" w:rsidRDefault="0024748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12101"/>
    <w:multiLevelType w:val="hybridMultilevel"/>
    <w:tmpl w:val="7DE64D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69B9301F"/>
    <w:multiLevelType w:val="hybridMultilevel"/>
    <w:tmpl w:val="C90E96EE"/>
    <w:lvl w:ilvl="0" w:tplc="1AE041FC">
      <w:start w:val="1"/>
      <w:numFmt w:val="decimal"/>
      <w:lvlText w:val="%1."/>
      <w:lvlJc w:val="left"/>
      <w:pPr>
        <w:ind w:left="1653" w:hanging="94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9602094"/>
    <w:multiLevelType w:val="hybridMultilevel"/>
    <w:tmpl w:val="0E4CCDDC"/>
    <w:lvl w:ilvl="0" w:tplc="80743FE2">
      <w:start w:val="56"/>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837"/>
    <w:rsid w:val="00002EC5"/>
    <w:rsid w:val="00003EB2"/>
    <w:rsid w:val="00006661"/>
    <w:rsid w:val="00007911"/>
    <w:rsid w:val="00010837"/>
    <w:rsid w:val="00014066"/>
    <w:rsid w:val="00015849"/>
    <w:rsid w:val="00016A60"/>
    <w:rsid w:val="000179EE"/>
    <w:rsid w:val="0002025E"/>
    <w:rsid w:val="000240E1"/>
    <w:rsid w:val="000277EB"/>
    <w:rsid w:val="0002796F"/>
    <w:rsid w:val="00032278"/>
    <w:rsid w:val="00034A59"/>
    <w:rsid w:val="0003525E"/>
    <w:rsid w:val="00035B31"/>
    <w:rsid w:val="000363D7"/>
    <w:rsid w:val="0004031E"/>
    <w:rsid w:val="0004093D"/>
    <w:rsid w:val="00044FBC"/>
    <w:rsid w:val="0004684D"/>
    <w:rsid w:val="000506AF"/>
    <w:rsid w:val="00052623"/>
    <w:rsid w:val="00052E56"/>
    <w:rsid w:val="0005531D"/>
    <w:rsid w:val="00062701"/>
    <w:rsid w:val="000632E2"/>
    <w:rsid w:val="0006581B"/>
    <w:rsid w:val="000658F6"/>
    <w:rsid w:val="00066198"/>
    <w:rsid w:val="00067B33"/>
    <w:rsid w:val="00072CD7"/>
    <w:rsid w:val="000747AE"/>
    <w:rsid w:val="00076CA1"/>
    <w:rsid w:val="000805C7"/>
    <w:rsid w:val="000825EE"/>
    <w:rsid w:val="000840EA"/>
    <w:rsid w:val="00084954"/>
    <w:rsid w:val="00086690"/>
    <w:rsid w:val="000866F0"/>
    <w:rsid w:val="000914A5"/>
    <w:rsid w:val="00092247"/>
    <w:rsid w:val="000947D1"/>
    <w:rsid w:val="000947DF"/>
    <w:rsid w:val="00095C60"/>
    <w:rsid w:val="00097440"/>
    <w:rsid w:val="00097A59"/>
    <w:rsid w:val="000A4AAC"/>
    <w:rsid w:val="000A4BC0"/>
    <w:rsid w:val="000A57FE"/>
    <w:rsid w:val="000A6220"/>
    <w:rsid w:val="000A661A"/>
    <w:rsid w:val="000A68A4"/>
    <w:rsid w:val="000A7688"/>
    <w:rsid w:val="000B1E8C"/>
    <w:rsid w:val="000B3D50"/>
    <w:rsid w:val="000B5A82"/>
    <w:rsid w:val="000C0826"/>
    <w:rsid w:val="000C0BE2"/>
    <w:rsid w:val="000C18E8"/>
    <w:rsid w:val="000C31B1"/>
    <w:rsid w:val="000C75DD"/>
    <w:rsid w:val="000D07AA"/>
    <w:rsid w:val="000D1E8D"/>
    <w:rsid w:val="000D40B5"/>
    <w:rsid w:val="000D5E55"/>
    <w:rsid w:val="000D65BD"/>
    <w:rsid w:val="000E0072"/>
    <w:rsid w:val="000E04FD"/>
    <w:rsid w:val="000E09DA"/>
    <w:rsid w:val="000E137D"/>
    <w:rsid w:val="000E1610"/>
    <w:rsid w:val="000E1F4C"/>
    <w:rsid w:val="000E35C3"/>
    <w:rsid w:val="000E3831"/>
    <w:rsid w:val="000E3F33"/>
    <w:rsid w:val="000E5082"/>
    <w:rsid w:val="000E5AC3"/>
    <w:rsid w:val="000E616E"/>
    <w:rsid w:val="000E6C6B"/>
    <w:rsid w:val="000F07B8"/>
    <w:rsid w:val="000F088F"/>
    <w:rsid w:val="000F179B"/>
    <w:rsid w:val="000F253E"/>
    <w:rsid w:val="000F2A9B"/>
    <w:rsid w:val="000F3008"/>
    <w:rsid w:val="000F377D"/>
    <w:rsid w:val="000F3B16"/>
    <w:rsid w:val="000F4FD1"/>
    <w:rsid w:val="000F530A"/>
    <w:rsid w:val="000F54F1"/>
    <w:rsid w:val="000F7DDB"/>
    <w:rsid w:val="0010002C"/>
    <w:rsid w:val="0010272F"/>
    <w:rsid w:val="00104669"/>
    <w:rsid w:val="00105CD7"/>
    <w:rsid w:val="001061E9"/>
    <w:rsid w:val="00107161"/>
    <w:rsid w:val="00107D09"/>
    <w:rsid w:val="001149F5"/>
    <w:rsid w:val="00115F45"/>
    <w:rsid w:val="00117A98"/>
    <w:rsid w:val="00117DBA"/>
    <w:rsid w:val="00117EDB"/>
    <w:rsid w:val="00121349"/>
    <w:rsid w:val="00122CEC"/>
    <w:rsid w:val="001234A1"/>
    <w:rsid w:val="00124D09"/>
    <w:rsid w:val="00124F7F"/>
    <w:rsid w:val="00125F43"/>
    <w:rsid w:val="001305EB"/>
    <w:rsid w:val="00131E9F"/>
    <w:rsid w:val="001320BB"/>
    <w:rsid w:val="00132B09"/>
    <w:rsid w:val="00133244"/>
    <w:rsid w:val="00133B33"/>
    <w:rsid w:val="00134F2A"/>
    <w:rsid w:val="00135CE2"/>
    <w:rsid w:val="00136481"/>
    <w:rsid w:val="00142155"/>
    <w:rsid w:val="00143C47"/>
    <w:rsid w:val="00144D7F"/>
    <w:rsid w:val="00146F67"/>
    <w:rsid w:val="001529D0"/>
    <w:rsid w:val="00152AC1"/>
    <w:rsid w:val="001536BC"/>
    <w:rsid w:val="00153D6D"/>
    <w:rsid w:val="00154220"/>
    <w:rsid w:val="00157AFB"/>
    <w:rsid w:val="00160E32"/>
    <w:rsid w:val="00161438"/>
    <w:rsid w:val="00161F5C"/>
    <w:rsid w:val="0016482D"/>
    <w:rsid w:val="00171155"/>
    <w:rsid w:val="001712B7"/>
    <w:rsid w:val="00171FF9"/>
    <w:rsid w:val="001745C0"/>
    <w:rsid w:val="0017482A"/>
    <w:rsid w:val="00175395"/>
    <w:rsid w:val="00181577"/>
    <w:rsid w:val="00181658"/>
    <w:rsid w:val="00186E0E"/>
    <w:rsid w:val="00187837"/>
    <w:rsid w:val="0019088E"/>
    <w:rsid w:val="001909FE"/>
    <w:rsid w:val="00192771"/>
    <w:rsid w:val="00193971"/>
    <w:rsid w:val="00194A1E"/>
    <w:rsid w:val="00197069"/>
    <w:rsid w:val="0019783A"/>
    <w:rsid w:val="001A1B95"/>
    <w:rsid w:val="001A25D1"/>
    <w:rsid w:val="001A3495"/>
    <w:rsid w:val="001A37D3"/>
    <w:rsid w:val="001A5457"/>
    <w:rsid w:val="001A57D8"/>
    <w:rsid w:val="001A6D79"/>
    <w:rsid w:val="001A70B4"/>
    <w:rsid w:val="001B04D7"/>
    <w:rsid w:val="001B0A73"/>
    <w:rsid w:val="001B14A8"/>
    <w:rsid w:val="001B15FE"/>
    <w:rsid w:val="001B1D37"/>
    <w:rsid w:val="001B6A22"/>
    <w:rsid w:val="001B6B25"/>
    <w:rsid w:val="001C117E"/>
    <w:rsid w:val="001C157E"/>
    <w:rsid w:val="001C3635"/>
    <w:rsid w:val="001C5647"/>
    <w:rsid w:val="001C6086"/>
    <w:rsid w:val="001C7C86"/>
    <w:rsid w:val="001C7E05"/>
    <w:rsid w:val="001D00C1"/>
    <w:rsid w:val="001D2447"/>
    <w:rsid w:val="001D2483"/>
    <w:rsid w:val="001D2FA8"/>
    <w:rsid w:val="001D5B31"/>
    <w:rsid w:val="001D5E4D"/>
    <w:rsid w:val="001D5FE0"/>
    <w:rsid w:val="001D6C1C"/>
    <w:rsid w:val="001D6FEB"/>
    <w:rsid w:val="001E2B86"/>
    <w:rsid w:val="001E2FB4"/>
    <w:rsid w:val="001E38C2"/>
    <w:rsid w:val="001E3CAB"/>
    <w:rsid w:val="001E7A2B"/>
    <w:rsid w:val="001E7B0E"/>
    <w:rsid w:val="001E7E43"/>
    <w:rsid w:val="001F08E0"/>
    <w:rsid w:val="001F0E40"/>
    <w:rsid w:val="001F3F82"/>
    <w:rsid w:val="001F4685"/>
    <w:rsid w:val="001F6B36"/>
    <w:rsid w:val="00200595"/>
    <w:rsid w:val="0020118E"/>
    <w:rsid w:val="00201942"/>
    <w:rsid w:val="00203E4F"/>
    <w:rsid w:val="00204F53"/>
    <w:rsid w:val="0020518B"/>
    <w:rsid w:val="0020712D"/>
    <w:rsid w:val="00207FF4"/>
    <w:rsid w:val="0021130E"/>
    <w:rsid w:val="0021225C"/>
    <w:rsid w:val="00212385"/>
    <w:rsid w:val="00214473"/>
    <w:rsid w:val="00215B68"/>
    <w:rsid w:val="00222014"/>
    <w:rsid w:val="002259A4"/>
    <w:rsid w:val="00226481"/>
    <w:rsid w:val="002265C0"/>
    <w:rsid w:val="00230D20"/>
    <w:rsid w:val="00230F47"/>
    <w:rsid w:val="002313A4"/>
    <w:rsid w:val="002338C8"/>
    <w:rsid w:val="002365DE"/>
    <w:rsid w:val="002372A1"/>
    <w:rsid w:val="00237B44"/>
    <w:rsid w:val="00245B8E"/>
    <w:rsid w:val="00246AE0"/>
    <w:rsid w:val="00246ED7"/>
    <w:rsid w:val="00247482"/>
    <w:rsid w:val="0025222D"/>
    <w:rsid w:val="00256B67"/>
    <w:rsid w:val="00256DDC"/>
    <w:rsid w:val="00260DE1"/>
    <w:rsid w:val="00264EDF"/>
    <w:rsid w:val="002665B4"/>
    <w:rsid w:val="00270B10"/>
    <w:rsid w:val="00270B9A"/>
    <w:rsid w:val="0027185B"/>
    <w:rsid w:val="00274B80"/>
    <w:rsid w:val="00275345"/>
    <w:rsid w:val="0027553C"/>
    <w:rsid w:val="00275E5F"/>
    <w:rsid w:val="002762BF"/>
    <w:rsid w:val="00277253"/>
    <w:rsid w:val="00277EB2"/>
    <w:rsid w:val="00280EF7"/>
    <w:rsid w:val="00281494"/>
    <w:rsid w:val="002843DF"/>
    <w:rsid w:val="002870EF"/>
    <w:rsid w:val="002906AE"/>
    <w:rsid w:val="00290C93"/>
    <w:rsid w:val="0029257C"/>
    <w:rsid w:val="002930F0"/>
    <w:rsid w:val="00294F15"/>
    <w:rsid w:val="00295BE2"/>
    <w:rsid w:val="00295C9A"/>
    <w:rsid w:val="00296355"/>
    <w:rsid w:val="002969C0"/>
    <w:rsid w:val="00296B14"/>
    <w:rsid w:val="002972E9"/>
    <w:rsid w:val="002A108D"/>
    <w:rsid w:val="002A1867"/>
    <w:rsid w:val="002A18C3"/>
    <w:rsid w:val="002A1AF2"/>
    <w:rsid w:val="002A2D51"/>
    <w:rsid w:val="002A6069"/>
    <w:rsid w:val="002B0568"/>
    <w:rsid w:val="002B0909"/>
    <w:rsid w:val="002B0E15"/>
    <w:rsid w:val="002B415C"/>
    <w:rsid w:val="002B5A50"/>
    <w:rsid w:val="002B6C72"/>
    <w:rsid w:val="002B6FE5"/>
    <w:rsid w:val="002C245E"/>
    <w:rsid w:val="002C3AF7"/>
    <w:rsid w:val="002C49CD"/>
    <w:rsid w:val="002C60CE"/>
    <w:rsid w:val="002C6A6A"/>
    <w:rsid w:val="002D0571"/>
    <w:rsid w:val="002D0800"/>
    <w:rsid w:val="002D240E"/>
    <w:rsid w:val="002D287E"/>
    <w:rsid w:val="002D3E9B"/>
    <w:rsid w:val="002D6213"/>
    <w:rsid w:val="002D69B0"/>
    <w:rsid w:val="002E08E3"/>
    <w:rsid w:val="002E2656"/>
    <w:rsid w:val="002E5F11"/>
    <w:rsid w:val="002E6C46"/>
    <w:rsid w:val="002F2E84"/>
    <w:rsid w:val="002F45DA"/>
    <w:rsid w:val="002F4D50"/>
    <w:rsid w:val="002F526A"/>
    <w:rsid w:val="002F5AD2"/>
    <w:rsid w:val="002F6F53"/>
    <w:rsid w:val="003027BE"/>
    <w:rsid w:val="00302935"/>
    <w:rsid w:val="00302D47"/>
    <w:rsid w:val="00302F37"/>
    <w:rsid w:val="00303336"/>
    <w:rsid w:val="0030628F"/>
    <w:rsid w:val="003076D8"/>
    <w:rsid w:val="00311AA5"/>
    <w:rsid w:val="00314811"/>
    <w:rsid w:val="00315D9B"/>
    <w:rsid w:val="00320AB0"/>
    <w:rsid w:val="00320D1A"/>
    <w:rsid w:val="00320E52"/>
    <w:rsid w:val="0032222D"/>
    <w:rsid w:val="00322484"/>
    <w:rsid w:val="00323A48"/>
    <w:rsid w:val="00324356"/>
    <w:rsid w:val="0032507D"/>
    <w:rsid w:val="00326C9A"/>
    <w:rsid w:val="0033240A"/>
    <w:rsid w:val="0033373E"/>
    <w:rsid w:val="00333A2F"/>
    <w:rsid w:val="00336293"/>
    <w:rsid w:val="00336711"/>
    <w:rsid w:val="00336962"/>
    <w:rsid w:val="00337D95"/>
    <w:rsid w:val="00340CAA"/>
    <w:rsid w:val="00340CB1"/>
    <w:rsid w:val="003411A5"/>
    <w:rsid w:val="00341295"/>
    <w:rsid w:val="003442C4"/>
    <w:rsid w:val="00344813"/>
    <w:rsid w:val="003449EB"/>
    <w:rsid w:val="00345E52"/>
    <w:rsid w:val="00346E97"/>
    <w:rsid w:val="00346E9A"/>
    <w:rsid w:val="0034719D"/>
    <w:rsid w:val="0034723F"/>
    <w:rsid w:val="0035082E"/>
    <w:rsid w:val="00350BA3"/>
    <w:rsid w:val="0035187B"/>
    <w:rsid w:val="003551DF"/>
    <w:rsid w:val="0036122E"/>
    <w:rsid w:val="0036258E"/>
    <w:rsid w:val="003627C8"/>
    <w:rsid w:val="00363981"/>
    <w:rsid w:val="00365BF7"/>
    <w:rsid w:val="003661EF"/>
    <w:rsid w:val="003665F7"/>
    <w:rsid w:val="00371F3C"/>
    <w:rsid w:val="003768C5"/>
    <w:rsid w:val="003810A3"/>
    <w:rsid w:val="00381B86"/>
    <w:rsid w:val="003841EC"/>
    <w:rsid w:val="00385838"/>
    <w:rsid w:val="00386C05"/>
    <w:rsid w:val="003875B2"/>
    <w:rsid w:val="0039068B"/>
    <w:rsid w:val="003933C5"/>
    <w:rsid w:val="003975D0"/>
    <w:rsid w:val="00397A20"/>
    <w:rsid w:val="003A0887"/>
    <w:rsid w:val="003A4A18"/>
    <w:rsid w:val="003A780F"/>
    <w:rsid w:val="003A7B9A"/>
    <w:rsid w:val="003B4538"/>
    <w:rsid w:val="003C0C04"/>
    <w:rsid w:val="003C2507"/>
    <w:rsid w:val="003C435A"/>
    <w:rsid w:val="003C4F58"/>
    <w:rsid w:val="003C62C8"/>
    <w:rsid w:val="003D1543"/>
    <w:rsid w:val="003D15F2"/>
    <w:rsid w:val="003D2F6D"/>
    <w:rsid w:val="003D45F5"/>
    <w:rsid w:val="003D589E"/>
    <w:rsid w:val="003D7D8E"/>
    <w:rsid w:val="003E2297"/>
    <w:rsid w:val="003E57DA"/>
    <w:rsid w:val="003E6237"/>
    <w:rsid w:val="003E7A43"/>
    <w:rsid w:val="003F3CBC"/>
    <w:rsid w:val="003F6153"/>
    <w:rsid w:val="003F6630"/>
    <w:rsid w:val="003F6ACE"/>
    <w:rsid w:val="003F6E7B"/>
    <w:rsid w:val="003F7C1A"/>
    <w:rsid w:val="003F7C72"/>
    <w:rsid w:val="004007F3"/>
    <w:rsid w:val="0040183A"/>
    <w:rsid w:val="0040326B"/>
    <w:rsid w:val="00406FAF"/>
    <w:rsid w:val="00407E0D"/>
    <w:rsid w:val="00407E8A"/>
    <w:rsid w:val="004103BE"/>
    <w:rsid w:val="00410D8E"/>
    <w:rsid w:val="00413B4C"/>
    <w:rsid w:val="00414FB1"/>
    <w:rsid w:val="00415062"/>
    <w:rsid w:val="004170BF"/>
    <w:rsid w:val="004230AD"/>
    <w:rsid w:val="00423245"/>
    <w:rsid w:val="00424B63"/>
    <w:rsid w:val="004266BE"/>
    <w:rsid w:val="00426F12"/>
    <w:rsid w:val="00430425"/>
    <w:rsid w:val="00433C78"/>
    <w:rsid w:val="00435A3F"/>
    <w:rsid w:val="00435B86"/>
    <w:rsid w:val="0043713A"/>
    <w:rsid w:val="00440170"/>
    <w:rsid w:val="0044073D"/>
    <w:rsid w:val="004413A3"/>
    <w:rsid w:val="00441422"/>
    <w:rsid w:val="00442B4C"/>
    <w:rsid w:val="0044315E"/>
    <w:rsid w:val="0044716B"/>
    <w:rsid w:val="00447231"/>
    <w:rsid w:val="00447423"/>
    <w:rsid w:val="00453F54"/>
    <w:rsid w:val="00455C85"/>
    <w:rsid w:val="00457070"/>
    <w:rsid w:val="00457365"/>
    <w:rsid w:val="00457577"/>
    <w:rsid w:val="004604BA"/>
    <w:rsid w:val="00461FD0"/>
    <w:rsid w:val="0046244D"/>
    <w:rsid w:val="00463169"/>
    <w:rsid w:val="00463181"/>
    <w:rsid w:val="00463BA3"/>
    <w:rsid w:val="004650B0"/>
    <w:rsid w:val="0046555C"/>
    <w:rsid w:val="004667FB"/>
    <w:rsid w:val="00471073"/>
    <w:rsid w:val="00471111"/>
    <w:rsid w:val="00472530"/>
    <w:rsid w:val="00475182"/>
    <w:rsid w:val="004772FB"/>
    <w:rsid w:val="004774E2"/>
    <w:rsid w:val="00480224"/>
    <w:rsid w:val="00481321"/>
    <w:rsid w:val="0048264F"/>
    <w:rsid w:val="00484463"/>
    <w:rsid w:val="00484515"/>
    <w:rsid w:val="00487786"/>
    <w:rsid w:val="00487A71"/>
    <w:rsid w:val="004919D1"/>
    <w:rsid w:val="004933C5"/>
    <w:rsid w:val="00496558"/>
    <w:rsid w:val="00496E07"/>
    <w:rsid w:val="004A0A4C"/>
    <w:rsid w:val="004A0D8F"/>
    <w:rsid w:val="004A142D"/>
    <w:rsid w:val="004A1C0F"/>
    <w:rsid w:val="004A2A2F"/>
    <w:rsid w:val="004A3EF6"/>
    <w:rsid w:val="004A4F3F"/>
    <w:rsid w:val="004A5F84"/>
    <w:rsid w:val="004B0AC1"/>
    <w:rsid w:val="004B0DD9"/>
    <w:rsid w:val="004B2FCC"/>
    <w:rsid w:val="004B4315"/>
    <w:rsid w:val="004B65E4"/>
    <w:rsid w:val="004B6731"/>
    <w:rsid w:val="004C0BAD"/>
    <w:rsid w:val="004C1AE4"/>
    <w:rsid w:val="004C1F77"/>
    <w:rsid w:val="004C23DE"/>
    <w:rsid w:val="004C2BC3"/>
    <w:rsid w:val="004C37DE"/>
    <w:rsid w:val="004C6046"/>
    <w:rsid w:val="004C61C4"/>
    <w:rsid w:val="004D00B9"/>
    <w:rsid w:val="004D21B6"/>
    <w:rsid w:val="004D2E42"/>
    <w:rsid w:val="004D522D"/>
    <w:rsid w:val="004D5963"/>
    <w:rsid w:val="004D60EA"/>
    <w:rsid w:val="004D6840"/>
    <w:rsid w:val="004D6DF3"/>
    <w:rsid w:val="004E1469"/>
    <w:rsid w:val="004E1F33"/>
    <w:rsid w:val="004E287E"/>
    <w:rsid w:val="004E3DB5"/>
    <w:rsid w:val="004E3F72"/>
    <w:rsid w:val="004E4824"/>
    <w:rsid w:val="004E699A"/>
    <w:rsid w:val="004E7016"/>
    <w:rsid w:val="004F31DE"/>
    <w:rsid w:val="004F3B2B"/>
    <w:rsid w:val="004F4DA6"/>
    <w:rsid w:val="004F7248"/>
    <w:rsid w:val="004F7E60"/>
    <w:rsid w:val="00500E8D"/>
    <w:rsid w:val="00502A6D"/>
    <w:rsid w:val="0050357E"/>
    <w:rsid w:val="00507587"/>
    <w:rsid w:val="00510C59"/>
    <w:rsid w:val="00513860"/>
    <w:rsid w:val="005139AC"/>
    <w:rsid w:val="00513F3D"/>
    <w:rsid w:val="005140F4"/>
    <w:rsid w:val="00514439"/>
    <w:rsid w:val="00515A91"/>
    <w:rsid w:val="005208D2"/>
    <w:rsid w:val="0052257C"/>
    <w:rsid w:val="00522F49"/>
    <w:rsid w:val="00523013"/>
    <w:rsid w:val="00523844"/>
    <w:rsid w:val="005246A2"/>
    <w:rsid w:val="00525505"/>
    <w:rsid w:val="0052688B"/>
    <w:rsid w:val="00530904"/>
    <w:rsid w:val="00532DCB"/>
    <w:rsid w:val="00535BAA"/>
    <w:rsid w:val="00535E93"/>
    <w:rsid w:val="005372F4"/>
    <w:rsid w:val="00537A3A"/>
    <w:rsid w:val="005407B7"/>
    <w:rsid w:val="0054179B"/>
    <w:rsid w:val="00541F1B"/>
    <w:rsid w:val="0054208E"/>
    <w:rsid w:val="005431B6"/>
    <w:rsid w:val="005431C8"/>
    <w:rsid w:val="00544DD0"/>
    <w:rsid w:val="00545ECD"/>
    <w:rsid w:val="00545EE1"/>
    <w:rsid w:val="00550FE4"/>
    <w:rsid w:val="00552553"/>
    <w:rsid w:val="00552A37"/>
    <w:rsid w:val="005562B0"/>
    <w:rsid w:val="00560C10"/>
    <w:rsid w:val="00560CAC"/>
    <w:rsid w:val="0056270E"/>
    <w:rsid w:val="00562F9A"/>
    <w:rsid w:val="005674FC"/>
    <w:rsid w:val="00570C45"/>
    <w:rsid w:val="00570FB2"/>
    <w:rsid w:val="005740FB"/>
    <w:rsid w:val="0057419A"/>
    <w:rsid w:val="00576DCF"/>
    <w:rsid w:val="00577717"/>
    <w:rsid w:val="005803C5"/>
    <w:rsid w:val="00581D0B"/>
    <w:rsid w:val="005847B4"/>
    <w:rsid w:val="00585525"/>
    <w:rsid w:val="00586A05"/>
    <w:rsid w:val="00586F90"/>
    <w:rsid w:val="005878BF"/>
    <w:rsid w:val="00592E40"/>
    <w:rsid w:val="005951A2"/>
    <w:rsid w:val="00596B39"/>
    <w:rsid w:val="00596CD1"/>
    <w:rsid w:val="005A1F27"/>
    <w:rsid w:val="005A2A34"/>
    <w:rsid w:val="005A4A39"/>
    <w:rsid w:val="005A734B"/>
    <w:rsid w:val="005B0671"/>
    <w:rsid w:val="005B14C1"/>
    <w:rsid w:val="005B1ECF"/>
    <w:rsid w:val="005B2771"/>
    <w:rsid w:val="005B34CB"/>
    <w:rsid w:val="005B61DD"/>
    <w:rsid w:val="005C322D"/>
    <w:rsid w:val="005C38D1"/>
    <w:rsid w:val="005C6C8C"/>
    <w:rsid w:val="005D2D08"/>
    <w:rsid w:val="005D307D"/>
    <w:rsid w:val="005D6ECC"/>
    <w:rsid w:val="005E086F"/>
    <w:rsid w:val="005E3BE0"/>
    <w:rsid w:val="005E4335"/>
    <w:rsid w:val="005E5190"/>
    <w:rsid w:val="005E6312"/>
    <w:rsid w:val="005E661C"/>
    <w:rsid w:val="005E79F9"/>
    <w:rsid w:val="005F0221"/>
    <w:rsid w:val="005F1004"/>
    <w:rsid w:val="005F152B"/>
    <w:rsid w:val="005F2BED"/>
    <w:rsid w:val="005F4244"/>
    <w:rsid w:val="005F4C56"/>
    <w:rsid w:val="005F59C3"/>
    <w:rsid w:val="005F5BBF"/>
    <w:rsid w:val="005F7950"/>
    <w:rsid w:val="00600FE6"/>
    <w:rsid w:val="006017D6"/>
    <w:rsid w:val="00601D66"/>
    <w:rsid w:val="00603687"/>
    <w:rsid w:val="0060428B"/>
    <w:rsid w:val="00605F86"/>
    <w:rsid w:val="0060601F"/>
    <w:rsid w:val="00607B27"/>
    <w:rsid w:val="00607C17"/>
    <w:rsid w:val="00607C7C"/>
    <w:rsid w:val="00611928"/>
    <w:rsid w:val="00611E44"/>
    <w:rsid w:val="00612AB1"/>
    <w:rsid w:val="006137AF"/>
    <w:rsid w:val="00614343"/>
    <w:rsid w:val="00614EEC"/>
    <w:rsid w:val="00616E53"/>
    <w:rsid w:val="00617B4B"/>
    <w:rsid w:val="0062141F"/>
    <w:rsid w:val="00622726"/>
    <w:rsid w:val="00622FD7"/>
    <w:rsid w:val="0062478B"/>
    <w:rsid w:val="00624E66"/>
    <w:rsid w:val="00626B77"/>
    <w:rsid w:val="006329AF"/>
    <w:rsid w:val="00632FD4"/>
    <w:rsid w:val="0063315E"/>
    <w:rsid w:val="006346A5"/>
    <w:rsid w:val="00637072"/>
    <w:rsid w:val="00640BBB"/>
    <w:rsid w:val="00640F77"/>
    <w:rsid w:val="0064125F"/>
    <w:rsid w:val="00643435"/>
    <w:rsid w:val="00643E0E"/>
    <w:rsid w:val="00643E51"/>
    <w:rsid w:val="006458AA"/>
    <w:rsid w:val="006522B3"/>
    <w:rsid w:val="0065393A"/>
    <w:rsid w:val="0065594B"/>
    <w:rsid w:val="00655A20"/>
    <w:rsid w:val="00656030"/>
    <w:rsid w:val="00656C5A"/>
    <w:rsid w:val="006570F1"/>
    <w:rsid w:val="0065791C"/>
    <w:rsid w:val="00657B6E"/>
    <w:rsid w:val="0066046C"/>
    <w:rsid w:val="00663E96"/>
    <w:rsid w:val="00665411"/>
    <w:rsid w:val="00665885"/>
    <w:rsid w:val="00665F10"/>
    <w:rsid w:val="00672E59"/>
    <w:rsid w:val="00676D89"/>
    <w:rsid w:val="00677823"/>
    <w:rsid w:val="00677F79"/>
    <w:rsid w:val="006806CD"/>
    <w:rsid w:val="006807DA"/>
    <w:rsid w:val="00687D0A"/>
    <w:rsid w:val="00687E71"/>
    <w:rsid w:val="00690B7A"/>
    <w:rsid w:val="00693E69"/>
    <w:rsid w:val="006976EE"/>
    <w:rsid w:val="006A0F1A"/>
    <w:rsid w:val="006A4F38"/>
    <w:rsid w:val="006A52D4"/>
    <w:rsid w:val="006A564B"/>
    <w:rsid w:val="006A585E"/>
    <w:rsid w:val="006A5D26"/>
    <w:rsid w:val="006A627D"/>
    <w:rsid w:val="006A71F9"/>
    <w:rsid w:val="006A779C"/>
    <w:rsid w:val="006A7844"/>
    <w:rsid w:val="006B15E4"/>
    <w:rsid w:val="006B22BC"/>
    <w:rsid w:val="006C05E0"/>
    <w:rsid w:val="006C1FA9"/>
    <w:rsid w:val="006C2C95"/>
    <w:rsid w:val="006C4946"/>
    <w:rsid w:val="006C4FF3"/>
    <w:rsid w:val="006C5883"/>
    <w:rsid w:val="006C6BE9"/>
    <w:rsid w:val="006C769D"/>
    <w:rsid w:val="006C7CF7"/>
    <w:rsid w:val="006D11CF"/>
    <w:rsid w:val="006D4417"/>
    <w:rsid w:val="006D49AF"/>
    <w:rsid w:val="006D4C0A"/>
    <w:rsid w:val="006D7072"/>
    <w:rsid w:val="006D77E9"/>
    <w:rsid w:val="006D7D1C"/>
    <w:rsid w:val="006E1BBD"/>
    <w:rsid w:val="006E318A"/>
    <w:rsid w:val="006E5494"/>
    <w:rsid w:val="006E64B5"/>
    <w:rsid w:val="006E67CA"/>
    <w:rsid w:val="006E760D"/>
    <w:rsid w:val="006F09E7"/>
    <w:rsid w:val="006F157D"/>
    <w:rsid w:val="006F2910"/>
    <w:rsid w:val="006F3E64"/>
    <w:rsid w:val="006F4CBF"/>
    <w:rsid w:val="006F64A8"/>
    <w:rsid w:val="00703F28"/>
    <w:rsid w:val="007053DA"/>
    <w:rsid w:val="00705DBF"/>
    <w:rsid w:val="0070628B"/>
    <w:rsid w:val="00706D20"/>
    <w:rsid w:val="00713850"/>
    <w:rsid w:val="007140E8"/>
    <w:rsid w:val="007143F4"/>
    <w:rsid w:val="00716ED2"/>
    <w:rsid w:val="007171F1"/>
    <w:rsid w:val="0072040F"/>
    <w:rsid w:val="007233EB"/>
    <w:rsid w:val="00725771"/>
    <w:rsid w:val="007259C9"/>
    <w:rsid w:val="007315A6"/>
    <w:rsid w:val="0073246A"/>
    <w:rsid w:val="00734570"/>
    <w:rsid w:val="00735B39"/>
    <w:rsid w:val="007362E1"/>
    <w:rsid w:val="00736508"/>
    <w:rsid w:val="00736DEC"/>
    <w:rsid w:val="0074069A"/>
    <w:rsid w:val="007422CB"/>
    <w:rsid w:val="00742845"/>
    <w:rsid w:val="00744463"/>
    <w:rsid w:val="00747088"/>
    <w:rsid w:val="00747550"/>
    <w:rsid w:val="0074755C"/>
    <w:rsid w:val="00752AD4"/>
    <w:rsid w:val="007539E4"/>
    <w:rsid w:val="00756D4F"/>
    <w:rsid w:val="00757673"/>
    <w:rsid w:val="00761BC5"/>
    <w:rsid w:val="0076206F"/>
    <w:rsid w:val="007626A8"/>
    <w:rsid w:val="00762E80"/>
    <w:rsid w:val="00763027"/>
    <w:rsid w:val="00764066"/>
    <w:rsid w:val="007645F4"/>
    <w:rsid w:val="007656F3"/>
    <w:rsid w:val="007674D8"/>
    <w:rsid w:val="00770937"/>
    <w:rsid w:val="007709C6"/>
    <w:rsid w:val="0077282E"/>
    <w:rsid w:val="00773B44"/>
    <w:rsid w:val="0077772F"/>
    <w:rsid w:val="00780CD6"/>
    <w:rsid w:val="00782028"/>
    <w:rsid w:val="007849A0"/>
    <w:rsid w:val="00784C47"/>
    <w:rsid w:val="00784F37"/>
    <w:rsid w:val="00786AA9"/>
    <w:rsid w:val="00790042"/>
    <w:rsid w:val="00790E26"/>
    <w:rsid w:val="0079131C"/>
    <w:rsid w:val="00791DB5"/>
    <w:rsid w:val="007920C2"/>
    <w:rsid w:val="007928DF"/>
    <w:rsid w:val="0079328A"/>
    <w:rsid w:val="00793BB6"/>
    <w:rsid w:val="00794461"/>
    <w:rsid w:val="00796F80"/>
    <w:rsid w:val="007A08A1"/>
    <w:rsid w:val="007A1ED8"/>
    <w:rsid w:val="007A2874"/>
    <w:rsid w:val="007A57B7"/>
    <w:rsid w:val="007A5F46"/>
    <w:rsid w:val="007A6280"/>
    <w:rsid w:val="007A6390"/>
    <w:rsid w:val="007A63E1"/>
    <w:rsid w:val="007A7D9C"/>
    <w:rsid w:val="007B09C4"/>
    <w:rsid w:val="007B21EC"/>
    <w:rsid w:val="007B2495"/>
    <w:rsid w:val="007B265B"/>
    <w:rsid w:val="007B2EEF"/>
    <w:rsid w:val="007B3975"/>
    <w:rsid w:val="007C0654"/>
    <w:rsid w:val="007C4CA3"/>
    <w:rsid w:val="007C57F3"/>
    <w:rsid w:val="007C6B39"/>
    <w:rsid w:val="007C7F24"/>
    <w:rsid w:val="007C7F70"/>
    <w:rsid w:val="007D043F"/>
    <w:rsid w:val="007D19EF"/>
    <w:rsid w:val="007D2472"/>
    <w:rsid w:val="007D24C5"/>
    <w:rsid w:val="007D26B3"/>
    <w:rsid w:val="007D34C0"/>
    <w:rsid w:val="007D374C"/>
    <w:rsid w:val="007D4C27"/>
    <w:rsid w:val="007E0B71"/>
    <w:rsid w:val="007E1664"/>
    <w:rsid w:val="007E2D62"/>
    <w:rsid w:val="007E4E57"/>
    <w:rsid w:val="007E675A"/>
    <w:rsid w:val="007E7E06"/>
    <w:rsid w:val="007F1B3B"/>
    <w:rsid w:val="007F3E33"/>
    <w:rsid w:val="007F6743"/>
    <w:rsid w:val="0080199C"/>
    <w:rsid w:val="00803B0E"/>
    <w:rsid w:val="008040C3"/>
    <w:rsid w:val="0080609C"/>
    <w:rsid w:val="00807C49"/>
    <w:rsid w:val="00810FAF"/>
    <w:rsid w:val="00811C20"/>
    <w:rsid w:val="00811DC3"/>
    <w:rsid w:val="00812171"/>
    <w:rsid w:val="00813B3B"/>
    <w:rsid w:val="00813D32"/>
    <w:rsid w:val="008154C3"/>
    <w:rsid w:val="008167CC"/>
    <w:rsid w:val="00816BC5"/>
    <w:rsid w:val="0081725C"/>
    <w:rsid w:val="0082008B"/>
    <w:rsid w:val="00822E3B"/>
    <w:rsid w:val="00822F19"/>
    <w:rsid w:val="00824E20"/>
    <w:rsid w:val="008252B1"/>
    <w:rsid w:val="00826B43"/>
    <w:rsid w:val="0083087B"/>
    <w:rsid w:val="00830AA6"/>
    <w:rsid w:val="008311F8"/>
    <w:rsid w:val="008326E8"/>
    <w:rsid w:val="00832F4D"/>
    <w:rsid w:val="00833479"/>
    <w:rsid w:val="00835BE0"/>
    <w:rsid w:val="00843908"/>
    <w:rsid w:val="00843CBA"/>
    <w:rsid w:val="0084530E"/>
    <w:rsid w:val="00845771"/>
    <w:rsid w:val="00847B28"/>
    <w:rsid w:val="00852350"/>
    <w:rsid w:val="00856F88"/>
    <w:rsid w:val="00861F11"/>
    <w:rsid w:val="008623F1"/>
    <w:rsid w:val="0086338A"/>
    <w:rsid w:val="0086377A"/>
    <w:rsid w:val="00863EFD"/>
    <w:rsid w:val="008668B8"/>
    <w:rsid w:val="0086693F"/>
    <w:rsid w:val="00867809"/>
    <w:rsid w:val="00870462"/>
    <w:rsid w:val="008711D5"/>
    <w:rsid w:val="00872857"/>
    <w:rsid w:val="00872DD2"/>
    <w:rsid w:val="00874096"/>
    <w:rsid w:val="0087451C"/>
    <w:rsid w:val="00874729"/>
    <w:rsid w:val="008749B0"/>
    <w:rsid w:val="00875068"/>
    <w:rsid w:val="008759F6"/>
    <w:rsid w:val="00877093"/>
    <w:rsid w:val="008776E4"/>
    <w:rsid w:val="008808AF"/>
    <w:rsid w:val="00880938"/>
    <w:rsid w:val="00880C44"/>
    <w:rsid w:val="0088165A"/>
    <w:rsid w:val="00881A01"/>
    <w:rsid w:val="00882526"/>
    <w:rsid w:val="008828FD"/>
    <w:rsid w:val="00882EE0"/>
    <w:rsid w:val="008854D0"/>
    <w:rsid w:val="0088691C"/>
    <w:rsid w:val="0089201D"/>
    <w:rsid w:val="008964F6"/>
    <w:rsid w:val="00897925"/>
    <w:rsid w:val="008A1684"/>
    <w:rsid w:val="008A1A9B"/>
    <w:rsid w:val="008A2079"/>
    <w:rsid w:val="008A2675"/>
    <w:rsid w:val="008A5726"/>
    <w:rsid w:val="008A68FB"/>
    <w:rsid w:val="008B0D17"/>
    <w:rsid w:val="008B19BB"/>
    <w:rsid w:val="008B47ED"/>
    <w:rsid w:val="008B4966"/>
    <w:rsid w:val="008B50FD"/>
    <w:rsid w:val="008B62BB"/>
    <w:rsid w:val="008C0A32"/>
    <w:rsid w:val="008C1D3F"/>
    <w:rsid w:val="008C1F79"/>
    <w:rsid w:val="008C2FA1"/>
    <w:rsid w:val="008C3B9A"/>
    <w:rsid w:val="008C3C61"/>
    <w:rsid w:val="008C3FAE"/>
    <w:rsid w:val="008C515E"/>
    <w:rsid w:val="008C52E2"/>
    <w:rsid w:val="008C5454"/>
    <w:rsid w:val="008C59D1"/>
    <w:rsid w:val="008C606D"/>
    <w:rsid w:val="008C6D38"/>
    <w:rsid w:val="008D0EFE"/>
    <w:rsid w:val="008D1287"/>
    <w:rsid w:val="008D2B53"/>
    <w:rsid w:val="008D3073"/>
    <w:rsid w:val="008D3843"/>
    <w:rsid w:val="008D4C5F"/>
    <w:rsid w:val="008D627A"/>
    <w:rsid w:val="008D6D58"/>
    <w:rsid w:val="008E048B"/>
    <w:rsid w:val="008E2744"/>
    <w:rsid w:val="008E3FE1"/>
    <w:rsid w:val="008E45FA"/>
    <w:rsid w:val="008E466E"/>
    <w:rsid w:val="008E4E9A"/>
    <w:rsid w:val="008E712C"/>
    <w:rsid w:val="008F28A4"/>
    <w:rsid w:val="008F3ED0"/>
    <w:rsid w:val="008F63F6"/>
    <w:rsid w:val="008F6A9C"/>
    <w:rsid w:val="00901649"/>
    <w:rsid w:val="00903F9F"/>
    <w:rsid w:val="00904E56"/>
    <w:rsid w:val="009077E9"/>
    <w:rsid w:val="00911E81"/>
    <w:rsid w:val="00912900"/>
    <w:rsid w:val="00912D17"/>
    <w:rsid w:val="009130BF"/>
    <w:rsid w:val="009212CA"/>
    <w:rsid w:val="009212D2"/>
    <w:rsid w:val="009213FA"/>
    <w:rsid w:val="009263D3"/>
    <w:rsid w:val="0093014D"/>
    <w:rsid w:val="00930E79"/>
    <w:rsid w:val="009329A6"/>
    <w:rsid w:val="00932C1B"/>
    <w:rsid w:val="009356B9"/>
    <w:rsid w:val="00936126"/>
    <w:rsid w:val="009374D0"/>
    <w:rsid w:val="00937734"/>
    <w:rsid w:val="00937E1D"/>
    <w:rsid w:val="009432DE"/>
    <w:rsid w:val="0094399A"/>
    <w:rsid w:val="00944653"/>
    <w:rsid w:val="00944980"/>
    <w:rsid w:val="009463D2"/>
    <w:rsid w:val="009466AD"/>
    <w:rsid w:val="00946A7C"/>
    <w:rsid w:val="009502FE"/>
    <w:rsid w:val="00950B63"/>
    <w:rsid w:val="00956773"/>
    <w:rsid w:val="00957FCB"/>
    <w:rsid w:val="0096106F"/>
    <w:rsid w:val="00964653"/>
    <w:rsid w:val="009666D6"/>
    <w:rsid w:val="00966AC5"/>
    <w:rsid w:val="00967324"/>
    <w:rsid w:val="00970884"/>
    <w:rsid w:val="00972448"/>
    <w:rsid w:val="00977145"/>
    <w:rsid w:val="00977702"/>
    <w:rsid w:val="00980FF3"/>
    <w:rsid w:val="009814EA"/>
    <w:rsid w:val="00982F3E"/>
    <w:rsid w:val="00983CF7"/>
    <w:rsid w:val="00990A4E"/>
    <w:rsid w:val="00990C1E"/>
    <w:rsid w:val="009A040B"/>
    <w:rsid w:val="009A06B0"/>
    <w:rsid w:val="009A1FE2"/>
    <w:rsid w:val="009A4764"/>
    <w:rsid w:val="009A5752"/>
    <w:rsid w:val="009A7ED9"/>
    <w:rsid w:val="009B0BFB"/>
    <w:rsid w:val="009B1163"/>
    <w:rsid w:val="009B13B6"/>
    <w:rsid w:val="009B14DA"/>
    <w:rsid w:val="009B1862"/>
    <w:rsid w:val="009B1A22"/>
    <w:rsid w:val="009B50E9"/>
    <w:rsid w:val="009C0071"/>
    <w:rsid w:val="009C0319"/>
    <w:rsid w:val="009C2A29"/>
    <w:rsid w:val="009C3A0F"/>
    <w:rsid w:val="009C53BF"/>
    <w:rsid w:val="009C654D"/>
    <w:rsid w:val="009C7B34"/>
    <w:rsid w:val="009D0322"/>
    <w:rsid w:val="009D0B10"/>
    <w:rsid w:val="009D1372"/>
    <w:rsid w:val="009D1BC2"/>
    <w:rsid w:val="009D2FF9"/>
    <w:rsid w:val="009D474D"/>
    <w:rsid w:val="009D63DC"/>
    <w:rsid w:val="009D734B"/>
    <w:rsid w:val="009D7997"/>
    <w:rsid w:val="009E0655"/>
    <w:rsid w:val="009E31F3"/>
    <w:rsid w:val="009E4921"/>
    <w:rsid w:val="009E5AC5"/>
    <w:rsid w:val="009E6B1A"/>
    <w:rsid w:val="009E6B57"/>
    <w:rsid w:val="009E79C3"/>
    <w:rsid w:val="009F2468"/>
    <w:rsid w:val="009F462F"/>
    <w:rsid w:val="009F5A5A"/>
    <w:rsid w:val="009F6827"/>
    <w:rsid w:val="009F6FEF"/>
    <w:rsid w:val="009F7137"/>
    <w:rsid w:val="00A008AF"/>
    <w:rsid w:val="00A01D2F"/>
    <w:rsid w:val="00A02E5F"/>
    <w:rsid w:val="00A03F8A"/>
    <w:rsid w:val="00A04CDA"/>
    <w:rsid w:val="00A06358"/>
    <w:rsid w:val="00A0687B"/>
    <w:rsid w:val="00A069D2"/>
    <w:rsid w:val="00A07C67"/>
    <w:rsid w:val="00A1005B"/>
    <w:rsid w:val="00A10110"/>
    <w:rsid w:val="00A11493"/>
    <w:rsid w:val="00A14633"/>
    <w:rsid w:val="00A15712"/>
    <w:rsid w:val="00A1713E"/>
    <w:rsid w:val="00A2337F"/>
    <w:rsid w:val="00A24BDD"/>
    <w:rsid w:val="00A2557A"/>
    <w:rsid w:val="00A25DE7"/>
    <w:rsid w:val="00A2718E"/>
    <w:rsid w:val="00A31A3D"/>
    <w:rsid w:val="00A3413D"/>
    <w:rsid w:val="00A35BDB"/>
    <w:rsid w:val="00A361B5"/>
    <w:rsid w:val="00A366F7"/>
    <w:rsid w:val="00A37017"/>
    <w:rsid w:val="00A411B9"/>
    <w:rsid w:val="00A42B0C"/>
    <w:rsid w:val="00A4312E"/>
    <w:rsid w:val="00A44905"/>
    <w:rsid w:val="00A46596"/>
    <w:rsid w:val="00A478A4"/>
    <w:rsid w:val="00A508A3"/>
    <w:rsid w:val="00A51727"/>
    <w:rsid w:val="00A5191A"/>
    <w:rsid w:val="00A52CE1"/>
    <w:rsid w:val="00A544C4"/>
    <w:rsid w:val="00A55320"/>
    <w:rsid w:val="00A56021"/>
    <w:rsid w:val="00A5667F"/>
    <w:rsid w:val="00A569DF"/>
    <w:rsid w:val="00A570B5"/>
    <w:rsid w:val="00A57C70"/>
    <w:rsid w:val="00A64769"/>
    <w:rsid w:val="00A64970"/>
    <w:rsid w:val="00A65AEE"/>
    <w:rsid w:val="00A65B5E"/>
    <w:rsid w:val="00A65E42"/>
    <w:rsid w:val="00A6615B"/>
    <w:rsid w:val="00A66A33"/>
    <w:rsid w:val="00A67C4B"/>
    <w:rsid w:val="00A7138B"/>
    <w:rsid w:val="00A71D26"/>
    <w:rsid w:val="00A71D57"/>
    <w:rsid w:val="00A73724"/>
    <w:rsid w:val="00A7377E"/>
    <w:rsid w:val="00A75564"/>
    <w:rsid w:val="00A755BE"/>
    <w:rsid w:val="00A76090"/>
    <w:rsid w:val="00A801CA"/>
    <w:rsid w:val="00A80FB2"/>
    <w:rsid w:val="00A826F6"/>
    <w:rsid w:val="00A83D68"/>
    <w:rsid w:val="00A84615"/>
    <w:rsid w:val="00A8661A"/>
    <w:rsid w:val="00A87589"/>
    <w:rsid w:val="00A87F0E"/>
    <w:rsid w:val="00A907F0"/>
    <w:rsid w:val="00A91588"/>
    <w:rsid w:val="00A9236D"/>
    <w:rsid w:val="00A938E5"/>
    <w:rsid w:val="00A94657"/>
    <w:rsid w:val="00A95744"/>
    <w:rsid w:val="00A969F9"/>
    <w:rsid w:val="00A979B0"/>
    <w:rsid w:val="00A97CCD"/>
    <w:rsid w:val="00AA18A3"/>
    <w:rsid w:val="00AA2FEB"/>
    <w:rsid w:val="00AA3B74"/>
    <w:rsid w:val="00AA6F79"/>
    <w:rsid w:val="00AB2640"/>
    <w:rsid w:val="00AB2F9F"/>
    <w:rsid w:val="00AB41F4"/>
    <w:rsid w:val="00AB78E7"/>
    <w:rsid w:val="00AC2692"/>
    <w:rsid w:val="00AC26DD"/>
    <w:rsid w:val="00AC35CC"/>
    <w:rsid w:val="00AC3690"/>
    <w:rsid w:val="00AC4F37"/>
    <w:rsid w:val="00AC4F74"/>
    <w:rsid w:val="00AD0870"/>
    <w:rsid w:val="00AD2C2C"/>
    <w:rsid w:val="00AD68EE"/>
    <w:rsid w:val="00AD7510"/>
    <w:rsid w:val="00AE0922"/>
    <w:rsid w:val="00AE15BC"/>
    <w:rsid w:val="00AE3490"/>
    <w:rsid w:val="00AE48C8"/>
    <w:rsid w:val="00AE557A"/>
    <w:rsid w:val="00AE768A"/>
    <w:rsid w:val="00AF2FE4"/>
    <w:rsid w:val="00AF4A50"/>
    <w:rsid w:val="00AF5276"/>
    <w:rsid w:val="00AF6A2A"/>
    <w:rsid w:val="00AF7034"/>
    <w:rsid w:val="00B012E0"/>
    <w:rsid w:val="00B013DE"/>
    <w:rsid w:val="00B0141D"/>
    <w:rsid w:val="00B0347F"/>
    <w:rsid w:val="00B04238"/>
    <w:rsid w:val="00B04512"/>
    <w:rsid w:val="00B051B9"/>
    <w:rsid w:val="00B07445"/>
    <w:rsid w:val="00B1109E"/>
    <w:rsid w:val="00B14424"/>
    <w:rsid w:val="00B15225"/>
    <w:rsid w:val="00B15A76"/>
    <w:rsid w:val="00B169DF"/>
    <w:rsid w:val="00B16D4B"/>
    <w:rsid w:val="00B16FC6"/>
    <w:rsid w:val="00B20F31"/>
    <w:rsid w:val="00B24897"/>
    <w:rsid w:val="00B25109"/>
    <w:rsid w:val="00B25B97"/>
    <w:rsid w:val="00B25CF1"/>
    <w:rsid w:val="00B266CD"/>
    <w:rsid w:val="00B26E33"/>
    <w:rsid w:val="00B307D1"/>
    <w:rsid w:val="00B30E1F"/>
    <w:rsid w:val="00B3271B"/>
    <w:rsid w:val="00B342B6"/>
    <w:rsid w:val="00B34F4D"/>
    <w:rsid w:val="00B3551F"/>
    <w:rsid w:val="00B36B53"/>
    <w:rsid w:val="00B3715B"/>
    <w:rsid w:val="00B410FC"/>
    <w:rsid w:val="00B41F0D"/>
    <w:rsid w:val="00B420F6"/>
    <w:rsid w:val="00B442B1"/>
    <w:rsid w:val="00B47129"/>
    <w:rsid w:val="00B507E5"/>
    <w:rsid w:val="00B50B6B"/>
    <w:rsid w:val="00B55C8B"/>
    <w:rsid w:val="00B55F1A"/>
    <w:rsid w:val="00B56A6E"/>
    <w:rsid w:val="00B56ACD"/>
    <w:rsid w:val="00B60018"/>
    <w:rsid w:val="00B640C2"/>
    <w:rsid w:val="00B64D45"/>
    <w:rsid w:val="00B65476"/>
    <w:rsid w:val="00B65CD1"/>
    <w:rsid w:val="00B666DD"/>
    <w:rsid w:val="00B673B4"/>
    <w:rsid w:val="00B6762F"/>
    <w:rsid w:val="00B71A95"/>
    <w:rsid w:val="00B72FBB"/>
    <w:rsid w:val="00B73CB5"/>
    <w:rsid w:val="00B743B0"/>
    <w:rsid w:val="00B77F12"/>
    <w:rsid w:val="00B80EA9"/>
    <w:rsid w:val="00B820B6"/>
    <w:rsid w:val="00B8318B"/>
    <w:rsid w:val="00B854BC"/>
    <w:rsid w:val="00B85A94"/>
    <w:rsid w:val="00B86092"/>
    <w:rsid w:val="00B8787B"/>
    <w:rsid w:val="00B87DF1"/>
    <w:rsid w:val="00B932D4"/>
    <w:rsid w:val="00B97364"/>
    <w:rsid w:val="00B973DE"/>
    <w:rsid w:val="00B97858"/>
    <w:rsid w:val="00B9799D"/>
    <w:rsid w:val="00BA0A09"/>
    <w:rsid w:val="00BA2D7E"/>
    <w:rsid w:val="00BA399E"/>
    <w:rsid w:val="00BA4C84"/>
    <w:rsid w:val="00BA50AF"/>
    <w:rsid w:val="00BA7E1A"/>
    <w:rsid w:val="00BB0308"/>
    <w:rsid w:val="00BB08AE"/>
    <w:rsid w:val="00BB0EA7"/>
    <w:rsid w:val="00BB4850"/>
    <w:rsid w:val="00BB70FA"/>
    <w:rsid w:val="00BB712A"/>
    <w:rsid w:val="00BC2737"/>
    <w:rsid w:val="00BC3CA2"/>
    <w:rsid w:val="00BC4151"/>
    <w:rsid w:val="00BC55E0"/>
    <w:rsid w:val="00BC67DB"/>
    <w:rsid w:val="00BD0130"/>
    <w:rsid w:val="00BD0CC8"/>
    <w:rsid w:val="00BD22B5"/>
    <w:rsid w:val="00BD264A"/>
    <w:rsid w:val="00BD425C"/>
    <w:rsid w:val="00BD5111"/>
    <w:rsid w:val="00BD5E0D"/>
    <w:rsid w:val="00BD69F4"/>
    <w:rsid w:val="00BD7A3F"/>
    <w:rsid w:val="00BE2F31"/>
    <w:rsid w:val="00BE4567"/>
    <w:rsid w:val="00BE47D1"/>
    <w:rsid w:val="00BE625A"/>
    <w:rsid w:val="00BE67C7"/>
    <w:rsid w:val="00BE6A03"/>
    <w:rsid w:val="00BE7302"/>
    <w:rsid w:val="00BF0F2A"/>
    <w:rsid w:val="00BF18BA"/>
    <w:rsid w:val="00BF216F"/>
    <w:rsid w:val="00BF3282"/>
    <w:rsid w:val="00BF491F"/>
    <w:rsid w:val="00BF5900"/>
    <w:rsid w:val="00BF6AB0"/>
    <w:rsid w:val="00BF78D3"/>
    <w:rsid w:val="00BF7E91"/>
    <w:rsid w:val="00BF7F31"/>
    <w:rsid w:val="00C00787"/>
    <w:rsid w:val="00C0090C"/>
    <w:rsid w:val="00C01655"/>
    <w:rsid w:val="00C03C07"/>
    <w:rsid w:val="00C05D47"/>
    <w:rsid w:val="00C073C6"/>
    <w:rsid w:val="00C1170D"/>
    <w:rsid w:val="00C12B38"/>
    <w:rsid w:val="00C13094"/>
    <w:rsid w:val="00C131A6"/>
    <w:rsid w:val="00C16190"/>
    <w:rsid w:val="00C172CB"/>
    <w:rsid w:val="00C20670"/>
    <w:rsid w:val="00C20BAA"/>
    <w:rsid w:val="00C304D8"/>
    <w:rsid w:val="00C30BBB"/>
    <w:rsid w:val="00C30F50"/>
    <w:rsid w:val="00C31AB8"/>
    <w:rsid w:val="00C3273D"/>
    <w:rsid w:val="00C32C93"/>
    <w:rsid w:val="00C35055"/>
    <w:rsid w:val="00C35173"/>
    <w:rsid w:val="00C35F85"/>
    <w:rsid w:val="00C36589"/>
    <w:rsid w:val="00C36B3C"/>
    <w:rsid w:val="00C37BC3"/>
    <w:rsid w:val="00C41750"/>
    <w:rsid w:val="00C43CD1"/>
    <w:rsid w:val="00C44622"/>
    <w:rsid w:val="00C447CD"/>
    <w:rsid w:val="00C45861"/>
    <w:rsid w:val="00C45C89"/>
    <w:rsid w:val="00C473CC"/>
    <w:rsid w:val="00C501B9"/>
    <w:rsid w:val="00C5262D"/>
    <w:rsid w:val="00C5301D"/>
    <w:rsid w:val="00C53119"/>
    <w:rsid w:val="00C57758"/>
    <w:rsid w:val="00C60548"/>
    <w:rsid w:val="00C613CE"/>
    <w:rsid w:val="00C64119"/>
    <w:rsid w:val="00C65581"/>
    <w:rsid w:val="00C65765"/>
    <w:rsid w:val="00C701AF"/>
    <w:rsid w:val="00C7125D"/>
    <w:rsid w:val="00C743EA"/>
    <w:rsid w:val="00C754C6"/>
    <w:rsid w:val="00C75C85"/>
    <w:rsid w:val="00C76879"/>
    <w:rsid w:val="00C7696A"/>
    <w:rsid w:val="00C77F20"/>
    <w:rsid w:val="00C83914"/>
    <w:rsid w:val="00C84B3F"/>
    <w:rsid w:val="00C85B71"/>
    <w:rsid w:val="00C86046"/>
    <w:rsid w:val="00C90021"/>
    <w:rsid w:val="00C95BF4"/>
    <w:rsid w:val="00C95DDA"/>
    <w:rsid w:val="00C96912"/>
    <w:rsid w:val="00C969DF"/>
    <w:rsid w:val="00C97B6D"/>
    <w:rsid w:val="00CA012B"/>
    <w:rsid w:val="00CA0C4E"/>
    <w:rsid w:val="00CA1952"/>
    <w:rsid w:val="00CA1E1B"/>
    <w:rsid w:val="00CA2D68"/>
    <w:rsid w:val="00CA3012"/>
    <w:rsid w:val="00CA3027"/>
    <w:rsid w:val="00CA35E4"/>
    <w:rsid w:val="00CA372F"/>
    <w:rsid w:val="00CA5296"/>
    <w:rsid w:val="00CA64BF"/>
    <w:rsid w:val="00CA68C4"/>
    <w:rsid w:val="00CA6D1B"/>
    <w:rsid w:val="00CB04D0"/>
    <w:rsid w:val="00CB0C02"/>
    <w:rsid w:val="00CB12B8"/>
    <w:rsid w:val="00CB17DC"/>
    <w:rsid w:val="00CB39D9"/>
    <w:rsid w:val="00CB3D19"/>
    <w:rsid w:val="00CB4693"/>
    <w:rsid w:val="00CB6A06"/>
    <w:rsid w:val="00CB73CF"/>
    <w:rsid w:val="00CB78C4"/>
    <w:rsid w:val="00CB799B"/>
    <w:rsid w:val="00CC053F"/>
    <w:rsid w:val="00CC0E92"/>
    <w:rsid w:val="00CC1CE1"/>
    <w:rsid w:val="00CC2E57"/>
    <w:rsid w:val="00CC36EE"/>
    <w:rsid w:val="00CC5579"/>
    <w:rsid w:val="00CC695B"/>
    <w:rsid w:val="00CC74CE"/>
    <w:rsid w:val="00CD0514"/>
    <w:rsid w:val="00CD086E"/>
    <w:rsid w:val="00CD202D"/>
    <w:rsid w:val="00CD29C3"/>
    <w:rsid w:val="00CD2C36"/>
    <w:rsid w:val="00CD3745"/>
    <w:rsid w:val="00CD4A63"/>
    <w:rsid w:val="00CD4B34"/>
    <w:rsid w:val="00CD596D"/>
    <w:rsid w:val="00CD5E6C"/>
    <w:rsid w:val="00CD5F08"/>
    <w:rsid w:val="00CD6271"/>
    <w:rsid w:val="00CD7133"/>
    <w:rsid w:val="00CE0781"/>
    <w:rsid w:val="00CE0A10"/>
    <w:rsid w:val="00CE0FAC"/>
    <w:rsid w:val="00CE2779"/>
    <w:rsid w:val="00CE31DE"/>
    <w:rsid w:val="00CE45BC"/>
    <w:rsid w:val="00CF48D8"/>
    <w:rsid w:val="00CF4C47"/>
    <w:rsid w:val="00CF5DF9"/>
    <w:rsid w:val="00CF6827"/>
    <w:rsid w:val="00D00B4B"/>
    <w:rsid w:val="00D01EAD"/>
    <w:rsid w:val="00D020E4"/>
    <w:rsid w:val="00D02324"/>
    <w:rsid w:val="00D03E81"/>
    <w:rsid w:val="00D06407"/>
    <w:rsid w:val="00D119BC"/>
    <w:rsid w:val="00D120CC"/>
    <w:rsid w:val="00D13509"/>
    <w:rsid w:val="00D14282"/>
    <w:rsid w:val="00D1432F"/>
    <w:rsid w:val="00D1438A"/>
    <w:rsid w:val="00D16634"/>
    <w:rsid w:val="00D16808"/>
    <w:rsid w:val="00D1786A"/>
    <w:rsid w:val="00D1791E"/>
    <w:rsid w:val="00D2124A"/>
    <w:rsid w:val="00D23CDD"/>
    <w:rsid w:val="00D242AD"/>
    <w:rsid w:val="00D24F76"/>
    <w:rsid w:val="00D26642"/>
    <w:rsid w:val="00D3099F"/>
    <w:rsid w:val="00D309A5"/>
    <w:rsid w:val="00D31102"/>
    <w:rsid w:val="00D3396A"/>
    <w:rsid w:val="00D36A2D"/>
    <w:rsid w:val="00D40007"/>
    <w:rsid w:val="00D40532"/>
    <w:rsid w:val="00D43ECE"/>
    <w:rsid w:val="00D44922"/>
    <w:rsid w:val="00D44CD7"/>
    <w:rsid w:val="00D466BE"/>
    <w:rsid w:val="00D47507"/>
    <w:rsid w:val="00D513FE"/>
    <w:rsid w:val="00D521A3"/>
    <w:rsid w:val="00D52281"/>
    <w:rsid w:val="00D52D13"/>
    <w:rsid w:val="00D5395D"/>
    <w:rsid w:val="00D55704"/>
    <w:rsid w:val="00D56115"/>
    <w:rsid w:val="00D607AD"/>
    <w:rsid w:val="00D60E4A"/>
    <w:rsid w:val="00D61704"/>
    <w:rsid w:val="00D62DEC"/>
    <w:rsid w:val="00D62DFB"/>
    <w:rsid w:val="00D63001"/>
    <w:rsid w:val="00D63420"/>
    <w:rsid w:val="00D64FCA"/>
    <w:rsid w:val="00D654B0"/>
    <w:rsid w:val="00D66F4F"/>
    <w:rsid w:val="00D67533"/>
    <w:rsid w:val="00D71101"/>
    <w:rsid w:val="00D73279"/>
    <w:rsid w:val="00D74A00"/>
    <w:rsid w:val="00D756AF"/>
    <w:rsid w:val="00D76DC5"/>
    <w:rsid w:val="00D77F2D"/>
    <w:rsid w:val="00D834D6"/>
    <w:rsid w:val="00D83DE7"/>
    <w:rsid w:val="00D8627C"/>
    <w:rsid w:val="00D912C7"/>
    <w:rsid w:val="00D916EB"/>
    <w:rsid w:val="00D95E44"/>
    <w:rsid w:val="00DA092A"/>
    <w:rsid w:val="00DA27F0"/>
    <w:rsid w:val="00DA3B29"/>
    <w:rsid w:val="00DA4D4D"/>
    <w:rsid w:val="00DA5372"/>
    <w:rsid w:val="00DB0A12"/>
    <w:rsid w:val="00DB0FAC"/>
    <w:rsid w:val="00DB1596"/>
    <w:rsid w:val="00DB27E4"/>
    <w:rsid w:val="00DB39CC"/>
    <w:rsid w:val="00DB3B0E"/>
    <w:rsid w:val="00DB3F1E"/>
    <w:rsid w:val="00DB40F2"/>
    <w:rsid w:val="00DB5E4E"/>
    <w:rsid w:val="00DC00B8"/>
    <w:rsid w:val="00DC0DA7"/>
    <w:rsid w:val="00DC1931"/>
    <w:rsid w:val="00DC1BAB"/>
    <w:rsid w:val="00DC1BB7"/>
    <w:rsid w:val="00DC1E73"/>
    <w:rsid w:val="00DC24A4"/>
    <w:rsid w:val="00DC2EF6"/>
    <w:rsid w:val="00DC4A1B"/>
    <w:rsid w:val="00DC4ED3"/>
    <w:rsid w:val="00DC5E88"/>
    <w:rsid w:val="00DC738A"/>
    <w:rsid w:val="00DD2778"/>
    <w:rsid w:val="00DD284F"/>
    <w:rsid w:val="00DE0343"/>
    <w:rsid w:val="00DE04C1"/>
    <w:rsid w:val="00DE1985"/>
    <w:rsid w:val="00DE2671"/>
    <w:rsid w:val="00DE2E63"/>
    <w:rsid w:val="00DE2F1C"/>
    <w:rsid w:val="00DE6B13"/>
    <w:rsid w:val="00DE73E3"/>
    <w:rsid w:val="00DE7914"/>
    <w:rsid w:val="00DF0613"/>
    <w:rsid w:val="00DF2362"/>
    <w:rsid w:val="00DF2843"/>
    <w:rsid w:val="00DF5298"/>
    <w:rsid w:val="00DF5D99"/>
    <w:rsid w:val="00DF6709"/>
    <w:rsid w:val="00DF7279"/>
    <w:rsid w:val="00DF775A"/>
    <w:rsid w:val="00E00236"/>
    <w:rsid w:val="00E00BBA"/>
    <w:rsid w:val="00E030C4"/>
    <w:rsid w:val="00E03A71"/>
    <w:rsid w:val="00E04686"/>
    <w:rsid w:val="00E0478A"/>
    <w:rsid w:val="00E048AC"/>
    <w:rsid w:val="00E05DE8"/>
    <w:rsid w:val="00E06389"/>
    <w:rsid w:val="00E07B8A"/>
    <w:rsid w:val="00E16E26"/>
    <w:rsid w:val="00E2119B"/>
    <w:rsid w:val="00E225C5"/>
    <w:rsid w:val="00E23B96"/>
    <w:rsid w:val="00E253E9"/>
    <w:rsid w:val="00E25FB5"/>
    <w:rsid w:val="00E3163E"/>
    <w:rsid w:val="00E323F3"/>
    <w:rsid w:val="00E36955"/>
    <w:rsid w:val="00E40C77"/>
    <w:rsid w:val="00E41F64"/>
    <w:rsid w:val="00E4319C"/>
    <w:rsid w:val="00E45248"/>
    <w:rsid w:val="00E454F3"/>
    <w:rsid w:val="00E45CDA"/>
    <w:rsid w:val="00E469A7"/>
    <w:rsid w:val="00E526EA"/>
    <w:rsid w:val="00E52F7E"/>
    <w:rsid w:val="00E53034"/>
    <w:rsid w:val="00E54478"/>
    <w:rsid w:val="00E54F8C"/>
    <w:rsid w:val="00E550F3"/>
    <w:rsid w:val="00E55669"/>
    <w:rsid w:val="00E55E40"/>
    <w:rsid w:val="00E60F45"/>
    <w:rsid w:val="00E61F39"/>
    <w:rsid w:val="00E6246C"/>
    <w:rsid w:val="00E62A6E"/>
    <w:rsid w:val="00E631AB"/>
    <w:rsid w:val="00E6368D"/>
    <w:rsid w:val="00E65488"/>
    <w:rsid w:val="00E67571"/>
    <w:rsid w:val="00E67D5A"/>
    <w:rsid w:val="00E67EEF"/>
    <w:rsid w:val="00E67FC5"/>
    <w:rsid w:val="00E7170A"/>
    <w:rsid w:val="00E71854"/>
    <w:rsid w:val="00E72A01"/>
    <w:rsid w:val="00E73717"/>
    <w:rsid w:val="00E74099"/>
    <w:rsid w:val="00E74695"/>
    <w:rsid w:val="00E75AFA"/>
    <w:rsid w:val="00E81120"/>
    <w:rsid w:val="00E81300"/>
    <w:rsid w:val="00E81825"/>
    <w:rsid w:val="00E8326E"/>
    <w:rsid w:val="00E838A8"/>
    <w:rsid w:val="00E83E9E"/>
    <w:rsid w:val="00E85898"/>
    <w:rsid w:val="00E86E7A"/>
    <w:rsid w:val="00E871AA"/>
    <w:rsid w:val="00E87641"/>
    <w:rsid w:val="00E90F74"/>
    <w:rsid w:val="00E95327"/>
    <w:rsid w:val="00EA0F09"/>
    <w:rsid w:val="00EA1177"/>
    <w:rsid w:val="00EA1607"/>
    <w:rsid w:val="00EA1D83"/>
    <w:rsid w:val="00EA29CE"/>
    <w:rsid w:val="00EA40D1"/>
    <w:rsid w:val="00EA49E1"/>
    <w:rsid w:val="00EA4F9A"/>
    <w:rsid w:val="00EA7125"/>
    <w:rsid w:val="00EA78BA"/>
    <w:rsid w:val="00EB2AD6"/>
    <w:rsid w:val="00EB2C68"/>
    <w:rsid w:val="00EB4A10"/>
    <w:rsid w:val="00EB615D"/>
    <w:rsid w:val="00EB762C"/>
    <w:rsid w:val="00EC0375"/>
    <w:rsid w:val="00EC0E4B"/>
    <w:rsid w:val="00EC2A5B"/>
    <w:rsid w:val="00EC33F9"/>
    <w:rsid w:val="00EC57EA"/>
    <w:rsid w:val="00EC7814"/>
    <w:rsid w:val="00EC7CF0"/>
    <w:rsid w:val="00ED0DE3"/>
    <w:rsid w:val="00ED11FE"/>
    <w:rsid w:val="00ED1D21"/>
    <w:rsid w:val="00ED3F38"/>
    <w:rsid w:val="00ED4AE1"/>
    <w:rsid w:val="00ED57EC"/>
    <w:rsid w:val="00ED6F4C"/>
    <w:rsid w:val="00ED7232"/>
    <w:rsid w:val="00EE1C13"/>
    <w:rsid w:val="00EE34BC"/>
    <w:rsid w:val="00EE4A63"/>
    <w:rsid w:val="00EE58E6"/>
    <w:rsid w:val="00EE69E9"/>
    <w:rsid w:val="00EE74C5"/>
    <w:rsid w:val="00EF1847"/>
    <w:rsid w:val="00EF18FF"/>
    <w:rsid w:val="00EF1979"/>
    <w:rsid w:val="00EF1ED3"/>
    <w:rsid w:val="00EF3662"/>
    <w:rsid w:val="00EF4E71"/>
    <w:rsid w:val="00EF53FA"/>
    <w:rsid w:val="00EF78D6"/>
    <w:rsid w:val="00F00042"/>
    <w:rsid w:val="00F05255"/>
    <w:rsid w:val="00F076EB"/>
    <w:rsid w:val="00F1017C"/>
    <w:rsid w:val="00F10CA4"/>
    <w:rsid w:val="00F12BB8"/>
    <w:rsid w:val="00F13D9B"/>
    <w:rsid w:val="00F14AE2"/>
    <w:rsid w:val="00F15DCC"/>
    <w:rsid w:val="00F16782"/>
    <w:rsid w:val="00F16E8B"/>
    <w:rsid w:val="00F17C31"/>
    <w:rsid w:val="00F20652"/>
    <w:rsid w:val="00F209CF"/>
    <w:rsid w:val="00F21331"/>
    <w:rsid w:val="00F22B6B"/>
    <w:rsid w:val="00F238AC"/>
    <w:rsid w:val="00F23915"/>
    <w:rsid w:val="00F243F3"/>
    <w:rsid w:val="00F2726A"/>
    <w:rsid w:val="00F27A4C"/>
    <w:rsid w:val="00F31CCF"/>
    <w:rsid w:val="00F32360"/>
    <w:rsid w:val="00F32F3A"/>
    <w:rsid w:val="00F33261"/>
    <w:rsid w:val="00F33C8B"/>
    <w:rsid w:val="00F346AC"/>
    <w:rsid w:val="00F37E9D"/>
    <w:rsid w:val="00F40835"/>
    <w:rsid w:val="00F40D8F"/>
    <w:rsid w:val="00F4112A"/>
    <w:rsid w:val="00F41EAA"/>
    <w:rsid w:val="00F4368B"/>
    <w:rsid w:val="00F446C6"/>
    <w:rsid w:val="00F44721"/>
    <w:rsid w:val="00F44C6F"/>
    <w:rsid w:val="00F4516E"/>
    <w:rsid w:val="00F4524B"/>
    <w:rsid w:val="00F5042C"/>
    <w:rsid w:val="00F53FFD"/>
    <w:rsid w:val="00F541A9"/>
    <w:rsid w:val="00F54B14"/>
    <w:rsid w:val="00F565FD"/>
    <w:rsid w:val="00F60421"/>
    <w:rsid w:val="00F60D14"/>
    <w:rsid w:val="00F6666E"/>
    <w:rsid w:val="00F7265C"/>
    <w:rsid w:val="00F73B2A"/>
    <w:rsid w:val="00F76E2A"/>
    <w:rsid w:val="00F7748C"/>
    <w:rsid w:val="00F801CD"/>
    <w:rsid w:val="00F82449"/>
    <w:rsid w:val="00F83ABF"/>
    <w:rsid w:val="00F846C9"/>
    <w:rsid w:val="00F85446"/>
    <w:rsid w:val="00F8683C"/>
    <w:rsid w:val="00F86987"/>
    <w:rsid w:val="00F870BD"/>
    <w:rsid w:val="00F906F8"/>
    <w:rsid w:val="00F91406"/>
    <w:rsid w:val="00F932F5"/>
    <w:rsid w:val="00F933F9"/>
    <w:rsid w:val="00F935D8"/>
    <w:rsid w:val="00F93750"/>
    <w:rsid w:val="00F93947"/>
    <w:rsid w:val="00F93BF4"/>
    <w:rsid w:val="00F93C21"/>
    <w:rsid w:val="00F93E3E"/>
    <w:rsid w:val="00F94125"/>
    <w:rsid w:val="00F94495"/>
    <w:rsid w:val="00FA0506"/>
    <w:rsid w:val="00FA0E9A"/>
    <w:rsid w:val="00FA6C8D"/>
    <w:rsid w:val="00FB124E"/>
    <w:rsid w:val="00FB1A15"/>
    <w:rsid w:val="00FB21E0"/>
    <w:rsid w:val="00FB2277"/>
    <w:rsid w:val="00FB2FAE"/>
    <w:rsid w:val="00FB4470"/>
    <w:rsid w:val="00FB48A2"/>
    <w:rsid w:val="00FB578B"/>
    <w:rsid w:val="00FB640B"/>
    <w:rsid w:val="00FB654E"/>
    <w:rsid w:val="00FB70FC"/>
    <w:rsid w:val="00FB7DB0"/>
    <w:rsid w:val="00FC0227"/>
    <w:rsid w:val="00FC3ADE"/>
    <w:rsid w:val="00FC3DEA"/>
    <w:rsid w:val="00FC4EBB"/>
    <w:rsid w:val="00FD1CCA"/>
    <w:rsid w:val="00FD2A85"/>
    <w:rsid w:val="00FD2D1F"/>
    <w:rsid w:val="00FD428B"/>
    <w:rsid w:val="00FD6EEA"/>
    <w:rsid w:val="00FD71B9"/>
    <w:rsid w:val="00FE245C"/>
    <w:rsid w:val="00FE314D"/>
    <w:rsid w:val="00FE33A4"/>
    <w:rsid w:val="00FE41F8"/>
    <w:rsid w:val="00FE43EB"/>
    <w:rsid w:val="00FE4775"/>
    <w:rsid w:val="00FE4D4A"/>
    <w:rsid w:val="00FE7D31"/>
    <w:rsid w:val="00FE7D7B"/>
    <w:rsid w:val="00FE7E76"/>
    <w:rsid w:val="00FF1BB1"/>
    <w:rsid w:val="00FF1BE3"/>
    <w:rsid w:val="00FF5407"/>
    <w:rsid w:val="00FF5D44"/>
    <w:rsid w:val="00FF63E0"/>
    <w:rsid w:val="00FF683B"/>
    <w:rsid w:val="00FF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C3784"/>
  <w15:docId w15:val="{03DDCB30-F7B8-46FC-B333-FD20B74A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8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951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87837"/>
    <w:pPr>
      <w:jc w:val="center"/>
    </w:pPr>
    <w:rPr>
      <w:rFonts w:eastAsia="Calibri"/>
      <w:b/>
      <w:sz w:val="20"/>
      <w:szCs w:val="20"/>
    </w:rPr>
  </w:style>
  <w:style w:type="character" w:customStyle="1" w:styleId="a4">
    <w:name w:val="Заголовок Знак"/>
    <w:basedOn w:val="a0"/>
    <w:link w:val="a3"/>
    <w:rsid w:val="00187837"/>
    <w:rPr>
      <w:rFonts w:ascii="Times New Roman" w:eastAsia="Calibri" w:hAnsi="Times New Roman" w:cs="Times New Roman"/>
      <w:b/>
      <w:sz w:val="20"/>
      <w:szCs w:val="20"/>
      <w:lang w:eastAsia="ru-RU"/>
    </w:rPr>
  </w:style>
  <w:style w:type="character" w:customStyle="1" w:styleId="a5">
    <w:name w:val="Основной текст Знак"/>
    <w:aliases w:val="Òàáë òåêñò Знак,Знак Знак"/>
    <w:link w:val="a6"/>
    <w:uiPriority w:val="99"/>
    <w:semiHidden/>
    <w:locked/>
    <w:rsid w:val="00187837"/>
    <w:rPr>
      <w:sz w:val="24"/>
      <w:szCs w:val="24"/>
    </w:rPr>
  </w:style>
  <w:style w:type="paragraph" w:styleId="a6">
    <w:name w:val="Body Text"/>
    <w:aliases w:val="Òàáë òåêñò,Знак"/>
    <w:basedOn w:val="a"/>
    <w:link w:val="a5"/>
    <w:uiPriority w:val="99"/>
    <w:semiHidden/>
    <w:rsid w:val="00187837"/>
    <w:pPr>
      <w:spacing w:after="120"/>
    </w:pPr>
    <w:rPr>
      <w:rFonts w:asciiTheme="minorHAnsi" w:eastAsiaTheme="minorHAnsi" w:hAnsiTheme="minorHAnsi" w:cstheme="minorBidi"/>
      <w:lang w:eastAsia="en-US"/>
    </w:rPr>
  </w:style>
  <w:style w:type="character" w:customStyle="1" w:styleId="11">
    <w:name w:val="Основной текст Знак1"/>
    <w:basedOn w:val="a0"/>
    <w:uiPriority w:val="99"/>
    <w:semiHidden/>
    <w:rsid w:val="00187837"/>
    <w:rPr>
      <w:rFonts w:ascii="Times New Roman" w:eastAsia="Times New Roman" w:hAnsi="Times New Roman" w:cs="Times New Roman"/>
      <w:sz w:val="24"/>
      <w:szCs w:val="24"/>
      <w:lang w:eastAsia="ru-RU"/>
    </w:rPr>
  </w:style>
  <w:style w:type="paragraph" w:customStyle="1" w:styleId="ConsNormal">
    <w:name w:val="ConsNormal"/>
    <w:rsid w:val="0018783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table" w:styleId="a7">
    <w:name w:val="Table Grid"/>
    <w:basedOn w:val="a1"/>
    <w:uiPriority w:val="59"/>
    <w:rsid w:val="0027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FF1BB1"/>
    <w:pPr>
      <w:autoSpaceDE w:val="0"/>
      <w:autoSpaceDN w:val="0"/>
      <w:adjustRightInd w:val="0"/>
      <w:spacing w:after="0" w:line="240" w:lineRule="auto"/>
    </w:pPr>
    <w:rPr>
      <w:rFonts w:ascii="Times New Roman" w:eastAsia="Times New Roman" w:hAnsi="Times New Roman" w:cs="Times New Roman"/>
      <w:lang w:eastAsia="ru-RU"/>
    </w:rPr>
  </w:style>
  <w:style w:type="character" w:styleId="a8">
    <w:name w:val="Hyperlink"/>
    <w:basedOn w:val="a0"/>
    <w:uiPriority w:val="99"/>
    <w:unhideWhenUsed/>
    <w:rsid w:val="00AC3690"/>
    <w:rPr>
      <w:color w:val="0000FF" w:themeColor="hyperlink"/>
      <w:u w:val="single"/>
    </w:rPr>
  </w:style>
  <w:style w:type="character" w:styleId="a9">
    <w:name w:val="FollowedHyperlink"/>
    <w:basedOn w:val="a0"/>
    <w:uiPriority w:val="99"/>
    <w:semiHidden/>
    <w:unhideWhenUsed/>
    <w:rsid w:val="00B55C8B"/>
    <w:rPr>
      <w:color w:val="800080" w:themeColor="followedHyperlink"/>
      <w:u w:val="single"/>
    </w:rPr>
  </w:style>
  <w:style w:type="paragraph" w:styleId="aa">
    <w:name w:val="header"/>
    <w:basedOn w:val="a"/>
    <w:link w:val="ab"/>
    <w:uiPriority w:val="99"/>
    <w:unhideWhenUsed/>
    <w:rsid w:val="00803B0E"/>
    <w:pPr>
      <w:tabs>
        <w:tab w:val="center" w:pos="4677"/>
        <w:tab w:val="right" w:pos="9355"/>
      </w:tabs>
    </w:pPr>
  </w:style>
  <w:style w:type="character" w:customStyle="1" w:styleId="ab">
    <w:name w:val="Верхний колонтитул Знак"/>
    <w:basedOn w:val="a0"/>
    <w:link w:val="aa"/>
    <w:uiPriority w:val="99"/>
    <w:rsid w:val="00803B0E"/>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803B0E"/>
    <w:pPr>
      <w:tabs>
        <w:tab w:val="center" w:pos="4677"/>
        <w:tab w:val="right" w:pos="9355"/>
      </w:tabs>
    </w:pPr>
  </w:style>
  <w:style w:type="character" w:customStyle="1" w:styleId="ad">
    <w:name w:val="Нижний колонтитул Знак"/>
    <w:basedOn w:val="a0"/>
    <w:link w:val="ac"/>
    <w:uiPriority w:val="99"/>
    <w:semiHidden/>
    <w:rsid w:val="00803B0E"/>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D2B53"/>
    <w:pPr>
      <w:spacing w:after="120" w:line="480" w:lineRule="auto"/>
    </w:pPr>
  </w:style>
  <w:style w:type="character" w:customStyle="1" w:styleId="20">
    <w:name w:val="Основной текст 2 Знак"/>
    <w:basedOn w:val="a0"/>
    <w:link w:val="2"/>
    <w:uiPriority w:val="99"/>
    <w:rsid w:val="008D2B53"/>
    <w:rPr>
      <w:rFonts w:ascii="Times New Roman" w:eastAsia="Times New Roman" w:hAnsi="Times New Roman" w:cs="Times New Roman"/>
      <w:sz w:val="24"/>
      <w:szCs w:val="24"/>
      <w:lang w:eastAsia="ru-RU"/>
    </w:rPr>
  </w:style>
  <w:style w:type="character" w:customStyle="1" w:styleId="resultitem">
    <w:name w:val="resultitem"/>
    <w:basedOn w:val="a0"/>
    <w:rsid w:val="008D2B53"/>
  </w:style>
  <w:style w:type="character" w:customStyle="1" w:styleId="ConsPlusNormal0">
    <w:name w:val="ConsPlusNormal Знак"/>
    <w:link w:val="ConsPlusNormal"/>
    <w:qFormat/>
    <w:locked/>
    <w:rsid w:val="008D2B53"/>
    <w:rPr>
      <w:rFonts w:ascii="Times New Roman" w:eastAsia="Times New Roman" w:hAnsi="Times New Roman" w:cs="Times New Roman"/>
      <w:lang w:eastAsia="ru-RU"/>
    </w:rPr>
  </w:style>
  <w:style w:type="paragraph" w:styleId="ae">
    <w:name w:val="List Paragraph"/>
    <w:basedOn w:val="a"/>
    <w:uiPriority w:val="34"/>
    <w:qFormat/>
    <w:rsid w:val="00D62DFB"/>
    <w:pPr>
      <w:ind w:left="720"/>
      <w:contextualSpacing/>
    </w:pPr>
  </w:style>
  <w:style w:type="paragraph" w:styleId="af">
    <w:name w:val="Balloon Text"/>
    <w:basedOn w:val="a"/>
    <w:link w:val="af0"/>
    <w:uiPriority w:val="99"/>
    <w:semiHidden/>
    <w:unhideWhenUsed/>
    <w:rsid w:val="002A108D"/>
    <w:rPr>
      <w:rFonts w:ascii="Tahoma" w:hAnsi="Tahoma" w:cs="Tahoma"/>
      <w:sz w:val="16"/>
      <w:szCs w:val="16"/>
    </w:rPr>
  </w:style>
  <w:style w:type="character" w:customStyle="1" w:styleId="af0">
    <w:name w:val="Текст выноски Знак"/>
    <w:basedOn w:val="a0"/>
    <w:link w:val="af"/>
    <w:uiPriority w:val="99"/>
    <w:semiHidden/>
    <w:rsid w:val="002A108D"/>
    <w:rPr>
      <w:rFonts w:ascii="Tahoma" w:eastAsia="Times New Roman" w:hAnsi="Tahoma" w:cs="Tahoma"/>
      <w:sz w:val="16"/>
      <w:szCs w:val="16"/>
      <w:lang w:eastAsia="ru-RU"/>
    </w:rPr>
  </w:style>
  <w:style w:type="character" w:customStyle="1" w:styleId="10">
    <w:name w:val="Заголовок 1 Знак"/>
    <w:basedOn w:val="a0"/>
    <w:link w:val="1"/>
    <w:uiPriority w:val="9"/>
    <w:rsid w:val="005951A2"/>
    <w:rPr>
      <w:rFonts w:asciiTheme="majorHAnsi" w:eastAsiaTheme="majorEastAsia" w:hAnsiTheme="majorHAnsi" w:cstheme="majorBidi"/>
      <w:b/>
      <w:bCs/>
      <w:color w:val="365F91" w:themeColor="accent1" w:themeShade="BF"/>
      <w:sz w:val="28"/>
      <w:szCs w:val="28"/>
      <w:lang w:eastAsia="ru-RU"/>
    </w:rPr>
  </w:style>
  <w:style w:type="paragraph" w:styleId="3">
    <w:name w:val="Body Text Indent 3"/>
    <w:basedOn w:val="a"/>
    <w:link w:val="30"/>
    <w:uiPriority w:val="99"/>
    <w:unhideWhenUsed/>
    <w:rsid w:val="00790E26"/>
    <w:pPr>
      <w:spacing w:after="120"/>
      <w:ind w:left="283"/>
    </w:pPr>
    <w:rPr>
      <w:sz w:val="16"/>
      <w:szCs w:val="16"/>
    </w:rPr>
  </w:style>
  <w:style w:type="character" w:customStyle="1" w:styleId="30">
    <w:name w:val="Основной текст с отступом 3 Знак"/>
    <w:basedOn w:val="a0"/>
    <w:link w:val="3"/>
    <w:uiPriority w:val="99"/>
    <w:rsid w:val="00790E26"/>
    <w:rPr>
      <w:rFonts w:ascii="Times New Roman" w:eastAsia="Times New Roman" w:hAnsi="Times New Roman" w:cs="Times New Roman"/>
      <w:sz w:val="16"/>
      <w:szCs w:val="16"/>
      <w:lang w:eastAsia="ru-RU"/>
    </w:rPr>
  </w:style>
  <w:style w:type="paragraph" w:customStyle="1" w:styleId="Style11">
    <w:name w:val="Style11"/>
    <w:basedOn w:val="a"/>
    <w:uiPriority w:val="99"/>
    <w:rsid w:val="00790E26"/>
    <w:pPr>
      <w:widowControl w:val="0"/>
      <w:autoSpaceDE w:val="0"/>
      <w:autoSpaceDN w:val="0"/>
      <w:adjustRightInd w:val="0"/>
    </w:pPr>
  </w:style>
  <w:style w:type="character" w:customStyle="1" w:styleId="FontStyle13">
    <w:name w:val="Font Style13"/>
    <w:basedOn w:val="a0"/>
    <w:uiPriority w:val="99"/>
    <w:rsid w:val="00790E26"/>
    <w:rPr>
      <w:rFonts w:ascii="Times New Roman" w:hAnsi="Times New Roman" w:cs="Times New Roman" w:hint="default"/>
      <w:b/>
      <w:bCs/>
      <w:sz w:val="26"/>
      <w:szCs w:val="26"/>
    </w:rPr>
  </w:style>
  <w:style w:type="paragraph" w:styleId="af1">
    <w:name w:val="Body Text Indent"/>
    <w:basedOn w:val="a"/>
    <w:link w:val="af2"/>
    <w:rsid w:val="00545EE1"/>
    <w:pPr>
      <w:spacing w:after="120"/>
      <w:ind w:left="283"/>
    </w:pPr>
    <w:rPr>
      <w:rFonts w:eastAsia="Calibri"/>
    </w:rPr>
  </w:style>
  <w:style w:type="character" w:customStyle="1" w:styleId="af2">
    <w:name w:val="Основной текст с отступом Знак"/>
    <w:basedOn w:val="a0"/>
    <w:link w:val="af1"/>
    <w:rsid w:val="00545EE1"/>
    <w:rPr>
      <w:rFonts w:ascii="Times New Roman" w:eastAsia="Calibri" w:hAnsi="Times New Roman" w:cs="Times New Roman"/>
      <w:sz w:val="24"/>
      <w:szCs w:val="24"/>
      <w:lang w:eastAsia="ru-RU"/>
    </w:rPr>
  </w:style>
  <w:style w:type="paragraph" w:customStyle="1" w:styleId="Default">
    <w:name w:val="Default"/>
    <w:rsid w:val="00A508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5">
    <w:name w:val="Font Style15"/>
    <w:basedOn w:val="a0"/>
    <w:uiPriority w:val="99"/>
    <w:rsid w:val="009B0BFB"/>
    <w:rPr>
      <w:rFonts w:ascii="Times New Roman" w:hAnsi="Times New Roman" w:cs="Times New Roman"/>
      <w:sz w:val="26"/>
      <w:szCs w:val="26"/>
    </w:rPr>
  </w:style>
  <w:style w:type="paragraph" w:customStyle="1" w:styleId="Style3">
    <w:name w:val="Style3"/>
    <w:basedOn w:val="a"/>
    <w:uiPriority w:val="99"/>
    <w:rsid w:val="000866F0"/>
    <w:pPr>
      <w:widowControl w:val="0"/>
      <w:autoSpaceDE w:val="0"/>
      <w:autoSpaceDN w:val="0"/>
      <w:adjustRightInd w:val="0"/>
      <w:spacing w:line="276" w:lineRule="exact"/>
      <w:ind w:firstLine="70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85886">
      <w:bodyDiv w:val="1"/>
      <w:marLeft w:val="0"/>
      <w:marRight w:val="0"/>
      <w:marTop w:val="0"/>
      <w:marBottom w:val="0"/>
      <w:divBdr>
        <w:top w:val="none" w:sz="0" w:space="0" w:color="auto"/>
        <w:left w:val="none" w:sz="0" w:space="0" w:color="auto"/>
        <w:bottom w:val="none" w:sz="0" w:space="0" w:color="auto"/>
        <w:right w:val="none" w:sz="0" w:space="0" w:color="auto"/>
      </w:divBdr>
    </w:div>
    <w:div w:id="614289871">
      <w:bodyDiv w:val="1"/>
      <w:marLeft w:val="0"/>
      <w:marRight w:val="0"/>
      <w:marTop w:val="0"/>
      <w:marBottom w:val="0"/>
      <w:divBdr>
        <w:top w:val="none" w:sz="0" w:space="0" w:color="auto"/>
        <w:left w:val="none" w:sz="0" w:space="0" w:color="auto"/>
        <w:bottom w:val="none" w:sz="0" w:space="0" w:color="auto"/>
        <w:right w:val="none" w:sz="0" w:space="0" w:color="auto"/>
      </w:divBdr>
    </w:div>
    <w:div w:id="746465389">
      <w:bodyDiv w:val="1"/>
      <w:marLeft w:val="0"/>
      <w:marRight w:val="0"/>
      <w:marTop w:val="0"/>
      <w:marBottom w:val="0"/>
      <w:divBdr>
        <w:top w:val="none" w:sz="0" w:space="0" w:color="auto"/>
        <w:left w:val="none" w:sz="0" w:space="0" w:color="auto"/>
        <w:bottom w:val="none" w:sz="0" w:space="0" w:color="auto"/>
        <w:right w:val="none" w:sz="0" w:space="0" w:color="auto"/>
      </w:divBdr>
    </w:div>
    <w:div w:id="763382600">
      <w:bodyDiv w:val="1"/>
      <w:marLeft w:val="0"/>
      <w:marRight w:val="0"/>
      <w:marTop w:val="0"/>
      <w:marBottom w:val="0"/>
      <w:divBdr>
        <w:top w:val="none" w:sz="0" w:space="0" w:color="auto"/>
        <w:left w:val="none" w:sz="0" w:space="0" w:color="auto"/>
        <w:bottom w:val="none" w:sz="0" w:space="0" w:color="auto"/>
        <w:right w:val="none" w:sz="0" w:space="0" w:color="auto"/>
      </w:divBdr>
    </w:div>
    <w:div w:id="833377065">
      <w:bodyDiv w:val="1"/>
      <w:marLeft w:val="0"/>
      <w:marRight w:val="0"/>
      <w:marTop w:val="0"/>
      <w:marBottom w:val="0"/>
      <w:divBdr>
        <w:top w:val="none" w:sz="0" w:space="0" w:color="auto"/>
        <w:left w:val="none" w:sz="0" w:space="0" w:color="auto"/>
        <w:bottom w:val="none" w:sz="0" w:space="0" w:color="auto"/>
        <w:right w:val="none" w:sz="0" w:space="0" w:color="auto"/>
      </w:divBdr>
    </w:div>
    <w:div w:id="924339904">
      <w:bodyDiv w:val="1"/>
      <w:marLeft w:val="0"/>
      <w:marRight w:val="0"/>
      <w:marTop w:val="0"/>
      <w:marBottom w:val="0"/>
      <w:divBdr>
        <w:top w:val="none" w:sz="0" w:space="0" w:color="auto"/>
        <w:left w:val="none" w:sz="0" w:space="0" w:color="auto"/>
        <w:bottom w:val="none" w:sz="0" w:space="0" w:color="auto"/>
        <w:right w:val="none" w:sz="0" w:space="0" w:color="auto"/>
      </w:divBdr>
    </w:div>
    <w:div w:id="1046904500">
      <w:bodyDiv w:val="1"/>
      <w:marLeft w:val="0"/>
      <w:marRight w:val="0"/>
      <w:marTop w:val="0"/>
      <w:marBottom w:val="0"/>
      <w:divBdr>
        <w:top w:val="none" w:sz="0" w:space="0" w:color="auto"/>
        <w:left w:val="none" w:sz="0" w:space="0" w:color="auto"/>
        <w:bottom w:val="none" w:sz="0" w:space="0" w:color="auto"/>
        <w:right w:val="none" w:sz="0" w:space="0" w:color="auto"/>
      </w:divBdr>
    </w:div>
    <w:div w:id="1278683811">
      <w:bodyDiv w:val="1"/>
      <w:marLeft w:val="0"/>
      <w:marRight w:val="0"/>
      <w:marTop w:val="0"/>
      <w:marBottom w:val="0"/>
      <w:divBdr>
        <w:top w:val="none" w:sz="0" w:space="0" w:color="auto"/>
        <w:left w:val="none" w:sz="0" w:space="0" w:color="auto"/>
        <w:bottom w:val="none" w:sz="0" w:space="0" w:color="auto"/>
        <w:right w:val="none" w:sz="0" w:space="0" w:color="auto"/>
      </w:divBdr>
    </w:div>
    <w:div w:id="1279331414">
      <w:bodyDiv w:val="1"/>
      <w:marLeft w:val="0"/>
      <w:marRight w:val="0"/>
      <w:marTop w:val="0"/>
      <w:marBottom w:val="0"/>
      <w:divBdr>
        <w:top w:val="none" w:sz="0" w:space="0" w:color="auto"/>
        <w:left w:val="none" w:sz="0" w:space="0" w:color="auto"/>
        <w:bottom w:val="none" w:sz="0" w:space="0" w:color="auto"/>
        <w:right w:val="none" w:sz="0" w:space="0" w:color="auto"/>
      </w:divBdr>
    </w:div>
    <w:div w:id="1298149142">
      <w:bodyDiv w:val="1"/>
      <w:marLeft w:val="0"/>
      <w:marRight w:val="0"/>
      <w:marTop w:val="0"/>
      <w:marBottom w:val="0"/>
      <w:divBdr>
        <w:top w:val="none" w:sz="0" w:space="0" w:color="auto"/>
        <w:left w:val="none" w:sz="0" w:space="0" w:color="auto"/>
        <w:bottom w:val="none" w:sz="0" w:space="0" w:color="auto"/>
        <w:right w:val="none" w:sz="0" w:space="0" w:color="auto"/>
      </w:divBdr>
    </w:div>
    <w:div w:id="1511336120">
      <w:bodyDiv w:val="1"/>
      <w:marLeft w:val="0"/>
      <w:marRight w:val="0"/>
      <w:marTop w:val="0"/>
      <w:marBottom w:val="0"/>
      <w:divBdr>
        <w:top w:val="none" w:sz="0" w:space="0" w:color="auto"/>
        <w:left w:val="none" w:sz="0" w:space="0" w:color="auto"/>
        <w:bottom w:val="none" w:sz="0" w:space="0" w:color="auto"/>
        <w:right w:val="none" w:sz="0" w:space="0" w:color="auto"/>
      </w:divBdr>
    </w:div>
    <w:div w:id="1603608091">
      <w:bodyDiv w:val="1"/>
      <w:marLeft w:val="0"/>
      <w:marRight w:val="0"/>
      <w:marTop w:val="0"/>
      <w:marBottom w:val="0"/>
      <w:divBdr>
        <w:top w:val="none" w:sz="0" w:space="0" w:color="auto"/>
        <w:left w:val="none" w:sz="0" w:space="0" w:color="auto"/>
        <w:bottom w:val="none" w:sz="0" w:space="0" w:color="auto"/>
        <w:right w:val="none" w:sz="0" w:space="0" w:color="auto"/>
      </w:divBdr>
    </w:div>
    <w:div w:id="1706634444">
      <w:bodyDiv w:val="1"/>
      <w:marLeft w:val="0"/>
      <w:marRight w:val="0"/>
      <w:marTop w:val="0"/>
      <w:marBottom w:val="0"/>
      <w:divBdr>
        <w:top w:val="none" w:sz="0" w:space="0" w:color="auto"/>
        <w:left w:val="none" w:sz="0" w:space="0" w:color="auto"/>
        <w:bottom w:val="none" w:sz="0" w:space="0" w:color="auto"/>
        <w:right w:val="none" w:sz="0" w:space="0" w:color="auto"/>
      </w:divBdr>
    </w:div>
    <w:div w:id="1754205062">
      <w:bodyDiv w:val="1"/>
      <w:marLeft w:val="0"/>
      <w:marRight w:val="0"/>
      <w:marTop w:val="0"/>
      <w:marBottom w:val="0"/>
      <w:divBdr>
        <w:top w:val="none" w:sz="0" w:space="0" w:color="auto"/>
        <w:left w:val="none" w:sz="0" w:space="0" w:color="auto"/>
        <w:bottom w:val="none" w:sz="0" w:space="0" w:color="auto"/>
        <w:right w:val="none" w:sz="0" w:space="0" w:color="auto"/>
      </w:divBdr>
    </w:div>
    <w:div w:id="1817601468">
      <w:bodyDiv w:val="1"/>
      <w:marLeft w:val="0"/>
      <w:marRight w:val="0"/>
      <w:marTop w:val="0"/>
      <w:marBottom w:val="0"/>
      <w:divBdr>
        <w:top w:val="none" w:sz="0" w:space="0" w:color="auto"/>
        <w:left w:val="none" w:sz="0" w:space="0" w:color="auto"/>
        <w:bottom w:val="none" w:sz="0" w:space="0" w:color="auto"/>
        <w:right w:val="none" w:sz="0" w:space="0" w:color="auto"/>
      </w:divBdr>
    </w:div>
    <w:div w:id="19463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F8FEADF53C63F9C6793233630EA5996F3CE66572676063120085545453F15AB912FFC8F92422656CE1E492BB9EEF85433CC49CBB0CBC8BB6216BB8H91DL" TargetMode="External"/><Relationship Id="rId13" Type="http://schemas.openxmlformats.org/officeDocument/2006/relationships/hyperlink" Target="consultantplus://offline/ref=8C8752615779805C581926324A8D810842A0E0A62498CE8030CB26A615OA02M" TargetMode="External"/><Relationship Id="rId18" Type="http://schemas.openxmlformats.org/officeDocument/2006/relationships/hyperlink" Target="consultantplus://offline/ref=1F057C25EBD19988E7737C6B7684E9DB010E2E3E98468A4A4C6AC84C45DB4DA7D48C2A339B3E1206O4b4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E4D8FE62715E25F2BEE1918754753BE287381A58ECB2AB4D1FBF367989DD7F2616C4694D8762758153A598CBF8FDFCC575921CA49D43D4177D887E33AV3J" TargetMode="External"/><Relationship Id="rId17" Type="http://schemas.openxmlformats.org/officeDocument/2006/relationships/hyperlink" Target="consultantplus://offline/ref=6A44AA833F09AB059496BEA460F1935E49C3C5CFB1ABE99159C71BB3BBF9701D0714F6B0D2C8BD86IAW7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96F8FEADF53C63F9C6793233630EA5996F3CE66572676063120085545453F15AB912FFC8F92422656CE1E492BB9EEF85433CC49CBB0CBC8BB6216BB8H91DL" TargetMode="External"/><Relationship Id="rId20" Type="http://schemas.openxmlformats.org/officeDocument/2006/relationships/hyperlink" Target="consultantplus://offline/ref=96F8FEADF53C63F9C6793233630EA5996F3CE66572676063120085545453F15AB912FFC8F92422656CE1E492BB9EEF85433CC49CBB0CBC8BB6216BB8H91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CAEFDE44210265354887D315E777C960655F9D0F5F5F43FD29D1FE6C04FEB009D69B36A43B2E2008A2176E1799D8FD1CDC81C280D8F32B89B349CDLAV7J"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0BF4BE71CE319244F6E7E8CCFBEC3AED13D33190D0BD3A17F6E57D7483B2786322109B0C2E3B92B714E509EF1A95DD92788934447E3AE40IDB7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BB0AE0082F70CC50C4D936989D5EA9D45BEC1AFB1B311BE793A189C7EC19160A43B5DA6B9795DCBC25D27BED39876BD4259803F01BBF166F04E56B1AS2U0J" TargetMode="External"/><Relationship Id="rId19" Type="http://schemas.openxmlformats.org/officeDocument/2006/relationships/hyperlink" Target="consultantplus://offline/ref=63BAB67D6E450771697083E120C54D5A7C96BD0599EB7057BDE18ACA97B0FFBD49DBD18E1499C6C5EC604F643AE9488230ACD846D554237El8C5G" TargetMode="External"/><Relationship Id="rId4" Type="http://schemas.openxmlformats.org/officeDocument/2006/relationships/settings" Target="settings.xml"/><Relationship Id="rId9" Type="http://schemas.openxmlformats.org/officeDocument/2006/relationships/hyperlink" Target="consultantplus://offline/ref=C96D69BEA9F56A3EFA629FA635DB8DBE9FB816E0993A620054FFB5C3D65FBF1E15F58149BFAB77E45F7E6C67EF7ECFA3DBA5DCCBC3E34E942863F0C3kBTBJ" TargetMode="External"/><Relationship Id="rId14" Type="http://schemas.openxmlformats.org/officeDocument/2006/relationships/hyperlink" Target="consultantplus://offline/ref=5E0E76AD321898E5030EADB55D111A6ECD5BBDBDB61285660BE72E29FC59E4A62902239666B472D9l9k3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FD66A-9075-4874-8904-27A71ABF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12338</Words>
  <Characters>70332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Волгоградской области</Company>
  <LinksUpToDate>false</LinksUpToDate>
  <CharactersWithSpaces>82505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Авдеев</dc:creator>
  <cp:lastModifiedBy>HP Inc.</cp:lastModifiedBy>
  <cp:revision>3</cp:revision>
  <cp:lastPrinted>2019-10-15T07:21:00Z</cp:lastPrinted>
  <dcterms:created xsi:type="dcterms:W3CDTF">2019-11-19T14:45:00Z</dcterms:created>
  <dcterms:modified xsi:type="dcterms:W3CDTF">2020-02-03T06:36:00Z</dcterms:modified>
</cp:coreProperties>
</file>