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CF" w:rsidRPr="00D5262A" w:rsidRDefault="00A148CF" w:rsidP="005604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262A">
        <w:rPr>
          <w:rFonts w:ascii="Times New Roman" w:hAnsi="Times New Roman"/>
          <w:b/>
          <w:bCs/>
          <w:sz w:val="28"/>
          <w:szCs w:val="28"/>
          <w:lang w:eastAsia="ru-RU"/>
        </w:rPr>
        <w:t>АССОЦИАЦИЯ КОНТРОЛЬНО-СЧЕТНЫХ ОРГАНОВ ВОЛГОГРАДСКОЙ ОБЛАСТИ</w:t>
      </w:r>
    </w:p>
    <w:p w:rsidR="00A148CF" w:rsidRPr="00D5262A" w:rsidRDefault="00A148CF" w:rsidP="005604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5262A">
        <w:rPr>
          <w:rFonts w:ascii="Times New Roman" w:hAnsi="Times New Roman"/>
          <w:b/>
          <w:bCs/>
          <w:sz w:val="28"/>
          <w:szCs w:val="28"/>
          <w:lang w:eastAsia="ru-RU"/>
        </w:rPr>
        <w:t>МЕТОДИЧЕСКИЙ СОВЕТ</w:t>
      </w:r>
    </w:p>
    <w:p w:rsidR="00A148CF" w:rsidRPr="00D5262A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48CF" w:rsidRPr="00560431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A148CF" w:rsidRPr="00560431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A148CF" w:rsidRPr="00560431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A148CF" w:rsidRPr="00560431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A148CF" w:rsidRPr="00560431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</w:p>
    <w:p w:rsidR="00A148CF" w:rsidRPr="00D5262A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48CF" w:rsidRPr="00D5262A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26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СТАНДАРТ ВНЕШНЕГО МУНИЦИПАЛЬНОГО ФИНАНСОВОГО КОНТРОЛЯ </w:t>
      </w:r>
    </w:p>
    <w:p w:rsidR="00A148CF" w:rsidRPr="00560431" w:rsidRDefault="00A148CF" w:rsidP="0056043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148CF" w:rsidRPr="00560431" w:rsidRDefault="00A148CF" w:rsidP="00EF552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ОБЩИЕ ПРАВИЛА ПРОВЕДЕНИЯ ЭКСПЕРТНО-АНАЛИТИЧЕСКОГО МЕРОПРИЯТИЯ</w:t>
      </w:r>
    </w:p>
    <w:p w:rsidR="00A148CF" w:rsidRPr="00560431" w:rsidRDefault="00A148CF" w:rsidP="00560431">
      <w:pPr>
        <w:spacing w:line="240" w:lineRule="auto"/>
        <w:jc w:val="center"/>
        <w:rPr>
          <w:b/>
          <w:sz w:val="32"/>
          <w:szCs w:val="32"/>
        </w:rPr>
      </w:pPr>
    </w:p>
    <w:p w:rsidR="00A148CF" w:rsidRPr="00560431" w:rsidRDefault="00A148CF" w:rsidP="00560431">
      <w:pPr>
        <w:spacing w:line="240" w:lineRule="auto"/>
        <w:jc w:val="center"/>
        <w:rPr>
          <w:b/>
          <w:sz w:val="32"/>
          <w:szCs w:val="32"/>
        </w:rPr>
      </w:pPr>
    </w:p>
    <w:p w:rsidR="00A148CF" w:rsidRPr="000B11FD" w:rsidRDefault="00A148CF" w:rsidP="000B1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CF" w:rsidRPr="00D5262A" w:rsidRDefault="00A148CF" w:rsidP="00D5262A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11FD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B11FD">
        <w:rPr>
          <w:rFonts w:ascii="Times New Roman" w:hAnsi="Times New Roman"/>
          <w:sz w:val="28"/>
          <w:szCs w:val="28"/>
        </w:rPr>
        <w:t xml:space="preserve">    </w:t>
      </w:r>
      <w:r w:rsidRPr="0088159F">
        <w:rPr>
          <w:szCs w:val="28"/>
        </w:rPr>
        <w:t xml:space="preserve">                                              </w:t>
      </w:r>
      <w:r>
        <w:rPr>
          <w:szCs w:val="28"/>
        </w:rPr>
        <w:t xml:space="preserve">                  </w:t>
      </w:r>
      <w:r w:rsidRPr="0088159F">
        <w:rPr>
          <w:szCs w:val="28"/>
        </w:rPr>
        <w:t xml:space="preserve"> </w:t>
      </w:r>
      <w:r w:rsidRPr="00D5262A">
        <w:rPr>
          <w:rFonts w:ascii="Times New Roman" w:hAnsi="Times New Roman"/>
          <w:sz w:val="28"/>
          <w:szCs w:val="28"/>
        </w:rPr>
        <w:t xml:space="preserve">Утвержден </w:t>
      </w:r>
    </w:p>
    <w:p w:rsidR="00A148CF" w:rsidRPr="00D5262A" w:rsidRDefault="00A148CF" w:rsidP="00D5262A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262A">
        <w:rPr>
          <w:rFonts w:ascii="Times New Roman" w:hAnsi="Times New Roman"/>
          <w:sz w:val="28"/>
          <w:szCs w:val="28"/>
        </w:rPr>
        <w:t xml:space="preserve">решением  Президиума АКСО ВО                                                                </w:t>
      </w:r>
    </w:p>
    <w:p w:rsidR="00A148CF" w:rsidRPr="00D5262A" w:rsidRDefault="00A148CF" w:rsidP="00D526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5262A">
        <w:rPr>
          <w:rFonts w:ascii="Times New Roman" w:hAnsi="Times New Roman"/>
          <w:sz w:val="28"/>
          <w:szCs w:val="28"/>
        </w:rPr>
        <w:t xml:space="preserve">                                                                   от 05.12.2014 г. № 24</w:t>
      </w:r>
    </w:p>
    <w:p w:rsidR="00A148CF" w:rsidRPr="00EF5522" w:rsidRDefault="00A148CF" w:rsidP="00CC3556">
      <w:pPr>
        <w:spacing w:after="0" w:line="240" w:lineRule="auto"/>
        <w:jc w:val="right"/>
        <w:rPr>
          <w:b/>
          <w:sz w:val="32"/>
          <w:szCs w:val="32"/>
        </w:rPr>
      </w:pPr>
    </w:p>
    <w:p w:rsidR="00A148CF" w:rsidRPr="00560431" w:rsidRDefault="00A148CF" w:rsidP="00560431">
      <w:pPr>
        <w:spacing w:line="240" w:lineRule="auto"/>
        <w:jc w:val="center"/>
        <w:rPr>
          <w:b/>
          <w:sz w:val="32"/>
          <w:szCs w:val="32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Pr="00560431" w:rsidRDefault="00A148CF" w:rsidP="0056043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48CF" w:rsidRDefault="00A148CF" w:rsidP="00EF55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 </w:t>
      </w:r>
      <w:bookmarkStart w:id="0" w:name="_GoBack"/>
      <w:bookmarkEnd w:id="0"/>
      <w:r w:rsidRPr="00560431">
        <w:rPr>
          <w:rFonts w:ascii="Times New Roman" w:hAnsi="Times New Roman"/>
          <w:b/>
          <w:sz w:val="28"/>
          <w:szCs w:val="28"/>
        </w:rPr>
        <w:t xml:space="preserve">2014 </w:t>
      </w:r>
    </w:p>
    <w:p w:rsidR="00A148CF" w:rsidRDefault="00A148CF" w:rsidP="005604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Содержание:</w:t>
      </w:r>
    </w:p>
    <w:p w:rsidR="00A148CF" w:rsidRDefault="00A148CF" w:rsidP="005604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1. Общие положения……………………………………………………………...3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2. Общая характеристика экспертно-аналитического мероприятия…………..3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3. Подготовка экспертно-аналитического мероприятия…………….….……....4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4. Проведение экспертно-аналитического мероприятия и оформление его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результатов………………………………………..…...……..…….…….………..6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5. Контроль за реализацией результатов экспертно-аналитических. мероприятий, проводимых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ым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ым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органом ………..………..8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Pr="009A2BE4" w:rsidRDefault="00A148CF" w:rsidP="00D526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9A2BE4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Общие положения</w:t>
      </w:r>
    </w:p>
    <w:p w:rsidR="00A148CF" w:rsidRPr="009A2BE4" w:rsidRDefault="00A148CF" w:rsidP="009A2BE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1.1. Основанием для разработки стандарта внешнего муниципального</w:t>
      </w:r>
    </w:p>
    <w:p w:rsidR="00A148CF" w:rsidRPr="00A36314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-BoldMT" w:hAnsi="TimesNewRomanPS-BoldMT" w:cs="TimesNewRomanPS-BoldMT"/>
          <w:bCs/>
          <w:sz w:val="20"/>
          <w:szCs w:val="20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финансового контроля, осуществляемого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ым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ым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органом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,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«Общие правила проведения экспертно-аналитического мероприятия» (далее –</w:t>
      </w:r>
      <w:r w:rsidRPr="009A2BE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ый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ый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орган, Стандарт) являются: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Федеральный закон от 07.02.2011 № 6-ФЗ «Об общих принципах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организации и деятельности контрольно-счетных органов субъектов Российской Федерации и муниципальных образований»;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решение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 xml:space="preserve">(наименование </w:t>
      </w:r>
      <w:r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органа, принявшего решение,</w:t>
      </w:r>
      <w:r w:rsidRPr="00A36314"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 w:rsidRPr="005447ED">
        <w:rPr>
          <w:rFonts w:ascii="TimesNewRomanPSMT" w:hAnsi="TimesNewRomanPSMT" w:cs="TimesNewRomanPSMT"/>
          <w:sz w:val="20"/>
          <w:szCs w:val="20"/>
          <w:lang w:eastAsia="ru-RU"/>
        </w:rPr>
        <w:t>дата, номер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«О</w:t>
      </w:r>
      <w:r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принятии Положения о (</w:t>
      </w:r>
      <w:r w:rsidRPr="00A36314">
        <w:rPr>
          <w:rFonts w:ascii="TimesNewRomanPSMT" w:hAnsi="TimesNewRomanPSMT" w:cs="TimesNewRomanPSMT"/>
          <w:sz w:val="20"/>
          <w:szCs w:val="20"/>
          <w:lang w:eastAsia="ru-RU"/>
        </w:rPr>
        <w:t>наименование контрольно-счетного органа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)»;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1.2. Настоящий Стандарт разработан в соответствии с Общими требованиями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1.3. При разработке настоящего Стандарта учтены положения стандарта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Счетной палаты Российской Федерации СФК 102 «Проведение экспертно-</w:t>
      </w:r>
    </w:p>
    <w:p w:rsidR="00A148CF" w:rsidRPr="00332424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аналитического мероприятия», утвержденного решением Коллегии Счетной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палаты Российской Федерации (протокол от 16.07.2010 №36К(738)).</w:t>
      </w:r>
    </w:p>
    <w:p w:rsidR="00A148CF" w:rsidRPr="00332424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1.4. Целью разработки и введения в действие Стандарта является определение единых требований к организации и проведению экспертно-аналитических мероприятий 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. Задачей Стандарта является установление правил и процедур подготовки, проведения и оформления результатов экспертно-аналитических мероприятий.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1.5. Подготовка заключений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 в рамках</w:t>
      </w:r>
    </w:p>
    <w:p w:rsidR="00A148CF" w:rsidRPr="00560431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предварительного, оперативного и последующего контроля бюджета дополнительно регламентируется соответствующими стандартами и иными локальными нормативными актами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 w:rsidRPr="00753882"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2.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 Общая характеристика экспертно-аналитического мероприятия</w:t>
      </w:r>
    </w:p>
    <w:p w:rsidR="00A148CF" w:rsidRDefault="00A148CF" w:rsidP="00E44D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2.1. Экспертно-аналитическое мероприятие представляет собой форму осуществления внешнего муниципального финансового контроля, связанную с проведением анализа, аналитического исследования, мониторинга, оценки и экспертизы, с целью выявления причин возможных отклонений от установленных  показателей в процессе формирования доходов и расходования средств бюджета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 определения эффективности использования собственности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 выявления последствий реализации принимаемых нормативных правовых актов 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 и обеспечивающую реализацию задач, функций и полномочий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2.2. Предметом экспертно-аналитического мероприятия являются организация бюджетного процесса в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 формирование и использование муниципальных средств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2.3. Объектами экспертно-аналитического мероприятия могут быть: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администрация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и ее структурные подразделения;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муниципальные учреждения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и муниципальные предприятия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E44DB9">
        <w:rPr>
          <w:rFonts w:ascii="TimesNewRomanPSMT" w:hAnsi="TimesNewRomanPSMT" w:cs="TimesNewRomanPSMT"/>
          <w:sz w:val="28"/>
          <w:szCs w:val="28"/>
          <w:lang w:eastAsia="ru-RU"/>
        </w:rPr>
        <w:t>- иные организации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 на которые распространяются контрольные полномочия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 xml:space="preserve"> 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2.4. Экспертно-аналитическое </w:t>
      </w:r>
      <w:r w:rsidRPr="005447ED">
        <w:rPr>
          <w:rFonts w:ascii="TimesNewRomanPS-BoldMT" w:hAnsi="TimesNewRomanPS-BoldMT" w:cs="TimesNewRomanPS-BoldMT"/>
          <w:sz w:val="28"/>
          <w:szCs w:val="28"/>
          <w:lang w:eastAsia="ru-RU"/>
        </w:rPr>
        <w:t>мероприятие проводится в соответствии с</w:t>
      </w:r>
      <w:r>
        <w:rPr>
          <w:rFonts w:ascii="TimesNewRomanPS-BoldMT" w:hAnsi="TimesNewRomanPS-BoldMT" w:cs="TimesNewRomanPS-BoldMT"/>
          <w:sz w:val="28"/>
          <w:szCs w:val="28"/>
          <w:lang w:eastAsia="ru-RU"/>
        </w:rPr>
        <w:t xml:space="preserve"> </w:t>
      </w:r>
      <w:r w:rsidRPr="005447ED">
        <w:rPr>
          <w:rFonts w:ascii="TimesNewRomanPS-BoldMT" w:hAnsi="TimesNewRomanPS-BoldMT" w:cs="TimesNewRomanPS-BoldMT"/>
          <w:sz w:val="28"/>
          <w:szCs w:val="28"/>
          <w:lang w:eastAsia="ru-RU"/>
        </w:rPr>
        <w:t xml:space="preserve">планом работы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 на соответствующий год, формируемым, утверждаемым и корректируемым в порядке, установленном стандартом организации деятельности «Порядок планирования деятельности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 xml:space="preserve"> 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», утвержденном решением Коллегии (</w:t>
      </w:r>
      <w:r w:rsidRPr="0053263F">
        <w:rPr>
          <w:rFonts w:ascii="TimesNewRomanPSMT" w:hAnsi="TimesNewRomanPSMT" w:cs="TimesNewRomanPSMT"/>
          <w:sz w:val="16"/>
          <w:szCs w:val="16"/>
          <w:lang w:eastAsia="ru-RU"/>
        </w:rPr>
        <w:t>приказам, распоряжением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)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 </w:t>
      </w:r>
      <w:r w:rsidRPr="005447ED">
        <w:rPr>
          <w:rFonts w:ascii="TimesNewRomanPS-BoldMT" w:hAnsi="TimesNewRomanPS-BoldMT" w:cs="TimesNewRomanPS-BoldMT"/>
          <w:bCs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от </w:t>
      </w:r>
      <w:r w:rsidRPr="004045CA">
        <w:rPr>
          <w:rFonts w:ascii="TimesNewRomanPSMT" w:hAnsi="TimesNewRomanPSMT" w:cs="TimesNewRomanPSMT"/>
          <w:sz w:val="16"/>
          <w:szCs w:val="16"/>
          <w:lang w:eastAsia="ru-RU"/>
        </w:rPr>
        <w:t>(дата, номер)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. 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2.5. Общую организацию экспертно-аналитического мероприятия осуществляет руководитель экспертно-аналитического мероприятия, ответственный за его проведение.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2.6. Процесс проведения экспертно-аналитического мероприятия включает три этапа: подготовку мероприятия, проведение мероприятия (с выходом на объект или без выхода), оформление его результатов и </w:t>
      </w:r>
      <w:r w:rsidRPr="0053263F">
        <w:rPr>
          <w:rFonts w:ascii="TimesNewRomanPSMT" w:hAnsi="TimesNewRomanPSMT" w:cs="TimesNewRomanPSMT"/>
          <w:sz w:val="16"/>
          <w:szCs w:val="16"/>
          <w:lang w:eastAsia="ru-RU"/>
        </w:rPr>
        <w:t>(в случае соответствующего решения председателя Контрольно-счетного органа - рассмотрение их на Коллегии Контрольно-счетного органа)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рассмотрения председателем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E44D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3. Подготовка экспертно-аналитического мероприятия</w:t>
      </w:r>
    </w:p>
    <w:p w:rsidR="00A148CF" w:rsidRDefault="00A148CF" w:rsidP="00564B4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</w:pP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3.1. Подготовка экспертно-аналитического мероприятия включает в себя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осуществление следующих действий: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предварительное изучение предмета и объектов мероприятия, в том числе в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части их соответствия полномочиям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 В случае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проведения финансово-экономической экспертизы проектов муниципальных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правовых актов по вопросам, не определенным в Регламенте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органа,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ым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органом готовится соответствующее письмо и направляется разработчику;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определение целей, вопросов и методов проведения мероприятия.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Подготовка рабочего плана проведения экспертно-аналитического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мероприятия и оформление приказа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 на проведение данного экспертно-аналитического мероприятия определяются внутренними нормативными документами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3.2. Подготовку экспертно-аналитического мероприятия организует сотрудник 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органа, на которого  возложены функции по проведению экспертного мероприятия. 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3.3. Предварительное изучение предмета и объектов экспертно-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аналитического мероприятия проводится на основе полученной информации и собранных материалов. Информация по предмету экспертно-аналитического мероприятия может быть получена путем направления в установленном порядке в адрес руководителей  объектов экспертно-аналитического мероприятия, других органов местного самоуправления, организаций и учреждений запросов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 о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предоставлении информации.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3.4. По результатам предварительного изучения предмета и объектов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  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3.5.Рабочий план проведения экспертно-аналитического мероприятия должен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содержать конкретные цели и задачи,  </w:t>
      </w:r>
      <w:r w:rsidRPr="00DA253B">
        <w:rPr>
          <w:rFonts w:ascii="TimesNewRomanPSMT" w:hAnsi="TimesNewRomanPSMT" w:cs="TimesNewRomanPSMT"/>
          <w:sz w:val="28"/>
          <w:szCs w:val="28"/>
          <w:lang w:eastAsia="ru-RU"/>
        </w:rPr>
        <w:t xml:space="preserve">при проведении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экспертно-аналитического мероприятия группой </w:t>
      </w:r>
      <w:r w:rsidRPr="00416227">
        <w:rPr>
          <w:rFonts w:ascii="TimesNewRomanPSMT" w:hAnsi="TimesNewRomanPSMT" w:cs="TimesNewRomanPSMT"/>
          <w:sz w:val="28"/>
          <w:szCs w:val="28"/>
          <w:lang w:eastAsia="ru-RU"/>
        </w:rPr>
        <w:t>сотрудников   отражать распределение конкретных заданий между исполнителями экспертно-аналитического мероприятия с указанием содержания работ (процедур) и сроков их исполнения. Р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абочий план проведения экспертно-аналитического мероприятия не должен содержать сведений, составляющих государственную тайну. Рабочий план проведения экспертно-аналитического </w:t>
      </w:r>
      <w:r w:rsidRPr="00416227">
        <w:rPr>
          <w:rFonts w:ascii="TimesNewRomanPSMT" w:hAnsi="TimesNewRomanPSMT" w:cs="TimesNewRomanPSMT"/>
          <w:sz w:val="28"/>
          <w:szCs w:val="28"/>
          <w:lang w:eastAsia="ru-RU"/>
        </w:rPr>
        <w:t>мероприятия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416227">
        <w:rPr>
          <w:rFonts w:ascii="TimesNewRomanPSMT" w:hAnsi="TimesNewRomanPSMT" w:cs="TimesNewRomanPSMT"/>
          <w:sz w:val="28"/>
          <w:szCs w:val="28"/>
          <w:lang w:eastAsia="ru-RU"/>
        </w:rPr>
        <w:t>подписывается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председателем контрольно-счетной палаты, а при назначении руководителя мероприятия,  руководителем мероприятия и доводится под расписку до сведения исполнителей мероприятия. 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3.6. В случае проведения экспертно-аналитического мероприятия,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предусматривающего выезд (выход) на места расположения объектов мероприятия, по решению председателя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 (</w:t>
      </w:r>
      <w:r w:rsidRPr="00DF0EA7">
        <w:rPr>
          <w:rFonts w:ascii="TimesNewRomanPSMT" w:hAnsi="TimesNewRomanPSMT" w:cs="TimesNewRomanPSMT"/>
          <w:sz w:val="16"/>
          <w:szCs w:val="16"/>
          <w:lang w:eastAsia="ru-RU"/>
        </w:rPr>
        <w:t>или руководителя экспертно-аналитического мероприятия, ответственного за его проведение</w:t>
      </w:r>
      <w:r>
        <w:rPr>
          <w:rFonts w:ascii="TimesNewRomanPSMT" w:hAnsi="TimesNewRomanPSMT" w:cs="TimesNewRomanPSMT"/>
          <w:sz w:val="16"/>
          <w:szCs w:val="16"/>
          <w:lang w:eastAsia="ru-RU"/>
        </w:rPr>
        <w:t>)</w:t>
      </w:r>
      <w:r w:rsidRPr="00DF0EA7">
        <w:rPr>
          <w:rFonts w:ascii="TimesNewRomanPSMT" w:hAnsi="TimesNewRomanPSMT" w:cs="TimesNewRomanPSMT"/>
          <w:sz w:val="16"/>
          <w:szCs w:val="16"/>
          <w:lang w:eastAsia="ru-RU"/>
        </w:rPr>
        <w:t>,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руководителям объектов мероприятия направляются соответствующие уведомления о проведении экспертно-аналитического мероприятия на данных объектах. 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К уведомлению могут прилагаться: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специально разработанные для данного мероприятия формы, необходимые для систематизации представляемой информации.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3.7. К проведению экспертно-аналитического мероприятия, при необходимости, в соответствии с порядком, установленным Регламентом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органа, могут привлекаться, в том числе на договорной (возмездной или безвозмездной) основе, негосударственные аудиторские организации, негосударственные специализированные организации и отдельные  специалисты, эксперты, общественность.</w:t>
      </w:r>
    </w:p>
    <w:p w:rsidR="00A148CF" w:rsidRDefault="00A148CF" w:rsidP="00C504F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4. </w:t>
      </w:r>
      <w:r>
        <w:rPr>
          <w:rFonts w:ascii="TimesNewRomanPSMT" w:hAnsi="TimesNewRomanPSMT" w:cs="TimesNewRomanPSMT"/>
          <w:b/>
          <w:bCs/>
          <w:sz w:val="28"/>
          <w:szCs w:val="28"/>
          <w:lang w:eastAsia="ru-RU"/>
        </w:rPr>
        <w:t>Проведение экспертно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</w:t>
      </w:r>
      <w:r>
        <w:rPr>
          <w:rFonts w:ascii="TimesNewRomanPSMT" w:hAnsi="TimesNewRomanPSMT" w:cs="TimesNewRomanPSMT"/>
          <w:b/>
          <w:bCs/>
          <w:sz w:val="28"/>
          <w:szCs w:val="28"/>
          <w:lang w:eastAsia="ru-RU"/>
        </w:rPr>
        <w:t>аналитического мероприятия и оформление его</w:t>
      </w:r>
    </w:p>
    <w:p w:rsidR="00A148CF" w:rsidRDefault="00A148CF" w:rsidP="008B6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  <w:lang w:eastAsia="ru-RU"/>
        </w:rPr>
      </w:pPr>
      <w:r>
        <w:rPr>
          <w:rFonts w:ascii="TimesNewRomanPSMT" w:hAnsi="TimesNewRomanPSMT" w:cs="TimesNewRomanPSMT"/>
          <w:b/>
          <w:bCs/>
          <w:sz w:val="28"/>
          <w:szCs w:val="28"/>
          <w:lang w:eastAsia="ru-RU"/>
        </w:rPr>
        <w:t>Результатов</w:t>
      </w:r>
    </w:p>
    <w:p w:rsidR="00A148CF" w:rsidRDefault="00A148CF" w:rsidP="008B66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  <w:lang w:eastAsia="ru-RU"/>
        </w:rPr>
      </w:pPr>
    </w:p>
    <w:p w:rsidR="00A148CF" w:rsidRDefault="00A148CF" w:rsidP="00E51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4.1. При проведении экспертно-аналитического мероприятия следует руководствоваться тем, что оно должно быть:</w:t>
      </w:r>
    </w:p>
    <w:p w:rsidR="00A148CF" w:rsidRDefault="00A148CF" w:rsidP="00E51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объективным, то есть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A148CF" w:rsidRDefault="00A148CF" w:rsidP="00E51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системным, то есть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методам, с учетом ранее проведенных мероприятий внешнего финансового контроля;</w:t>
      </w:r>
    </w:p>
    <w:p w:rsidR="00A148CF" w:rsidRDefault="00A148CF" w:rsidP="00E51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результативным, то есть его итоги должны обеспечить возможность подготовки выводов, предложений и рекомендаций по предмету мероприятия.</w:t>
      </w:r>
    </w:p>
    <w:p w:rsidR="00A148CF" w:rsidRDefault="00A148CF" w:rsidP="00E51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4.2. Заключительный этап экспертно-аналитического мероприятия состоит в</w:t>
      </w:r>
    </w:p>
    <w:p w:rsidR="00A148CF" w:rsidRDefault="00A148CF" w:rsidP="00E51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оформлении его результатов в виде заключения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</w:t>
      </w:r>
    </w:p>
    <w:p w:rsidR="00A148CF" w:rsidRDefault="00A148CF" w:rsidP="00E51A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(далее – заключение), отчета и аналитической записки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 (далее – документ о результатах экспертно-аналитического мероприятия).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Заключение должно иметь разделы, исследующие: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вызванную необходимость принятия муниципального правового акта </w:t>
      </w:r>
      <w:r w:rsidRPr="00584610">
        <w:rPr>
          <w:rFonts w:ascii="TimesNewRomanPSMT" w:hAnsi="TimesNewRomanPSMT" w:cs="TimesNewRomanPSMT"/>
          <w:sz w:val="20"/>
          <w:szCs w:val="20"/>
          <w:lang w:eastAsia="ru-RU"/>
        </w:rPr>
        <w:t>(наименование муниципального образования),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его цели и решаемые задачи;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7567E6">
        <w:rPr>
          <w:rFonts w:ascii="TimesNewRomanPSMT" w:hAnsi="TimesNewRomanPSMT" w:cs="TimesNewRomanPSMT"/>
          <w:sz w:val="28"/>
          <w:szCs w:val="28"/>
          <w:lang w:eastAsia="ru-RU"/>
        </w:rPr>
        <w:t xml:space="preserve">- суть предлагаемых проектом муниципального правового акта </w:t>
      </w:r>
      <w:r w:rsidRPr="00584610">
        <w:rPr>
          <w:rFonts w:ascii="TimesNewRomanPSMT" w:hAnsi="TimesNewRomanPSMT" w:cs="TimesNewRomanPSMT"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0"/>
          <w:szCs w:val="20"/>
          <w:lang w:eastAsia="ru-RU"/>
        </w:rPr>
        <w:t xml:space="preserve">  </w:t>
      </w:r>
      <w:r w:rsidRPr="007567E6">
        <w:rPr>
          <w:rFonts w:ascii="TimesNewRomanPSMT" w:hAnsi="TimesNewRomanPSMT" w:cs="TimesNewRomanPSMT"/>
          <w:sz w:val="28"/>
          <w:szCs w:val="28"/>
          <w:lang w:eastAsia="ru-RU"/>
        </w:rPr>
        <w:t>действий, изменений, дополнений и их отличие от действующих правовых норм;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законность предлагаемых проектом муниципального правового акта </w:t>
      </w:r>
      <w:r w:rsidRPr="00584610">
        <w:rPr>
          <w:rFonts w:ascii="TimesNewRomanPSMT" w:hAnsi="TimesNewRomanPSMT" w:cs="TimesNewRomanPSMT"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действий, изменений, дополнений;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достигаемые результаты в случае принятия проекта муниципального  правового акта </w:t>
      </w:r>
      <w:r w:rsidRPr="00584610">
        <w:rPr>
          <w:rFonts w:ascii="TimesNewRomanPSMT" w:hAnsi="TimesNewRomanPSMT" w:cs="TimesNewRomanPSMT"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Документ о результатах экспертно-аналитического мероприятия должен иметь следующие разделы: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исходные данные об экспертно-аналитическом мероприятии, где указываются: основание для проведения мероприятия, цель и вопросы мероприятия, объект (объекты) экспертно-аналитического мероприятия (при его (их) наличии), исследуемый период деятельности (если он не указан в наименовании мероприятия), срок проведения экспертно-аналитического мероприятия;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результаты экспертно-аналитического мероприятия, в которых отражаются содержание проведенных анализа, мониторинга, оценки и экспертизы в соответствии с поставленными целями и предметом мероприятия, даются ответы на  вопросы его программы, указываются выявленные проблемы, причины их возникновения и последствия для бюджета </w:t>
      </w:r>
      <w:r w:rsidRPr="00584610">
        <w:rPr>
          <w:rFonts w:ascii="TimesNewRomanPSMT" w:hAnsi="TimesNewRomanPSMT" w:cs="TimesNewRomanPSMT"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0"/>
          <w:szCs w:val="20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 муниципальной собственности;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выводы, в которых в обобщенной форме отражаются итоговые оценки вопросов и проблем, рассмотренных при проведении экспертно-аналитического мероприятия;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- предложения, которые должны основываться на выводах и предусматривать меры, направленные на решение проблем, выявленных по результатам экспертно-аналитического мероприятия.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4.3. Заключение, документ о результатах экспертно-аналитического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мероприятия должны соответствовать: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Регламенту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органа, настоящему Стандарту и иным внутренним нормативным документам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органа;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- исходной постановке задачи, которая сформулирована в наименовании экспертно-аналитического мероприятия в плане работы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4.4. Проект заключения, документа о результатах экспертно-аналитического мероприятия визируется разработчиком (разработчиками)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 и направляется на рассмотрение и утверждение председателю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4.5. Датой окончания работы по документу о результатах экспертно-аналитического мероприятия считается дата его подписания (утверждения)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председателем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E600A4">
        <w:rPr>
          <w:rFonts w:ascii="TimesNewRomanPSMT" w:hAnsi="TimesNewRomanPSMT" w:cs="TimesNewRomanPSMT"/>
          <w:sz w:val="28"/>
          <w:szCs w:val="28"/>
          <w:lang w:eastAsia="ru-RU"/>
        </w:rPr>
        <w:t>4.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6</w:t>
      </w:r>
      <w:r w:rsidRPr="00E600A4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Документы о результатах экспертно-аналитического мероприятия, содержащие сведения, составляющие государственную тайну, оформляются в установленном порядке.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4.7. Отчет о результатах экспертно-аналитического мероприятия выносится на рассмотрение Коллегии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органа. В случае необходимости предоставления оперативной информации по результатам проведенных экспертно-аналитических мероприятий главе </w:t>
      </w:r>
      <w:r w:rsidRPr="00584610">
        <w:rPr>
          <w:rFonts w:ascii="TimesNewRomanPSMT" w:hAnsi="TimesNewRomanPSMT" w:cs="TimesNewRomanPSMT"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,в администрацию </w:t>
      </w:r>
      <w:r w:rsidRPr="00584610">
        <w:rPr>
          <w:rFonts w:ascii="TimesNewRomanPSMT" w:hAnsi="TimesNewRomanPSMT" w:cs="TimesNewRomanPSMT"/>
          <w:sz w:val="20"/>
          <w:szCs w:val="20"/>
          <w:lang w:eastAsia="ru-RU"/>
        </w:rPr>
        <w:t>(наименование муниципального образования)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, государственным и правоохранительным органам, председатель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 вправе единолично принять решение об утверждении отчета без его рассмотрения на Коллегии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Председатель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 вправе принимать решение о вынесении других документов о результатах экспертно-аналитических мероприятий  на рассмотрение Коллегии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Документы о результатах аналитических мероприятий, проведенных в соответствии с запросами (поручениями), направляются соответствующим адресатам, а также в иные органы власти, государственные и правоохранительные органы, органы муниципального самоуправления, организации и средства массовой информации, если такое решение было принято председателем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органа.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4.8. Данные по результатам экспертно-аналитических мероприятий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органа, вводятся в информационные базы данных, функционирующие в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ом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органе.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b/>
          <w:bCs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5. </w:t>
      </w:r>
      <w:r>
        <w:rPr>
          <w:rFonts w:ascii="TimesNewRomanPSMT" w:hAnsi="TimesNewRomanPSMT" w:cs="TimesNewRomanPSMT"/>
          <w:b/>
          <w:bCs/>
          <w:sz w:val="28"/>
          <w:szCs w:val="28"/>
          <w:lang w:eastAsia="ru-RU"/>
        </w:rPr>
        <w:t>Контроль за реализацией результатов экспертно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>-</w:t>
      </w:r>
      <w:r>
        <w:rPr>
          <w:rFonts w:ascii="TimesNewRomanPSMT" w:hAnsi="TimesNewRomanPSMT" w:cs="TimesNewRomanPSMT"/>
          <w:b/>
          <w:bCs/>
          <w:sz w:val="28"/>
          <w:szCs w:val="28"/>
          <w:lang w:eastAsia="ru-RU"/>
        </w:rPr>
        <w:t>аналитических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b/>
          <w:sz w:val="28"/>
          <w:szCs w:val="28"/>
          <w:lang w:eastAsia="ru-RU"/>
        </w:rPr>
      </w:pPr>
      <w:r>
        <w:rPr>
          <w:rFonts w:ascii="TimesNewRomanPSMT" w:hAnsi="TimesNewRomanPSMT" w:cs="TimesNewRomanPSMT"/>
          <w:b/>
          <w:bCs/>
          <w:sz w:val="28"/>
          <w:szCs w:val="28"/>
          <w:lang w:eastAsia="ru-RU"/>
        </w:rPr>
        <w:t>мероприятий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eastAsia="ru-RU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  <w:lang w:eastAsia="ru-RU"/>
        </w:rPr>
        <w:t xml:space="preserve">проводимых </w:t>
      </w:r>
      <w:r w:rsidRPr="00840B8F">
        <w:rPr>
          <w:rFonts w:ascii="TimesNewRomanPSMT" w:hAnsi="TimesNewRomanPSMT" w:cs="TimesNewRomanPSMT"/>
          <w:b/>
          <w:sz w:val="28"/>
          <w:szCs w:val="28"/>
          <w:lang w:eastAsia="ru-RU"/>
        </w:rPr>
        <w:t>Контрольно-счетным органом</w:t>
      </w:r>
    </w:p>
    <w:p w:rsidR="00A148CF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b/>
          <w:bCs/>
          <w:sz w:val="28"/>
          <w:szCs w:val="28"/>
          <w:lang w:eastAsia="ru-RU"/>
        </w:rPr>
      </w:pPr>
    </w:p>
    <w:p w:rsidR="00A148CF" w:rsidRPr="00983296" w:rsidRDefault="00A148CF" w:rsidP="00D526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5.1. Регистрация результатов экспертно-аналитических мероприятий, проводимых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ым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органом, и контроль за их реализацией осуществляется сотрудниками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органа, ответственными за проведение экспертно-аналитического мероприятия.  На основании заполненного реестра экспертно-аналитических мероприятий сотрудник 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органа, ответственный за проведение экспертно-аналитического мероприятия, по итогам полугодия текущего финансового года готовит сводную служебную записку с анализом  указанного реестра и предоставляет ее председателю 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>Контрольно-счетн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ого</w:t>
      </w:r>
      <w:r w:rsidRPr="00332424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органа. </w:t>
      </w:r>
    </w:p>
    <w:sectPr w:rsidR="00A148CF" w:rsidRPr="00983296" w:rsidSect="00EF5522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CF" w:rsidRDefault="00A148CF" w:rsidP="006B2B34">
      <w:pPr>
        <w:spacing w:after="0" w:line="240" w:lineRule="auto"/>
      </w:pPr>
      <w:r>
        <w:separator/>
      </w:r>
    </w:p>
  </w:endnote>
  <w:endnote w:type="continuationSeparator" w:id="0">
    <w:p w:rsidR="00A148CF" w:rsidRDefault="00A148CF" w:rsidP="006B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CF" w:rsidRDefault="00A148CF" w:rsidP="006B2B34">
      <w:pPr>
        <w:spacing w:after="0" w:line="240" w:lineRule="auto"/>
      </w:pPr>
      <w:r>
        <w:separator/>
      </w:r>
    </w:p>
  </w:footnote>
  <w:footnote w:type="continuationSeparator" w:id="0">
    <w:p w:rsidR="00A148CF" w:rsidRDefault="00A148CF" w:rsidP="006B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CF" w:rsidRDefault="00A148CF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148CF" w:rsidRDefault="00A148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0D9"/>
    <w:multiLevelType w:val="hybridMultilevel"/>
    <w:tmpl w:val="6290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45"/>
    <w:rsid w:val="0000041A"/>
    <w:rsid w:val="000A3370"/>
    <w:rsid w:val="000B11FD"/>
    <w:rsid w:val="00131113"/>
    <w:rsid w:val="00176CD7"/>
    <w:rsid w:val="002462BE"/>
    <w:rsid w:val="00250B87"/>
    <w:rsid w:val="00332424"/>
    <w:rsid w:val="00335581"/>
    <w:rsid w:val="003C630C"/>
    <w:rsid w:val="004045CA"/>
    <w:rsid w:val="00416227"/>
    <w:rsid w:val="00457D7B"/>
    <w:rsid w:val="0053263F"/>
    <w:rsid w:val="005447ED"/>
    <w:rsid w:val="00560431"/>
    <w:rsid w:val="00564B45"/>
    <w:rsid w:val="00584610"/>
    <w:rsid w:val="006A5F8E"/>
    <w:rsid w:val="006B2B34"/>
    <w:rsid w:val="006C58B3"/>
    <w:rsid w:val="00753882"/>
    <w:rsid w:val="00754020"/>
    <w:rsid w:val="007567E6"/>
    <w:rsid w:val="007A38AD"/>
    <w:rsid w:val="00840B8F"/>
    <w:rsid w:val="0088159F"/>
    <w:rsid w:val="008B6634"/>
    <w:rsid w:val="008F57CC"/>
    <w:rsid w:val="00936048"/>
    <w:rsid w:val="009447FF"/>
    <w:rsid w:val="00983296"/>
    <w:rsid w:val="009A2BE4"/>
    <w:rsid w:val="00A148CF"/>
    <w:rsid w:val="00A36314"/>
    <w:rsid w:val="00AF4C6B"/>
    <w:rsid w:val="00AF6E75"/>
    <w:rsid w:val="00B15A58"/>
    <w:rsid w:val="00C0733B"/>
    <w:rsid w:val="00C504FE"/>
    <w:rsid w:val="00CC3556"/>
    <w:rsid w:val="00CF61BA"/>
    <w:rsid w:val="00D5262A"/>
    <w:rsid w:val="00DA253B"/>
    <w:rsid w:val="00DF0EA7"/>
    <w:rsid w:val="00E443A1"/>
    <w:rsid w:val="00E44DB9"/>
    <w:rsid w:val="00E51A2B"/>
    <w:rsid w:val="00E600A4"/>
    <w:rsid w:val="00EE5402"/>
    <w:rsid w:val="00EF5522"/>
    <w:rsid w:val="00F043B7"/>
    <w:rsid w:val="00F134B2"/>
    <w:rsid w:val="00F37A15"/>
    <w:rsid w:val="00F8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2B3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B34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6B2B3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B34"/>
    <w:rPr>
      <w:rFonts w:cs="Times New Roman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9A2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04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2324</Words>
  <Characters>13252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Сидельникова</cp:lastModifiedBy>
  <cp:revision>4</cp:revision>
  <cp:lastPrinted>2014-12-04T09:12:00Z</cp:lastPrinted>
  <dcterms:created xsi:type="dcterms:W3CDTF">2014-12-26T06:52:00Z</dcterms:created>
  <dcterms:modified xsi:type="dcterms:W3CDTF">2014-12-26T07:05:00Z</dcterms:modified>
</cp:coreProperties>
</file>