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3D29A" w14:textId="77777777" w:rsidR="00E707BB" w:rsidRDefault="00E707BB" w:rsidP="00E707BB">
      <w:pPr>
        <w:pStyle w:val="2"/>
        <w:spacing w:after="0" w:line="240" w:lineRule="auto"/>
        <w:ind w:left="4961" w:firstLine="709"/>
        <w:rPr>
          <w:b/>
        </w:rPr>
      </w:pPr>
      <w:bookmarkStart w:id="0" w:name="sub_11"/>
      <w:r>
        <w:rPr>
          <w:b/>
        </w:rPr>
        <w:t>УТВЕРЖДАЮ</w:t>
      </w:r>
    </w:p>
    <w:p w14:paraId="4D8310D2" w14:textId="77777777" w:rsidR="00E707BB" w:rsidRDefault="00E707BB" w:rsidP="00E707BB">
      <w:pPr>
        <w:pStyle w:val="2"/>
        <w:spacing w:after="0" w:line="240" w:lineRule="auto"/>
        <w:ind w:left="5670"/>
        <w:rPr>
          <w:b/>
        </w:rPr>
      </w:pPr>
      <w:r>
        <w:rPr>
          <w:b/>
        </w:rPr>
        <w:t xml:space="preserve">председатель контрольно-счетной палаты </w:t>
      </w:r>
    </w:p>
    <w:p w14:paraId="38292EF2" w14:textId="77777777" w:rsidR="00E707BB" w:rsidRDefault="00E707BB" w:rsidP="00E707BB">
      <w:pPr>
        <w:pStyle w:val="2"/>
        <w:spacing w:after="0" w:line="240" w:lineRule="auto"/>
        <w:ind w:left="5670"/>
        <w:rPr>
          <w:b/>
        </w:rPr>
      </w:pPr>
      <w:r>
        <w:rPr>
          <w:b/>
        </w:rPr>
        <w:t>Волгоградской области</w:t>
      </w:r>
    </w:p>
    <w:p w14:paraId="1EFABE8D" w14:textId="77777777" w:rsidR="00E707BB" w:rsidRDefault="00E707BB" w:rsidP="00E707BB">
      <w:pPr>
        <w:pStyle w:val="2"/>
        <w:spacing w:after="0" w:line="240" w:lineRule="auto"/>
        <w:ind w:left="5670"/>
        <w:rPr>
          <w:b/>
        </w:rPr>
      </w:pPr>
    </w:p>
    <w:p w14:paraId="146CE963" w14:textId="77777777" w:rsidR="00E707BB" w:rsidRDefault="00E707BB" w:rsidP="00E707BB">
      <w:pPr>
        <w:pStyle w:val="2"/>
        <w:spacing w:after="0" w:line="240" w:lineRule="auto"/>
        <w:ind w:left="5670"/>
        <w:rPr>
          <w:b/>
        </w:rPr>
      </w:pPr>
      <w:r>
        <w:rPr>
          <w:b/>
        </w:rPr>
        <w:t>_______________ И.А. Дьяченко</w:t>
      </w:r>
    </w:p>
    <w:p w14:paraId="31423D5A" w14:textId="77777777" w:rsidR="00E707BB" w:rsidRDefault="00E707BB" w:rsidP="00E707BB">
      <w:pPr>
        <w:pStyle w:val="2"/>
        <w:spacing w:after="0" w:line="240" w:lineRule="auto"/>
        <w:ind w:left="5670"/>
        <w:rPr>
          <w:b/>
        </w:rPr>
      </w:pPr>
    </w:p>
    <w:p w14:paraId="55387CFC" w14:textId="77777777" w:rsidR="00E707BB" w:rsidRDefault="00973ACD" w:rsidP="00E707BB">
      <w:pPr>
        <w:pStyle w:val="2"/>
        <w:spacing w:after="0" w:line="240" w:lineRule="auto"/>
        <w:ind w:left="5670"/>
        <w:rPr>
          <w:b/>
        </w:rPr>
      </w:pPr>
      <w:r>
        <w:rPr>
          <w:b/>
        </w:rPr>
        <w:t xml:space="preserve"> </w:t>
      </w:r>
      <w:r w:rsidR="00E707BB">
        <w:rPr>
          <w:b/>
        </w:rPr>
        <w:t xml:space="preserve"> марта 2019 года</w:t>
      </w:r>
    </w:p>
    <w:p w14:paraId="731FC0D6" w14:textId="77777777" w:rsidR="00E707BB" w:rsidRDefault="00E707BB" w:rsidP="00E707BB">
      <w:pPr>
        <w:spacing w:after="0"/>
        <w:ind w:firstLine="708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2435C429" w14:textId="77777777" w:rsidR="00E707BB" w:rsidRDefault="00E707BB" w:rsidP="00E707BB">
      <w:pPr>
        <w:pStyle w:val="a5"/>
        <w:rPr>
          <w:szCs w:val="24"/>
        </w:rPr>
      </w:pPr>
      <w:r>
        <w:rPr>
          <w:szCs w:val="24"/>
        </w:rPr>
        <w:t>ЗАКЛЮЧЕНИЕ</w:t>
      </w:r>
    </w:p>
    <w:p w14:paraId="3DB31A75" w14:textId="77777777" w:rsidR="00E707BB" w:rsidRDefault="00E707BB" w:rsidP="00E707BB">
      <w:pPr>
        <w:pStyle w:val="ab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результатам внешней проверки бюджетной отчетности и отдельных вопросов исполнения областного бюджета за 2018 год главным администратором средств областного бюджета – комитетом государственной охраны объектов культурного наследия Волгоградской области</w:t>
      </w:r>
      <w:r w:rsidR="00973ACD">
        <w:rPr>
          <w:rFonts w:ascii="Times New Roman" w:hAnsi="Times New Roman"/>
          <w:b/>
        </w:rPr>
        <w:t xml:space="preserve"> (далее Комитет)</w:t>
      </w:r>
    </w:p>
    <w:p w14:paraId="1B0AD1DF" w14:textId="77777777" w:rsidR="00E707BB" w:rsidRDefault="00E707BB" w:rsidP="00E707BB">
      <w:pPr>
        <w:spacing w:before="120"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Общие положения</w:t>
      </w:r>
    </w:p>
    <w:p w14:paraId="092229E9" w14:textId="3DC602BF" w:rsidR="00E707BB" w:rsidRDefault="00E707BB" w:rsidP="00E707BB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Камеральная проверка проведена в соответствии</w:t>
      </w:r>
      <w:r w:rsidR="00EF396F">
        <w:rPr>
          <w:rFonts w:ascii="Times New Roman" w:hAnsi="Times New Roman"/>
          <w:sz w:val="24"/>
          <w:szCs w:val="24"/>
        </w:rPr>
        <w:t xml:space="preserve"> с </w:t>
      </w:r>
      <w:r w:rsidR="00EF396F" w:rsidRPr="00EF396F">
        <w:rPr>
          <w:rFonts w:ascii="Times New Roman" w:hAnsi="Times New Roman"/>
          <w:sz w:val="24"/>
          <w:szCs w:val="24"/>
        </w:rPr>
        <w:t>пунктом 2.1.</w:t>
      </w:r>
      <w:r w:rsidR="00EF396F">
        <w:rPr>
          <w:rFonts w:ascii="Times New Roman" w:hAnsi="Times New Roman"/>
          <w:sz w:val="24"/>
          <w:szCs w:val="24"/>
        </w:rPr>
        <w:t>30</w:t>
      </w:r>
      <w:bookmarkStart w:id="1" w:name="_GoBack"/>
      <w:bookmarkEnd w:id="1"/>
      <w:r w:rsidR="00EF396F" w:rsidRPr="00EF396F">
        <w:rPr>
          <w:rFonts w:ascii="Times New Roman" w:hAnsi="Times New Roman"/>
          <w:sz w:val="24"/>
          <w:szCs w:val="24"/>
        </w:rPr>
        <w:t xml:space="preserve"> плана работы контрольно-счетной палаты Волгоградской области на 2019 год, утвержденного постановлением коллегии контрольно-счетной палаты Волгоградской области от 17.12.2018 № 23/2,</w:t>
      </w:r>
      <w:r>
        <w:rPr>
          <w:rFonts w:ascii="Times New Roman" w:hAnsi="Times New Roman"/>
          <w:sz w:val="24"/>
          <w:szCs w:val="24"/>
        </w:rPr>
        <w:t xml:space="preserve"> </w:t>
      </w:r>
      <w:r w:rsidR="00EF396F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со Стандартом финансового контроля </w:t>
      </w:r>
      <w:r w:rsidRPr="00BC0E24">
        <w:rPr>
          <w:rFonts w:ascii="Times New Roman" w:hAnsi="Times New Roman"/>
          <w:sz w:val="24"/>
          <w:szCs w:val="24"/>
        </w:rPr>
        <w:t>«Последующий контроль за исполнением бюджета Волгоградской области»</w:t>
      </w:r>
      <w:r>
        <w:rPr>
          <w:rFonts w:ascii="Times New Roman" w:hAnsi="Times New Roman"/>
          <w:sz w:val="24"/>
          <w:szCs w:val="24"/>
        </w:rPr>
        <w:t>, утвержденным постановлением коллегии КСП от 30.09.2008 № 37, на основе бюджетной отчетности Комитета за 2018 год в составе, определенном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 № 191н (далее Инструкция № 191н).</w:t>
      </w:r>
    </w:p>
    <w:p w14:paraId="7EAE9792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Положением о Комитете, утверждённым постановлением Администрации Волгоградской области от 19.12.2016 № 697-п,  Комитет является органом исполнительной власти Волгоградской области, уполномоченным в сфере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сохранения, использования, популяризации и государственной охраны объектов культурного наследия на территории Волгоградской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0AF9CAA2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Штатная численность государственных служащих Комитета утверждена Законом Волгоградской области от 15.12.2017 №124-ОД «Об областном бюджете на 2018 год и на плановый период 2019 и 2020 годов» (далее Закон об областном бюджете на 2018 год и на плановый период 2019 и 2020 годов) в количестве 25 единиц. Штатная численность всех работников Комитета на 01.01.2019 составила 30 ед., из них: 1 ед. – государственной должности, 25 ед. - должности государственной гражданской службы, 4 ед.- должности, не являющиеся должностями государственной гражданской службы. </w:t>
      </w:r>
    </w:p>
    <w:p w14:paraId="2BDF4F71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осуществляет функции учредителя в отношении государственного бюджетного учреждения «Волгоградский научно-производственный центр по охране памятников истории и культуры» (далее ГБУ ВОНПЦ).</w:t>
      </w:r>
    </w:p>
    <w:bookmarkEnd w:id="0"/>
    <w:p w14:paraId="30F76A6F" w14:textId="77777777" w:rsidR="00E707BB" w:rsidRDefault="00E707BB" w:rsidP="00E707BB">
      <w:pPr>
        <w:spacing w:before="120" w:after="120" w:line="24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Установление полноты бюджетной отчетности, ее соответствие требованиям нормативных правовых актов, а также проверка достоверности ее показателей</w:t>
      </w:r>
    </w:p>
    <w:p w14:paraId="1EBAE9A3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Визуальным контролем бюджетной отчетности Комитета за 2018 год установлено, что бюджетная отчетность представлена в составе и </w:t>
      </w:r>
      <w:r w:rsidR="0090175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сроки, определенны</w:t>
      </w:r>
      <w:r w:rsidR="0090175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п.11.1 Инструкции № 191н и письмом комитета финансов Волгоградской области (далее Комитет финансов) от 19.12.2018 №06-05-01-61/10357 «О составлении и представлении годовой бюджетной отчетности и сводной бухгалтерской отчетности бюджетных и автономных учреждений  главными распорядителями средств за 2018 год».</w:t>
      </w:r>
    </w:p>
    <w:p w14:paraId="03A1C65E" w14:textId="77777777" w:rsidR="00E707BB" w:rsidRDefault="00E707BB" w:rsidP="00E707BB">
      <w:pPr>
        <w:tabs>
          <w:tab w:val="left" w:pos="2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Проверкой правильности заполнения Комитетом бюджетной отчетности нарушений и недостатков не установлено.</w:t>
      </w:r>
    </w:p>
    <w:p w14:paraId="7043C7CE" w14:textId="77777777" w:rsidR="00901758" w:rsidRDefault="00901758" w:rsidP="00E707BB">
      <w:pPr>
        <w:tabs>
          <w:tab w:val="left" w:pos="2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758">
        <w:rPr>
          <w:rFonts w:ascii="Times New Roman" w:hAnsi="Times New Roman"/>
          <w:sz w:val="24"/>
          <w:szCs w:val="24"/>
        </w:rPr>
        <w:t>Информация о комплектности и соответствии установленным формам бюджетной отчетности представлена в приложении №1.</w:t>
      </w:r>
    </w:p>
    <w:p w14:paraId="73552ADC" w14:textId="77777777" w:rsidR="00E707BB" w:rsidRDefault="00E707BB" w:rsidP="00E707BB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Анализ основных показателей бюджетной отчетности, плановые и фактические показатели исполнения Комитетом доходов и расходов областного бюджета</w:t>
      </w:r>
    </w:p>
    <w:p w14:paraId="255A3209" w14:textId="77777777" w:rsidR="00E707BB" w:rsidRDefault="00E707BB" w:rsidP="00E707BB">
      <w:pPr>
        <w:pStyle w:val="a9"/>
        <w:tabs>
          <w:tab w:val="left" w:pos="0"/>
          <w:tab w:val="left" w:pos="180"/>
        </w:tabs>
        <w:spacing w:after="0"/>
        <w:ind w:left="0" w:firstLine="720"/>
        <w:jc w:val="both"/>
      </w:pPr>
      <w:r>
        <w:t xml:space="preserve">Согласно данным отчета ф.0503127 Комитета в 2018 году плановые показатели по доходам (прочие поступления от денежных взысканий (штрафов) и иных сумм в возмещение ущерба) доведены в размере 730,0 тыс. рублей. Фактически получено 685,1 тыс. руб., или 93,8 процента. </w:t>
      </w:r>
      <w:r w:rsidR="0027501F">
        <w:t xml:space="preserve">Неисполнение </w:t>
      </w:r>
      <w:r>
        <w:t xml:space="preserve">показателя </w:t>
      </w:r>
      <w:r w:rsidR="0027501F">
        <w:t>обусловлено</w:t>
      </w:r>
      <w:r>
        <w:t xml:space="preserve"> отказ</w:t>
      </w:r>
      <w:r w:rsidR="0027501F">
        <w:t>ом</w:t>
      </w:r>
      <w:r>
        <w:t xml:space="preserve"> лиц от добровольного перечисления административных штрафов. Для взыскания данных штрафов постановления направлены судебным приставам для принудительного взыскания. </w:t>
      </w:r>
    </w:p>
    <w:p w14:paraId="103E3D58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Законом об областном бюджете на 2018 год </w:t>
      </w:r>
      <w:r>
        <w:rPr>
          <w:rFonts w:ascii="Times New Roman" w:hAnsi="Times New Roman"/>
          <w:sz w:val="24"/>
          <w:szCs w:val="24"/>
        </w:rPr>
        <w:t>и на плановый период 2019 и 2020 годов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в первоначальной редакции расходы по коду ведомства 836 предусмотрены в сумме 35989,9 тыс. руб., в окончательной редакции </w:t>
      </w:r>
      <w:r w:rsidR="0027501F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41219,7 тыс. руб., или на 14,5% больше.</w:t>
      </w:r>
    </w:p>
    <w:p w14:paraId="3EC403AE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Бюджетной росписью Комитета на 2018 год утверждены расходы в сумме 41515,5 тыс. руб., что на 295,8 тыс. руб., или на 0,7% больше суммы, утвержденной Законом </w:t>
      </w:r>
      <w:r w:rsidR="00A83752">
        <w:rPr>
          <w:rFonts w:ascii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sz w:val="24"/>
          <w:szCs w:val="24"/>
          <w:lang w:eastAsia="ru-RU"/>
        </w:rPr>
        <w:t xml:space="preserve">бюджете на 2018 год </w:t>
      </w:r>
      <w:r>
        <w:rPr>
          <w:rFonts w:ascii="Times New Roman" w:hAnsi="Times New Roman"/>
          <w:sz w:val="24"/>
          <w:szCs w:val="24"/>
        </w:rPr>
        <w:t>и на плановый период 2019 и 2020 годов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14:paraId="00CDF239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Согласно форме 0503163 «Сведения об изменениях бюджетной росписи главного распорядителя бюджетных средств» изменения вносились в соответствии с основаниями, установленными ст. 217 БК РФ и ст. 46 Закона об областном бюджете на 2018 год.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D2172C" w14:textId="77777777" w:rsidR="00E707BB" w:rsidRDefault="00D93C8E" w:rsidP="00E707B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707BB">
        <w:rPr>
          <w:rFonts w:ascii="Times New Roman" w:hAnsi="Times New Roman"/>
          <w:sz w:val="24"/>
          <w:szCs w:val="24"/>
        </w:rPr>
        <w:t xml:space="preserve">а 2018 год расходы </w:t>
      </w:r>
      <w:r>
        <w:rPr>
          <w:rFonts w:ascii="Times New Roman" w:hAnsi="Times New Roman"/>
          <w:sz w:val="24"/>
          <w:szCs w:val="24"/>
        </w:rPr>
        <w:t>Комитета</w:t>
      </w:r>
      <w:r w:rsidR="00E707BB">
        <w:rPr>
          <w:rFonts w:ascii="Times New Roman" w:hAnsi="Times New Roman"/>
          <w:sz w:val="24"/>
          <w:szCs w:val="24"/>
        </w:rPr>
        <w:t xml:space="preserve"> исполнены на 39102,4 тыс. руб., или на 94,2% от утвержденных бюджетной росписью бюджетных назначений.</w:t>
      </w:r>
    </w:p>
    <w:p w14:paraId="51CFE21A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Сравнительный анализ плановых и фактических показателей исполнения расходов областного бюджета за 2018 год в разрезе подразделов и целевых статей расходов приведен </w:t>
      </w:r>
      <w:r w:rsidRPr="000B1A7F">
        <w:rPr>
          <w:rFonts w:ascii="Times New Roman" w:hAnsi="Times New Roman"/>
          <w:sz w:val="24"/>
          <w:szCs w:val="24"/>
        </w:rPr>
        <w:t>в Приложении №</w:t>
      </w:r>
      <w:r w:rsidR="000B1A7F" w:rsidRPr="000B1A7F">
        <w:rPr>
          <w:rFonts w:ascii="Times New Roman" w:hAnsi="Times New Roman"/>
          <w:sz w:val="24"/>
          <w:szCs w:val="24"/>
        </w:rPr>
        <w:t>2</w:t>
      </w:r>
      <w:r w:rsidRPr="000B1A7F">
        <w:rPr>
          <w:rFonts w:ascii="Times New Roman" w:hAnsi="Times New Roman"/>
          <w:sz w:val="24"/>
          <w:szCs w:val="24"/>
        </w:rPr>
        <w:t>.</w:t>
      </w:r>
    </w:p>
    <w:p w14:paraId="2F21F336" w14:textId="77777777" w:rsidR="000B1A7F" w:rsidRDefault="000B1A7F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сумма неисполнения расходов составила 2413,1 тыс. рублей. </w:t>
      </w:r>
    </w:p>
    <w:p w14:paraId="447C2A72" w14:textId="77777777" w:rsidR="008D7462" w:rsidRDefault="008D7462" w:rsidP="008D7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причинами </w:t>
      </w:r>
      <w:r w:rsidR="00E707BB">
        <w:rPr>
          <w:rFonts w:ascii="Times New Roman" w:hAnsi="Times New Roman"/>
          <w:sz w:val="24"/>
          <w:szCs w:val="24"/>
        </w:rPr>
        <w:t>неисполнения расходов по субсидиям ГБУ ВОНПЦ на сумму 1134,0 тыс. руб. яв</w:t>
      </w:r>
      <w:r>
        <w:rPr>
          <w:rFonts w:ascii="Times New Roman" w:hAnsi="Times New Roman"/>
          <w:sz w:val="24"/>
          <w:szCs w:val="24"/>
        </w:rPr>
        <w:t>и</w:t>
      </w:r>
      <w:r w:rsidR="00E707BB">
        <w:rPr>
          <w:rFonts w:ascii="Times New Roman" w:hAnsi="Times New Roman"/>
          <w:sz w:val="24"/>
          <w:szCs w:val="24"/>
        </w:rPr>
        <w:t>лось уменьшение Комитетом финансов лимитов бюджетных обязательств на уплату земельного налога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E707BB">
        <w:rPr>
          <w:rFonts w:ascii="Times New Roman" w:hAnsi="Times New Roman"/>
          <w:sz w:val="24"/>
          <w:szCs w:val="24"/>
        </w:rPr>
        <w:t xml:space="preserve"> </w:t>
      </w:r>
      <w:r w:rsidR="00E707BB" w:rsidRPr="00276293">
        <w:rPr>
          <w:rFonts w:ascii="Times New Roman" w:hAnsi="Times New Roman"/>
          <w:sz w:val="24"/>
          <w:szCs w:val="24"/>
        </w:rPr>
        <w:t>650,0 тыс. руб.</w:t>
      </w:r>
      <w:r w:rsidR="00E707BB">
        <w:rPr>
          <w:rFonts w:ascii="Times New Roman" w:hAnsi="Times New Roman"/>
          <w:sz w:val="24"/>
          <w:szCs w:val="24"/>
        </w:rPr>
        <w:t xml:space="preserve"> (кредиторская задолженность отсутствует в связи со сроком подачи налоговой отчетности до 1 февраля 2019 года)  и субсидий на иные цели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E707BB" w:rsidRPr="008A3F25">
        <w:rPr>
          <w:rFonts w:ascii="Times New Roman" w:hAnsi="Times New Roman"/>
          <w:sz w:val="24"/>
          <w:szCs w:val="24"/>
        </w:rPr>
        <w:t>484,0</w:t>
      </w:r>
      <w:r w:rsidR="00E707BB">
        <w:rPr>
          <w:rFonts w:ascii="Times New Roman" w:hAnsi="Times New Roman"/>
          <w:sz w:val="24"/>
          <w:szCs w:val="24"/>
        </w:rPr>
        <w:t xml:space="preserve"> тыс. руб.</w:t>
      </w:r>
      <w:r>
        <w:rPr>
          <w:rFonts w:ascii="Times New Roman" w:hAnsi="Times New Roman"/>
          <w:sz w:val="24"/>
          <w:szCs w:val="24"/>
        </w:rPr>
        <w:t>, а именно</w:t>
      </w:r>
      <w:r w:rsidR="00E707BB">
        <w:rPr>
          <w:rFonts w:ascii="Times New Roman" w:hAnsi="Times New Roman"/>
          <w:sz w:val="24"/>
          <w:szCs w:val="24"/>
        </w:rPr>
        <w:t xml:space="preserve"> на исполнение решения суда на экспертизу 3 объектов культурного наследия в Городищенском муниципальном </w:t>
      </w:r>
      <w:r w:rsidR="00E707BB" w:rsidRPr="008A3F25">
        <w:rPr>
          <w:rFonts w:ascii="Times New Roman" w:hAnsi="Times New Roman"/>
          <w:sz w:val="24"/>
          <w:szCs w:val="24"/>
        </w:rPr>
        <w:t xml:space="preserve">районе (постановлением </w:t>
      </w:r>
      <w:r>
        <w:rPr>
          <w:rFonts w:ascii="Times New Roman" w:hAnsi="Times New Roman"/>
          <w:sz w:val="24"/>
          <w:szCs w:val="24"/>
        </w:rPr>
        <w:t>П</w:t>
      </w:r>
      <w:r w:rsidR="00E707BB" w:rsidRPr="008A3F25">
        <w:rPr>
          <w:rFonts w:ascii="Times New Roman" w:hAnsi="Times New Roman"/>
          <w:sz w:val="24"/>
          <w:szCs w:val="24"/>
        </w:rPr>
        <w:t>резидиума Волгоградского областного суда от 21.11.2018 апелляционное определение судебной коллегии по гражданским делам Волгоградского областного суда от 05.07.2018 отменено и дело направлено на новое апелляционное рассмотрение в судебную коллегию по гражданским делам Волгоградского областного суда)</w:t>
      </w:r>
      <w:r w:rsidR="00E707BB">
        <w:rPr>
          <w:rFonts w:ascii="Times New Roman" w:hAnsi="Times New Roman"/>
          <w:sz w:val="24"/>
          <w:szCs w:val="24"/>
        </w:rPr>
        <w:t xml:space="preserve">.  </w:t>
      </w:r>
    </w:p>
    <w:p w14:paraId="6A752A5B" w14:textId="77777777" w:rsidR="00E707BB" w:rsidRPr="008D7462" w:rsidRDefault="00E707BB" w:rsidP="008D7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обеспечению деятельности Комитета неисполнение расходов на 1256,5 тыс. руб. сложилось за счет экономии заработной платы и начислений на оплату труда (811,9 тыс. руб.), командировочных расходов (50,6 тыс. руб.), по итогам проведенных закупок (42,7 тыс. руб.), за счет неисполненного контракта поставщиком (76,7 тыс. руб.) и уменьшения лимитов бюджетных обязательств на закупки товаров, работ (услуг) (274,6 тыс. руб.).</w:t>
      </w:r>
      <w:r>
        <w:rPr>
          <w:color w:val="365F91" w:themeColor="accent1" w:themeShade="BF"/>
          <w:sz w:val="24"/>
          <w:szCs w:val="24"/>
        </w:rPr>
        <w:t xml:space="preserve"> </w:t>
      </w:r>
    </w:p>
    <w:p w14:paraId="2BE6E82F" w14:textId="77777777" w:rsidR="00E707BB" w:rsidRDefault="00E707BB" w:rsidP="00E707BB">
      <w:pPr>
        <w:pStyle w:val="a3"/>
        <w:spacing w:before="120"/>
        <w:jc w:val="both"/>
        <w:rPr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ab/>
      </w:r>
      <w:r>
        <w:rPr>
          <w:sz w:val="24"/>
          <w:szCs w:val="24"/>
        </w:rPr>
        <w:t>Сравнительный анализ показателей исполнения расходов областного бюджета за отчетный год и предыдущий год не проводился в связи с образованием Комитета с 01.03.2017.</w:t>
      </w:r>
    </w:p>
    <w:p w14:paraId="546627F8" w14:textId="77777777" w:rsidR="00DA1340" w:rsidRDefault="00DA1340" w:rsidP="00E707BB">
      <w:pPr>
        <w:pStyle w:val="a3"/>
        <w:spacing w:before="120"/>
        <w:jc w:val="both"/>
        <w:rPr>
          <w:sz w:val="24"/>
          <w:szCs w:val="24"/>
        </w:rPr>
      </w:pPr>
    </w:p>
    <w:p w14:paraId="6E182736" w14:textId="77777777" w:rsidR="00E707BB" w:rsidRDefault="00E707BB" w:rsidP="00E707BB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Анализ дебиторской и кредиторской задолженностей Комитета и его подведомственного учреждения на начало и конец 2018 года, ее структура и причин образования</w:t>
      </w:r>
    </w:p>
    <w:p w14:paraId="2FA545D1" w14:textId="77777777" w:rsidR="00E707BB" w:rsidRDefault="00E707BB" w:rsidP="00E707B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Анализ задолженностей Комитета приведен в таблице №1</w:t>
      </w:r>
    </w:p>
    <w:p w14:paraId="72743EDC" w14:textId="77777777" w:rsidR="00DA1340" w:rsidRDefault="00DA1340" w:rsidP="00E707B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C7940" w14:textId="77777777" w:rsidR="00DA1340" w:rsidRDefault="00DA1340" w:rsidP="00E707B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48BDA" w14:textId="77777777" w:rsidR="00E707BB" w:rsidRDefault="00E707BB" w:rsidP="00E707B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№1</w:t>
      </w:r>
    </w:p>
    <w:p w14:paraId="03D610ED" w14:textId="77777777" w:rsidR="00E707BB" w:rsidRDefault="00E707BB" w:rsidP="00E707BB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(тыс. руб.)</w:t>
      </w:r>
    </w:p>
    <w:tbl>
      <w:tblPr>
        <w:tblW w:w="9366" w:type="dxa"/>
        <w:tblInd w:w="98" w:type="dxa"/>
        <w:tblLook w:val="00A0" w:firstRow="1" w:lastRow="0" w:firstColumn="1" w:lastColumn="0" w:noHBand="0" w:noVBand="0"/>
      </w:tblPr>
      <w:tblGrid>
        <w:gridCol w:w="5397"/>
        <w:gridCol w:w="1984"/>
        <w:gridCol w:w="1985"/>
      </w:tblGrid>
      <w:tr w:rsidR="00E707BB" w14:paraId="13333AA8" w14:textId="77777777" w:rsidTr="0025654F">
        <w:trPr>
          <w:trHeight w:val="51"/>
        </w:trPr>
        <w:tc>
          <w:tcPr>
            <w:tcW w:w="5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08B2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8223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Бюджетная деятельность</w:t>
            </w:r>
          </w:p>
        </w:tc>
      </w:tr>
      <w:tr w:rsidR="00E707BB" w14:paraId="19C577EC" w14:textId="77777777" w:rsidTr="0025654F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EC84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7413F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 01.01.2018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D7B0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 01.01.2019</w:t>
            </w:r>
          </w:p>
        </w:tc>
      </w:tr>
      <w:tr w:rsidR="00E707BB" w14:paraId="5895264C" w14:textId="77777777" w:rsidTr="0025654F">
        <w:trPr>
          <w:trHeight w:val="5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4B50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Дебиторская задолженность,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06D7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4A96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1218,2</w:t>
            </w:r>
          </w:p>
        </w:tc>
      </w:tr>
      <w:tr w:rsidR="00E707BB" w14:paraId="5DB0B3FF" w14:textId="77777777" w:rsidTr="0025654F">
        <w:trPr>
          <w:trHeight w:val="96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0839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Расчеты по доходам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7203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A7F2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1185,4</w:t>
            </w:r>
          </w:p>
        </w:tc>
      </w:tr>
      <w:tr w:rsidR="00E707BB" w14:paraId="2304D20E" w14:textId="77777777" w:rsidTr="0025654F">
        <w:trPr>
          <w:trHeight w:val="5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299B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Расчеты по платежам в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15B3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2734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32,8</w:t>
            </w:r>
          </w:p>
        </w:tc>
      </w:tr>
      <w:tr w:rsidR="00E707BB" w14:paraId="513037CE" w14:textId="77777777" w:rsidTr="0025654F">
        <w:trPr>
          <w:trHeight w:val="5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269A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Кредиторская задолженность,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884F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990,4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188A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E707BB" w14:paraId="539A04C3" w14:textId="77777777" w:rsidTr="0025654F">
        <w:trPr>
          <w:trHeight w:val="5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B33A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Расчеты по принятым обязательствам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D864B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DD5D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E707BB" w14:paraId="3860400F" w14:textId="77777777" w:rsidTr="0025654F">
        <w:trPr>
          <w:trHeight w:val="5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8DB9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Расчеты по платежам в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C6BB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6A336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E707BB" w14:paraId="40256A74" w14:textId="77777777" w:rsidTr="0025654F">
        <w:trPr>
          <w:trHeight w:val="51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5970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Прочие расчеты с кредиторами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1FD4C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1DC1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E707BB" w14:paraId="41411078" w14:textId="77777777" w:rsidTr="0025654F">
        <w:trPr>
          <w:trHeight w:val="104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A8FF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3C12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430,1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34B6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</w:tbl>
    <w:p w14:paraId="7821B58A" w14:textId="77777777" w:rsidR="00E707BB" w:rsidRDefault="00E707BB" w:rsidP="00E707BB">
      <w:pPr>
        <w:spacing w:after="0" w:line="240" w:lineRule="auto"/>
        <w:ind w:firstLine="720"/>
        <w:jc w:val="both"/>
        <w:rPr>
          <w:rFonts w:ascii="Times New Roman" w:hAnsi="Times New Roman"/>
          <w:color w:val="365F91" w:themeColor="accent1" w:themeShade="BF"/>
          <w:sz w:val="24"/>
          <w:szCs w:val="24"/>
        </w:rPr>
      </w:pPr>
    </w:p>
    <w:p w14:paraId="403E6931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365F91" w:themeColor="accent1" w:themeShade="BF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Из приведенных в таблице №1 данных видно, что на 01.01.2019 дебиторская задолженность по бюджетной деятельности составила 1218,2 тыс. рублей. Основная часть задолженности образовалась в результате поступления в ноябре, декабре 2018 года новых постановлений об административных штрафах в отношении юридических лиц на 1010,5 тыс. руб., а также неоплаты административного штрафа в размере 100,0 тыс. руб. МБУ «ЖКХ Ворошиловского района г.Волгограда».</w:t>
      </w:r>
      <w:r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</w:t>
      </w:r>
    </w:p>
    <w:p w14:paraId="35565298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Кредиторская задолженность на 01.01.2019 у Комитета отсутствует. </w:t>
      </w:r>
    </w:p>
    <w:p w14:paraId="4BAB6A3C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Просроченные кредиторская и дебиторская задолженности на 01.01.2019 не числятся.</w:t>
      </w:r>
    </w:p>
    <w:p w14:paraId="0A17518C" w14:textId="77777777" w:rsidR="00E707BB" w:rsidRDefault="00E707BB" w:rsidP="00E707BB">
      <w:pPr>
        <w:spacing w:before="120" w:after="120" w:line="240" w:lineRule="auto"/>
        <w:ind w:firstLine="720"/>
        <w:jc w:val="center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</w:rPr>
        <w:t>Анализ исполнения Комитетом переданных полномочий</w:t>
      </w:r>
    </w:p>
    <w:p w14:paraId="3BA021DB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соответствии с п.1 ст.9.1 Федерального закона от 25.06.2002 №73-ФЗ «Об объектах культурного наследия (памятниках истории и культуры) народов Российской Федерации» (далее Закон №73-ФЗ) и п.2.2. </w:t>
      </w:r>
      <w:r w:rsidR="00F04F8D">
        <w:rPr>
          <w:rFonts w:ascii="Times New Roman" w:eastAsiaTheme="minorHAnsi" w:hAnsi="Times New Roman"/>
          <w:sz w:val="24"/>
          <w:szCs w:val="24"/>
        </w:rPr>
        <w:t>п</w:t>
      </w:r>
      <w:r>
        <w:rPr>
          <w:rFonts w:ascii="Times New Roman" w:eastAsiaTheme="minorHAnsi" w:hAnsi="Times New Roman"/>
          <w:sz w:val="24"/>
          <w:szCs w:val="24"/>
        </w:rPr>
        <w:t>остановления Администрации Волгоградской обл. от 19.12.2016 №697-п «Об утверждении Положения о комитете государственной охраны объектов культурного наследия Волгоградской области» Комитет осуществляет в отношении объектов культурного наследия (за исключением отдельных объектов культурного наследия, перечень которых устанавливается Прави</w:t>
      </w:r>
      <w:r w:rsidR="00F04F8D">
        <w:rPr>
          <w:rFonts w:ascii="Times New Roman" w:eastAsiaTheme="minorHAnsi" w:hAnsi="Times New Roman"/>
          <w:sz w:val="24"/>
          <w:szCs w:val="24"/>
        </w:rPr>
        <w:t>тельством Российской Федерации)</w:t>
      </w:r>
      <w:r>
        <w:rPr>
          <w:rFonts w:ascii="Times New Roman" w:eastAsiaTheme="minorHAnsi" w:hAnsi="Times New Roman"/>
          <w:sz w:val="24"/>
          <w:szCs w:val="24"/>
        </w:rPr>
        <w:t xml:space="preserve"> следующие полномочия, переданные Российской Федерацией в соответствии с действующим законодательством:</w:t>
      </w:r>
    </w:p>
    <w:p w14:paraId="093F98AB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государственную охрану объектов культурного наследия федерального значения в пределах своей компетенции;</w:t>
      </w:r>
    </w:p>
    <w:p w14:paraId="67D07DE2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федеральный государственный надзор в области охраны объектов культурного наследия.</w:t>
      </w:r>
    </w:p>
    <w:p w14:paraId="447A35EC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Согласно отчету об исполнении бюджета (ф.0503127) кассовый расход средств федерального бюджета составил 626,8 тыс. руб., или 98,2% от суммы бюджетных обязательств 638,0 тыс. рублей.</w:t>
      </w:r>
    </w:p>
    <w:p w14:paraId="1F736B04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Средства направлены на оплату труда и начисления на выплаты по оплате труда 3 сотрудникам Комитета.</w:t>
      </w:r>
    </w:p>
    <w:p w14:paraId="29DD287C" w14:textId="77777777" w:rsidR="00E707BB" w:rsidRDefault="00E707BB" w:rsidP="00E707BB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Анализ выполнения мероприятий государственных программ</w:t>
      </w:r>
    </w:p>
    <w:p w14:paraId="2466E115" w14:textId="77777777" w:rsidR="00E707BB" w:rsidRDefault="00E707BB" w:rsidP="00E707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2018 году Комитетом осуществлялась реализация мероприятий </w:t>
      </w:r>
      <w:r w:rsidR="00CF6B3B">
        <w:rPr>
          <w:rFonts w:ascii="Times New Roman" w:eastAsiaTheme="minorHAnsi" w:hAnsi="Times New Roman"/>
          <w:sz w:val="24"/>
          <w:szCs w:val="24"/>
        </w:rPr>
        <w:t>п</w:t>
      </w:r>
      <w:r w:rsidRPr="007E3B67">
        <w:rPr>
          <w:rFonts w:ascii="Times New Roman" w:eastAsiaTheme="minorHAnsi" w:hAnsi="Times New Roman"/>
          <w:sz w:val="24"/>
          <w:szCs w:val="24"/>
        </w:rPr>
        <w:t>одпрограммы</w:t>
      </w:r>
      <w:r>
        <w:rPr>
          <w:rFonts w:ascii="Times New Roman" w:eastAsiaTheme="minorHAnsi" w:hAnsi="Times New Roman"/>
          <w:sz w:val="24"/>
          <w:szCs w:val="24"/>
        </w:rPr>
        <w:t xml:space="preserve"> «Сохранение объектов культурного и исторического наследия, обеспечение доступа населения к культурным ценностям и информации» </w:t>
      </w:r>
      <w:r>
        <w:rPr>
          <w:rFonts w:ascii="Times New Roman" w:hAnsi="Times New Roman"/>
          <w:sz w:val="24"/>
          <w:szCs w:val="24"/>
        </w:rPr>
        <w:t>государственной программы Волгоградской области «Развитие культуры и туризма Волгоградской области», утвержденной постановлением Администраци</w:t>
      </w:r>
      <w:r w:rsidR="00CF6B3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Волгоградской области от 08.05.2015 №217-п (далее Подпрограмма, ГП Развитие культуры и туризма). </w:t>
      </w:r>
    </w:p>
    <w:p w14:paraId="19D5B9C6" w14:textId="77777777" w:rsidR="00E707BB" w:rsidRDefault="00E707BB" w:rsidP="00E707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ГП Развитие культуры и туризма </w:t>
      </w:r>
      <w:r>
        <w:rPr>
          <w:rFonts w:ascii="Times New Roman" w:eastAsiaTheme="minorHAnsi" w:hAnsi="Times New Roman"/>
          <w:sz w:val="24"/>
          <w:szCs w:val="24"/>
        </w:rPr>
        <w:t xml:space="preserve">на исполнение </w:t>
      </w:r>
      <w:r w:rsidRPr="00624564">
        <w:rPr>
          <w:rFonts w:ascii="Times New Roman" w:eastAsiaTheme="minorHAnsi" w:hAnsi="Times New Roman"/>
          <w:sz w:val="24"/>
          <w:szCs w:val="24"/>
        </w:rPr>
        <w:t>Подпрограммы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утвержден объем финансирования за счет областного бюджета </w:t>
      </w:r>
      <w:r w:rsidR="00CF6B3B">
        <w:rPr>
          <w:rFonts w:ascii="Times New Roman" w:hAnsi="Times New Roman"/>
          <w:sz w:val="24"/>
          <w:szCs w:val="24"/>
        </w:rPr>
        <w:t>в сумме</w:t>
      </w:r>
      <w:r>
        <w:rPr>
          <w:rFonts w:ascii="Times New Roman" w:hAnsi="Times New Roman"/>
          <w:sz w:val="24"/>
          <w:szCs w:val="24"/>
        </w:rPr>
        <w:t xml:space="preserve"> 12326,9 тыс. рублей. Законом об областном бюджете на 2018 год и на плановый период 2019 и 2020 годов на реализацию Подпрограммы предусмотрены бюджетные ассигнования в сумме 13676,9 </w:t>
      </w:r>
      <w:r>
        <w:rPr>
          <w:rFonts w:ascii="Times New Roman" w:hAnsi="Times New Roman"/>
          <w:sz w:val="24"/>
          <w:szCs w:val="24"/>
        </w:rPr>
        <w:lastRenderedPageBreak/>
        <w:t>тыс. руб., что на 1350,0 тыс. руб., или 11,0% больше</w:t>
      </w:r>
      <w:r w:rsidR="00A475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чем утверждено ГП Развитие культуры и туризма.</w:t>
      </w:r>
    </w:p>
    <w:p w14:paraId="37449DEC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Данный факт является нарушением п.4.3 </w:t>
      </w:r>
      <w:r>
        <w:rPr>
          <w:rFonts w:ascii="Times New Roman" w:hAnsi="Times New Roman"/>
          <w:sz w:val="24"/>
          <w:szCs w:val="24"/>
        </w:rPr>
        <w:t xml:space="preserve">Постановления Правительства Волгоградской области от 27.08.2013 №423-п «Об утверждении Порядка разработки, реализации и оценки эффективности реализации государственных программ Волгоградской области», согласно которому </w:t>
      </w:r>
      <w:r>
        <w:rPr>
          <w:rFonts w:ascii="Times New Roman" w:eastAsiaTheme="minorHAnsi" w:hAnsi="Times New Roman"/>
          <w:sz w:val="24"/>
          <w:szCs w:val="24"/>
        </w:rPr>
        <w:t>государственные программы подлежат приведению в соответствие с законом об областном бюджете на очередной финансовый год и на плановый период не позднее трех месяцев со дня вступления его в силу и в части текущего финансового года не позднее 31 декабря текущего года при внесении изменений в закон об областном бюджете на текущий финансовый год и на плановый период.</w:t>
      </w:r>
    </w:p>
    <w:p w14:paraId="5E6B3B07" w14:textId="77777777" w:rsidR="00E707BB" w:rsidRDefault="00E707BB" w:rsidP="00E707BB">
      <w:pPr>
        <w:pStyle w:val="a7"/>
        <w:spacing w:line="283" w:lineRule="exact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Следует отметить, что Комитетом в </w:t>
      </w:r>
      <w:r w:rsidR="00A4759E">
        <w:rPr>
          <w:rFonts w:ascii="Times New Roman" w:eastAsiaTheme="minorHAnsi" w:hAnsi="Times New Roman"/>
          <w:sz w:val="24"/>
          <w:szCs w:val="24"/>
        </w:rPr>
        <w:t>к</w:t>
      </w:r>
      <w:r>
        <w:rPr>
          <w:rFonts w:ascii="Times New Roman" w:eastAsiaTheme="minorHAnsi" w:hAnsi="Times New Roman"/>
          <w:sz w:val="24"/>
          <w:szCs w:val="24"/>
        </w:rPr>
        <w:t xml:space="preserve">омитет культуры Волгоградской области, как ответственному исполнителю </w:t>
      </w:r>
      <w:r>
        <w:rPr>
          <w:rFonts w:ascii="Times New Roman" w:hAnsi="Times New Roman"/>
          <w:sz w:val="24"/>
          <w:szCs w:val="24"/>
        </w:rPr>
        <w:t>ГП Развитие культуры и туризма</w:t>
      </w:r>
      <w:r>
        <w:rPr>
          <w:rFonts w:ascii="Times New Roman" w:eastAsiaTheme="minorHAnsi" w:hAnsi="Times New Roman"/>
          <w:sz w:val="24"/>
          <w:szCs w:val="24"/>
        </w:rPr>
        <w:t xml:space="preserve">,  направлено письмо от 10.12.2018 №53-03-08/485 о внесении изменений в </w:t>
      </w:r>
      <w:r>
        <w:rPr>
          <w:rFonts w:ascii="Times New Roman" w:hAnsi="Times New Roman"/>
          <w:sz w:val="24"/>
          <w:szCs w:val="24"/>
        </w:rPr>
        <w:t xml:space="preserve">ГП Развитие культуры и туризма, в том числе в части приведения объемов финансирования в соответствие с Законом о бюджете на 2018 год и на плановый период 2019 и 2020 годов. </w:t>
      </w:r>
      <w:r w:rsidR="00A4759E">
        <w:rPr>
          <w:rFonts w:ascii="Times New Roman" w:hAnsi="Times New Roman"/>
          <w:sz w:val="24"/>
          <w:szCs w:val="24"/>
        </w:rPr>
        <w:t>Однако до 31.12.2018, с</w:t>
      </w:r>
      <w:r>
        <w:rPr>
          <w:rFonts w:ascii="Times New Roman" w:hAnsi="Times New Roman"/>
          <w:sz w:val="24"/>
          <w:szCs w:val="24"/>
        </w:rPr>
        <w:t>оответствующие изменени</w:t>
      </w:r>
      <w:r w:rsidR="00A4759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в ГП Развитие культуры и туризма внесен</w:t>
      </w:r>
      <w:r w:rsidR="00A4759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не был</w:t>
      </w:r>
      <w:r w:rsidR="00A4759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52C462A5" w14:textId="77777777" w:rsidR="00E707BB" w:rsidRDefault="00E707BB" w:rsidP="00E707B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Бюджетной росписью Комитет</w:t>
      </w:r>
      <w:r w:rsidR="00A14DCD">
        <w:rPr>
          <w:rFonts w:ascii="Times New Roman" w:eastAsiaTheme="minorHAnsi" w:hAnsi="Times New Roman"/>
          <w:sz w:val="24"/>
          <w:szCs w:val="24"/>
        </w:rPr>
        <w:t>у</w:t>
      </w:r>
      <w:r>
        <w:rPr>
          <w:rFonts w:ascii="Times New Roman" w:eastAsiaTheme="minorHAnsi" w:hAnsi="Times New Roman"/>
          <w:sz w:val="24"/>
          <w:szCs w:val="24"/>
        </w:rPr>
        <w:t xml:space="preserve"> утверждены ассигнования</w:t>
      </w:r>
      <w:r w:rsidR="00A14DCD">
        <w:rPr>
          <w:rFonts w:ascii="Times New Roman" w:eastAsiaTheme="minorHAnsi" w:hAnsi="Times New Roman"/>
          <w:sz w:val="24"/>
          <w:szCs w:val="24"/>
        </w:rPr>
        <w:t xml:space="preserve"> на реализацию Подпрограммы</w:t>
      </w:r>
      <w:r>
        <w:rPr>
          <w:rFonts w:ascii="Times New Roman" w:eastAsiaTheme="minorHAnsi" w:hAnsi="Times New Roman"/>
          <w:sz w:val="24"/>
          <w:szCs w:val="24"/>
        </w:rPr>
        <w:t xml:space="preserve"> в размере 14165,1 тыс. рублей. Лимиты бюджетных обязательств доведены в размере 13032,1 тыс. рублей.</w:t>
      </w:r>
    </w:p>
    <w:p w14:paraId="53092B62" w14:textId="77777777" w:rsidR="00E707BB" w:rsidRDefault="00E707BB" w:rsidP="00E707BB">
      <w:pPr>
        <w:pStyle w:val="2"/>
        <w:spacing w:after="0" w:line="240" w:lineRule="auto"/>
        <w:ind w:firstLine="709"/>
        <w:jc w:val="both"/>
      </w:pPr>
      <w:r>
        <w:rPr>
          <w:rFonts w:eastAsiaTheme="minorHAnsi"/>
          <w:lang w:eastAsia="en-US"/>
        </w:rPr>
        <w:t>Кассовые расходы по программе составили 13031,1 тыс. руб., или 92,0% от</w:t>
      </w:r>
      <w:r>
        <w:t xml:space="preserve"> расходов, предусмотренных бюджетной росписью. </w:t>
      </w:r>
    </w:p>
    <w:p w14:paraId="21D22778" w14:textId="77777777" w:rsidR="00E707BB" w:rsidRDefault="00E707BB" w:rsidP="00E707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Причиной неисполнения бюджетных назначений в рамках реализации </w:t>
      </w:r>
      <w:r w:rsidR="00A14DCD">
        <w:rPr>
          <w:rFonts w:ascii="Times New Roman" w:hAnsi="Times New Roman"/>
          <w:sz w:val="24"/>
          <w:szCs w:val="24"/>
        </w:rPr>
        <w:t>Подпрограммы</w:t>
      </w:r>
      <w:r>
        <w:rPr>
          <w:rFonts w:ascii="Times New Roman" w:hAnsi="Times New Roman"/>
          <w:sz w:val="24"/>
          <w:szCs w:val="24"/>
        </w:rPr>
        <w:t xml:space="preserve"> в 2018 году послужило уменьшение Комитетом финансов лимитов бюджетных обязательств.</w:t>
      </w:r>
    </w:p>
    <w:p w14:paraId="1640EA68" w14:textId="77777777" w:rsidR="00E707BB" w:rsidRDefault="00E707BB" w:rsidP="00E70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«Обеспечение сохранности и использования объектов культурного наследия» выполнено в полном объеме, мероприятия проведены на 238 объектах культурного наследия.</w:t>
      </w:r>
    </w:p>
    <w:p w14:paraId="536D5A04" w14:textId="77777777" w:rsidR="00E707BB" w:rsidRDefault="00E707BB" w:rsidP="00E707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Информация о достижении показателей реализации </w:t>
      </w:r>
      <w:r w:rsidR="00E54938">
        <w:rPr>
          <w:rFonts w:ascii="Times New Roman" w:hAnsi="Times New Roman"/>
          <w:sz w:val="24"/>
          <w:szCs w:val="24"/>
          <w:lang w:eastAsia="ru-RU"/>
        </w:rPr>
        <w:t>Под</w:t>
      </w:r>
      <w:r>
        <w:rPr>
          <w:rFonts w:ascii="Times New Roman" w:hAnsi="Times New Roman"/>
          <w:sz w:val="24"/>
          <w:szCs w:val="24"/>
          <w:lang w:eastAsia="ru-RU"/>
        </w:rPr>
        <w:t>программы приведена в таблице №2.</w:t>
      </w:r>
    </w:p>
    <w:p w14:paraId="25233B2C" w14:textId="77777777" w:rsidR="00E707BB" w:rsidRDefault="00E707BB" w:rsidP="00E707B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№2</w:t>
      </w:r>
    </w:p>
    <w:tbl>
      <w:tblPr>
        <w:tblW w:w="937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20"/>
        <w:gridCol w:w="4599"/>
        <w:gridCol w:w="1561"/>
        <w:gridCol w:w="1276"/>
        <w:gridCol w:w="1419"/>
      </w:tblGrid>
      <w:tr w:rsidR="00E707BB" w14:paraId="06E6F71E" w14:textId="77777777" w:rsidTr="0025654F">
        <w:trPr>
          <w:trHeight w:val="76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1DA27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AFBD7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Целевой показатель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(наименование)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C0947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5C95AD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целевых показателей государственной программы</w:t>
            </w:r>
          </w:p>
        </w:tc>
      </w:tr>
      <w:tr w:rsidR="00E707BB" w14:paraId="7A4747E8" w14:textId="77777777" w:rsidTr="0025654F">
        <w:trPr>
          <w:trHeight w:val="13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607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9A39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43F7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B82A9A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отчетный год</w:t>
            </w:r>
          </w:p>
        </w:tc>
      </w:tr>
      <w:tr w:rsidR="00E707BB" w14:paraId="1227CEE3" w14:textId="77777777" w:rsidTr="0025654F">
        <w:trPr>
          <w:trHeight w:val="8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9A20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876E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5D94" w14:textId="77777777" w:rsidR="00E707BB" w:rsidRDefault="00E707BB" w:rsidP="00256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DCFB5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61D88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E707BB" w14:paraId="77CC3B3C" w14:textId="77777777" w:rsidTr="0025654F">
        <w:trPr>
          <w:trHeight w:val="1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8A446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2C1AF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CD2F84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4A5BC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6DB69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E707BB" w14:paraId="18BB7A61" w14:textId="77777777" w:rsidTr="0025654F">
        <w:trPr>
          <w:trHeight w:val="9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962CE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07C57" w14:textId="77777777" w:rsidR="00E707BB" w:rsidRDefault="00E707BB" w:rsidP="00256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Доля объектов культурного наследия (памятников истории и культуры) с утвержденным предметом охраны от общего количества объектов культурного наследия, расположенных на территории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EC0B0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30AC8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019B9C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40,1</w:t>
            </w:r>
          </w:p>
        </w:tc>
      </w:tr>
      <w:tr w:rsidR="00E707BB" w14:paraId="2FD9970B" w14:textId="77777777" w:rsidTr="0025654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529262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6ADD0" w14:textId="77777777" w:rsidR="00E707BB" w:rsidRDefault="00E707BB" w:rsidP="00256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Доля объектов культурного наследия (памятников истории и культуры) с установленными границами территории от общего количества объектов культурного наследия, расположенных на территории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6FA47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BC36FB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61613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E707BB" w14:paraId="77DEAB36" w14:textId="77777777" w:rsidTr="0025654F">
        <w:trPr>
          <w:trHeight w:val="8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84470E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B78E" w14:textId="77777777" w:rsidR="00E707BB" w:rsidRDefault="00E707BB" w:rsidP="00256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Доля объектов культурного наследия (памятников истории и культуры) с утвержденными охранными обязательствами от общего количества объектов культурного наследия, расположенных на территории Волгоградской области, требующих обеспечения охранными обязательствами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CA9C4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697C53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357DD" w14:textId="77777777" w:rsidR="00E707BB" w:rsidRDefault="00E707BB" w:rsidP="00256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1,4</w:t>
            </w:r>
          </w:p>
        </w:tc>
      </w:tr>
    </w:tbl>
    <w:p w14:paraId="345B2AC2" w14:textId="77777777" w:rsidR="00E707BB" w:rsidRDefault="00E707BB" w:rsidP="00E707B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следует из Таблицы №2, в 2018 году целевые показатели достигнуты в полном объеме. </w:t>
      </w:r>
    </w:p>
    <w:p w14:paraId="28841CEF" w14:textId="77777777" w:rsidR="00E707BB" w:rsidRDefault="00E707BB" w:rsidP="00E707BB">
      <w:pPr>
        <w:tabs>
          <w:tab w:val="left" w:pos="993"/>
        </w:tabs>
        <w:autoSpaceDE w:val="0"/>
        <w:autoSpaceDN w:val="0"/>
        <w:adjustRightInd w:val="0"/>
        <w:spacing w:before="120" w:after="120"/>
        <w:ind w:left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Состояние внутреннего финансового контроля и аудита, выполнение плана, результаты</w:t>
      </w:r>
    </w:p>
    <w:p w14:paraId="6F56C919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данным в таблице № 5 к Пояснительной записке «Сведения о результатах мероприятий внутреннего государственного (муниципального) финансового контроля» в 2018 году Комитетом финансов проведена плановая выездная проверка по вопросу соблюдения законодательства при формировании и исполнении государственного задания государственных учреждений, подведомственных органам исполнительной власти Волгоградской области, а также целевого и эффективного использования бюджетных средств государственными учреждениями за 2017 год. </w:t>
      </w:r>
    </w:p>
    <w:p w14:paraId="6F6DC0D6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данной проверки </w:t>
      </w:r>
      <w:r w:rsidR="0011077D">
        <w:rPr>
          <w:rFonts w:ascii="Times New Roman" w:hAnsi="Times New Roman"/>
          <w:sz w:val="24"/>
          <w:szCs w:val="24"/>
        </w:rPr>
        <w:t xml:space="preserve">в Комитете </w:t>
      </w:r>
      <w:r>
        <w:rPr>
          <w:rFonts w:ascii="Times New Roman" w:hAnsi="Times New Roman"/>
          <w:sz w:val="24"/>
          <w:szCs w:val="24"/>
        </w:rPr>
        <w:t>выявлено нарушение п.35 Положения о формировании государственного задания на оказание государственных услуг (выполнение работ) в отношении государственных учреждений Волгоградской области и финансовом обеспечении выполнения государственного задания, утвержденного постановлением Администрации Волгоградской области от 30.12.2015 №818-п</w:t>
      </w:r>
      <w:r w:rsidR="001107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 уменьшения объема субсидии на выполнение государственного задания без соответствующего изменения показателей государственного задания. </w:t>
      </w:r>
    </w:p>
    <w:p w14:paraId="608BBC37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проверки в Комитете проведена служебная проверка, по результатам которой принято решение усилить контроль за выполнением государственного задания. </w:t>
      </w:r>
    </w:p>
    <w:p w14:paraId="6BC0682A" w14:textId="77777777" w:rsidR="00E707BB" w:rsidRDefault="00E707BB" w:rsidP="00E707BB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таблице №7 к Пояснительной записке «Сведения о результатах внешнего государственного (муниципального) финансового контроля» отражен</w:t>
      </w:r>
      <w:r w:rsidR="00930499">
        <w:rPr>
          <w:rFonts w:ascii="Times New Roman" w:hAnsi="Times New Roman"/>
          <w:sz w:val="24"/>
          <w:szCs w:val="24"/>
        </w:rPr>
        <w:t>ы сведения о</w:t>
      </w:r>
      <w:r>
        <w:rPr>
          <w:rFonts w:ascii="Times New Roman" w:hAnsi="Times New Roman"/>
          <w:sz w:val="24"/>
          <w:szCs w:val="24"/>
        </w:rPr>
        <w:t xml:space="preserve"> проверк</w:t>
      </w:r>
      <w:r w:rsidR="0093049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проведенн</w:t>
      </w:r>
      <w:r w:rsidR="00930499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КСП (камеральная проверка бюджетной отчетности  и отдельных вопросов</w:t>
      </w:r>
      <w:r w:rsidR="005C5854">
        <w:rPr>
          <w:rFonts w:ascii="Times New Roman" w:hAnsi="Times New Roman"/>
          <w:sz w:val="24"/>
          <w:szCs w:val="24"/>
        </w:rPr>
        <w:t xml:space="preserve"> исполнения бюджета</w:t>
      </w:r>
      <w:r>
        <w:rPr>
          <w:rFonts w:ascii="Times New Roman" w:hAnsi="Times New Roman"/>
          <w:sz w:val="24"/>
          <w:szCs w:val="24"/>
        </w:rPr>
        <w:t xml:space="preserve"> за 2017 год). </w:t>
      </w:r>
    </w:p>
    <w:p w14:paraId="4F68F976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проверки Комитетом руководителю Центра бюджетного учета и отчетности направлено письмо от 11.04.2018 №53-03-44/153 о необходимости строгого соблюдения требований Инструкции №191н при </w:t>
      </w:r>
      <w:r w:rsidRPr="0030480B">
        <w:rPr>
          <w:rFonts w:ascii="Times New Roman" w:hAnsi="Times New Roman"/>
          <w:sz w:val="24"/>
          <w:szCs w:val="24"/>
        </w:rPr>
        <w:t>заполнении формы годо</w:t>
      </w:r>
      <w:r>
        <w:rPr>
          <w:rFonts w:ascii="Times New Roman" w:hAnsi="Times New Roman"/>
          <w:sz w:val="24"/>
          <w:szCs w:val="24"/>
        </w:rPr>
        <w:t>вой бюджетной отчетности, а также исполнен</w:t>
      </w:r>
      <w:r w:rsidR="005C585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предложение КСП о внесении </w:t>
      </w:r>
      <w:r w:rsidRPr="0030480B">
        <w:rPr>
          <w:rFonts w:ascii="Times New Roman" w:hAnsi="Times New Roman"/>
          <w:sz w:val="24"/>
          <w:szCs w:val="24"/>
        </w:rPr>
        <w:t>изменени</w:t>
      </w:r>
      <w:r>
        <w:rPr>
          <w:rFonts w:ascii="Times New Roman" w:hAnsi="Times New Roman"/>
          <w:sz w:val="24"/>
          <w:szCs w:val="24"/>
        </w:rPr>
        <w:t>й</w:t>
      </w:r>
      <w:r w:rsidRPr="0030480B">
        <w:rPr>
          <w:rFonts w:ascii="Times New Roman" w:hAnsi="Times New Roman"/>
          <w:sz w:val="24"/>
          <w:szCs w:val="24"/>
        </w:rPr>
        <w:t xml:space="preserve"> в ГП Развитие культуры и туризма в части взаимоувязки реализуемых мероприятий с целевыми показателями</w:t>
      </w:r>
      <w:r w:rsidRPr="00B66BD5">
        <w:rPr>
          <w:rFonts w:ascii="Times New Roman" w:hAnsi="Times New Roman"/>
          <w:sz w:val="24"/>
          <w:szCs w:val="24"/>
        </w:rPr>
        <w:t xml:space="preserve"> реализации государственной программы</w:t>
      </w:r>
      <w:r>
        <w:rPr>
          <w:rFonts w:ascii="Times New Roman" w:hAnsi="Times New Roman"/>
          <w:sz w:val="24"/>
          <w:szCs w:val="24"/>
        </w:rPr>
        <w:t>.</w:t>
      </w:r>
    </w:p>
    <w:p w14:paraId="0936F46B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отчетом о результатах внутреннего финансового контроля по итогам контрольных действий нарушений и недостатков не </w:t>
      </w:r>
      <w:r w:rsidR="005C5854">
        <w:rPr>
          <w:rFonts w:ascii="Times New Roman" w:hAnsi="Times New Roman"/>
          <w:sz w:val="24"/>
          <w:szCs w:val="24"/>
        </w:rPr>
        <w:t>установлено</w:t>
      </w:r>
      <w:r>
        <w:rPr>
          <w:rFonts w:ascii="Times New Roman" w:hAnsi="Times New Roman"/>
          <w:sz w:val="24"/>
          <w:szCs w:val="24"/>
        </w:rPr>
        <w:t>.</w:t>
      </w:r>
    </w:p>
    <w:p w14:paraId="1C4B6A77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внутреннего финансового аудита Комитета утвержден 24.11.2017 и исполнен на 100% (проведено 3 запланированных мероприятий). При проведении внутреннего финансового аудита суммовых нарушений не установлено.  </w:t>
      </w:r>
    </w:p>
    <w:p w14:paraId="1440168C" w14:textId="77777777" w:rsidR="00E707BB" w:rsidRDefault="00E707BB" w:rsidP="00E7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(Приложение № </w:t>
      </w:r>
      <w:r w:rsidR="008744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- Информация о состоянии внутреннего финансового аудита).</w:t>
      </w:r>
    </w:p>
    <w:p w14:paraId="79ADBEFD" w14:textId="77777777" w:rsidR="00E707BB" w:rsidRDefault="00E707BB" w:rsidP="00E707BB">
      <w:pPr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14:paraId="1984F0B7" w14:textId="77777777" w:rsidR="00E707BB" w:rsidRDefault="00E707BB" w:rsidP="00E707B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За 2018 год расходы Комитета исполнены на 39102,4 тыс. руб., или на 94,2% от утвержденных бюджетной росписью назначений.</w:t>
      </w:r>
    </w:p>
    <w:p w14:paraId="1C135940" w14:textId="77777777" w:rsidR="00E707BB" w:rsidRDefault="00E707BB" w:rsidP="00E707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eastAsiaTheme="minorHAnsi" w:hAnsi="Times New Roman"/>
          <w:sz w:val="24"/>
          <w:szCs w:val="24"/>
        </w:rPr>
        <w:t xml:space="preserve"> В нарушение п.4.3 </w:t>
      </w:r>
      <w:r w:rsidR="00B23E9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остановления Правительства Волгоградской области от 27.08.2013 №423-п «Об утверждении Порядка разработки, реализации и оценки эффективности реализации государственных программ Волгоградской области» </w:t>
      </w:r>
      <w:r w:rsidR="00B1620B">
        <w:rPr>
          <w:rFonts w:ascii="Times New Roman" w:eastAsiaTheme="minorHAnsi" w:hAnsi="Times New Roman"/>
          <w:sz w:val="24"/>
          <w:szCs w:val="24"/>
        </w:rPr>
        <w:t>к</w:t>
      </w:r>
      <w:r w:rsidR="00B23E94">
        <w:rPr>
          <w:rFonts w:ascii="Times New Roman" w:eastAsiaTheme="minorHAnsi" w:hAnsi="Times New Roman"/>
          <w:sz w:val="24"/>
          <w:szCs w:val="24"/>
        </w:rPr>
        <w:t>омитетом культуры Волгоградской области</w:t>
      </w:r>
      <w:r w:rsidR="00B23E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ГП Развитие культуры и туризма не приведена в соответствие с Законом об областном бюджете на 2018 год и на плановый период 2019 и 2020 годов</w:t>
      </w:r>
      <w:r w:rsidR="00F83B35">
        <w:rPr>
          <w:rFonts w:ascii="Times New Roman" w:hAnsi="Times New Roman"/>
          <w:sz w:val="24"/>
          <w:szCs w:val="24"/>
        </w:rPr>
        <w:t xml:space="preserve"> до 31.12.2018</w:t>
      </w:r>
      <w:r>
        <w:rPr>
          <w:rFonts w:ascii="Times New Roman" w:hAnsi="Times New Roman"/>
          <w:sz w:val="24"/>
          <w:szCs w:val="24"/>
        </w:rPr>
        <w:t>.</w:t>
      </w:r>
    </w:p>
    <w:p w14:paraId="2D53ABA4" w14:textId="77777777" w:rsidR="00E707BB" w:rsidRDefault="00E707BB" w:rsidP="00E707B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EC7FAD" w14:textId="77777777" w:rsidR="00E707BB" w:rsidRDefault="00E707BB" w:rsidP="00E707B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EB0C87" w14:textId="77777777" w:rsidR="00E707BB" w:rsidRDefault="00E707BB" w:rsidP="00E707B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4C7A78" w14:textId="77777777" w:rsidR="00E707BB" w:rsidRDefault="00E707BB" w:rsidP="00E707B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034F4C" w14:textId="77777777" w:rsidR="00E707BB" w:rsidRDefault="00E707BB" w:rsidP="00E707BB">
      <w:pPr>
        <w:tabs>
          <w:tab w:val="left" w:pos="0"/>
        </w:tabs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                                                                                      М.Е. Татаринцев</w:t>
      </w:r>
    </w:p>
    <w:sectPr w:rsidR="00E707BB" w:rsidSect="00DA1340">
      <w:headerReference w:type="default" r:id="rId6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084F" w14:textId="77777777" w:rsidR="00CA0757" w:rsidRDefault="00CA0757">
      <w:pPr>
        <w:spacing w:after="0" w:line="240" w:lineRule="auto"/>
      </w:pPr>
      <w:r>
        <w:separator/>
      </w:r>
    </w:p>
  </w:endnote>
  <w:endnote w:type="continuationSeparator" w:id="0">
    <w:p w14:paraId="11B731F3" w14:textId="77777777" w:rsidR="00CA0757" w:rsidRDefault="00CA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84FE6" w14:textId="77777777" w:rsidR="00CA0757" w:rsidRDefault="00CA0757">
      <w:pPr>
        <w:spacing w:after="0" w:line="240" w:lineRule="auto"/>
      </w:pPr>
      <w:r>
        <w:separator/>
      </w:r>
    </w:p>
  </w:footnote>
  <w:footnote w:type="continuationSeparator" w:id="0">
    <w:p w14:paraId="71774944" w14:textId="77777777" w:rsidR="00CA0757" w:rsidRDefault="00CA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68178"/>
      <w:docPartObj>
        <w:docPartGallery w:val="Page Numbers (Top of Page)"/>
        <w:docPartUnique/>
      </w:docPartObj>
    </w:sdtPr>
    <w:sdtEndPr/>
    <w:sdtContent>
      <w:p w14:paraId="2362D0E7" w14:textId="77777777" w:rsidR="00F635BC" w:rsidRDefault="00B1620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0F4F1F5" w14:textId="77777777" w:rsidR="00F635BC" w:rsidRDefault="00CA075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7BB"/>
    <w:rsid w:val="000B1A7F"/>
    <w:rsid w:val="0011077D"/>
    <w:rsid w:val="0027501F"/>
    <w:rsid w:val="002D2A2C"/>
    <w:rsid w:val="00426752"/>
    <w:rsid w:val="004A2FF3"/>
    <w:rsid w:val="005C5854"/>
    <w:rsid w:val="006D4906"/>
    <w:rsid w:val="006E3358"/>
    <w:rsid w:val="0082391E"/>
    <w:rsid w:val="008744CF"/>
    <w:rsid w:val="008D7462"/>
    <w:rsid w:val="00901758"/>
    <w:rsid w:val="00930499"/>
    <w:rsid w:val="00973ACD"/>
    <w:rsid w:val="00A14DCD"/>
    <w:rsid w:val="00A4759E"/>
    <w:rsid w:val="00A83752"/>
    <w:rsid w:val="00B1620B"/>
    <w:rsid w:val="00B23BD5"/>
    <w:rsid w:val="00B23E94"/>
    <w:rsid w:val="00CA0757"/>
    <w:rsid w:val="00CF6B3B"/>
    <w:rsid w:val="00D93C8E"/>
    <w:rsid w:val="00DA1340"/>
    <w:rsid w:val="00E54938"/>
    <w:rsid w:val="00E707BB"/>
    <w:rsid w:val="00EF396F"/>
    <w:rsid w:val="00F044BC"/>
    <w:rsid w:val="00F04F8D"/>
    <w:rsid w:val="00F32380"/>
    <w:rsid w:val="00F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A172"/>
  <w15:docId w15:val="{3EABECC5-211F-41FF-B5BF-1AAC332A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07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E70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707B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E707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E707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707BB"/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semiHidden/>
    <w:unhideWhenUsed/>
    <w:rsid w:val="00E707BB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707B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707BB"/>
    <w:pPr>
      <w:spacing w:after="120" w:line="48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707B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E707B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70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07B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Варибрус</dc:creator>
  <cp:lastModifiedBy>HP Inc.</cp:lastModifiedBy>
  <cp:revision>28</cp:revision>
  <cp:lastPrinted>2019-03-19T10:30:00Z</cp:lastPrinted>
  <dcterms:created xsi:type="dcterms:W3CDTF">2019-03-19T08:37:00Z</dcterms:created>
  <dcterms:modified xsi:type="dcterms:W3CDTF">2020-02-03T07:22:00Z</dcterms:modified>
</cp:coreProperties>
</file>