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EB" w:rsidRPr="00B233B8" w:rsidRDefault="009439EB" w:rsidP="009439EB">
      <w:pPr>
        <w:ind w:left="1551" w:firstLine="5253"/>
        <w:jc w:val="right"/>
        <w:rPr>
          <w:bCs/>
        </w:rPr>
      </w:pPr>
      <w:r w:rsidRPr="00B233B8">
        <w:rPr>
          <w:bCs/>
        </w:rPr>
        <w:t>УТВЕРЖД</w:t>
      </w:r>
      <w:r w:rsidR="000D4A70">
        <w:rPr>
          <w:bCs/>
        </w:rPr>
        <w:t>Е</w:t>
      </w:r>
      <w:r w:rsidRPr="00B233B8">
        <w:rPr>
          <w:bCs/>
        </w:rPr>
        <w:t xml:space="preserve">Н </w:t>
      </w:r>
    </w:p>
    <w:p w:rsidR="008C2DB4" w:rsidRDefault="008C2DB4" w:rsidP="008C2DB4">
      <w:pPr>
        <w:pStyle w:val="a4"/>
        <w:tabs>
          <w:tab w:val="left" w:pos="180"/>
          <w:tab w:val="left" w:pos="360"/>
        </w:tabs>
        <w:spacing w:after="0"/>
        <w:jc w:val="center"/>
      </w:pPr>
      <w:r>
        <w:tab/>
      </w:r>
      <w:r>
        <w:tab/>
      </w:r>
      <w:r>
        <w:tab/>
      </w:r>
      <w:r>
        <w:tab/>
      </w:r>
      <w:r>
        <w:tab/>
      </w:r>
      <w:r>
        <w:tab/>
      </w:r>
      <w:r>
        <w:tab/>
      </w:r>
      <w:r>
        <w:tab/>
      </w:r>
      <w:r>
        <w:tab/>
        <w:t xml:space="preserve">       председатель</w:t>
      </w:r>
      <w:r w:rsidRPr="00873802">
        <w:t xml:space="preserve"> </w:t>
      </w:r>
      <w:proofErr w:type="gramStart"/>
      <w:r w:rsidRPr="00873802">
        <w:t>контрольно-счетной</w:t>
      </w:r>
      <w:proofErr w:type="gramEnd"/>
      <w:r w:rsidRPr="00873802">
        <w:t xml:space="preserve"> </w:t>
      </w:r>
      <w:r>
        <w:t xml:space="preserve">         </w:t>
      </w:r>
    </w:p>
    <w:p w:rsidR="008C2DB4" w:rsidRDefault="008C2DB4" w:rsidP="008C2DB4">
      <w:pPr>
        <w:pStyle w:val="a4"/>
        <w:tabs>
          <w:tab w:val="left" w:pos="180"/>
          <w:tab w:val="left" w:pos="360"/>
        </w:tabs>
        <w:spacing w:after="0"/>
        <w:jc w:val="center"/>
      </w:pPr>
      <w:r>
        <w:tab/>
      </w:r>
      <w:r>
        <w:tab/>
      </w:r>
      <w:r>
        <w:tab/>
      </w:r>
      <w:r>
        <w:tab/>
      </w:r>
      <w:r>
        <w:tab/>
      </w:r>
      <w:r>
        <w:tab/>
      </w:r>
      <w:r>
        <w:tab/>
      </w:r>
      <w:r>
        <w:tab/>
        <w:t xml:space="preserve">              </w:t>
      </w:r>
      <w:r w:rsidRPr="00873802">
        <w:t>палаты Волгоградской области</w:t>
      </w:r>
    </w:p>
    <w:p w:rsidR="008C2DB4" w:rsidRPr="002534CF" w:rsidRDefault="008C2DB4" w:rsidP="008C2DB4">
      <w:pPr>
        <w:pStyle w:val="a4"/>
        <w:tabs>
          <w:tab w:val="left" w:pos="180"/>
          <w:tab w:val="left" w:pos="360"/>
        </w:tabs>
        <w:spacing w:after="0"/>
        <w:jc w:val="center"/>
      </w:pPr>
      <w:r>
        <w:tab/>
      </w:r>
      <w:r>
        <w:tab/>
      </w:r>
      <w:r>
        <w:tab/>
        <w:t xml:space="preserve">     </w:t>
      </w:r>
      <w:r>
        <w:tab/>
      </w:r>
      <w:r>
        <w:tab/>
      </w:r>
      <w:r>
        <w:tab/>
      </w:r>
      <w:r>
        <w:tab/>
      </w:r>
      <w:r>
        <w:tab/>
        <w:t xml:space="preserve">                   ________________ И.А. Дьяченко</w:t>
      </w:r>
    </w:p>
    <w:p w:rsidR="008C2DB4" w:rsidRDefault="008C2DB4" w:rsidP="008C2DB4">
      <w:pPr>
        <w:pStyle w:val="a4"/>
        <w:tabs>
          <w:tab w:val="left" w:pos="180"/>
          <w:tab w:val="left" w:pos="360"/>
        </w:tabs>
        <w:spacing w:after="0"/>
        <w:jc w:val="center"/>
      </w:pPr>
      <w:r>
        <w:t xml:space="preserve">                                                                      </w:t>
      </w:r>
      <w:r>
        <w:tab/>
        <w:t>«</w:t>
      </w:r>
      <w:r w:rsidR="00ED1D22">
        <w:t>25</w:t>
      </w:r>
      <w:r>
        <w:t>» сентября</w:t>
      </w:r>
      <w:r w:rsidRPr="00873802">
        <w:t xml:space="preserve">  201</w:t>
      </w:r>
      <w:r>
        <w:t>8</w:t>
      </w:r>
      <w:r w:rsidRPr="00873802">
        <w:t xml:space="preserve"> года </w:t>
      </w:r>
    </w:p>
    <w:p w:rsidR="009439EB" w:rsidRPr="009439EB" w:rsidRDefault="009439EB" w:rsidP="009439EB">
      <w:pPr>
        <w:ind w:firstLine="5529"/>
        <w:jc w:val="right"/>
        <w:rPr>
          <w:bCs/>
        </w:rPr>
      </w:pPr>
    </w:p>
    <w:p w:rsidR="009439EB" w:rsidRPr="00B233B8" w:rsidRDefault="009439EB" w:rsidP="009439EB">
      <w:pPr>
        <w:ind w:firstLine="709"/>
        <w:jc w:val="both"/>
        <w:rPr>
          <w:bCs/>
          <w:sz w:val="20"/>
          <w:szCs w:val="20"/>
        </w:rPr>
      </w:pPr>
    </w:p>
    <w:p w:rsidR="009439EB" w:rsidRPr="00B233B8" w:rsidRDefault="009439EB" w:rsidP="009439EB">
      <w:pPr>
        <w:jc w:val="center"/>
        <w:rPr>
          <w:b/>
          <w:bCs/>
          <w:sz w:val="28"/>
          <w:szCs w:val="28"/>
        </w:rPr>
      </w:pPr>
      <w:r w:rsidRPr="00B233B8">
        <w:rPr>
          <w:b/>
          <w:bCs/>
        </w:rPr>
        <w:t>ОТЧЕТ</w:t>
      </w:r>
    </w:p>
    <w:p w:rsidR="001D6C22" w:rsidRPr="00B67306" w:rsidRDefault="001D6C22" w:rsidP="001D6C22">
      <w:pPr>
        <w:jc w:val="center"/>
        <w:rPr>
          <w:b/>
        </w:rPr>
      </w:pPr>
      <w:r>
        <w:rPr>
          <w:b/>
        </w:rPr>
        <w:t xml:space="preserve">о  результатах </w:t>
      </w:r>
      <w:r w:rsidR="008C2DB4" w:rsidRPr="00B67306">
        <w:rPr>
          <w:b/>
        </w:rPr>
        <w:t>экспертно-аналитического мероприятия</w:t>
      </w:r>
      <w:r w:rsidR="008C2DB4">
        <w:rPr>
          <w:b/>
        </w:rPr>
        <w:t xml:space="preserve"> </w:t>
      </w:r>
      <w:r w:rsidR="008C2DB4" w:rsidRPr="00B67306">
        <w:rPr>
          <w:b/>
        </w:rPr>
        <w:t xml:space="preserve"> «Анализ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2016 -</w:t>
      </w:r>
      <w:r w:rsidR="008C2DB4">
        <w:rPr>
          <w:b/>
        </w:rPr>
        <w:t xml:space="preserve"> </w:t>
      </w:r>
      <w:r w:rsidR="008C2DB4" w:rsidRPr="00B67306">
        <w:rPr>
          <w:b/>
        </w:rPr>
        <w:t>2017 годах»</w:t>
      </w:r>
      <w:r w:rsidR="008C2DB4">
        <w:rPr>
          <w:b/>
        </w:rPr>
        <w:t xml:space="preserve">, проведенного контрольно-счетной палатой Волгоградской области </w:t>
      </w:r>
      <w:r w:rsidRPr="00B67306">
        <w:rPr>
          <w:b/>
        </w:rPr>
        <w:t xml:space="preserve">совместно </w:t>
      </w:r>
      <w:r>
        <w:rPr>
          <w:b/>
        </w:rPr>
        <w:t>со Счетной палатой Российской Федерации</w:t>
      </w:r>
      <w:r w:rsidR="008C2DB4">
        <w:rPr>
          <w:b/>
        </w:rPr>
        <w:t xml:space="preserve"> и</w:t>
      </w:r>
      <w:r>
        <w:rPr>
          <w:b/>
        </w:rPr>
        <w:t xml:space="preserve"> контрольно-счетными органами муниципальных образований Волгоградской области </w:t>
      </w:r>
    </w:p>
    <w:p w:rsidR="001D6C22" w:rsidRDefault="001D6C22" w:rsidP="009439EB">
      <w:pPr>
        <w:ind w:left="34"/>
        <w:jc w:val="center"/>
        <w:rPr>
          <w:b/>
          <w:color w:val="000000"/>
        </w:rPr>
      </w:pPr>
    </w:p>
    <w:p w:rsidR="00747171" w:rsidRPr="00F44277" w:rsidRDefault="009439EB" w:rsidP="00747171">
      <w:pPr>
        <w:ind w:firstLine="680"/>
        <w:jc w:val="both"/>
      </w:pPr>
      <w:proofErr w:type="gramStart"/>
      <w:r w:rsidRPr="00F44277">
        <w:rPr>
          <w:b/>
          <w:bCs/>
        </w:rPr>
        <w:t xml:space="preserve">Основание для проведения </w:t>
      </w:r>
      <w:r w:rsidRPr="00F44277">
        <w:rPr>
          <w:b/>
          <w:bCs/>
          <w:spacing w:val="-9"/>
        </w:rPr>
        <w:t xml:space="preserve">мероприятия: </w:t>
      </w:r>
      <w:r w:rsidR="00747171" w:rsidRPr="00F44277">
        <w:t xml:space="preserve">пункты 3.6.0.7, 3.6.0.7.1, 3.6.0.7.2 плана работы Счетной палаты Российской Федерации на 2018 год,  п. 4.1.2 плана работы контрольно-счетной палаты Волгоградской области (далее – КСП) на 2018 год, утвержденного постановлением коллегии КСП от 19.12.2017 № 20/2, планы работы контрольно-счетных органов муниципальных образований Волгоградской области (далее – КСО муниципальных образований) на 2018 год,  </w:t>
      </w:r>
      <w:r w:rsidR="00747171" w:rsidRPr="00F44277">
        <w:rPr>
          <w:bCs/>
        </w:rPr>
        <w:t>Решение о проведении Счетной палатой Российской Федерации</w:t>
      </w:r>
      <w:proofErr w:type="gramEnd"/>
      <w:r w:rsidR="00747171" w:rsidRPr="00F44277">
        <w:rPr>
          <w:bCs/>
        </w:rPr>
        <w:t xml:space="preserve"> и контрольно-счетными органами субъектов Российской Федерации совместного экспертно-аналитического мероприятия от 14.02.2018 № РШ-29/02/2-04, Решение о проведении совместного экспертно-аналитического мероприятия КСП и КСО муниципальных образований от 2</w:t>
      </w:r>
      <w:r w:rsidR="00F44277" w:rsidRPr="00F44277">
        <w:rPr>
          <w:bCs/>
        </w:rPr>
        <w:t>0</w:t>
      </w:r>
      <w:r w:rsidR="00747171" w:rsidRPr="00F44277">
        <w:rPr>
          <w:bCs/>
        </w:rPr>
        <w:t>.02.2018</w:t>
      </w:r>
      <w:r w:rsidR="00F44277">
        <w:rPr>
          <w:bCs/>
        </w:rPr>
        <w:t>.</w:t>
      </w:r>
    </w:p>
    <w:p w:rsidR="00747171" w:rsidRDefault="00747171" w:rsidP="00747171">
      <w:pPr>
        <w:widowControl w:val="0"/>
        <w:tabs>
          <w:tab w:val="left" w:pos="1440"/>
        </w:tabs>
        <w:ind w:firstLine="720"/>
        <w:jc w:val="both"/>
      </w:pPr>
      <w:r w:rsidRPr="00FE0775">
        <w:rPr>
          <w:b/>
        </w:rPr>
        <w:t xml:space="preserve">Цели </w:t>
      </w:r>
      <w:r>
        <w:rPr>
          <w:b/>
        </w:rPr>
        <w:t>мероприятия</w:t>
      </w:r>
      <w:r w:rsidRPr="00FE0775">
        <w:t>:</w:t>
      </w:r>
    </w:p>
    <w:p w:rsidR="00747171" w:rsidRDefault="00747171" w:rsidP="00747171">
      <w:pPr>
        <w:pStyle w:val="1"/>
        <w:spacing w:before="0" w:after="0"/>
        <w:ind w:firstLine="708"/>
        <w:jc w:val="both"/>
        <w:rPr>
          <w:rFonts w:ascii="Times New Roman" w:hAnsi="Times New Roman"/>
          <w:b w:val="0"/>
          <w:color w:val="auto"/>
        </w:rPr>
      </w:pPr>
      <w:r w:rsidRPr="007D46BF">
        <w:rPr>
          <w:rFonts w:ascii="Times New Roman" w:hAnsi="Times New Roman"/>
          <w:b w:val="0"/>
          <w:color w:val="auto"/>
        </w:rPr>
        <w:t xml:space="preserve">- </w:t>
      </w:r>
      <w:r>
        <w:rPr>
          <w:rFonts w:ascii="Times New Roman" w:hAnsi="Times New Roman"/>
          <w:b w:val="0"/>
          <w:color w:val="auto"/>
        </w:rPr>
        <w:t xml:space="preserve">анализ нормативно-правового регулирования порядка распределения и использования субвенций на осуществление полномочий по первичному воинскому учету </w:t>
      </w:r>
      <w:r w:rsidRPr="00CE4E00">
        <w:rPr>
          <w:rFonts w:ascii="Times New Roman" w:hAnsi="Times New Roman"/>
          <w:b w:val="0"/>
          <w:color w:val="auto"/>
        </w:rPr>
        <w:t>на территориях, где отсутствуют военные комиссариаты</w:t>
      </w:r>
      <w:r>
        <w:rPr>
          <w:rFonts w:ascii="Times New Roman" w:hAnsi="Times New Roman"/>
          <w:b w:val="0"/>
          <w:color w:val="auto"/>
        </w:rPr>
        <w:t>, а также обоснованности и достаточности объемов бюджетных ассигнований, выделенных на указанные цели получателям субвенций;</w:t>
      </w:r>
    </w:p>
    <w:p w:rsidR="00747171" w:rsidRPr="00CE4E00" w:rsidRDefault="00747171" w:rsidP="00747171">
      <w:pPr>
        <w:ind w:firstLine="708"/>
        <w:jc w:val="both"/>
      </w:pPr>
      <w:r>
        <w:t xml:space="preserve">- </w:t>
      </w:r>
      <w:r w:rsidR="007A1C8E">
        <w:t xml:space="preserve">анализ </w:t>
      </w:r>
      <w:r>
        <w:t>исполнени</w:t>
      </w:r>
      <w:r w:rsidR="007A1C8E">
        <w:t>я</w:t>
      </w:r>
      <w:r>
        <w:t xml:space="preserve"> нормативных правовых актов, регулирующих вопросы распределения и использования субвенций на осуществление </w:t>
      </w:r>
      <w:r w:rsidRPr="00CE4E00">
        <w:t>полномочий по первичному воинскому учету на территориях, где отсутствуют военные комиссариаты</w:t>
      </w:r>
      <w:r>
        <w:t>;</w:t>
      </w:r>
    </w:p>
    <w:p w:rsidR="00747171" w:rsidRPr="00CE4E00" w:rsidRDefault="00747171" w:rsidP="00747171">
      <w:pPr>
        <w:ind w:firstLine="708"/>
        <w:jc w:val="both"/>
      </w:pPr>
      <w:r w:rsidRPr="00CE4E00">
        <w:t>- оцен</w:t>
      </w:r>
      <w:r w:rsidR="007A1C8E">
        <w:t>ка</w:t>
      </w:r>
      <w:r w:rsidRPr="00CE4E00">
        <w:t xml:space="preserve"> </w:t>
      </w:r>
      <w:proofErr w:type="gramStart"/>
      <w:r w:rsidRPr="00CE4E00">
        <w:t>эффективност</w:t>
      </w:r>
      <w:r w:rsidR="007A1C8E">
        <w:t>и</w:t>
      </w:r>
      <w:r w:rsidRPr="00CE4E00">
        <w:t xml:space="preserve"> применения действующего порядка использования субвенций</w:t>
      </w:r>
      <w:proofErr w:type="gramEnd"/>
      <w:r w:rsidRPr="00CE4E00">
        <w:t xml:space="preserve"> на осуществление полномочий</w:t>
      </w:r>
      <w:r>
        <w:rPr>
          <w:b/>
        </w:rPr>
        <w:t xml:space="preserve"> </w:t>
      </w:r>
      <w:r w:rsidRPr="00CE4E00">
        <w:t>по первичному воинскому учету на территориях, где отсутствуют военные комиссариаты</w:t>
      </w:r>
      <w:r>
        <w:t>.</w:t>
      </w:r>
    </w:p>
    <w:p w:rsidR="007A1C8E" w:rsidRPr="007A1C8E" w:rsidRDefault="007A1C8E" w:rsidP="007A1C8E">
      <w:pPr>
        <w:ind w:firstLine="680"/>
        <w:jc w:val="both"/>
        <w:rPr>
          <w:bCs/>
        </w:rPr>
      </w:pPr>
      <w:r w:rsidRPr="007A1C8E">
        <w:rPr>
          <w:b/>
          <w:bCs/>
        </w:rPr>
        <w:t xml:space="preserve">Исследуемый период: </w:t>
      </w:r>
      <w:r w:rsidRPr="007A1C8E">
        <w:rPr>
          <w:bCs/>
        </w:rPr>
        <w:t>2016 - 2017 годы.</w:t>
      </w:r>
    </w:p>
    <w:p w:rsidR="007A1C8E" w:rsidRPr="007A1C8E" w:rsidRDefault="007A1C8E" w:rsidP="007A1C8E">
      <w:pPr>
        <w:ind w:firstLine="680"/>
        <w:jc w:val="both"/>
        <w:rPr>
          <w:bCs/>
        </w:rPr>
      </w:pPr>
      <w:r w:rsidRPr="007A1C8E">
        <w:rPr>
          <w:b/>
          <w:bCs/>
        </w:rPr>
        <w:t>Срок проведения мероприятия</w:t>
      </w:r>
      <w:r w:rsidRPr="007A1C8E">
        <w:rPr>
          <w:bCs/>
        </w:rPr>
        <w:t>: с 20.02.2018 по 14.09.2018.</w:t>
      </w:r>
    </w:p>
    <w:p w:rsidR="00326782" w:rsidRDefault="00747171" w:rsidP="00326782">
      <w:pPr>
        <w:widowControl w:val="0"/>
        <w:tabs>
          <w:tab w:val="left" w:pos="2552"/>
        </w:tabs>
        <w:ind w:firstLine="680"/>
        <w:jc w:val="both"/>
        <w:rPr>
          <w:b/>
        </w:rPr>
      </w:pPr>
      <w:r w:rsidRPr="00D6027E">
        <w:rPr>
          <w:b/>
        </w:rPr>
        <w:t>Объект</w:t>
      </w:r>
      <w:r>
        <w:rPr>
          <w:b/>
        </w:rPr>
        <w:t>ы</w:t>
      </w:r>
      <w:r w:rsidR="007A1C8E">
        <w:rPr>
          <w:b/>
        </w:rPr>
        <w:t xml:space="preserve"> мероприятия</w:t>
      </w:r>
      <w:r w:rsidRPr="00D6027E">
        <w:rPr>
          <w:b/>
        </w:rPr>
        <w:t>:</w:t>
      </w:r>
      <w:r>
        <w:rPr>
          <w:b/>
        </w:rPr>
        <w:t xml:space="preserve"> </w:t>
      </w:r>
    </w:p>
    <w:p w:rsidR="00747171" w:rsidRPr="00326782" w:rsidRDefault="00747171" w:rsidP="00326782">
      <w:pPr>
        <w:widowControl w:val="0"/>
        <w:tabs>
          <w:tab w:val="left" w:pos="2552"/>
        </w:tabs>
        <w:ind w:firstLine="680"/>
        <w:jc w:val="both"/>
        <w:rPr>
          <w:b/>
        </w:rPr>
      </w:pPr>
      <w:r w:rsidRPr="00326782">
        <w:t>1. Комитет финансов Волгоградской области</w:t>
      </w:r>
      <w:r w:rsidR="00326782">
        <w:t xml:space="preserve"> (далее – </w:t>
      </w:r>
      <w:proofErr w:type="spellStart"/>
      <w:r w:rsidR="00326782">
        <w:t>Облфин</w:t>
      </w:r>
      <w:proofErr w:type="spellEnd"/>
      <w:r w:rsidR="00326782">
        <w:t>)</w:t>
      </w:r>
      <w:r w:rsidRPr="00326782">
        <w:t>;</w:t>
      </w:r>
    </w:p>
    <w:p w:rsidR="00ED13F1" w:rsidRPr="00ED13F1" w:rsidRDefault="00ED13F1" w:rsidP="00FA2515">
      <w:pPr>
        <w:pStyle w:val="a3"/>
        <w:spacing w:after="0" w:line="240" w:lineRule="auto"/>
        <w:ind w:left="0" w:firstLine="680"/>
        <w:jc w:val="both"/>
        <w:rPr>
          <w:rFonts w:ascii="Times New Roman" w:hAnsi="Times New Roman" w:cs="Times New Roman"/>
          <w:sz w:val="24"/>
          <w:szCs w:val="24"/>
        </w:rPr>
      </w:pPr>
      <w:r w:rsidRPr="00ED13F1">
        <w:rPr>
          <w:rFonts w:ascii="Times New Roman" w:hAnsi="Times New Roman" w:cs="Times New Roman"/>
          <w:sz w:val="24"/>
          <w:szCs w:val="24"/>
        </w:rPr>
        <w:t>2.</w:t>
      </w:r>
      <w:r w:rsidR="00747171" w:rsidRPr="00ED13F1">
        <w:rPr>
          <w:rFonts w:ascii="Times New Roman" w:hAnsi="Times New Roman" w:cs="Times New Roman"/>
          <w:sz w:val="24"/>
          <w:szCs w:val="24"/>
        </w:rPr>
        <w:t xml:space="preserve"> администрации муниципальных образований </w:t>
      </w:r>
      <w:r w:rsidRPr="00ED13F1">
        <w:rPr>
          <w:rFonts w:ascii="Times New Roman" w:hAnsi="Times New Roman" w:cs="Times New Roman"/>
          <w:sz w:val="24"/>
          <w:szCs w:val="24"/>
        </w:rPr>
        <w:t xml:space="preserve">102 </w:t>
      </w:r>
      <w:r w:rsidR="00592402">
        <w:rPr>
          <w:rFonts w:ascii="Times New Roman" w:hAnsi="Times New Roman" w:cs="Times New Roman"/>
          <w:sz w:val="24"/>
          <w:szCs w:val="24"/>
        </w:rPr>
        <w:t xml:space="preserve">городских и сельских </w:t>
      </w:r>
      <w:r w:rsidRPr="00ED13F1">
        <w:rPr>
          <w:rFonts w:ascii="Times New Roman" w:hAnsi="Times New Roman" w:cs="Times New Roman"/>
          <w:sz w:val="24"/>
          <w:szCs w:val="24"/>
        </w:rPr>
        <w:t xml:space="preserve">поселений муниципальных районов Волгоградской области, из которых 9 поселений проверены КСП, а 93 поселения </w:t>
      </w:r>
      <w:r w:rsidR="00592402">
        <w:rPr>
          <w:rFonts w:ascii="Times New Roman" w:hAnsi="Times New Roman" w:cs="Times New Roman"/>
          <w:sz w:val="24"/>
          <w:szCs w:val="24"/>
        </w:rPr>
        <w:t xml:space="preserve">- </w:t>
      </w:r>
      <w:r w:rsidRPr="00ED13F1">
        <w:rPr>
          <w:rFonts w:ascii="Times New Roman" w:hAnsi="Times New Roman" w:cs="Times New Roman"/>
          <w:sz w:val="24"/>
          <w:szCs w:val="24"/>
        </w:rPr>
        <w:t>КСО муниципальных образований</w:t>
      </w:r>
      <w:r>
        <w:rPr>
          <w:rFonts w:ascii="Times New Roman" w:hAnsi="Times New Roman" w:cs="Times New Roman"/>
          <w:sz w:val="24"/>
          <w:szCs w:val="24"/>
        </w:rPr>
        <w:t xml:space="preserve"> (перечень проверенных поселений прилагается</w:t>
      </w:r>
      <w:r w:rsidR="00EE559A">
        <w:rPr>
          <w:rFonts w:ascii="Times New Roman" w:hAnsi="Times New Roman" w:cs="Times New Roman"/>
          <w:sz w:val="24"/>
          <w:szCs w:val="24"/>
        </w:rPr>
        <w:t xml:space="preserve">, </w:t>
      </w:r>
      <w:r w:rsidR="00EE559A" w:rsidRPr="00B869B4">
        <w:rPr>
          <w:rFonts w:ascii="Times New Roman" w:hAnsi="Times New Roman" w:cs="Times New Roman"/>
          <w:color w:val="17365D" w:themeColor="text2" w:themeShade="BF"/>
          <w:sz w:val="24"/>
          <w:szCs w:val="24"/>
        </w:rPr>
        <w:t>приложение № 1</w:t>
      </w:r>
      <w:r w:rsidR="00E960F4" w:rsidRPr="00B869B4">
        <w:rPr>
          <w:rFonts w:ascii="Times New Roman" w:hAnsi="Times New Roman" w:cs="Times New Roman"/>
          <w:sz w:val="24"/>
          <w:szCs w:val="24"/>
        </w:rPr>
        <w:t>)</w:t>
      </w:r>
      <w:r w:rsidRPr="00B869B4">
        <w:rPr>
          <w:rFonts w:ascii="Times New Roman" w:hAnsi="Times New Roman" w:cs="Times New Roman"/>
          <w:sz w:val="24"/>
          <w:szCs w:val="24"/>
        </w:rPr>
        <w:t>.</w:t>
      </w:r>
    </w:p>
    <w:p w:rsidR="00B61838" w:rsidRPr="00C05DCD" w:rsidRDefault="00E960F4" w:rsidP="00FA2515">
      <w:pPr>
        <w:pStyle w:val="a3"/>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Проверками было охвачено </w:t>
      </w:r>
      <w:r w:rsidR="00B61838">
        <w:rPr>
          <w:rFonts w:ascii="Times New Roman" w:hAnsi="Times New Roman" w:cs="Times New Roman"/>
          <w:sz w:val="24"/>
          <w:szCs w:val="24"/>
        </w:rPr>
        <w:t>24% от общего количества поселений, являющихся получателями субвенций (</w:t>
      </w:r>
      <w:r w:rsidR="00C05DCD">
        <w:rPr>
          <w:rFonts w:ascii="Times New Roman" w:hAnsi="Times New Roman" w:cs="Times New Roman"/>
          <w:sz w:val="24"/>
          <w:szCs w:val="24"/>
        </w:rPr>
        <w:t xml:space="preserve">в 2016 и 2017 годах соответственно </w:t>
      </w:r>
      <w:r w:rsidR="00285447">
        <w:rPr>
          <w:rFonts w:ascii="Times New Roman" w:hAnsi="Times New Roman" w:cs="Times New Roman"/>
          <w:sz w:val="24"/>
          <w:szCs w:val="24"/>
        </w:rPr>
        <w:t xml:space="preserve">424 и </w:t>
      </w:r>
      <w:r w:rsidR="00B61838">
        <w:rPr>
          <w:rFonts w:ascii="Times New Roman" w:hAnsi="Times New Roman" w:cs="Times New Roman"/>
          <w:sz w:val="24"/>
          <w:szCs w:val="24"/>
        </w:rPr>
        <w:t>425 поселени</w:t>
      </w:r>
      <w:r w:rsidR="00C05DCD">
        <w:rPr>
          <w:rFonts w:ascii="Times New Roman" w:hAnsi="Times New Roman" w:cs="Times New Roman"/>
          <w:sz w:val="24"/>
          <w:szCs w:val="24"/>
        </w:rPr>
        <w:t>й</w:t>
      </w:r>
      <w:r w:rsidR="00B61838" w:rsidRPr="00C05DCD">
        <w:rPr>
          <w:rFonts w:ascii="Times New Roman" w:hAnsi="Times New Roman" w:cs="Times New Roman"/>
          <w:sz w:val="24"/>
          <w:szCs w:val="24"/>
        </w:rPr>
        <w:t>).</w:t>
      </w:r>
    </w:p>
    <w:p w:rsidR="00EE7F09" w:rsidRDefault="009439EB" w:rsidP="000D4A70">
      <w:pPr>
        <w:ind w:firstLine="709"/>
        <w:jc w:val="both"/>
        <w:rPr>
          <w:b/>
        </w:rPr>
      </w:pPr>
      <w:r w:rsidRPr="00EE7F09">
        <w:rPr>
          <w:b/>
          <w:bCs/>
        </w:rPr>
        <w:t xml:space="preserve">Перечень оформленных актов (справок): </w:t>
      </w:r>
      <w:r w:rsidR="00EE7F09" w:rsidRPr="00EE7F09">
        <w:t>по</w:t>
      </w:r>
      <w:r w:rsidR="00EE7F09" w:rsidRPr="00213DF1">
        <w:t xml:space="preserve"> результатам проверки составлен</w:t>
      </w:r>
      <w:r w:rsidR="00EE7F09">
        <w:t>о</w:t>
      </w:r>
      <w:r w:rsidR="00EE7F09" w:rsidRPr="00213DF1">
        <w:t xml:space="preserve"> </w:t>
      </w:r>
      <w:r w:rsidR="00EE7F09" w:rsidRPr="00721ADD">
        <w:t>10</w:t>
      </w:r>
      <w:r w:rsidR="0044263A">
        <w:t>4</w:t>
      </w:r>
      <w:r w:rsidR="00EE7F09">
        <w:t xml:space="preserve"> </w:t>
      </w:r>
      <w:r w:rsidR="00EE7F09" w:rsidRPr="00213DF1">
        <w:t>акт</w:t>
      </w:r>
      <w:r w:rsidR="00EE7F09">
        <w:t>а проверки</w:t>
      </w:r>
      <w:r w:rsidR="0044263A">
        <w:t xml:space="preserve">, из которых по </w:t>
      </w:r>
      <w:proofErr w:type="spellStart"/>
      <w:r w:rsidR="0044263A">
        <w:t>Левчуновскому</w:t>
      </w:r>
      <w:proofErr w:type="spellEnd"/>
      <w:r w:rsidR="0044263A">
        <w:t xml:space="preserve"> сельскому поселению Николаевского муниципального района было составлено 2 акта проверки </w:t>
      </w:r>
      <w:r w:rsidR="00936BAC">
        <w:t xml:space="preserve">(КСП и контрольно-счетной палатой Николаевского муниципального района) </w:t>
      </w:r>
      <w:r w:rsidR="0044263A">
        <w:t xml:space="preserve">в </w:t>
      </w:r>
      <w:r w:rsidR="00936BAC">
        <w:t>с</w:t>
      </w:r>
      <w:r w:rsidR="0044263A">
        <w:t>вязи с проведением КСП дополнительного проверочного мероприятия</w:t>
      </w:r>
      <w:r w:rsidR="00073926">
        <w:t xml:space="preserve"> </w:t>
      </w:r>
      <w:r w:rsidR="00073926" w:rsidRPr="00410F35">
        <w:t>(представление об устранении нарушений по результатам проверочного мероприятия направлено в адрес главы поселения контрольно-счетной палатой Николаевского муниципального района 29.06.2018).</w:t>
      </w:r>
    </w:p>
    <w:p w:rsidR="00D73C4A" w:rsidRDefault="00D73C4A" w:rsidP="000D4A70">
      <w:pPr>
        <w:autoSpaceDE w:val="0"/>
        <w:autoSpaceDN w:val="0"/>
        <w:adjustRightInd w:val="0"/>
        <w:ind w:firstLine="709"/>
        <w:jc w:val="both"/>
        <w:rPr>
          <w:color w:val="00B050"/>
        </w:rPr>
      </w:pPr>
    </w:p>
    <w:p w:rsidR="002462EE" w:rsidRPr="002462EE" w:rsidRDefault="002462EE" w:rsidP="000D4A70">
      <w:pPr>
        <w:ind w:firstLine="680"/>
        <w:jc w:val="center"/>
        <w:rPr>
          <w:color w:val="FF0000"/>
        </w:rPr>
      </w:pPr>
      <w:r w:rsidRPr="002462EE">
        <w:rPr>
          <w:b/>
        </w:rPr>
        <w:lastRenderedPageBreak/>
        <w:t>Анализ нормативно-правового регулирования порядка распределения и использования субвенций на осуществление полномочий по первичному воинскому учету на территориях, где отсутствуют военные комиссариаты</w:t>
      </w:r>
    </w:p>
    <w:p w:rsidR="00134D82" w:rsidRDefault="00134D82" w:rsidP="00A262C4">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В соответствии со ст.</w:t>
      </w:r>
      <w:r w:rsidR="00D73C4A" w:rsidRPr="00C358B8">
        <w:rPr>
          <w:rFonts w:ascii="Times New Roman" w:hAnsi="Times New Roman" w:cs="Times New Roman"/>
          <w:sz w:val="24"/>
          <w:szCs w:val="24"/>
        </w:rPr>
        <w:t xml:space="preserve"> 8 Федерального закона от 28.03.1998 № 53-ФЗ «О воинской обязанности и военной службе» </w:t>
      </w:r>
      <w:r>
        <w:rPr>
          <w:rFonts w:ascii="Times New Roman" w:hAnsi="Times New Roman" w:cs="Times New Roman"/>
          <w:sz w:val="24"/>
          <w:szCs w:val="24"/>
        </w:rPr>
        <w:t>п</w:t>
      </w:r>
      <w:r w:rsidR="00D73C4A" w:rsidRPr="00C358B8">
        <w:rPr>
          <w:rFonts w:ascii="Times New Roman" w:eastAsiaTheme="minorHAnsi" w:hAnsi="Times New Roman" w:cs="Times New Roman"/>
          <w:sz w:val="24"/>
          <w:szCs w:val="24"/>
          <w:lang w:eastAsia="en-US"/>
        </w:rPr>
        <w:t>олномочия Р</w:t>
      </w:r>
      <w:r>
        <w:rPr>
          <w:rFonts w:ascii="Times New Roman" w:eastAsiaTheme="minorHAnsi" w:hAnsi="Times New Roman" w:cs="Times New Roman"/>
          <w:sz w:val="24"/>
          <w:szCs w:val="24"/>
          <w:lang w:eastAsia="en-US"/>
        </w:rPr>
        <w:t>Ф</w:t>
      </w:r>
      <w:r w:rsidR="00D73C4A" w:rsidRPr="00C358B8">
        <w:rPr>
          <w:rFonts w:ascii="Times New Roman" w:eastAsiaTheme="minorHAnsi" w:hAnsi="Times New Roman" w:cs="Times New Roman"/>
          <w:sz w:val="24"/>
          <w:szCs w:val="24"/>
          <w:lang w:eastAsia="en-US"/>
        </w:rPr>
        <w:t xml:space="preserve">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w:t>
      </w:r>
      <w:r w:rsidR="00455A0C">
        <w:rPr>
          <w:rFonts w:ascii="Times New Roman" w:eastAsiaTheme="minorHAnsi" w:hAnsi="Times New Roman" w:cs="Times New Roman"/>
          <w:sz w:val="24"/>
          <w:szCs w:val="24"/>
          <w:lang w:eastAsia="en-US"/>
        </w:rPr>
        <w:t xml:space="preserve"> (далее – ОМСУ) </w:t>
      </w:r>
      <w:r w:rsidR="00D73C4A" w:rsidRPr="00C358B8">
        <w:rPr>
          <w:rFonts w:ascii="Times New Roman" w:eastAsiaTheme="minorHAnsi" w:hAnsi="Times New Roman" w:cs="Times New Roman"/>
          <w:sz w:val="24"/>
          <w:szCs w:val="24"/>
          <w:lang w:eastAsia="en-US"/>
        </w:rPr>
        <w:t xml:space="preserve"> поселений и </w:t>
      </w:r>
      <w:r w:rsidR="00455A0C">
        <w:rPr>
          <w:rFonts w:ascii="Times New Roman" w:eastAsiaTheme="minorHAnsi" w:hAnsi="Times New Roman" w:cs="Times New Roman"/>
          <w:sz w:val="24"/>
          <w:szCs w:val="24"/>
          <w:lang w:eastAsia="en-US"/>
        </w:rPr>
        <w:t>ОМСУ</w:t>
      </w:r>
      <w:r w:rsidR="00D73C4A" w:rsidRPr="00C358B8">
        <w:rPr>
          <w:rFonts w:ascii="Times New Roman" w:eastAsiaTheme="minorHAnsi" w:hAnsi="Times New Roman" w:cs="Times New Roman"/>
          <w:sz w:val="24"/>
          <w:szCs w:val="24"/>
          <w:lang w:eastAsia="en-US"/>
        </w:rPr>
        <w:t xml:space="preserve"> городских округов. Совокупность таких полномочий именуется первичным воинским учетом.</w:t>
      </w:r>
      <w:r w:rsidR="00D73C4A" w:rsidRPr="00C358B8">
        <w:rPr>
          <w:rFonts w:ascii="Times New Roman" w:hAnsi="Times New Roman" w:cs="Times New Roman"/>
          <w:sz w:val="24"/>
          <w:szCs w:val="24"/>
        </w:rPr>
        <w:t xml:space="preserve"> </w:t>
      </w:r>
    </w:p>
    <w:p w:rsidR="00134D82" w:rsidRDefault="00D73C4A" w:rsidP="00A262C4">
      <w:pPr>
        <w:pStyle w:val="ConsPlusNormal"/>
        <w:ind w:firstLine="680"/>
        <w:jc w:val="both"/>
        <w:rPr>
          <w:rFonts w:ascii="Times New Roman" w:hAnsi="Times New Roman" w:cs="Times New Roman"/>
          <w:sz w:val="24"/>
          <w:szCs w:val="24"/>
        </w:rPr>
      </w:pPr>
      <w:r w:rsidRPr="00C358B8">
        <w:rPr>
          <w:rFonts w:ascii="Times New Roman" w:eastAsiaTheme="minorHAnsi" w:hAnsi="Times New Roman" w:cs="Times New Roman"/>
          <w:sz w:val="24"/>
          <w:szCs w:val="24"/>
          <w:lang w:eastAsia="en-US"/>
        </w:rP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r w:rsidRPr="00C358B8">
        <w:rPr>
          <w:rFonts w:ascii="Times New Roman" w:hAnsi="Times New Roman" w:cs="Times New Roman"/>
          <w:sz w:val="24"/>
          <w:szCs w:val="24"/>
        </w:rPr>
        <w:t xml:space="preserve"> </w:t>
      </w:r>
    </w:p>
    <w:p w:rsidR="00D73C4A" w:rsidRDefault="00134D82" w:rsidP="00A262C4">
      <w:pPr>
        <w:autoSpaceDE w:val="0"/>
        <w:autoSpaceDN w:val="0"/>
        <w:adjustRightInd w:val="0"/>
        <w:ind w:firstLine="680"/>
        <w:jc w:val="both"/>
        <w:rPr>
          <w:rFonts w:eastAsiaTheme="minorHAnsi"/>
          <w:lang w:eastAsia="en-US"/>
        </w:rPr>
      </w:pPr>
      <w:r>
        <w:rPr>
          <w:rFonts w:eastAsiaTheme="minorHAnsi"/>
          <w:lang w:eastAsia="en-US"/>
        </w:rPr>
        <w:t xml:space="preserve">Предоставление субвенций </w:t>
      </w:r>
      <w:r w:rsidR="00455A0C">
        <w:rPr>
          <w:rFonts w:eastAsiaTheme="minorHAnsi"/>
          <w:lang w:eastAsia="en-US"/>
        </w:rPr>
        <w:t>ОМСУ</w:t>
      </w:r>
      <w:r>
        <w:rPr>
          <w:rFonts w:eastAsiaTheme="minorHAnsi"/>
          <w:lang w:eastAsia="en-US"/>
        </w:rPr>
        <w:t xml:space="preserve"> поселений и городских округов из федерального бюджета осуществляется в порядке, установленном </w:t>
      </w:r>
      <w:hyperlink r:id="rId8" w:history="1">
        <w:r w:rsidRPr="00134D82">
          <w:rPr>
            <w:rFonts w:eastAsiaTheme="minorHAnsi"/>
            <w:lang w:eastAsia="en-US"/>
          </w:rPr>
          <w:t>статьями 133</w:t>
        </w:r>
      </w:hyperlink>
      <w:r w:rsidRPr="00134D82">
        <w:rPr>
          <w:rFonts w:eastAsiaTheme="minorHAnsi"/>
          <w:lang w:eastAsia="en-US"/>
        </w:rPr>
        <w:t xml:space="preserve"> и </w:t>
      </w:r>
      <w:hyperlink r:id="rId9" w:history="1">
        <w:r w:rsidRPr="00134D82">
          <w:rPr>
            <w:rFonts w:eastAsiaTheme="minorHAnsi"/>
            <w:lang w:eastAsia="en-US"/>
          </w:rPr>
          <w:t>140</w:t>
        </w:r>
      </w:hyperlink>
      <w:r>
        <w:rPr>
          <w:rFonts w:eastAsiaTheme="minorHAnsi"/>
          <w:lang w:eastAsia="en-US"/>
        </w:rPr>
        <w:t xml:space="preserve"> Бюджетного кодекса Р</w:t>
      </w:r>
      <w:r w:rsidR="004C5721">
        <w:rPr>
          <w:rFonts w:eastAsiaTheme="minorHAnsi"/>
          <w:lang w:eastAsia="en-US"/>
        </w:rPr>
        <w:t>Ф</w:t>
      </w:r>
      <w:r>
        <w:rPr>
          <w:rFonts w:eastAsiaTheme="minorHAnsi"/>
          <w:lang w:eastAsia="en-US"/>
        </w:rPr>
        <w:t xml:space="preserve"> (далее – БК РФ).</w:t>
      </w:r>
      <w:r w:rsidR="00A262C4">
        <w:rPr>
          <w:rFonts w:eastAsiaTheme="minorHAnsi"/>
          <w:lang w:eastAsia="en-US"/>
        </w:rPr>
        <w:t xml:space="preserve"> </w:t>
      </w:r>
      <w:r w:rsidR="00D73C4A" w:rsidRPr="00C358B8">
        <w:rPr>
          <w:rFonts w:eastAsiaTheme="minorHAnsi"/>
          <w:lang w:eastAsia="en-US"/>
        </w:rPr>
        <w:t>Субвенции зачисляются в установленном для исполнения федерального бюджета порядке на счета бюджетов субъектов Р</w:t>
      </w:r>
      <w:r w:rsidR="004C5721">
        <w:rPr>
          <w:rFonts w:eastAsiaTheme="minorHAnsi"/>
          <w:lang w:eastAsia="en-US"/>
        </w:rPr>
        <w:t>Ф</w:t>
      </w:r>
      <w:r w:rsidR="00D73C4A" w:rsidRPr="00C358B8">
        <w:rPr>
          <w:rFonts w:eastAsiaTheme="minorHAnsi"/>
          <w:lang w:eastAsia="en-US"/>
        </w:rPr>
        <w:t xml:space="preserve"> и передаются бюджетам поселений и городских округов.</w:t>
      </w:r>
    </w:p>
    <w:p w:rsidR="004C5721" w:rsidRPr="004C5721" w:rsidRDefault="00134D82" w:rsidP="00A262C4">
      <w:pPr>
        <w:pStyle w:val="ConsPlusNormal"/>
        <w:ind w:firstLine="680"/>
        <w:jc w:val="both"/>
        <w:rPr>
          <w:rFonts w:ascii="Times New Roman" w:eastAsiaTheme="minorHAnsi" w:hAnsi="Times New Roman" w:cs="Times New Roman"/>
          <w:color w:val="FF0000"/>
          <w:sz w:val="24"/>
          <w:szCs w:val="24"/>
          <w:lang w:eastAsia="en-US"/>
        </w:rPr>
      </w:pPr>
      <w:proofErr w:type="gramStart"/>
      <w:r>
        <w:rPr>
          <w:rFonts w:ascii="Times New Roman" w:eastAsiaTheme="minorHAnsi" w:hAnsi="Times New Roman" w:cs="Times New Roman"/>
          <w:sz w:val="24"/>
          <w:szCs w:val="24"/>
          <w:lang w:eastAsia="en-US"/>
        </w:rPr>
        <w:t xml:space="preserve">Порядок расходования и учета субвенций определен постановлением Правительства РФ </w:t>
      </w:r>
      <w:r w:rsidR="004C5721">
        <w:rPr>
          <w:rFonts w:ascii="Times New Roman" w:eastAsiaTheme="minorHAnsi" w:hAnsi="Times New Roman" w:cs="Times New Roman"/>
          <w:sz w:val="24"/>
          <w:szCs w:val="24"/>
          <w:lang w:eastAsia="en-US"/>
        </w:rPr>
        <w:t xml:space="preserve">от 29.04.2006 № 258 «О субвенциях на осуществление полномочий по первичному воинскому учету на территориях, где отсутствуют военные комиссариаты» (далее – Постановление </w:t>
      </w:r>
      <w:r w:rsidR="00EC3FF8">
        <w:rPr>
          <w:rFonts w:ascii="Times New Roman" w:eastAsiaTheme="minorHAnsi" w:hAnsi="Times New Roman" w:cs="Times New Roman"/>
          <w:sz w:val="24"/>
          <w:szCs w:val="24"/>
          <w:lang w:eastAsia="en-US"/>
        </w:rPr>
        <w:t xml:space="preserve">Правительства РФ </w:t>
      </w:r>
      <w:r w:rsidR="004C5721">
        <w:rPr>
          <w:rFonts w:ascii="Times New Roman" w:eastAsiaTheme="minorHAnsi" w:hAnsi="Times New Roman" w:cs="Times New Roman"/>
          <w:sz w:val="24"/>
          <w:szCs w:val="24"/>
          <w:lang w:eastAsia="en-US"/>
        </w:rPr>
        <w:t xml:space="preserve">№ 258), содержащим Методику </w:t>
      </w:r>
      <w:r w:rsidR="004C5721" w:rsidRPr="004C5721">
        <w:rPr>
          <w:rFonts w:ascii="Times New Roman" w:eastAsiaTheme="minorHAnsi" w:hAnsi="Times New Roman" w:cs="Times New Roman"/>
          <w:sz w:val="24"/>
          <w:szCs w:val="24"/>
          <w:lang w:eastAsia="en-US"/>
        </w:rPr>
        <w:t>распределения между субъектами Р</w:t>
      </w:r>
      <w:r w:rsidR="004C5721">
        <w:rPr>
          <w:rFonts w:ascii="Times New Roman" w:eastAsiaTheme="minorHAnsi" w:hAnsi="Times New Roman" w:cs="Times New Roman"/>
          <w:sz w:val="24"/>
          <w:szCs w:val="24"/>
          <w:lang w:eastAsia="en-US"/>
        </w:rPr>
        <w:t>Ф</w:t>
      </w:r>
      <w:r w:rsidR="004C5721" w:rsidRPr="004C5721">
        <w:rPr>
          <w:rFonts w:ascii="Times New Roman" w:eastAsiaTheme="minorHAnsi" w:hAnsi="Times New Roman" w:cs="Times New Roman"/>
          <w:sz w:val="24"/>
          <w:szCs w:val="24"/>
          <w:lang w:eastAsia="en-US"/>
        </w:rPr>
        <w:t xml:space="preserve"> субвенций из федерального бюджета на осуществление полномочий по первичному воинскому учету на территориях, где отсутствуют военные комиссариаты</w:t>
      </w:r>
      <w:r w:rsidR="004C5721">
        <w:rPr>
          <w:rFonts w:ascii="Times New Roman" w:eastAsiaTheme="minorHAnsi" w:hAnsi="Times New Roman" w:cs="Times New Roman"/>
          <w:sz w:val="24"/>
          <w:szCs w:val="24"/>
          <w:lang w:eastAsia="en-US"/>
        </w:rPr>
        <w:t xml:space="preserve"> (далее </w:t>
      </w:r>
      <w:r w:rsidR="006A778B">
        <w:rPr>
          <w:rFonts w:ascii="Times New Roman" w:eastAsiaTheme="minorHAnsi" w:hAnsi="Times New Roman" w:cs="Times New Roman"/>
          <w:sz w:val="24"/>
          <w:szCs w:val="24"/>
          <w:lang w:eastAsia="en-US"/>
        </w:rPr>
        <w:t>-</w:t>
      </w:r>
      <w:r w:rsidR="004C5721">
        <w:rPr>
          <w:rFonts w:ascii="Times New Roman" w:eastAsiaTheme="minorHAnsi" w:hAnsi="Times New Roman" w:cs="Times New Roman"/>
          <w:sz w:val="24"/>
          <w:szCs w:val="24"/>
          <w:lang w:eastAsia="en-US"/>
        </w:rPr>
        <w:t xml:space="preserve"> </w:t>
      </w:r>
      <w:r w:rsidR="007B7B17">
        <w:rPr>
          <w:rFonts w:ascii="Times New Roman" w:eastAsiaTheme="minorHAnsi" w:hAnsi="Times New Roman" w:cs="Times New Roman"/>
          <w:sz w:val="24"/>
          <w:szCs w:val="24"/>
          <w:lang w:eastAsia="en-US"/>
        </w:rPr>
        <w:t>Федеральная м</w:t>
      </w:r>
      <w:r w:rsidR="004C5721">
        <w:rPr>
          <w:rFonts w:ascii="Times New Roman" w:eastAsiaTheme="minorHAnsi" w:hAnsi="Times New Roman" w:cs="Times New Roman"/>
          <w:sz w:val="24"/>
          <w:szCs w:val="24"/>
          <w:lang w:eastAsia="en-US"/>
        </w:rPr>
        <w:t>етодика</w:t>
      </w:r>
      <w:r w:rsidR="004C5721" w:rsidRPr="004C5721">
        <w:rPr>
          <w:rFonts w:ascii="Times New Roman" w:eastAsiaTheme="minorHAnsi" w:hAnsi="Times New Roman" w:cs="Times New Roman"/>
          <w:sz w:val="24"/>
          <w:szCs w:val="24"/>
          <w:lang w:eastAsia="en-US"/>
        </w:rPr>
        <w:t>)</w:t>
      </w:r>
      <w:r w:rsidR="00A262C4">
        <w:rPr>
          <w:rFonts w:ascii="Times New Roman" w:eastAsiaTheme="minorHAnsi" w:hAnsi="Times New Roman" w:cs="Times New Roman"/>
          <w:sz w:val="24"/>
          <w:szCs w:val="24"/>
          <w:lang w:eastAsia="en-US"/>
        </w:rPr>
        <w:t>.</w:t>
      </w:r>
      <w:proofErr w:type="gramEnd"/>
    </w:p>
    <w:p w:rsidR="00EB5FC4" w:rsidRDefault="00455A0C" w:rsidP="00A262C4">
      <w:pPr>
        <w:pStyle w:val="ConsPlusNormal"/>
        <w:ind w:firstLine="680"/>
        <w:jc w:val="both"/>
        <w:rPr>
          <w:rFonts w:ascii="Times New Roman" w:eastAsiaTheme="minorHAnsi" w:hAnsi="Times New Roman" w:cs="Times New Roman"/>
          <w:bCs/>
          <w:sz w:val="24"/>
          <w:szCs w:val="24"/>
          <w:lang w:eastAsia="en-US"/>
        </w:rPr>
      </w:pPr>
      <w:proofErr w:type="gramStart"/>
      <w:r w:rsidRPr="00EB5FC4">
        <w:rPr>
          <w:rFonts w:ascii="Times New Roman" w:eastAsiaTheme="minorHAnsi" w:hAnsi="Times New Roman" w:cs="Times New Roman"/>
          <w:sz w:val="24"/>
          <w:szCs w:val="24"/>
          <w:lang w:eastAsia="en-US"/>
        </w:rPr>
        <w:t>Согласно</w:t>
      </w:r>
      <w:r w:rsidR="003E1158">
        <w:rPr>
          <w:rFonts w:ascii="Times New Roman" w:eastAsiaTheme="minorHAnsi" w:hAnsi="Times New Roman" w:cs="Times New Roman"/>
          <w:sz w:val="24"/>
          <w:szCs w:val="24"/>
          <w:lang w:eastAsia="en-US"/>
        </w:rPr>
        <w:t xml:space="preserve"> Федеральной м</w:t>
      </w:r>
      <w:r w:rsidRPr="00EB5FC4">
        <w:rPr>
          <w:rFonts w:ascii="Times New Roman" w:eastAsiaTheme="minorHAnsi" w:hAnsi="Times New Roman" w:cs="Times New Roman"/>
          <w:sz w:val="24"/>
          <w:szCs w:val="24"/>
          <w:lang w:eastAsia="en-US"/>
        </w:rPr>
        <w:t>етодике размер субвенции, предоставляемой субъекту РФ, определяется исходя из  затрат на содержание одного военно-учетного работника (далее – ВУР)</w:t>
      </w:r>
      <w:r w:rsidR="006A778B">
        <w:rPr>
          <w:rFonts w:ascii="Times New Roman" w:eastAsiaTheme="minorHAnsi" w:hAnsi="Times New Roman" w:cs="Times New Roman"/>
          <w:sz w:val="24"/>
          <w:szCs w:val="24"/>
          <w:lang w:eastAsia="en-US"/>
        </w:rPr>
        <w:t xml:space="preserve"> </w:t>
      </w:r>
      <w:r w:rsidRPr="00EB5FC4">
        <w:rPr>
          <w:rFonts w:ascii="Times New Roman" w:eastAsiaTheme="minorHAnsi" w:hAnsi="Times New Roman" w:cs="Times New Roman"/>
          <w:sz w:val="24"/>
          <w:szCs w:val="24"/>
          <w:lang w:eastAsia="en-US"/>
        </w:rPr>
        <w:t>ОМСУ и количества ВУР</w:t>
      </w:r>
      <w:r w:rsidR="00EB5FC4" w:rsidRPr="00EB5FC4">
        <w:rPr>
          <w:rFonts w:ascii="Times New Roman" w:eastAsiaTheme="minorHAnsi" w:hAnsi="Times New Roman" w:cs="Times New Roman"/>
          <w:sz w:val="24"/>
          <w:szCs w:val="24"/>
          <w:lang w:eastAsia="en-US"/>
        </w:rPr>
        <w:t xml:space="preserve"> и работников, осуществляющих работу по воинскому учету в ОМСУ по совместительств</w:t>
      </w:r>
      <w:r w:rsidR="003E1158">
        <w:rPr>
          <w:rFonts w:ascii="Times New Roman" w:eastAsiaTheme="minorHAnsi" w:hAnsi="Times New Roman" w:cs="Times New Roman"/>
          <w:sz w:val="24"/>
          <w:szCs w:val="24"/>
          <w:lang w:eastAsia="en-US"/>
        </w:rPr>
        <w:t>у</w:t>
      </w:r>
      <w:r w:rsidR="00EB5FC4" w:rsidRPr="00EB5FC4">
        <w:rPr>
          <w:rFonts w:ascii="Times New Roman" w:eastAsiaTheme="minorHAnsi" w:hAnsi="Times New Roman" w:cs="Times New Roman"/>
          <w:sz w:val="24"/>
          <w:szCs w:val="24"/>
          <w:lang w:eastAsia="en-US"/>
        </w:rPr>
        <w:t xml:space="preserve"> </w:t>
      </w:r>
      <w:r w:rsidRPr="00EB5FC4">
        <w:rPr>
          <w:rFonts w:ascii="Times New Roman" w:eastAsiaTheme="minorHAnsi" w:hAnsi="Times New Roman" w:cs="Times New Roman"/>
          <w:bCs/>
          <w:sz w:val="24"/>
          <w:szCs w:val="24"/>
          <w:lang w:eastAsia="en-US"/>
        </w:rPr>
        <w:t>на основании</w:t>
      </w:r>
      <w:r w:rsidR="00EB5FC4" w:rsidRPr="00EB5FC4">
        <w:rPr>
          <w:rFonts w:ascii="Times New Roman" w:eastAsiaTheme="minorHAnsi" w:hAnsi="Times New Roman" w:cs="Times New Roman"/>
          <w:bCs/>
          <w:sz w:val="24"/>
          <w:szCs w:val="24"/>
          <w:lang w:eastAsia="en-US"/>
        </w:rPr>
        <w:t xml:space="preserve"> </w:t>
      </w:r>
      <w:r w:rsidRPr="00EB5FC4">
        <w:rPr>
          <w:rFonts w:ascii="Times New Roman" w:eastAsiaTheme="minorHAnsi" w:hAnsi="Times New Roman" w:cs="Times New Roman"/>
          <w:bCs/>
          <w:sz w:val="24"/>
          <w:szCs w:val="24"/>
          <w:lang w:eastAsia="en-US"/>
        </w:rPr>
        <w:t>сведений, поступивших в Министерство обороны Р</w:t>
      </w:r>
      <w:r w:rsidR="00EB5FC4" w:rsidRPr="00EB5FC4">
        <w:rPr>
          <w:rFonts w:ascii="Times New Roman" w:eastAsiaTheme="minorHAnsi" w:hAnsi="Times New Roman" w:cs="Times New Roman"/>
          <w:bCs/>
          <w:sz w:val="24"/>
          <w:szCs w:val="24"/>
          <w:lang w:eastAsia="en-US"/>
        </w:rPr>
        <w:t xml:space="preserve">Ф </w:t>
      </w:r>
      <w:r w:rsidRPr="00EB5FC4">
        <w:rPr>
          <w:rFonts w:ascii="Times New Roman" w:eastAsiaTheme="minorHAnsi" w:hAnsi="Times New Roman" w:cs="Times New Roman"/>
          <w:bCs/>
          <w:sz w:val="24"/>
          <w:szCs w:val="24"/>
          <w:lang w:eastAsia="en-US"/>
        </w:rPr>
        <w:t>из военных комиссариатов и органов исполнительной власти субъектов</w:t>
      </w:r>
      <w:r w:rsidR="00EB5FC4" w:rsidRPr="00EB5FC4">
        <w:rPr>
          <w:rFonts w:ascii="Times New Roman" w:eastAsiaTheme="minorHAnsi" w:hAnsi="Times New Roman" w:cs="Times New Roman"/>
          <w:bCs/>
          <w:sz w:val="24"/>
          <w:szCs w:val="24"/>
          <w:lang w:eastAsia="en-US"/>
        </w:rPr>
        <w:t xml:space="preserve"> </w:t>
      </w:r>
      <w:r w:rsidRPr="00EB5FC4">
        <w:rPr>
          <w:rFonts w:ascii="Times New Roman" w:eastAsiaTheme="minorHAnsi" w:hAnsi="Times New Roman" w:cs="Times New Roman"/>
          <w:bCs/>
          <w:sz w:val="24"/>
          <w:szCs w:val="24"/>
          <w:lang w:eastAsia="en-US"/>
        </w:rPr>
        <w:t>Р</w:t>
      </w:r>
      <w:r w:rsidR="00EB5FC4" w:rsidRPr="00EB5FC4">
        <w:rPr>
          <w:rFonts w:ascii="Times New Roman" w:eastAsiaTheme="minorHAnsi" w:hAnsi="Times New Roman" w:cs="Times New Roman"/>
          <w:bCs/>
          <w:sz w:val="24"/>
          <w:szCs w:val="24"/>
          <w:lang w:eastAsia="en-US"/>
        </w:rPr>
        <w:t>Ф</w:t>
      </w:r>
      <w:r w:rsidRPr="00EB5FC4">
        <w:rPr>
          <w:rFonts w:ascii="Times New Roman" w:eastAsiaTheme="minorHAnsi" w:hAnsi="Times New Roman" w:cs="Times New Roman"/>
          <w:bCs/>
          <w:sz w:val="24"/>
          <w:szCs w:val="24"/>
          <w:lang w:eastAsia="en-US"/>
        </w:rPr>
        <w:t>,  исходя  из  норм  определения  количества</w:t>
      </w:r>
      <w:r w:rsidR="00EB5FC4" w:rsidRPr="00EB5FC4">
        <w:rPr>
          <w:rFonts w:ascii="Times New Roman" w:eastAsiaTheme="minorHAnsi" w:hAnsi="Times New Roman" w:cs="Times New Roman"/>
          <w:bCs/>
          <w:sz w:val="24"/>
          <w:szCs w:val="24"/>
          <w:lang w:eastAsia="en-US"/>
        </w:rPr>
        <w:t xml:space="preserve"> ВУР</w:t>
      </w:r>
      <w:r w:rsidRPr="00EB5FC4">
        <w:rPr>
          <w:rFonts w:ascii="Times New Roman" w:eastAsiaTheme="minorHAnsi" w:hAnsi="Times New Roman" w:cs="Times New Roman"/>
          <w:bCs/>
          <w:sz w:val="24"/>
          <w:szCs w:val="24"/>
          <w:lang w:eastAsia="en-US"/>
        </w:rPr>
        <w:t xml:space="preserve">,  установленных  </w:t>
      </w:r>
      <w:hyperlink r:id="rId10" w:history="1">
        <w:r w:rsidRPr="00EB5FC4">
          <w:rPr>
            <w:rFonts w:ascii="Times New Roman" w:eastAsiaTheme="minorHAnsi" w:hAnsi="Times New Roman" w:cs="Times New Roman"/>
            <w:bCs/>
            <w:sz w:val="24"/>
            <w:szCs w:val="24"/>
            <w:lang w:eastAsia="en-US"/>
          </w:rPr>
          <w:t>Положением</w:t>
        </w:r>
      </w:hyperlink>
      <w:r w:rsidRPr="00EB5FC4">
        <w:rPr>
          <w:rFonts w:ascii="Times New Roman" w:eastAsiaTheme="minorHAnsi" w:hAnsi="Times New Roman" w:cs="Times New Roman"/>
          <w:bCs/>
          <w:sz w:val="24"/>
          <w:szCs w:val="24"/>
          <w:lang w:eastAsia="en-US"/>
        </w:rPr>
        <w:t xml:space="preserve">  о</w:t>
      </w:r>
      <w:proofErr w:type="gramEnd"/>
      <w:r w:rsidRPr="00EB5FC4">
        <w:rPr>
          <w:rFonts w:ascii="Times New Roman" w:eastAsiaTheme="minorHAnsi" w:hAnsi="Times New Roman" w:cs="Times New Roman"/>
          <w:bCs/>
          <w:sz w:val="24"/>
          <w:szCs w:val="24"/>
          <w:lang w:eastAsia="en-US"/>
        </w:rPr>
        <w:t xml:space="preserve">  воинском</w:t>
      </w:r>
      <w:r w:rsidR="00EB5FC4" w:rsidRPr="00EB5FC4">
        <w:rPr>
          <w:rFonts w:ascii="Times New Roman" w:eastAsiaTheme="minorHAnsi" w:hAnsi="Times New Roman" w:cs="Times New Roman"/>
          <w:bCs/>
          <w:sz w:val="24"/>
          <w:szCs w:val="24"/>
          <w:lang w:eastAsia="en-US"/>
        </w:rPr>
        <w:t xml:space="preserve"> </w:t>
      </w:r>
      <w:proofErr w:type="gramStart"/>
      <w:r w:rsidRPr="00EB5FC4">
        <w:rPr>
          <w:rFonts w:ascii="Times New Roman" w:eastAsiaTheme="minorHAnsi" w:hAnsi="Times New Roman" w:cs="Times New Roman"/>
          <w:bCs/>
          <w:sz w:val="24"/>
          <w:szCs w:val="24"/>
          <w:lang w:eastAsia="en-US"/>
        </w:rPr>
        <w:t>учете</w:t>
      </w:r>
      <w:proofErr w:type="gramEnd"/>
      <w:r w:rsidRPr="00EB5FC4">
        <w:rPr>
          <w:rFonts w:ascii="Times New Roman" w:eastAsiaTheme="minorHAnsi" w:hAnsi="Times New Roman" w:cs="Times New Roman"/>
          <w:bCs/>
          <w:sz w:val="24"/>
          <w:szCs w:val="24"/>
          <w:lang w:eastAsia="en-US"/>
        </w:rPr>
        <w:t xml:space="preserve">,   утвержденным   </w:t>
      </w:r>
      <w:r w:rsidR="00EB5FC4" w:rsidRPr="00EB5FC4">
        <w:rPr>
          <w:rFonts w:ascii="Times New Roman" w:eastAsiaTheme="minorHAnsi" w:hAnsi="Times New Roman" w:cs="Times New Roman"/>
          <w:bCs/>
          <w:sz w:val="24"/>
          <w:szCs w:val="24"/>
          <w:lang w:eastAsia="en-US"/>
        </w:rPr>
        <w:t>п</w:t>
      </w:r>
      <w:r w:rsidRPr="00EB5FC4">
        <w:rPr>
          <w:rFonts w:ascii="Times New Roman" w:eastAsiaTheme="minorHAnsi" w:hAnsi="Times New Roman" w:cs="Times New Roman"/>
          <w:bCs/>
          <w:sz w:val="24"/>
          <w:szCs w:val="24"/>
          <w:lang w:eastAsia="en-US"/>
        </w:rPr>
        <w:t>остановлением   Правительства  Р</w:t>
      </w:r>
      <w:r w:rsidR="00EB5FC4" w:rsidRPr="00EB5FC4">
        <w:rPr>
          <w:rFonts w:ascii="Times New Roman" w:eastAsiaTheme="minorHAnsi" w:hAnsi="Times New Roman" w:cs="Times New Roman"/>
          <w:bCs/>
          <w:sz w:val="24"/>
          <w:szCs w:val="24"/>
          <w:lang w:eastAsia="en-US"/>
        </w:rPr>
        <w:t>Ф от 27.11.</w:t>
      </w:r>
      <w:r w:rsidR="00EB5FC4" w:rsidRPr="00335640">
        <w:rPr>
          <w:rFonts w:ascii="Times New Roman" w:eastAsiaTheme="minorHAnsi" w:hAnsi="Times New Roman" w:cs="Times New Roman"/>
          <w:bCs/>
          <w:sz w:val="24"/>
          <w:szCs w:val="24"/>
          <w:lang w:eastAsia="en-US"/>
        </w:rPr>
        <w:t xml:space="preserve">2006 № 719 (далее - Постановление </w:t>
      </w:r>
      <w:r w:rsidR="00EC3FF8">
        <w:rPr>
          <w:rFonts w:ascii="Times New Roman" w:eastAsiaTheme="minorHAnsi" w:hAnsi="Times New Roman" w:cs="Times New Roman"/>
          <w:bCs/>
          <w:sz w:val="24"/>
          <w:szCs w:val="24"/>
          <w:lang w:eastAsia="en-US"/>
        </w:rPr>
        <w:t xml:space="preserve">Правительства РФ </w:t>
      </w:r>
      <w:r w:rsidR="00EB5FC4" w:rsidRPr="00335640">
        <w:rPr>
          <w:rFonts w:ascii="Times New Roman" w:eastAsiaTheme="minorHAnsi" w:hAnsi="Times New Roman" w:cs="Times New Roman"/>
          <w:bCs/>
          <w:sz w:val="24"/>
          <w:szCs w:val="24"/>
          <w:lang w:eastAsia="en-US"/>
        </w:rPr>
        <w:t>№ 719).</w:t>
      </w:r>
    </w:p>
    <w:p w:rsidR="008A5A21" w:rsidRPr="008A5A21" w:rsidRDefault="00335640" w:rsidP="008A5A21">
      <w:pPr>
        <w:pStyle w:val="ConsPlusNormal"/>
        <w:ind w:firstLine="680"/>
        <w:jc w:val="both"/>
        <w:rPr>
          <w:rFonts w:ascii="Times New Roman" w:eastAsiaTheme="minorHAnsi" w:hAnsi="Times New Roman" w:cs="Times New Roman"/>
          <w:sz w:val="24"/>
          <w:szCs w:val="24"/>
          <w:lang w:eastAsia="en-US"/>
        </w:rPr>
      </w:pPr>
      <w:proofErr w:type="gramStart"/>
      <w:r w:rsidRPr="00335640">
        <w:rPr>
          <w:rFonts w:ascii="Times New Roman" w:hAnsi="Times New Roman" w:cs="Times New Roman"/>
          <w:sz w:val="24"/>
          <w:szCs w:val="24"/>
        </w:rPr>
        <w:t xml:space="preserve">Законом Волгоградской области от 04.12.2006 № 1355-ОД утверждена </w:t>
      </w:r>
      <w:hyperlink r:id="rId11" w:history="1">
        <w:r w:rsidRPr="00335640">
          <w:rPr>
            <w:rFonts w:ascii="Times New Roman" w:eastAsiaTheme="minorHAnsi" w:hAnsi="Times New Roman" w:cs="Times New Roman"/>
            <w:bCs/>
            <w:sz w:val="24"/>
            <w:szCs w:val="24"/>
            <w:lang w:eastAsia="en-US"/>
          </w:rPr>
          <w:t>Методика</w:t>
        </w:r>
      </w:hyperlink>
      <w:r w:rsidRPr="00335640">
        <w:rPr>
          <w:rFonts w:ascii="Times New Roman" w:eastAsiaTheme="minorHAnsi" w:hAnsi="Times New Roman" w:cs="Times New Roman"/>
          <w:bCs/>
          <w:sz w:val="24"/>
          <w:szCs w:val="24"/>
          <w:lang w:eastAsia="en-US"/>
        </w:rPr>
        <w:t xml:space="preserve"> распределения между бюджетами городских округов и поселений Волгоградской области субвенции, выделяемой из федерального бюджета на осуществление полномочий по первичному воинскому учету на территориях, где отсутствуют военные комиссариаты</w:t>
      </w:r>
      <w:r w:rsidR="007B7B17">
        <w:rPr>
          <w:rFonts w:ascii="Times New Roman" w:eastAsiaTheme="minorHAnsi" w:hAnsi="Times New Roman" w:cs="Times New Roman"/>
          <w:bCs/>
          <w:sz w:val="24"/>
          <w:szCs w:val="24"/>
          <w:lang w:eastAsia="en-US"/>
        </w:rPr>
        <w:t xml:space="preserve"> (далее – Региональная методика)</w:t>
      </w:r>
      <w:r w:rsidRPr="00335640">
        <w:rPr>
          <w:rFonts w:ascii="Times New Roman" w:eastAsiaTheme="minorHAnsi" w:hAnsi="Times New Roman" w:cs="Times New Roman"/>
          <w:bCs/>
          <w:sz w:val="24"/>
          <w:szCs w:val="24"/>
          <w:lang w:eastAsia="en-US"/>
        </w:rPr>
        <w:t xml:space="preserve">, согласно </w:t>
      </w:r>
      <w:r w:rsidR="001278CA">
        <w:rPr>
          <w:rFonts w:ascii="Times New Roman" w:eastAsiaTheme="minorHAnsi" w:hAnsi="Times New Roman" w:cs="Times New Roman"/>
          <w:bCs/>
          <w:sz w:val="24"/>
          <w:szCs w:val="24"/>
          <w:lang w:eastAsia="en-US"/>
        </w:rPr>
        <w:t>которой о</w:t>
      </w:r>
      <w:r w:rsidRPr="00335640">
        <w:rPr>
          <w:rFonts w:ascii="Times New Roman" w:eastAsiaTheme="minorHAnsi" w:hAnsi="Times New Roman" w:cs="Times New Roman"/>
          <w:bCs/>
          <w:sz w:val="24"/>
          <w:szCs w:val="24"/>
          <w:lang w:eastAsia="en-US"/>
        </w:rPr>
        <w:t>сновными критериями при распределении субвенции между бюджетами городских округов и поселений Волгоградской области являются:</w:t>
      </w:r>
      <w:r w:rsidR="001278CA">
        <w:rPr>
          <w:rFonts w:ascii="Times New Roman" w:eastAsiaTheme="minorHAnsi" w:hAnsi="Times New Roman" w:cs="Times New Roman"/>
          <w:bCs/>
          <w:sz w:val="24"/>
          <w:szCs w:val="24"/>
          <w:lang w:eastAsia="en-US"/>
        </w:rPr>
        <w:t xml:space="preserve"> </w:t>
      </w:r>
      <w:r w:rsidRPr="00335640">
        <w:rPr>
          <w:rFonts w:ascii="Times New Roman" w:eastAsiaTheme="minorHAnsi" w:hAnsi="Times New Roman" w:cs="Times New Roman"/>
          <w:bCs/>
          <w:sz w:val="24"/>
          <w:szCs w:val="24"/>
          <w:lang w:eastAsia="en-US"/>
        </w:rPr>
        <w:t>количество граждан, состоящих на воинском учете</w:t>
      </w:r>
      <w:proofErr w:type="gramEnd"/>
      <w:r w:rsidRPr="00335640">
        <w:rPr>
          <w:rFonts w:ascii="Times New Roman" w:eastAsiaTheme="minorHAnsi" w:hAnsi="Times New Roman" w:cs="Times New Roman"/>
          <w:bCs/>
          <w:sz w:val="24"/>
          <w:szCs w:val="24"/>
          <w:lang w:eastAsia="en-US"/>
        </w:rPr>
        <w:t xml:space="preserve"> в городских округах и поселениях</w:t>
      </w:r>
      <w:r w:rsidR="001278CA">
        <w:rPr>
          <w:rFonts w:ascii="Times New Roman" w:eastAsiaTheme="minorHAnsi" w:hAnsi="Times New Roman" w:cs="Times New Roman"/>
          <w:bCs/>
          <w:sz w:val="24"/>
          <w:szCs w:val="24"/>
          <w:lang w:eastAsia="en-US"/>
        </w:rPr>
        <w:t xml:space="preserve">, и </w:t>
      </w:r>
      <w:r w:rsidRPr="00335640">
        <w:rPr>
          <w:rFonts w:ascii="Times New Roman" w:eastAsiaTheme="minorHAnsi" w:hAnsi="Times New Roman" w:cs="Times New Roman"/>
          <w:bCs/>
          <w:sz w:val="24"/>
          <w:szCs w:val="24"/>
          <w:lang w:eastAsia="en-US"/>
        </w:rPr>
        <w:t xml:space="preserve">финансовый норматив на содержание одного </w:t>
      </w:r>
      <w:r w:rsidR="001278CA">
        <w:rPr>
          <w:rFonts w:ascii="Times New Roman" w:eastAsiaTheme="minorHAnsi" w:hAnsi="Times New Roman" w:cs="Times New Roman"/>
          <w:bCs/>
          <w:sz w:val="24"/>
          <w:szCs w:val="24"/>
          <w:lang w:eastAsia="en-US"/>
        </w:rPr>
        <w:t>ВУР ОМСУ</w:t>
      </w:r>
      <w:r w:rsidRPr="00335640">
        <w:rPr>
          <w:rFonts w:ascii="Times New Roman" w:eastAsiaTheme="minorHAnsi" w:hAnsi="Times New Roman" w:cs="Times New Roman"/>
          <w:bCs/>
          <w:sz w:val="24"/>
          <w:szCs w:val="24"/>
          <w:lang w:eastAsia="en-US"/>
        </w:rPr>
        <w:t xml:space="preserve"> городского округа и поселения</w:t>
      </w:r>
      <w:r w:rsidRPr="008A5A21">
        <w:rPr>
          <w:rFonts w:ascii="Times New Roman" w:eastAsiaTheme="minorHAnsi" w:hAnsi="Times New Roman" w:cs="Times New Roman"/>
          <w:bCs/>
          <w:sz w:val="24"/>
          <w:szCs w:val="24"/>
          <w:lang w:eastAsia="en-US"/>
        </w:rPr>
        <w:t>.</w:t>
      </w:r>
      <w:r w:rsidR="008A5A21" w:rsidRPr="008A5A21">
        <w:rPr>
          <w:rFonts w:ascii="Times New Roman" w:eastAsiaTheme="minorHAnsi" w:hAnsi="Times New Roman" w:cs="Times New Roman"/>
          <w:bCs/>
          <w:sz w:val="24"/>
          <w:szCs w:val="24"/>
          <w:lang w:eastAsia="en-US"/>
        </w:rPr>
        <w:t xml:space="preserve"> Ф</w:t>
      </w:r>
      <w:r w:rsidR="005424D5" w:rsidRPr="008A5A21">
        <w:rPr>
          <w:rFonts w:ascii="Times New Roman" w:eastAsiaTheme="minorHAnsi" w:hAnsi="Times New Roman" w:cs="Times New Roman"/>
          <w:sz w:val="24"/>
          <w:szCs w:val="24"/>
          <w:lang w:eastAsia="en-US"/>
        </w:rPr>
        <w:t xml:space="preserve">инансовый норматив определяется исходя из общей суммы субвенции, выделяемой из федерального бюджета, и общего количества </w:t>
      </w:r>
      <w:r w:rsidR="008A5A21" w:rsidRPr="008A5A21">
        <w:rPr>
          <w:rFonts w:ascii="Times New Roman" w:eastAsiaTheme="minorHAnsi" w:hAnsi="Times New Roman" w:cs="Times New Roman"/>
          <w:sz w:val="24"/>
          <w:szCs w:val="24"/>
          <w:lang w:eastAsia="en-US"/>
        </w:rPr>
        <w:t>ВУР.</w:t>
      </w:r>
    </w:p>
    <w:p w:rsidR="002D1263" w:rsidRDefault="00C52804" w:rsidP="002D1263">
      <w:pPr>
        <w:autoSpaceDE w:val="0"/>
        <w:autoSpaceDN w:val="0"/>
        <w:adjustRightInd w:val="0"/>
        <w:ind w:firstLine="680"/>
        <w:jc w:val="both"/>
        <w:rPr>
          <w:rFonts w:eastAsiaTheme="minorHAnsi"/>
          <w:lang w:eastAsia="en-US"/>
        </w:rPr>
      </w:pPr>
      <w:hyperlink r:id="rId12" w:history="1">
        <w:r w:rsidR="002D1263" w:rsidRPr="002D1263">
          <w:rPr>
            <w:rFonts w:eastAsiaTheme="minorHAnsi"/>
            <w:lang w:eastAsia="en-US"/>
          </w:rPr>
          <w:t>Правила</w:t>
        </w:r>
      </w:hyperlink>
      <w:r w:rsidR="002D1263" w:rsidRPr="002D1263">
        <w:rPr>
          <w:rFonts w:eastAsiaTheme="minorHAnsi"/>
          <w:lang w:eastAsia="en-US"/>
        </w:rPr>
        <w:t xml:space="preserve"> п</w:t>
      </w:r>
      <w:r w:rsidR="002D1263">
        <w:rPr>
          <w:rFonts w:eastAsiaTheme="minorHAnsi"/>
          <w:lang w:eastAsia="en-US"/>
        </w:rPr>
        <w:t>редоставления бюджетам поселений Волгоградской области субвенций из областного бюджета для финансового обеспечения переданных ОМСУ государственных полномочий РФ по первичному воинскому учету на территориях, где отсутствуют военные комиссариаты, утверждены постановлением Администрации Волгоградской области от 15.03.2010 № 48-п (далее – Правила № 48-п).</w:t>
      </w:r>
    </w:p>
    <w:p w:rsidR="002D1263" w:rsidRDefault="002D1263" w:rsidP="002D1263">
      <w:pPr>
        <w:autoSpaceDE w:val="0"/>
        <w:autoSpaceDN w:val="0"/>
        <w:adjustRightInd w:val="0"/>
        <w:ind w:firstLine="680"/>
        <w:jc w:val="both"/>
        <w:rPr>
          <w:rFonts w:eastAsiaTheme="minorHAnsi"/>
          <w:lang w:eastAsia="en-US"/>
        </w:rPr>
      </w:pPr>
      <w:r>
        <w:rPr>
          <w:rFonts w:eastAsiaTheme="minorHAnsi"/>
          <w:lang w:eastAsia="en-US"/>
        </w:rPr>
        <w:t xml:space="preserve">Согласно Правилам № 48-п </w:t>
      </w:r>
      <w:proofErr w:type="spellStart"/>
      <w:r>
        <w:rPr>
          <w:rFonts w:eastAsiaTheme="minorHAnsi"/>
          <w:lang w:eastAsia="en-US"/>
        </w:rPr>
        <w:t>Облфин</w:t>
      </w:r>
      <w:proofErr w:type="spellEnd"/>
      <w:r>
        <w:rPr>
          <w:rFonts w:eastAsiaTheme="minorHAnsi"/>
          <w:lang w:eastAsia="en-US"/>
        </w:rPr>
        <w:t xml:space="preserve"> </w:t>
      </w:r>
      <w:proofErr w:type="gramStart"/>
      <w:r>
        <w:rPr>
          <w:rFonts w:eastAsiaTheme="minorHAnsi"/>
          <w:lang w:eastAsia="en-US"/>
        </w:rPr>
        <w:t>определен</w:t>
      </w:r>
      <w:proofErr w:type="gramEnd"/>
      <w:r>
        <w:rPr>
          <w:rFonts w:eastAsiaTheme="minorHAnsi"/>
          <w:lang w:eastAsia="en-US"/>
        </w:rPr>
        <w:t xml:space="preserve"> органом, уполномоченным осуществлять взаимодействие с Военным комиссариатом Волгоградской области (далее – </w:t>
      </w:r>
      <w:proofErr w:type="spellStart"/>
      <w:r>
        <w:rPr>
          <w:rFonts w:eastAsiaTheme="minorHAnsi"/>
          <w:lang w:eastAsia="en-US"/>
        </w:rPr>
        <w:t>Облвоенком</w:t>
      </w:r>
      <w:r w:rsidR="008703C9">
        <w:rPr>
          <w:rFonts w:eastAsiaTheme="minorHAnsi"/>
          <w:lang w:eastAsia="en-US"/>
        </w:rPr>
        <w:t>ат</w:t>
      </w:r>
      <w:proofErr w:type="spellEnd"/>
      <w:r>
        <w:rPr>
          <w:rFonts w:eastAsiaTheme="minorHAnsi"/>
          <w:lang w:eastAsia="en-US"/>
        </w:rPr>
        <w:t xml:space="preserve">), а также с </w:t>
      </w:r>
      <w:r w:rsidR="00E976D2">
        <w:rPr>
          <w:rFonts w:eastAsiaTheme="minorHAnsi"/>
          <w:lang w:eastAsia="en-US"/>
        </w:rPr>
        <w:t>ОМСУ</w:t>
      </w:r>
      <w:r>
        <w:rPr>
          <w:rFonts w:eastAsiaTheme="minorHAnsi"/>
          <w:lang w:eastAsia="en-US"/>
        </w:rPr>
        <w:t xml:space="preserve"> поселений по вопросам выделения и расходования субвенций, поступающих из федерального бюджета и передаваемых местным бюджетам на осуществление государственных полномочий Р</w:t>
      </w:r>
      <w:r w:rsidR="00E976D2">
        <w:rPr>
          <w:rFonts w:eastAsiaTheme="minorHAnsi"/>
          <w:lang w:eastAsia="en-US"/>
        </w:rPr>
        <w:t>Ф</w:t>
      </w:r>
      <w:r>
        <w:rPr>
          <w:rFonts w:eastAsiaTheme="minorHAnsi"/>
          <w:lang w:eastAsia="en-US"/>
        </w:rPr>
        <w:t xml:space="preserve"> по первичному воинскому учету на территориях, где отсутствуют военные комиссариаты.</w:t>
      </w:r>
    </w:p>
    <w:p w:rsidR="00542C9D" w:rsidRDefault="00542C9D" w:rsidP="002D1263">
      <w:pPr>
        <w:autoSpaceDE w:val="0"/>
        <w:autoSpaceDN w:val="0"/>
        <w:adjustRightInd w:val="0"/>
        <w:ind w:firstLine="680"/>
        <w:jc w:val="both"/>
        <w:rPr>
          <w:rFonts w:eastAsiaTheme="minorHAnsi"/>
          <w:lang w:eastAsia="en-US"/>
        </w:rPr>
      </w:pPr>
    </w:p>
    <w:p w:rsidR="00542C9D" w:rsidRDefault="00542C9D" w:rsidP="002D1263">
      <w:pPr>
        <w:autoSpaceDE w:val="0"/>
        <w:autoSpaceDN w:val="0"/>
        <w:adjustRightInd w:val="0"/>
        <w:ind w:firstLine="680"/>
        <w:jc w:val="both"/>
        <w:rPr>
          <w:rFonts w:eastAsiaTheme="minorHAnsi"/>
          <w:lang w:eastAsia="en-US"/>
        </w:rPr>
      </w:pPr>
      <w:r>
        <w:rPr>
          <w:rFonts w:eastAsiaTheme="minorHAnsi"/>
          <w:lang w:eastAsia="en-US"/>
        </w:rPr>
        <w:t xml:space="preserve">По результатам мероприятия выявлены следующие </w:t>
      </w:r>
      <w:r w:rsidRPr="00E1169A">
        <w:rPr>
          <w:rFonts w:eastAsiaTheme="minorHAnsi"/>
          <w:b/>
          <w:i/>
          <w:lang w:eastAsia="en-US"/>
        </w:rPr>
        <w:t xml:space="preserve">недостатки нормативно-правового регулирования </w:t>
      </w:r>
      <w:r>
        <w:rPr>
          <w:rFonts w:eastAsiaTheme="minorHAnsi"/>
          <w:lang w:eastAsia="en-US"/>
        </w:rPr>
        <w:t>порядка распределения и использования субвенций:</w:t>
      </w:r>
    </w:p>
    <w:p w:rsidR="00542C9D" w:rsidRPr="00EC3FF8" w:rsidRDefault="00EC3FF8" w:rsidP="002D1263">
      <w:pPr>
        <w:autoSpaceDE w:val="0"/>
        <w:autoSpaceDN w:val="0"/>
        <w:adjustRightInd w:val="0"/>
        <w:ind w:firstLine="680"/>
        <w:jc w:val="both"/>
        <w:rPr>
          <w:rFonts w:eastAsiaTheme="minorHAnsi"/>
          <w:u w:val="single"/>
          <w:lang w:eastAsia="en-US"/>
        </w:rPr>
      </w:pPr>
      <w:r w:rsidRPr="00EC3FF8">
        <w:rPr>
          <w:rFonts w:eastAsiaTheme="minorHAnsi"/>
          <w:u w:val="single"/>
          <w:lang w:eastAsia="en-US"/>
        </w:rPr>
        <w:lastRenderedPageBreak/>
        <w:t>на федеральном уровне</w:t>
      </w:r>
    </w:p>
    <w:p w:rsidR="00193FDF" w:rsidRPr="008703C9" w:rsidRDefault="000B00ED" w:rsidP="008703C9">
      <w:pPr>
        <w:pStyle w:val="a3"/>
        <w:numPr>
          <w:ilvl w:val="0"/>
          <w:numId w:val="5"/>
        </w:numPr>
        <w:autoSpaceDE w:val="0"/>
        <w:autoSpaceDN w:val="0"/>
        <w:adjustRightInd w:val="0"/>
        <w:spacing w:after="0" w:line="240" w:lineRule="auto"/>
        <w:ind w:left="0" w:firstLine="680"/>
        <w:jc w:val="both"/>
        <w:rPr>
          <w:rFonts w:ascii="Times New Roman" w:hAnsi="Times New Roman" w:cs="Times New Roman"/>
          <w:sz w:val="24"/>
          <w:szCs w:val="24"/>
        </w:rPr>
      </w:pPr>
      <w:proofErr w:type="gramStart"/>
      <w:r w:rsidRPr="001545E7">
        <w:rPr>
          <w:rFonts w:ascii="Times New Roman" w:hAnsi="Times New Roman" w:cs="Times New Roman"/>
          <w:i/>
          <w:sz w:val="24"/>
          <w:szCs w:val="24"/>
        </w:rPr>
        <w:t>в части даты определения количества граждан, состоящих на воинском учете в ОМСУ, исходя из которого производится распределение субвенции</w:t>
      </w:r>
      <w:r w:rsidRPr="008703C9">
        <w:rPr>
          <w:rFonts w:ascii="Times New Roman" w:hAnsi="Times New Roman" w:cs="Times New Roman"/>
          <w:sz w:val="24"/>
          <w:szCs w:val="24"/>
        </w:rPr>
        <w:t>, пунктом 13 Постановления</w:t>
      </w:r>
      <w:r w:rsidR="00EC3FF8" w:rsidRPr="008703C9">
        <w:rPr>
          <w:rFonts w:ascii="Times New Roman" w:hAnsi="Times New Roman" w:cs="Times New Roman"/>
          <w:sz w:val="24"/>
          <w:szCs w:val="24"/>
        </w:rPr>
        <w:t xml:space="preserve"> Правительства РФ № 719</w:t>
      </w:r>
      <w:r w:rsidRPr="008703C9">
        <w:rPr>
          <w:rFonts w:ascii="Times New Roman" w:hAnsi="Times New Roman" w:cs="Times New Roman"/>
          <w:sz w:val="24"/>
          <w:szCs w:val="24"/>
        </w:rPr>
        <w:t xml:space="preserve"> установлено, что </w:t>
      </w:r>
      <w:r w:rsidR="00EC3FF8" w:rsidRPr="008703C9">
        <w:rPr>
          <w:rFonts w:ascii="Times New Roman" w:hAnsi="Times New Roman" w:cs="Times New Roman"/>
          <w:sz w:val="24"/>
          <w:szCs w:val="24"/>
        </w:rPr>
        <w:t xml:space="preserve">общее количество работников, осуществляющих воинский учет, определяется исходя из количества граждан, состоящих на воинском учете в органах местного самоуправления по состоянию </w:t>
      </w:r>
      <w:r w:rsidR="00EC3FF8" w:rsidRPr="00697339">
        <w:rPr>
          <w:rFonts w:ascii="Times New Roman" w:hAnsi="Times New Roman" w:cs="Times New Roman"/>
          <w:i/>
          <w:sz w:val="24"/>
          <w:szCs w:val="24"/>
        </w:rPr>
        <w:t>на 31 декабря предшествующего года</w:t>
      </w:r>
      <w:r w:rsidR="00EC3FF8" w:rsidRPr="008703C9">
        <w:rPr>
          <w:rFonts w:ascii="Times New Roman" w:hAnsi="Times New Roman" w:cs="Times New Roman"/>
          <w:sz w:val="24"/>
          <w:szCs w:val="24"/>
        </w:rPr>
        <w:t>.</w:t>
      </w:r>
      <w:proofErr w:type="gramEnd"/>
      <w:r w:rsidR="00EC3FF8" w:rsidRPr="008703C9">
        <w:rPr>
          <w:rFonts w:ascii="Times New Roman" w:hAnsi="Times New Roman" w:cs="Times New Roman"/>
          <w:sz w:val="24"/>
          <w:szCs w:val="24"/>
        </w:rPr>
        <w:t xml:space="preserve"> </w:t>
      </w:r>
      <w:r w:rsidR="00193FDF" w:rsidRPr="008703C9">
        <w:rPr>
          <w:rFonts w:ascii="Times New Roman" w:hAnsi="Times New Roman" w:cs="Times New Roman"/>
          <w:sz w:val="24"/>
          <w:szCs w:val="24"/>
        </w:rPr>
        <w:t>То есть распределение субвенции на 2016 год должно было производиться исходя из численности по состоянию на 31.12.2014, на 2017 год исходя из численности на 31.12.2015 и т. д.</w:t>
      </w:r>
    </w:p>
    <w:p w:rsidR="00542C9D" w:rsidRDefault="00D34E37" w:rsidP="001A63E1">
      <w:pPr>
        <w:autoSpaceDE w:val="0"/>
        <w:autoSpaceDN w:val="0"/>
        <w:adjustRightInd w:val="0"/>
        <w:ind w:firstLine="680"/>
        <w:jc w:val="both"/>
        <w:rPr>
          <w:rFonts w:eastAsiaTheme="minorHAnsi"/>
          <w:lang w:eastAsia="en-US"/>
        </w:rPr>
      </w:pPr>
      <w:proofErr w:type="gramStart"/>
      <w:r>
        <w:rPr>
          <w:rFonts w:eastAsiaTheme="minorHAnsi"/>
          <w:lang w:eastAsia="en-US"/>
        </w:rPr>
        <w:t xml:space="preserve">В ходе мероприятия </w:t>
      </w:r>
      <w:r w:rsidR="00EC3FF8" w:rsidRPr="00B869B4">
        <w:rPr>
          <w:rFonts w:eastAsiaTheme="minorHAnsi"/>
          <w:lang w:eastAsia="en-US"/>
        </w:rPr>
        <w:t>установлено</w:t>
      </w:r>
      <w:r w:rsidR="00D97A25" w:rsidRPr="00B869B4">
        <w:rPr>
          <w:rFonts w:eastAsiaTheme="minorHAnsi"/>
          <w:lang w:eastAsia="en-US"/>
        </w:rPr>
        <w:t xml:space="preserve"> (более подробно описано ниже)</w:t>
      </w:r>
      <w:r w:rsidR="00EC3FF8" w:rsidRPr="00B869B4">
        <w:rPr>
          <w:rFonts w:eastAsiaTheme="minorHAnsi"/>
          <w:lang w:eastAsia="en-US"/>
        </w:rPr>
        <w:t>,</w:t>
      </w:r>
      <w:r w:rsidR="00EC3FF8" w:rsidRPr="00EC3FF8">
        <w:rPr>
          <w:rFonts w:eastAsiaTheme="minorHAnsi"/>
          <w:lang w:eastAsia="en-US"/>
        </w:rPr>
        <w:t xml:space="preserve"> что на основании п.5 ст. 133 БК РФ </w:t>
      </w:r>
      <w:proofErr w:type="spellStart"/>
      <w:r w:rsidR="00135999">
        <w:rPr>
          <w:rFonts w:eastAsiaTheme="minorHAnsi"/>
          <w:lang w:eastAsia="en-US"/>
        </w:rPr>
        <w:t>Облвоенкомат</w:t>
      </w:r>
      <w:proofErr w:type="spellEnd"/>
      <w:r w:rsidR="00EC3FF8" w:rsidRPr="00EC3FF8">
        <w:rPr>
          <w:rFonts w:eastAsiaTheme="minorHAnsi"/>
          <w:lang w:eastAsia="en-US"/>
        </w:rPr>
        <w:t xml:space="preserve"> направляет в </w:t>
      </w:r>
      <w:proofErr w:type="spellStart"/>
      <w:r>
        <w:rPr>
          <w:rFonts w:eastAsiaTheme="minorHAnsi"/>
          <w:lang w:eastAsia="en-US"/>
        </w:rPr>
        <w:t>Облфин</w:t>
      </w:r>
      <w:proofErr w:type="spellEnd"/>
      <w:r w:rsidR="00EC3FF8" w:rsidRPr="00EC3FF8">
        <w:rPr>
          <w:rFonts w:eastAsiaTheme="minorHAnsi"/>
          <w:lang w:eastAsia="en-US"/>
        </w:rPr>
        <w:t xml:space="preserve"> исходные данные для проведения расчетов распределения субвенций бюджетам субъектов РФ</w:t>
      </w:r>
      <w:r w:rsidR="00605A7A" w:rsidRPr="00605A7A">
        <w:rPr>
          <w:rFonts w:eastAsiaTheme="minorHAnsi"/>
          <w:lang w:eastAsia="en-US"/>
        </w:rPr>
        <w:t xml:space="preserve"> </w:t>
      </w:r>
      <w:r w:rsidR="00605A7A">
        <w:rPr>
          <w:rFonts w:eastAsiaTheme="minorHAnsi"/>
          <w:lang w:eastAsia="en-US"/>
        </w:rPr>
        <w:t>из федерального бюджета на очередной финансовый год и плановый период</w:t>
      </w:r>
      <w:r w:rsidR="00EC3FF8" w:rsidRPr="00EC3FF8">
        <w:rPr>
          <w:rFonts w:eastAsiaTheme="minorHAnsi"/>
          <w:lang w:eastAsia="en-US"/>
        </w:rPr>
        <w:t xml:space="preserve">, </w:t>
      </w:r>
      <w:r w:rsidR="00135999">
        <w:rPr>
          <w:rFonts w:eastAsiaTheme="minorHAnsi"/>
          <w:lang w:eastAsia="en-US"/>
        </w:rPr>
        <w:t xml:space="preserve">в которых </w:t>
      </w:r>
      <w:r w:rsidR="00EC3FF8" w:rsidRPr="00EC3FF8">
        <w:rPr>
          <w:rFonts w:eastAsiaTheme="minorHAnsi"/>
          <w:lang w:eastAsia="en-US"/>
        </w:rPr>
        <w:t xml:space="preserve">сведения о количестве граждан, состоящих на воинском учете, и количестве ВУР </w:t>
      </w:r>
      <w:r>
        <w:rPr>
          <w:rFonts w:eastAsiaTheme="minorHAnsi"/>
          <w:lang w:eastAsia="en-US"/>
        </w:rPr>
        <w:t>ОМСУ</w:t>
      </w:r>
      <w:r w:rsidR="00EC3FF8" w:rsidRPr="00EC3FF8">
        <w:rPr>
          <w:rFonts w:eastAsiaTheme="minorHAnsi"/>
          <w:lang w:eastAsia="en-US"/>
        </w:rPr>
        <w:t xml:space="preserve"> поселений </w:t>
      </w:r>
      <w:r w:rsidR="00135999">
        <w:rPr>
          <w:rFonts w:eastAsiaTheme="minorHAnsi"/>
          <w:lang w:eastAsia="en-US"/>
        </w:rPr>
        <w:t>на 2017 – 2018 годы</w:t>
      </w:r>
      <w:proofErr w:type="gramEnd"/>
      <w:r w:rsidR="00135999">
        <w:rPr>
          <w:rFonts w:eastAsiaTheme="minorHAnsi"/>
          <w:lang w:eastAsia="en-US"/>
        </w:rPr>
        <w:t xml:space="preserve"> </w:t>
      </w:r>
      <w:r w:rsidR="00EC3FF8" w:rsidRPr="00EC3FF8">
        <w:rPr>
          <w:rFonts w:eastAsiaTheme="minorHAnsi"/>
          <w:lang w:eastAsia="en-US"/>
        </w:rPr>
        <w:t>указыва</w:t>
      </w:r>
      <w:r w:rsidR="00135999">
        <w:rPr>
          <w:rFonts w:eastAsiaTheme="minorHAnsi"/>
          <w:lang w:eastAsia="en-US"/>
        </w:rPr>
        <w:t>лись</w:t>
      </w:r>
      <w:r w:rsidR="00EC3FF8" w:rsidRPr="00EC3FF8">
        <w:rPr>
          <w:rFonts w:eastAsiaTheme="minorHAnsi"/>
          <w:lang w:eastAsia="en-US"/>
        </w:rPr>
        <w:t xml:space="preserve"> по состоянию </w:t>
      </w:r>
      <w:r w:rsidR="00EC3FF8" w:rsidRPr="00697339">
        <w:rPr>
          <w:rFonts w:eastAsiaTheme="minorHAnsi"/>
          <w:i/>
          <w:lang w:eastAsia="en-US"/>
        </w:rPr>
        <w:t>на 01 августа текущего года</w:t>
      </w:r>
      <w:r w:rsidR="00193FDF">
        <w:rPr>
          <w:rFonts w:eastAsiaTheme="minorHAnsi"/>
          <w:lang w:eastAsia="en-US"/>
        </w:rPr>
        <w:t xml:space="preserve"> (на </w:t>
      </w:r>
      <w:r w:rsidR="00135999">
        <w:rPr>
          <w:rFonts w:eastAsiaTheme="minorHAnsi"/>
          <w:lang w:eastAsia="en-US"/>
        </w:rPr>
        <w:t xml:space="preserve">01.08.2016 и 01.08.2017). Т.е. </w:t>
      </w:r>
      <w:r w:rsidR="00135999" w:rsidRPr="00135999">
        <w:rPr>
          <w:rFonts w:eastAsiaTheme="minorHAnsi"/>
          <w:lang w:eastAsia="en-US"/>
        </w:rPr>
        <w:t xml:space="preserve">на момент формирования </w:t>
      </w:r>
      <w:proofErr w:type="gramStart"/>
      <w:r w:rsidR="00135999" w:rsidRPr="00135999">
        <w:rPr>
          <w:rFonts w:eastAsiaTheme="minorHAnsi"/>
          <w:lang w:eastAsia="en-US"/>
        </w:rPr>
        <w:t>бюджета</w:t>
      </w:r>
      <w:proofErr w:type="gramEnd"/>
      <w:r w:rsidR="00135999">
        <w:rPr>
          <w:rFonts w:eastAsiaTheme="minorHAnsi"/>
          <w:lang w:eastAsia="en-US"/>
        </w:rPr>
        <w:t xml:space="preserve"> на очередной финансовый год для распределения объема субвенции </w:t>
      </w:r>
      <w:proofErr w:type="spellStart"/>
      <w:r w:rsidR="00135999">
        <w:rPr>
          <w:rFonts w:eastAsiaTheme="minorHAnsi"/>
          <w:lang w:eastAsia="en-US"/>
        </w:rPr>
        <w:t>Облвоенкоматом</w:t>
      </w:r>
      <w:proofErr w:type="spellEnd"/>
      <w:r w:rsidR="00135999">
        <w:rPr>
          <w:rFonts w:eastAsiaTheme="minorHAnsi"/>
          <w:lang w:eastAsia="en-US"/>
        </w:rPr>
        <w:t xml:space="preserve"> направляются более актуальные сведения </w:t>
      </w:r>
      <w:r w:rsidR="00D3476D" w:rsidRPr="00135999">
        <w:rPr>
          <w:rFonts w:eastAsiaTheme="minorHAnsi"/>
          <w:lang w:eastAsia="en-US"/>
        </w:rPr>
        <w:t>о состоящих на воинском учете граждан</w:t>
      </w:r>
      <w:r w:rsidR="00135999">
        <w:rPr>
          <w:rFonts w:eastAsiaTheme="minorHAnsi"/>
          <w:lang w:eastAsia="en-US"/>
        </w:rPr>
        <w:t xml:space="preserve">, в связи с чем целесообразно </w:t>
      </w:r>
      <w:r w:rsidR="00EC3FF8" w:rsidRPr="00135999">
        <w:rPr>
          <w:rFonts w:eastAsiaTheme="minorHAnsi"/>
          <w:lang w:eastAsia="en-US"/>
        </w:rPr>
        <w:t xml:space="preserve">в п.13 </w:t>
      </w:r>
      <w:r w:rsidR="00CD4ABB" w:rsidRPr="00135999">
        <w:rPr>
          <w:rFonts w:eastAsiaTheme="minorHAnsi"/>
          <w:lang w:eastAsia="en-US"/>
        </w:rPr>
        <w:t>П</w:t>
      </w:r>
      <w:r w:rsidR="00EC3FF8" w:rsidRPr="00135999">
        <w:rPr>
          <w:rFonts w:eastAsiaTheme="minorHAnsi"/>
          <w:lang w:eastAsia="en-US"/>
        </w:rPr>
        <w:t xml:space="preserve">остановления Правительства РФ № 719 </w:t>
      </w:r>
      <w:r w:rsidR="00605A7A">
        <w:rPr>
          <w:rFonts w:eastAsiaTheme="minorHAnsi"/>
          <w:lang w:eastAsia="en-US"/>
        </w:rPr>
        <w:t>предусмотреть</w:t>
      </w:r>
      <w:r w:rsidR="00EC3FF8" w:rsidRPr="00135999">
        <w:rPr>
          <w:rFonts w:eastAsiaTheme="minorHAnsi"/>
          <w:lang w:eastAsia="en-US"/>
        </w:rPr>
        <w:t xml:space="preserve"> более позднюю дату</w:t>
      </w:r>
      <w:r w:rsidR="00605A7A">
        <w:rPr>
          <w:rFonts w:eastAsiaTheme="minorHAnsi"/>
          <w:lang w:eastAsia="en-US"/>
        </w:rPr>
        <w:t xml:space="preserve"> определения</w:t>
      </w:r>
      <w:r w:rsidR="00EC3FF8" w:rsidRPr="00135999">
        <w:rPr>
          <w:rFonts w:eastAsiaTheme="minorHAnsi"/>
          <w:lang w:eastAsia="en-US"/>
        </w:rPr>
        <w:t xml:space="preserve"> количества работнико</w:t>
      </w:r>
      <w:r w:rsidR="00135999">
        <w:rPr>
          <w:rFonts w:eastAsiaTheme="minorHAnsi"/>
          <w:lang w:eastAsia="en-US"/>
        </w:rPr>
        <w:t>в, осуществляющих воинский учет.</w:t>
      </w:r>
    </w:p>
    <w:p w:rsidR="006C538A" w:rsidRPr="001545E7" w:rsidRDefault="00FE7C64" w:rsidP="00F661C4">
      <w:pPr>
        <w:pStyle w:val="a3"/>
        <w:numPr>
          <w:ilvl w:val="0"/>
          <w:numId w:val="1"/>
        </w:numPr>
        <w:shd w:val="clear" w:color="auto" w:fill="FFFFFF"/>
        <w:spacing w:after="0" w:line="240" w:lineRule="auto"/>
        <w:ind w:left="0" w:firstLine="680"/>
        <w:jc w:val="both"/>
        <w:rPr>
          <w:rFonts w:ascii="Times New Roman" w:hAnsi="Times New Roman" w:cs="Times New Roman"/>
          <w:i/>
          <w:sz w:val="24"/>
          <w:szCs w:val="24"/>
        </w:rPr>
      </w:pPr>
      <w:r w:rsidRPr="001545E7">
        <w:rPr>
          <w:rFonts w:ascii="Times New Roman" w:hAnsi="Times New Roman" w:cs="Times New Roman"/>
          <w:i/>
          <w:sz w:val="24"/>
          <w:szCs w:val="24"/>
        </w:rPr>
        <w:t xml:space="preserve">отсутствие  нормативно установленного порядка нормирования затрат на содержание ВУР </w:t>
      </w:r>
      <w:r w:rsidR="005D267C" w:rsidRPr="001545E7">
        <w:rPr>
          <w:rFonts w:ascii="Times New Roman" w:hAnsi="Times New Roman" w:cs="Times New Roman"/>
          <w:i/>
          <w:sz w:val="24"/>
          <w:szCs w:val="24"/>
        </w:rPr>
        <w:t>ОМСУ</w:t>
      </w:r>
      <w:r w:rsidRPr="001545E7">
        <w:rPr>
          <w:rFonts w:ascii="Times New Roman" w:hAnsi="Times New Roman" w:cs="Times New Roman"/>
          <w:i/>
          <w:sz w:val="24"/>
          <w:szCs w:val="24"/>
        </w:rPr>
        <w:t xml:space="preserve">. </w:t>
      </w:r>
    </w:p>
    <w:p w:rsidR="00D55CDC" w:rsidRPr="00F661C4" w:rsidRDefault="00FE7C64" w:rsidP="00F661C4">
      <w:pPr>
        <w:shd w:val="clear" w:color="auto" w:fill="FFFFFF"/>
        <w:ind w:firstLine="680"/>
        <w:jc w:val="both"/>
      </w:pPr>
      <w:r w:rsidRPr="006C538A">
        <w:t>Так</w:t>
      </w:r>
      <w:r w:rsidR="006C538A">
        <w:t xml:space="preserve">, </w:t>
      </w:r>
      <w:r w:rsidR="005D267C" w:rsidRPr="006C538A">
        <w:t xml:space="preserve">нормативно </w:t>
      </w:r>
      <w:r w:rsidRPr="006C538A">
        <w:t>не установлен порядок  определения заработной платы ВУР. Письмом Министерства оборо</w:t>
      </w:r>
      <w:r w:rsidR="005D267C" w:rsidRPr="006C538A">
        <w:t>ны РФ от 25.04.2009 №315/2/203 «</w:t>
      </w:r>
      <w:r w:rsidRPr="006C538A">
        <w:t>Об оплате труда ВУР органов местного самоуправления...</w:t>
      </w:r>
      <w:r w:rsidR="005D267C" w:rsidRPr="006C538A">
        <w:t>»</w:t>
      </w:r>
      <w:r w:rsidRPr="006C538A">
        <w:t xml:space="preserve">  </w:t>
      </w:r>
      <w:r w:rsidR="005D267C" w:rsidRPr="006C538A">
        <w:t>сообщено, что порядок и условия оплаты труда ВУР устанавливаются ОМСУ сам</w:t>
      </w:r>
      <w:r w:rsidR="00431C57">
        <w:t>остоятельно</w:t>
      </w:r>
      <w:r w:rsidR="005D267C" w:rsidRPr="006C538A">
        <w:t xml:space="preserve"> в </w:t>
      </w:r>
      <w:proofErr w:type="gramStart"/>
      <w:r w:rsidR="005D267C" w:rsidRPr="006C538A">
        <w:t>пределах</w:t>
      </w:r>
      <w:proofErr w:type="gramEnd"/>
      <w:r w:rsidR="005D267C" w:rsidRPr="006C538A">
        <w:t xml:space="preserve"> выделенных из федерального бюджета средств на эти цели, исходя из расчета потребности на оплату труда по должности «инспектора по учету и бронированию» военного комиссариата. </w:t>
      </w:r>
      <w:r w:rsidR="00D55CDC" w:rsidRPr="006C538A">
        <w:t xml:space="preserve">Однако в проверенном периоде </w:t>
      </w:r>
      <w:proofErr w:type="gramStart"/>
      <w:r w:rsidR="00D55CDC" w:rsidRPr="006C538A">
        <w:t>размер оплаты труда</w:t>
      </w:r>
      <w:proofErr w:type="gramEnd"/>
      <w:r w:rsidR="00D55CDC" w:rsidRPr="006C538A">
        <w:t xml:space="preserve"> такой должности нормативными правовыми актами не определен. </w:t>
      </w:r>
    </w:p>
    <w:p w:rsidR="008D2653" w:rsidRDefault="00736E7C" w:rsidP="00F661C4">
      <w:pPr>
        <w:ind w:firstLine="680"/>
        <w:jc w:val="both"/>
      </w:pPr>
      <w:proofErr w:type="gramStart"/>
      <w:r>
        <w:t>В</w:t>
      </w:r>
      <w:r w:rsidR="00914715">
        <w:t xml:space="preserve"> отдельных</w:t>
      </w:r>
      <w:r w:rsidR="006A1EB3">
        <w:t xml:space="preserve"> поселениях </w:t>
      </w:r>
      <w:r w:rsidR="00A3167C">
        <w:t>Волгоградской области</w:t>
      </w:r>
      <w:r w:rsidR="00CD6526" w:rsidRPr="00F661C4">
        <w:t xml:space="preserve"> </w:t>
      </w:r>
      <w:r w:rsidR="00CD6526">
        <w:t xml:space="preserve">(поселения Алексеевского, Быковского, </w:t>
      </w:r>
      <w:proofErr w:type="spellStart"/>
      <w:r w:rsidR="00CD6526" w:rsidRPr="007030DA">
        <w:t>Городищенск</w:t>
      </w:r>
      <w:r w:rsidR="00CD6526">
        <w:t>ого</w:t>
      </w:r>
      <w:proofErr w:type="spellEnd"/>
      <w:r w:rsidR="00CD6526">
        <w:t xml:space="preserve">, </w:t>
      </w:r>
      <w:proofErr w:type="spellStart"/>
      <w:r w:rsidR="00CD6526">
        <w:t>Кумылженского</w:t>
      </w:r>
      <w:proofErr w:type="spellEnd"/>
      <w:r w:rsidR="00CD6526">
        <w:t xml:space="preserve"> районов и др.) при установлении должностных окладов ВУР в положениях об оплате труда ВУР</w:t>
      </w:r>
      <w:r w:rsidR="00E66066">
        <w:t xml:space="preserve"> имеется ссылка</w:t>
      </w:r>
      <w:r w:rsidR="00CD6526">
        <w:t xml:space="preserve"> на </w:t>
      </w:r>
      <w:r w:rsidR="00CD6526" w:rsidRPr="00BD59DB">
        <w:t>приказ Министра обороны РФ от 23.04.2014 №255 «О мерах по реализации в Вооруженных Силах Российской Федерации постановления Правительства Российской Федерации от 5 августа 2008 г. № 583»</w:t>
      </w:r>
      <w:r w:rsidR="00CD6526">
        <w:t>.</w:t>
      </w:r>
      <w:proofErr w:type="gramEnd"/>
      <w:r w:rsidR="00CD6526">
        <w:t xml:space="preserve">  Согласно п.п</w:t>
      </w:r>
      <w:proofErr w:type="gramStart"/>
      <w:r w:rsidR="00CD6526">
        <w:t>.а</w:t>
      </w:r>
      <w:proofErr w:type="gramEnd"/>
      <w:r w:rsidR="00CD6526">
        <w:t xml:space="preserve">) таблицы 2 указанного приказа в отделах (муниципальных) военных комиссариатов были предусмотрены должностные оклады работников муниципальных военных комиссариатов от 7840 руб. (у помощника начальника отделения) до 15200 руб. (у начальника муниципального отдела военного комиссара), с </w:t>
      </w:r>
      <w:r w:rsidR="00FA429E">
        <w:t>20.09</w:t>
      </w:r>
      <w:r w:rsidR="00CD6526">
        <w:t>.201</w:t>
      </w:r>
      <w:r w:rsidR="00FA429E">
        <w:t>6</w:t>
      </w:r>
      <w:r w:rsidR="00CD6526">
        <w:t xml:space="preserve"> от 8240 руб. до 15600 рублей.</w:t>
      </w:r>
      <w:r w:rsidR="00CD6526" w:rsidRPr="009A0186">
        <w:t xml:space="preserve"> </w:t>
      </w:r>
      <w:r w:rsidR="00FA429E">
        <w:t>В</w:t>
      </w:r>
      <w:r w:rsidR="00CD6526">
        <w:t xml:space="preserve"> </w:t>
      </w:r>
      <w:r w:rsidR="00FA429E">
        <w:t xml:space="preserve">проверяемый период </w:t>
      </w:r>
      <w:r w:rsidR="008D2653">
        <w:t xml:space="preserve">в указанных поселениях </w:t>
      </w:r>
      <w:r w:rsidR="00FA429E">
        <w:t>ВУР</w:t>
      </w:r>
      <w:r w:rsidR="00CD6526">
        <w:t xml:space="preserve"> </w:t>
      </w:r>
      <w:r w:rsidR="00A3167C">
        <w:t xml:space="preserve">в основном </w:t>
      </w:r>
      <w:r w:rsidR="00CD6526">
        <w:t>устанавливались минимальные оклады 7840 рублей.</w:t>
      </w:r>
      <w:r w:rsidR="00A3167C">
        <w:t xml:space="preserve"> </w:t>
      </w:r>
      <w:r w:rsidR="008D2653">
        <w:t xml:space="preserve">В других поселениях </w:t>
      </w:r>
      <w:r w:rsidR="008D2653" w:rsidRPr="008D2653">
        <w:t>должностные оклады ВУР, работающих на полной ставке, были установлены от 4130 до 4554 руб. в месяц</w:t>
      </w:r>
      <w:r w:rsidR="008D2653">
        <w:t xml:space="preserve">. </w:t>
      </w:r>
    </w:p>
    <w:p w:rsidR="00763F1D" w:rsidRPr="00F661C4" w:rsidRDefault="00763F1D" w:rsidP="00763F1D">
      <w:pPr>
        <w:shd w:val="clear" w:color="auto" w:fill="FFFFFF"/>
        <w:ind w:firstLine="680"/>
        <w:jc w:val="both"/>
      </w:pPr>
      <w:r w:rsidRPr="00F661C4">
        <w:t>В</w:t>
      </w:r>
      <w:r>
        <w:t xml:space="preserve"> связи с отсутствием нормативного регулирования по размеру </w:t>
      </w:r>
      <w:r w:rsidR="00973A1A">
        <w:t xml:space="preserve">средств </w:t>
      </w:r>
      <w:r>
        <w:t>субвенции, направляемо</w:t>
      </w:r>
      <w:r w:rsidR="00973A1A">
        <w:t>й</w:t>
      </w:r>
      <w:r>
        <w:t xml:space="preserve"> на оплату труда</w:t>
      </w:r>
      <w:r w:rsidR="00973A1A">
        <w:t>,</w:t>
      </w:r>
      <w:r w:rsidRPr="00F661C4">
        <w:t xml:space="preserve"> </w:t>
      </w:r>
      <w:r>
        <w:t xml:space="preserve">четвертой частью поселений </w:t>
      </w:r>
      <w:r w:rsidR="00A3167C">
        <w:t xml:space="preserve">Волгоградской области </w:t>
      </w:r>
      <w:r w:rsidRPr="00F661C4">
        <w:t>весь объем субвенции направля</w:t>
      </w:r>
      <w:r>
        <w:t>л</w:t>
      </w:r>
      <w:r w:rsidRPr="00F661C4">
        <w:t>ся только на оплату труда и начисления на оплату труда (10</w:t>
      </w:r>
      <w:r>
        <w:t>2</w:t>
      </w:r>
      <w:r w:rsidRPr="00F661C4">
        <w:t xml:space="preserve"> поселени</w:t>
      </w:r>
      <w:r>
        <w:t>я</w:t>
      </w:r>
      <w:r w:rsidRPr="00F661C4">
        <w:t xml:space="preserve"> в 2016 году, 1</w:t>
      </w:r>
      <w:r>
        <w:t>08</w:t>
      </w:r>
      <w:r w:rsidRPr="00F661C4">
        <w:t xml:space="preserve"> поселений в 2017 году). </w:t>
      </w:r>
    </w:p>
    <w:p w:rsidR="008A3D0E" w:rsidRDefault="003A4730" w:rsidP="00AB73F7">
      <w:pPr>
        <w:ind w:firstLine="680"/>
        <w:jc w:val="both"/>
        <w:rPr>
          <w:color w:val="000000"/>
        </w:rPr>
      </w:pPr>
      <w:proofErr w:type="gramStart"/>
      <w:r>
        <w:rPr>
          <w:color w:val="000000"/>
        </w:rPr>
        <w:t>Также следует отметить, что с</w:t>
      </w:r>
      <w:r w:rsidR="001E5870">
        <w:rPr>
          <w:color w:val="000000"/>
        </w:rPr>
        <w:t>огласно исходным данным</w:t>
      </w:r>
      <w:r w:rsidR="003240F1">
        <w:rPr>
          <w:color w:val="000000"/>
        </w:rPr>
        <w:t>, используемым Министерством обороны РФ для расчета субвенции</w:t>
      </w:r>
      <w:r>
        <w:rPr>
          <w:color w:val="000000"/>
        </w:rPr>
        <w:t xml:space="preserve"> </w:t>
      </w:r>
      <w:r w:rsidR="00A3167C">
        <w:rPr>
          <w:color w:val="000000"/>
        </w:rPr>
        <w:t xml:space="preserve">на 2017 год </w:t>
      </w:r>
      <w:r w:rsidR="003240F1">
        <w:rPr>
          <w:color w:val="000000"/>
        </w:rPr>
        <w:t>и п</w:t>
      </w:r>
      <w:r>
        <w:rPr>
          <w:color w:val="000000"/>
        </w:rPr>
        <w:t xml:space="preserve">редставленным Счетной палатой РФ, </w:t>
      </w:r>
      <w:r w:rsidR="008A3D0E">
        <w:rPr>
          <w:color w:val="000000"/>
        </w:rPr>
        <w:t>при</w:t>
      </w:r>
      <w:r>
        <w:rPr>
          <w:color w:val="000000"/>
        </w:rPr>
        <w:t xml:space="preserve"> расчете расходов на оплату труда ВУР </w:t>
      </w:r>
      <w:r w:rsidR="00C70A62">
        <w:rPr>
          <w:color w:val="000000"/>
        </w:rPr>
        <w:t>использ</w:t>
      </w:r>
      <w:r w:rsidR="00A3167C">
        <w:rPr>
          <w:color w:val="000000"/>
        </w:rPr>
        <w:t>овался</w:t>
      </w:r>
      <w:r w:rsidR="00C70A62">
        <w:rPr>
          <w:color w:val="000000"/>
        </w:rPr>
        <w:t xml:space="preserve"> единый размер среднемесячной заработной платы </w:t>
      </w:r>
      <w:r w:rsidR="00F843E8">
        <w:rPr>
          <w:color w:val="000000"/>
        </w:rPr>
        <w:t>(13694,2</w:t>
      </w:r>
      <w:r w:rsidR="00595979">
        <w:rPr>
          <w:color w:val="000000"/>
        </w:rPr>
        <w:t xml:space="preserve"> руб.</w:t>
      </w:r>
      <w:r w:rsidR="00F843E8">
        <w:rPr>
          <w:color w:val="000000"/>
        </w:rPr>
        <w:t xml:space="preserve">) </w:t>
      </w:r>
      <w:r w:rsidR="00C70A62">
        <w:rPr>
          <w:color w:val="000000"/>
        </w:rPr>
        <w:t>и</w:t>
      </w:r>
      <w:r w:rsidR="008A3D0E">
        <w:rPr>
          <w:color w:val="000000"/>
        </w:rPr>
        <w:t xml:space="preserve"> коэффициент среднемесячной заработной платы</w:t>
      </w:r>
      <w:r w:rsidR="00434664">
        <w:rPr>
          <w:color w:val="000000"/>
        </w:rPr>
        <w:t xml:space="preserve"> (далее – Коэффициент)</w:t>
      </w:r>
      <w:r w:rsidR="008A3D0E">
        <w:rPr>
          <w:color w:val="000000"/>
        </w:rPr>
        <w:t xml:space="preserve">, </w:t>
      </w:r>
      <w:r w:rsidR="00595979">
        <w:rPr>
          <w:color w:val="000000"/>
        </w:rPr>
        <w:t xml:space="preserve">имеющий различные значения в разрезе субъектов </w:t>
      </w:r>
      <w:r w:rsidR="008A3D0E">
        <w:rPr>
          <w:color w:val="000000"/>
        </w:rPr>
        <w:t>РФ.</w:t>
      </w:r>
      <w:proofErr w:type="gramEnd"/>
      <w:r w:rsidR="008A3D0E">
        <w:rPr>
          <w:color w:val="000000"/>
        </w:rPr>
        <w:t xml:space="preserve"> </w:t>
      </w:r>
      <w:r w:rsidR="00595979">
        <w:rPr>
          <w:color w:val="000000"/>
        </w:rPr>
        <w:t>При этом н</w:t>
      </w:r>
      <w:r w:rsidR="007B0F58" w:rsidRPr="00E66066">
        <w:rPr>
          <w:color w:val="000000"/>
        </w:rPr>
        <w:t>ормативн</w:t>
      </w:r>
      <w:r w:rsidR="00A3167C">
        <w:rPr>
          <w:color w:val="000000"/>
        </w:rPr>
        <w:t>о</w:t>
      </w:r>
      <w:r w:rsidR="007B0F58" w:rsidRPr="00E66066">
        <w:rPr>
          <w:color w:val="000000"/>
        </w:rPr>
        <w:t xml:space="preserve"> </w:t>
      </w:r>
      <w:r w:rsidR="008A3D0E">
        <w:rPr>
          <w:color w:val="000000"/>
        </w:rPr>
        <w:t xml:space="preserve">не определен  </w:t>
      </w:r>
      <w:r w:rsidR="00AB73F7">
        <w:rPr>
          <w:color w:val="000000"/>
        </w:rPr>
        <w:t xml:space="preserve">порядок </w:t>
      </w:r>
      <w:r w:rsidR="00AB73F7" w:rsidRPr="00E66066">
        <w:rPr>
          <w:color w:val="000000"/>
        </w:rPr>
        <w:t xml:space="preserve">расчета и источник информации для </w:t>
      </w:r>
      <w:r w:rsidR="00434664">
        <w:rPr>
          <w:color w:val="000000"/>
        </w:rPr>
        <w:t>К</w:t>
      </w:r>
      <w:r w:rsidR="008A3D0E">
        <w:rPr>
          <w:color w:val="000000"/>
        </w:rPr>
        <w:t>оэффициента.</w:t>
      </w:r>
    </w:p>
    <w:p w:rsidR="008A3D0E" w:rsidRDefault="00434664" w:rsidP="00AB73F7">
      <w:pPr>
        <w:ind w:firstLine="680"/>
        <w:jc w:val="both"/>
        <w:rPr>
          <w:color w:val="000000"/>
        </w:rPr>
      </w:pPr>
      <w:r>
        <w:rPr>
          <w:color w:val="000000"/>
        </w:rPr>
        <w:t>Е</w:t>
      </w:r>
      <w:r w:rsidR="00C752D5">
        <w:rPr>
          <w:color w:val="000000"/>
        </w:rPr>
        <w:t xml:space="preserve">сли в основу расчета </w:t>
      </w:r>
      <w:r>
        <w:rPr>
          <w:color w:val="000000"/>
        </w:rPr>
        <w:t>К</w:t>
      </w:r>
      <w:r w:rsidR="00C752D5">
        <w:rPr>
          <w:color w:val="000000"/>
        </w:rPr>
        <w:t>оэффициента положен</w:t>
      </w:r>
      <w:r>
        <w:rPr>
          <w:color w:val="000000"/>
        </w:rPr>
        <w:t>о различие между средней заработной плат</w:t>
      </w:r>
      <w:r w:rsidR="00595979">
        <w:rPr>
          <w:color w:val="000000"/>
        </w:rPr>
        <w:t>ой</w:t>
      </w:r>
      <w:r>
        <w:rPr>
          <w:color w:val="000000"/>
        </w:rPr>
        <w:t xml:space="preserve"> по региону и в среднем по РФ, то на примере нескольких субъектов РФ видно, что </w:t>
      </w:r>
      <w:r>
        <w:rPr>
          <w:color w:val="000000"/>
        </w:rPr>
        <w:lastRenderedPageBreak/>
        <w:t>для  Волгоградской области применяется пониженный коэффициент, что представлено в таблице.</w:t>
      </w:r>
    </w:p>
    <w:p w:rsidR="00957D9C" w:rsidRDefault="00957D9C" w:rsidP="00957D9C">
      <w:pPr>
        <w:jc w:val="both"/>
        <w:rPr>
          <w:color w:val="000000"/>
        </w:rPr>
      </w:pPr>
    </w:p>
    <w:tbl>
      <w:tblPr>
        <w:tblW w:w="10232" w:type="dxa"/>
        <w:tblInd w:w="-176" w:type="dxa"/>
        <w:tblLayout w:type="fixed"/>
        <w:tblLook w:val="04A0"/>
      </w:tblPr>
      <w:tblGrid>
        <w:gridCol w:w="2127"/>
        <w:gridCol w:w="709"/>
        <w:gridCol w:w="709"/>
        <w:gridCol w:w="850"/>
        <w:gridCol w:w="709"/>
        <w:gridCol w:w="709"/>
        <w:gridCol w:w="795"/>
        <w:gridCol w:w="944"/>
        <w:gridCol w:w="1235"/>
        <w:gridCol w:w="1445"/>
      </w:tblGrid>
      <w:tr w:rsidR="00957D9C" w:rsidRPr="00957D9C" w:rsidTr="00011B3F">
        <w:trPr>
          <w:trHeight w:val="945"/>
        </w:trPr>
        <w:tc>
          <w:tcPr>
            <w:tcW w:w="2127" w:type="dxa"/>
            <w:vMerge w:val="restart"/>
            <w:tcBorders>
              <w:top w:val="double" w:sz="4" w:space="0" w:color="auto"/>
              <w:left w:val="double" w:sz="4" w:space="0" w:color="auto"/>
              <w:bottom w:val="double" w:sz="4" w:space="0" w:color="auto"/>
              <w:right w:val="single" w:sz="4" w:space="0" w:color="auto"/>
            </w:tcBorders>
            <w:shd w:val="clear" w:color="auto" w:fill="EAF1DD" w:themeFill="accent3" w:themeFillTint="33"/>
            <w:hideMark/>
          </w:tcPr>
          <w:p w:rsidR="00957D9C" w:rsidRPr="00957D9C" w:rsidRDefault="00957D9C" w:rsidP="00957D9C">
            <w:pPr>
              <w:jc w:val="center"/>
              <w:rPr>
                <w:color w:val="000000"/>
                <w:sz w:val="16"/>
                <w:szCs w:val="16"/>
              </w:rPr>
            </w:pPr>
            <w:r w:rsidRPr="00957D9C">
              <w:rPr>
                <w:color w:val="000000"/>
                <w:sz w:val="16"/>
                <w:szCs w:val="16"/>
              </w:rPr>
              <w:t>Регион</w:t>
            </w:r>
          </w:p>
        </w:tc>
        <w:tc>
          <w:tcPr>
            <w:tcW w:w="2268" w:type="dxa"/>
            <w:gridSpan w:val="3"/>
            <w:tcBorders>
              <w:top w:val="double" w:sz="4" w:space="0" w:color="auto"/>
              <w:left w:val="nil"/>
              <w:bottom w:val="double" w:sz="4" w:space="0" w:color="auto"/>
              <w:right w:val="single" w:sz="4" w:space="0" w:color="000000"/>
            </w:tcBorders>
            <w:shd w:val="clear" w:color="auto" w:fill="EAF1DD" w:themeFill="accent3" w:themeFillTint="33"/>
            <w:vAlign w:val="bottom"/>
            <w:hideMark/>
          </w:tcPr>
          <w:p w:rsidR="00957D9C" w:rsidRPr="00957D9C" w:rsidRDefault="00957D9C" w:rsidP="00957D9C">
            <w:pPr>
              <w:jc w:val="center"/>
              <w:rPr>
                <w:color w:val="000000"/>
                <w:sz w:val="16"/>
                <w:szCs w:val="16"/>
              </w:rPr>
            </w:pPr>
            <w:proofErr w:type="spellStart"/>
            <w:r w:rsidRPr="00957D9C">
              <w:rPr>
                <w:color w:val="000000"/>
                <w:sz w:val="16"/>
                <w:szCs w:val="16"/>
              </w:rPr>
              <w:t>Среднемесячн</w:t>
            </w:r>
            <w:proofErr w:type="spellEnd"/>
            <w:r w:rsidRPr="00957D9C">
              <w:rPr>
                <w:color w:val="000000"/>
                <w:sz w:val="16"/>
                <w:szCs w:val="16"/>
              </w:rPr>
              <w:t>. номинальная начислен</w:t>
            </w:r>
            <w:proofErr w:type="gramStart"/>
            <w:r w:rsidRPr="00957D9C">
              <w:rPr>
                <w:color w:val="000000"/>
                <w:sz w:val="16"/>
                <w:szCs w:val="16"/>
              </w:rPr>
              <w:t>.</w:t>
            </w:r>
            <w:proofErr w:type="gramEnd"/>
            <w:r w:rsidRPr="00957D9C">
              <w:rPr>
                <w:color w:val="000000"/>
                <w:sz w:val="16"/>
                <w:szCs w:val="16"/>
              </w:rPr>
              <w:t xml:space="preserve"> </w:t>
            </w:r>
            <w:proofErr w:type="gramStart"/>
            <w:r w:rsidRPr="00957D9C">
              <w:rPr>
                <w:color w:val="000000"/>
                <w:sz w:val="16"/>
                <w:szCs w:val="16"/>
              </w:rPr>
              <w:t>з</w:t>
            </w:r>
            <w:proofErr w:type="gramEnd"/>
            <w:r w:rsidRPr="00957D9C">
              <w:rPr>
                <w:color w:val="000000"/>
                <w:sz w:val="16"/>
                <w:szCs w:val="16"/>
              </w:rPr>
              <w:t>арплата работников по полному кругу организаций в целом по экономике</w:t>
            </w:r>
          </w:p>
        </w:tc>
        <w:tc>
          <w:tcPr>
            <w:tcW w:w="3157" w:type="dxa"/>
            <w:gridSpan w:val="4"/>
            <w:tcBorders>
              <w:top w:val="double" w:sz="4" w:space="0" w:color="auto"/>
              <w:left w:val="nil"/>
              <w:bottom w:val="double" w:sz="4" w:space="0" w:color="auto"/>
              <w:right w:val="single" w:sz="4" w:space="0" w:color="auto"/>
            </w:tcBorders>
            <w:shd w:val="clear" w:color="auto" w:fill="EAF1DD" w:themeFill="accent3" w:themeFillTint="33"/>
            <w:hideMark/>
          </w:tcPr>
          <w:p w:rsidR="00957D9C" w:rsidRPr="00957D9C" w:rsidRDefault="00957D9C" w:rsidP="00F843E8">
            <w:pPr>
              <w:jc w:val="center"/>
              <w:rPr>
                <w:color w:val="000000"/>
                <w:sz w:val="16"/>
                <w:szCs w:val="16"/>
              </w:rPr>
            </w:pPr>
            <w:r w:rsidRPr="00957D9C">
              <w:rPr>
                <w:color w:val="000000"/>
                <w:sz w:val="16"/>
                <w:szCs w:val="16"/>
              </w:rPr>
              <w:t>Отношение уровня средне</w:t>
            </w:r>
            <w:r w:rsidR="00A40270">
              <w:rPr>
                <w:color w:val="000000"/>
                <w:sz w:val="16"/>
                <w:szCs w:val="16"/>
              </w:rPr>
              <w:t xml:space="preserve">месячной заработной платы </w:t>
            </w:r>
            <w:r w:rsidRPr="00957D9C">
              <w:rPr>
                <w:color w:val="000000"/>
                <w:sz w:val="16"/>
                <w:szCs w:val="16"/>
              </w:rPr>
              <w:t>регион</w:t>
            </w:r>
            <w:r w:rsidR="00F843E8">
              <w:rPr>
                <w:color w:val="000000"/>
                <w:sz w:val="16"/>
                <w:szCs w:val="16"/>
              </w:rPr>
              <w:t>а</w:t>
            </w:r>
            <w:r w:rsidRPr="00957D9C">
              <w:rPr>
                <w:color w:val="000000"/>
                <w:sz w:val="16"/>
                <w:szCs w:val="16"/>
              </w:rPr>
              <w:t xml:space="preserve"> к средне</w:t>
            </w:r>
            <w:r w:rsidR="00434664">
              <w:rPr>
                <w:color w:val="000000"/>
                <w:sz w:val="16"/>
                <w:szCs w:val="16"/>
              </w:rPr>
              <w:t xml:space="preserve">й заработной плате </w:t>
            </w:r>
            <w:r w:rsidRPr="00957D9C">
              <w:rPr>
                <w:color w:val="000000"/>
                <w:sz w:val="16"/>
                <w:szCs w:val="16"/>
              </w:rPr>
              <w:t>по РФ</w:t>
            </w:r>
          </w:p>
        </w:tc>
        <w:tc>
          <w:tcPr>
            <w:tcW w:w="1235" w:type="dxa"/>
            <w:vMerge w:val="restart"/>
            <w:tcBorders>
              <w:top w:val="double" w:sz="4" w:space="0" w:color="auto"/>
              <w:left w:val="single" w:sz="4" w:space="0" w:color="auto"/>
              <w:bottom w:val="double" w:sz="4" w:space="0" w:color="auto"/>
              <w:right w:val="single" w:sz="4" w:space="0" w:color="auto"/>
            </w:tcBorders>
            <w:shd w:val="clear" w:color="auto" w:fill="EAF1DD" w:themeFill="accent3" w:themeFillTint="33"/>
            <w:hideMark/>
          </w:tcPr>
          <w:p w:rsidR="00957D9C" w:rsidRPr="00957D9C" w:rsidRDefault="00957D9C" w:rsidP="00957D9C">
            <w:pPr>
              <w:jc w:val="center"/>
              <w:rPr>
                <w:color w:val="000000"/>
                <w:sz w:val="16"/>
                <w:szCs w:val="16"/>
              </w:rPr>
            </w:pPr>
            <w:proofErr w:type="spellStart"/>
            <w:r w:rsidRPr="00957D9C">
              <w:rPr>
                <w:color w:val="000000"/>
                <w:sz w:val="16"/>
                <w:szCs w:val="16"/>
              </w:rPr>
              <w:t>Коэф-т</w:t>
            </w:r>
            <w:proofErr w:type="spellEnd"/>
            <w:r w:rsidR="00C752D5">
              <w:rPr>
                <w:color w:val="000000"/>
                <w:sz w:val="16"/>
                <w:szCs w:val="16"/>
              </w:rPr>
              <w:t xml:space="preserve"> среднемесячной заработной платы</w:t>
            </w:r>
            <w:r w:rsidRPr="00957D9C">
              <w:rPr>
                <w:color w:val="000000"/>
                <w:sz w:val="16"/>
                <w:szCs w:val="16"/>
              </w:rPr>
              <w:t>, учтенный при распределении субвенции на 2017 год</w:t>
            </w:r>
          </w:p>
        </w:tc>
        <w:tc>
          <w:tcPr>
            <w:tcW w:w="1445" w:type="dxa"/>
            <w:vMerge w:val="restart"/>
            <w:tcBorders>
              <w:top w:val="double" w:sz="4" w:space="0" w:color="auto"/>
              <w:left w:val="single" w:sz="4" w:space="0" w:color="auto"/>
              <w:bottom w:val="double" w:sz="4" w:space="0" w:color="auto"/>
              <w:right w:val="double" w:sz="4" w:space="0" w:color="auto"/>
            </w:tcBorders>
            <w:shd w:val="clear" w:color="auto" w:fill="EAF1DD" w:themeFill="accent3" w:themeFillTint="33"/>
            <w:hideMark/>
          </w:tcPr>
          <w:p w:rsidR="00957D9C" w:rsidRPr="00957D9C" w:rsidRDefault="00957D9C" w:rsidP="00957D9C">
            <w:pPr>
              <w:jc w:val="center"/>
              <w:rPr>
                <w:color w:val="000000"/>
                <w:sz w:val="16"/>
                <w:szCs w:val="16"/>
              </w:rPr>
            </w:pPr>
            <w:r w:rsidRPr="00957D9C">
              <w:rPr>
                <w:color w:val="000000"/>
                <w:sz w:val="16"/>
                <w:szCs w:val="16"/>
              </w:rPr>
              <w:t>Зарплата, учтенная при расчете субвенции на 2017 год с учетом коэффициента</w:t>
            </w:r>
          </w:p>
        </w:tc>
      </w:tr>
      <w:tr w:rsidR="000740F0" w:rsidRPr="00957D9C" w:rsidTr="00011B3F">
        <w:trPr>
          <w:trHeight w:val="299"/>
        </w:trPr>
        <w:tc>
          <w:tcPr>
            <w:tcW w:w="2127" w:type="dxa"/>
            <w:vMerge/>
            <w:tcBorders>
              <w:top w:val="double" w:sz="4" w:space="0" w:color="auto"/>
              <w:left w:val="double" w:sz="4" w:space="0" w:color="auto"/>
              <w:bottom w:val="single" w:sz="4" w:space="0" w:color="auto"/>
              <w:right w:val="single" w:sz="4" w:space="0" w:color="auto"/>
            </w:tcBorders>
            <w:vAlign w:val="center"/>
            <w:hideMark/>
          </w:tcPr>
          <w:p w:rsidR="00957D9C" w:rsidRPr="00957D9C" w:rsidRDefault="00957D9C" w:rsidP="00957D9C">
            <w:pPr>
              <w:rPr>
                <w:color w:val="000000"/>
                <w:sz w:val="16"/>
                <w:szCs w:val="16"/>
              </w:rPr>
            </w:pPr>
          </w:p>
        </w:tc>
        <w:tc>
          <w:tcPr>
            <w:tcW w:w="709" w:type="dxa"/>
            <w:tcBorders>
              <w:top w:val="double" w:sz="4" w:space="0" w:color="auto"/>
              <w:left w:val="nil"/>
              <w:bottom w:val="single" w:sz="4" w:space="0" w:color="auto"/>
              <w:right w:val="single" w:sz="4" w:space="0" w:color="auto"/>
            </w:tcBorders>
            <w:shd w:val="clear" w:color="auto" w:fill="EAF1DD" w:themeFill="accent3" w:themeFillTint="33"/>
            <w:hideMark/>
          </w:tcPr>
          <w:p w:rsidR="00957D9C" w:rsidRPr="00957D9C" w:rsidRDefault="00957D9C" w:rsidP="000740F0">
            <w:pPr>
              <w:rPr>
                <w:color w:val="000000"/>
                <w:sz w:val="16"/>
                <w:szCs w:val="16"/>
              </w:rPr>
            </w:pPr>
            <w:r w:rsidRPr="00957D9C">
              <w:rPr>
                <w:color w:val="000000"/>
                <w:sz w:val="16"/>
                <w:szCs w:val="16"/>
              </w:rPr>
              <w:t>2015 г</w:t>
            </w:r>
            <w:r w:rsidR="000740F0">
              <w:rPr>
                <w:color w:val="000000"/>
                <w:sz w:val="16"/>
                <w:szCs w:val="16"/>
              </w:rPr>
              <w:t>.</w:t>
            </w:r>
          </w:p>
        </w:tc>
        <w:tc>
          <w:tcPr>
            <w:tcW w:w="709" w:type="dxa"/>
            <w:tcBorders>
              <w:top w:val="double" w:sz="4" w:space="0" w:color="auto"/>
              <w:left w:val="nil"/>
              <w:bottom w:val="single" w:sz="4" w:space="0" w:color="auto"/>
              <w:right w:val="single" w:sz="4" w:space="0" w:color="auto"/>
            </w:tcBorders>
            <w:shd w:val="clear" w:color="auto" w:fill="EAF1DD" w:themeFill="accent3" w:themeFillTint="33"/>
            <w:hideMark/>
          </w:tcPr>
          <w:p w:rsidR="00957D9C" w:rsidRPr="00957D9C" w:rsidRDefault="00957D9C" w:rsidP="000740F0">
            <w:pPr>
              <w:rPr>
                <w:color w:val="000000"/>
                <w:sz w:val="16"/>
                <w:szCs w:val="16"/>
              </w:rPr>
            </w:pPr>
            <w:r w:rsidRPr="00957D9C">
              <w:rPr>
                <w:color w:val="000000"/>
                <w:sz w:val="16"/>
                <w:szCs w:val="16"/>
              </w:rPr>
              <w:t>2016 г</w:t>
            </w:r>
            <w:r w:rsidR="000740F0">
              <w:rPr>
                <w:color w:val="000000"/>
                <w:sz w:val="16"/>
                <w:szCs w:val="16"/>
              </w:rPr>
              <w:t>.</w:t>
            </w:r>
          </w:p>
        </w:tc>
        <w:tc>
          <w:tcPr>
            <w:tcW w:w="850" w:type="dxa"/>
            <w:tcBorders>
              <w:top w:val="double" w:sz="4" w:space="0" w:color="auto"/>
              <w:left w:val="nil"/>
              <w:bottom w:val="single" w:sz="4" w:space="0" w:color="auto"/>
              <w:right w:val="single" w:sz="4" w:space="0" w:color="auto"/>
            </w:tcBorders>
            <w:shd w:val="clear" w:color="auto" w:fill="EAF1DD" w:themeFill="accent3" w:themeFillTint="33"/>
            <w:hideMark/>
          </w:tcPr>
          <w:p w:rsidR="00957D9C" w:rsidRPr="00957D9C" w:rsidRDefault="00957D9C" w:rsidP="000740F0">
            <w:pPr>
              <w:rPr>
                <w:color w:val="000000"/>
                <w:sz w:val="16"/>
                <w:szCs w:val="16"/>
              </w:rPr>
            </w:pPr>
            <w:r w:rsidRPr="00957D9C">
              <w:rPr>
                <w:color w:val="000000"/>
                <w:sz w:val="16"/>
                <w:szCs w:val="16"/>
              </w:rPr>
              <w:t>2017 г</w:t>
            </w:r>
            <w:r w:rsidR="000740F0">
              <w:rPr>
                <w:color w:val="000000"/>
                <w:sz w:val="16"/>
                <w:szCs w:val="16"/>
              </w:rPr>
              <w:t>.</w:t>
            </w:r>
          </w:p>
        </w:tc>
        <w:tc>
          <w:tcPr>
            <w:tcW w:w="709" w:type="dxa"/>
            <w:tcBorders>
              <w:top w:val="double" w:sz="4" w:space="0" w:color="auto"/>
              <w:left w:val="nil"/>
              <w:bottom w:val="single" w:sz="4" w:space="0" w:color="auto"/>
              <w:right w:val="single" w:sz="4" w:space="0" w:color="auto"/>
            </w:tcBorders>
            <w:shd w:val="clear" w:color="auto" w:fill="EAF1DD" w:themeFill="accent3" w:themeFillTint="33"/>
            <w:hideMark/>
          </w:tcPr>
          <w:p w:rsidR="00957D9C" w:rsidRPr="00957D9C" w:rsidRDefault="00957D9C" w:rsidP="00957D9C">
            <w:pPr>
              <w:jc w:val="right"/>
              <w:rPr>
                <w:color w:val="000000"/>
                <w:sz w:val="16"/>
                <w:szCs w:val="16"/>
              </w:rPr>
            </w:pPr>
            <w:r w:rsidRPr="00957D9C">
              <w:rPr>
                <w:color w:val="000000"/>
                <w:sz w:val="16"/>
                <w:szCs w:val="16"/>
              </w:rPr>
              <w:t>2015</w:t>
            </w:r>
            <w:r w:rsidR="000740F0">
              <w:rPr>
                <w:color w:val="000000"/>
                <w:sz w:val="16"/>
                <w:szCs w:val="16"/>
              </w:rPr>
              <w:t xml:space="preserve"> г.</w:t>
            </w:r>
          </w:p>
        </w:tc>
        <w:tc>
          <w:tcPr>
            <w:tcW w:w="709" w:type="dxa"/>
            <w:tcBorders>
              <w:top w:val="double" w:sz="4" w:space="0" w:color="auto"/>
              <w:left w:val="nil"/>
              <w:bottom w:val="single" w:sz="4" w:space="0" w:color="auto"/>
              <w:right w:val="single" w:sz="4" w:space="0" w:color="auto"/>
            </w:tcBorders>
            <w:shd w:val="clear" w:color="auto" w:fill="EAF1DD" w:themeFill="accent3" w:themeFillTint="33"/>
            <w:hideMark/>
          </w:tcPr>
          <w:p w:rsidR="00957D9C" w:rsidRPr="00957D9C" w:rsidRDefault="00957D9C" w:rsidP="00957D9C">
            <w:pPr>
              <w:jc w:val="right"/>
              <w:rPr>
                <w:color w:val="000000"/>
                <w:sz w:val="16"/>
                <w:szCs w:val="16"/>
              </w:rPr>
            </w:pPr>
            <w:r w:rsidRPr="00957D9C">
              <w:rPr>
                <w:color w:val="000000"/>
                <w:sz w:val="16"/>
                <w:szCs w:val="16"/>
              </w:rPr>
              <w:t>2016</w:t>
            </w:r>
            <w:r w:rsidR="000740F0">
              <w:rPr>
                <w:color w:val="000000"/>
                <w:sz w:val="16"/>
                <w:szCs w:val="16"/>
              </w:rPr>
              <w:t xml:space="preserve"> г.</w:t>
            </w:r>
          </w:p>
        </w:tc>
        <w:tc>
          <w:tcPr>
            <w:tcW w:w="795" w:type="dxa"/>
            <w:tcBorders>
              <w:top w:val="double" w:sz="4" w:space="0" w:color="auto"/>
              <w:left w:val="nil"/>
              <w:bottom w:val="single" w:sz="4" w:space="0" w:color="auto"/>
              <w:right w:val="single" w:sz="4" w:space="0" w:color="auto"/>
            </w:tcBorders>
            <w:shd w:val="clear" w:color="auto" w:fill="EAF1DD" w:themeFill="accent3" w:themeFillTint="33"/>
            <w:hideMark/>
          </w:tcPr>
          <w:p w:rsidR="00957D9C" w:rsidRPr="00957D9C" w:rsidRDefault="00957D9C" w:rsidP="00957D9C">
            <w:pPr>
              <w:jc w:val="right"/>
              <w:rPr>
                <w:color w:val="000000"/>
                <w:sz w:val="16"/>
                <w:szCs w:val="16"/>
              </w:rPr>
            </w:pPr>
            <w:r w:rsidRPr="00957D9C">
              <w:rPr>
                <w:color w:val="000000"/>
                <w:sz w:val="16"/>
                <w:szCs w:val="16"/>
              </w:rPr>
              <w:t>2017</w:t>
            </w:r>
            <w:r w:rsidR="000740F0">
              <w:rPr>
                <w:color w:val="000000"/>
                <w:sz w:val="16"/>
                <w:szCs w:val="16"/>
              </w:rPr>
              <w:t xml:space="preserve"> г.</w:t>
            </w:r>
          </w:p>
        </w:tc>
        <w:tc>
          <w:tcPr>
            <w:tcW w:w="944" w:type="dxa"/>
            <w:tcBorders>
              <w:top w:val="double" w:sz="4" w:space="0" w:color="auto"/>
              <w:left w:val="nil"/>
              <w:bottom w:val="single" w:sz="4" w:space="0" w:color="auto"/>
              <w:right w:val="single" w:sz="4" w:space="0" w:color="auto"/>
            </w:tcBorders>
            <w:shd w:val="clear" w:color="auto" w:fill="EAF1DD" w:themeFill="accent3" w:themeFillTint="33"/>
            <w:hideMark/>
          </w:tcPr>
          <w:p w:rsidR="00957D9C" w:rsidRPr="00957D9C" w:rsidRDefault="00957D9C" w:rsidP="001365D6">
            <w:pPr>
              <w:rPr>
                <w:color w:val="000000"/>
                <w:sz w:val="16"/>
                <w:szCs w:val="16"/>
              </w:rPr>
            </w:pPr>
            <w:r w:rsidRPr="00957D9C">
              <w:rPr>
                <w:color w:val="000000"/>
                <w:sz w:val="16"/>
                <w:szCs w:val="16"/>
              </w:rPr>
              <w:t>диап</w:t>
            </w:r>
            <w:r w:rsidR="001365D6">
              <w:rPr>
                <w:color w:val="000000"/>
                <w:sz w:val="16"/>
                <w:szCs w:val="16"/>
              </w:rPr>
              <w:t>а</w:t>
            </w:r>
            <w:r w:rsidRPr="00957D9C">
              <w:rPr>
                <w:color w:val="000000"/>
                <w:sz w:val="16"/>
                <w:szCs w:val="16"/>
              </w:rPr>
              <w:t>зон за 3 года</w:t>
            </w:r>
          </w:p>
        </w:tc>
        <w:tc>
          <w:tcPr>
            <w:tcW w:w="1235" w:type="dxa"/>
            <w:vMerge/>
            <w:tcBorders>
              <w:top w:val="double" w:sz="4" w:space="0" w:color="auto"/>
              <w:left w:val="single" w:sz="4" w:space="0" w:color="auto"/>
              <w:bottom w:val="single" w:sz="4" w:space="0" w:color="auto"/>
              <w:right w:val="single" w:sz="4" w:space="0" w:color="auto"/>
            </w:tcBorders>
            <w:vAlign w:val="center"/>
            <w:hideMark/>
          </w:tcPr>
          <w:p w:rsidR="00957D9C" w:rsidRPr="00957D9C" w:rsidRDefault="00957D9C" w:rsidP="00957D9C">
            <w:pPr>
              <w:rPr>
                <w:color w:val="000000"/>
                <w:sz w:val="16"/>
                <w:szCs w:val="16"/>
              </w:rPr>
            </w:pPr>
          </w:p>
        </w:tc>
        <w:tc>
          <w:tcPr>
            <w:tcW w:w="1445" w:type="dxa"/>
            <w:vMerge/>
            <w:tcBorders>
              <w:top w:val="double" w:sz="4" w:space="0" w:color="auto"/>
              <w:left w:val="single" w:sz="4" w:space="0" w:color="auto"/>
              <w:bottom w:val="single" w:sz="4" w:space="0" w:color="auto"/>
              <w:right w:val="double" w:sz="4" w:space="0" w:color="auto"/>
            </w:tcBorders>
            <w:vAlign w:val="center"/>
            <w:hideMark/>
          </w:tcPr>
          <w:p w:rsidR="00957D9C" w:rsidRPr="00957D9C" w:rsidRDefault="00957D9C" w:rsidP="00957D9C">
            <w:pPr>
              <w:rPr>
                <w:color w:val="000000"/>
                <w:sz w:val="16"/>
                <w:szCs w:val="16"/>
              </w:rPr>
            </w:pPr>
          </w:p>
        </w:tc>
      </w:tr>
      <w:tr w:rsidR="000740F0" w:rsidRPr="00957D9C" w:rsidTr="00011B3F">
        <w:trPr>
          <w:trHeight w:val="197"/>
        </w:trPr>
        <w:tc>
          <w:tcPr>
            <w:tcW w:w="2127" w:type="dxa"/>
            <w:tcBorders>
              <w:top w:val="nil"/>
              <w:left w:val="double" w:sz="4" w:space="0" w:color="auto"/>
              <w:bottom w:val="single" w:sz="4" w:space="0" w:color="auto"/>
              <w:right w:val="single" w:sz="4" w:space="0" w:color="auto"/>
            </w:tcBorders>
            <w:shd w:val="clear" w:color="auto" w:fill="auto"/>
            <w:vAlign w:val="center"/>
            <w:hideMark/>
          </w:tcPr>
          <w:p w:rsidR="00957D9C" w:rsidRPr="00957D9C" w:rsidRDefault="00957D9C" w:rsidP="00957D9C">
            <w:pPr>
              <w:rPr>
                <w:b/>
                <w:bCs/>
                <w:color w:val="000000"/>
                <w:sz w:val="16"/>
                <w:szCs w:val="16"/>
              </w:rPr>
            </w:pPr>
            <w:r w:rsidRPr="00957D9C">
              <w:rPr>
                <w:b/>
                <w:bCs/>
                <w:color w:val="000000"/>
                <w:sz w:val="16"/>
                <w:szCs w:val="16"/>
              </w:rPr>
              <w:t>Российская Федерация</w:t>
            </w:r>
          </w:p>
        </w:tc>
        <w:tc>
          <w:tcPr>
            <w:tcW w:w="709" w:type="dxa"/>
            <w:tcBorders>
              <w:top w:val="nil"/>
              <w:left w:val="nil"/>
              <w:bottom w:val="single" w:sz="4" w:space="0" w:color="auto"/>
              <w:right w:val="single" w:sz="4" w:space="0" w:color="auto"/>
            </w:tcBorders>
            <w:shd w:val="clear" w:color="auto" w:fill="auto"/>
            <w:vAlign w:val="center"/>
            <w:hideMark/>
          </w:tcPr>
          <w:p w:rsidR="00957D9C" w:rsidRPr="00957D9C" w:rsidRDefault="00957D9C" w:rsidP="00957D9C">
            <w:pPr>
              <w:jc w:val="right"/>
              <w:rPr>
                <w:b/>
                <w:bCs/>
                <w:color w:val="000000"/>
                <w:sz w:val="16"/>
                <w:szCs w:val="16"/>
              </w:rPr>
            </w:pPr>
            <w:r w:rsidRPr="00957D9C">
              <w:rPr>
                <w:b/>
                <w:bCs/>
                <w:color w:val="000000"/>
                <w:sz w:val="16"/>
                <w:szCs w:val="16"/>
              </w:rPr>
              <w:t>34030</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b/>
                <w:bCs/>
                <w:color w:val="000000"/>
                <w:sz w:val="16"/>
                <w:szCs w:val="16"/>
              </w:rPr>
            </w:pPr>
            <w:r w:rsidRPr="00957D9C">
              <w:rPr>
                <w:b/>
                <w:bCs/>
                <w:color w:val="000000"/>
                <w:sz w:val="16"/>
                <w:szCs w:val="16"/>
              </w:rPr>
              <w:t>36709</w:t>
            </w:r>
          </w:p>
        </w:tc>
        <w:tc>
          <w:tcPr>
            <w:tcW w:w="850"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b/>
                <w:bCs/>
                <w:color w:val="000000"/>
                <w:sz w:val="16"/>
                <w:szCs w:val="16"/>
              </w:rPr>
            </w:pPr>
            <w:r w:rsidRPr="00957D9C">
              <w:rPr>
                <w:b/>
                <w:bCs/>
                <w:color w:val="000000"/>
                <w:sz w:val="16"/>
                <w:szCs w:val="16"/>
              </w:rPr>
              <w:t>39167</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rPr>
                <w:color w:val="000000"/>
                <w:sz w:val="16"/>
                <w:szCs w:val="16"/>
              </w:rPr>
            </w:pPr>
            <w:r w:rsidRPr="00957D9C">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rPr>
                <w:color w:val="000000"/>
                <w:sz w:val="16"/>
                <w:szCs w:val="16"/>
              </w:rPr>
            </w:pPr>
            <w:r w:rsidRPr="00957D9C">
              <w:rPr>
                <w:color w:val="000000"/>
                <w:sz w:val="16"/>
                <w:szCs w:val="16"/>
              </w:rPr>
              <w:t> </w:t>
            </w:r>
          </w:p>
        </w:tc>
        <w:tc>
          <w:tcPr>
            <w:tcW w:w="79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rPr>
                <w:color w:val="000000"/>
                <w:sz w:val="16"/>
                <w:szCs w:val="16"/>
              </w:rPr>
            </w:pPr>
            <w:r w:rsidRPr="00957D9C">
              <w:rPr>
                <w:color w:val="000000"/>
                <w:sz w:val="16"/>
                <w:szCs w:val="16"/>
              </w:rPr>
              <w:t> </w:t>
            </w:r>
          </w:p>
        </w:tc>
        <w:tc>
          <w:tcPr>
            <w:tcW w:w="944"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rPr>
                <w:color w:val="000000"/>
                <w:sz w:val="16"/>
                <w:szCs w:val="16"/>
              </w:rPr>
            </w:pPr>
            <w:r w:rsidRPr="00957D9C">
              <w:rPr>
                <w:color w:val="000000"/>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rPr>
                <w:color w:val="000000"/>
                <w:sz w:val="16"/>
                <w:szCs w:val="16"/>
              </w:rPr>
            </w:pPr>
            <w:r w:rsidRPr="00957D9C">
              <w:rPr>
                <w:color w:val="000000"/>
                <w:sz w:val="16"/>
                <w:szCs w:val="16"/>
              </w:rPr>
              <w:t> </w:t>
            </w:r>
          </w:p>
        </w:tc>
        <w:tc>
          <w:tcPr>
            <w:tcW w:w="1445" w:type="dxa"/>
            <w:tcBorders>
              <w:top w:val="nil"/>
              <w:left w:val="nil"/>
              <w:bottom w:val="single" w:sz="4" w:space="0" w:color="auto"/>
              <w:right w:val="double" w:sz="4" w:space="0" w:color="auto"/>
            </w:tcBorders>
            <w:shd w:val="clear" w:color="auto" w:fill="auto"/>
            <w:vAlign w:val="bottom"/>
            <w:hideMark/>
          </w:tcPr>
          <w:p w:rsidR="00957D9C" w:rsidRPr="00957D9C" w:rsidRDefault="00957D9C" w:rsidP="00957D9C">
            <w:pPr>
              <w:rPr>
                <w:color w:val="000000"/>
                <w:sz w:val="16"/>
                <w:szCs w:val="16"/>
              </w:rPr>
            </w:pPr>
            <w:r w:rsidRPr="00957D9C">
              <w:rPr>
                <w:color w:val="000000"/>
                <w:sz w:val="16"/>
                <w:szCs w:val="16"/>
              </w:rPr>
              <w:t> </w:t>
            </w:r>
          </w:p>
        </w:tc>
      </w:tr>
      <w:tr w:rsidR="000740F0" w:rsidRPr="00957D9C" w:rsidTr="00011B3F">
        <w:trPr>
          <w:trHeight w:val="130"/>
        </w:trPr>
        <w:tc>
          <w:tcPr>
            <w:tcW w:w="2127" w:type="dxa"/>
            <w:tcBorders>
              <w:top w:val="nil"/>
              <w:left w:val="double" w:sz="4" w:space="0" w:color="auto"/>
              <w:bottom w:val="single" w:sz="4" w:space="0" w:color="auto"/>
              <w:right w:val="single" w:sz="4" w:space="0" w:color="auto"/>
            </w:tcBorders>
            <w:shd w:val="clear" w:color="auto" w:fill="auto"/>
            <w:vAlign w:val="center"/>
            <w:hideMark/>
          </w:tcPr>
          <w:p w:rsidR="00957D9C" w:rsidRPr="00957D9C" w:rsidRDefault="00957D9C" w:rsidP="00957D9C">
            <w:pPr>
              <w:rPr>
                <w:color w:val="000000"/>
                <w:sz w:val="16"/>
                <w:szCs w:val="16"/>
              </w:rPr>
            </w:pPr>
            <w:r w:rsidRPr="00957D9C">
              <w:rPr>
                <w:color w:val="000000"/>
                <w:sz w:val="16"/>
                <w:szCs w:val="16"/>
              </w:rPr>
              <w:t>Воронежская область</w:t>
            </w:r>
          </w:p>
        </w:tc>
        <w:tc>
          <w:tcPr>
            <w:tcW w:w="709" w:type="dxa"/>
            <w:tcBorders>
              <w:top w:val="nil"/>
              <w:left w:val="nil"/>
              <w:bottom w:val="single" w:sz="4" w:space="0" w:color="auto"/>
              <w:right w:val="single" w:sz="4" w:space="0" w:color="auto"/>
            </w:tcBorders>
            <w:shd w:val="clear" w:color="auto" w:fill="auto"/>
            <w:vAlign w:val="center"/>
            <w:hideMark/>
          </w:tcPr>
          <w:p w:rsidR="00957D9C" w:rsidRPr="00957D9C" w:rsidRDefault="00957D9C" w:rsidP="00957D9C">
            <w:pPr>
              <w:jc w:val="right"/>
              <w:rPr>
                <w:color w:val="000000"/>
                <w:sz w:val="16"/>
                <w:szCs w:val="16"/>
              </w:rPr>
            </w:pPr>
            <w:r w:rsidRPr="00957D9C">
              <w:rPr>
                <w:color w:val="000000"/>
                <w:sz w:val="16"/>
                <w:szCs w:val="16"/>
              </w:rPr>
              <w:t>24906</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26335</w:t>
            </w:r>
          </w:p>
        </w:tc>
        <w:tc>
          <w:tcPr>
            <w:tcW w:w="850"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28007</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0,73</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0,72</w:t>
            </w:r>
          </w:p>
        </w:tc>
        <w:tc>
          <w:tcPr>
            <w:tcW w:w="79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0,72</w:t>
            </w:r>
          </w:p>
        </w:tc>
        <w:tc>
          <w:tcPr>
            <w:tcW w:w="944"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0,72-0,73</w:t>
            </w:r>
          </w:p>
        </w:tc>
        <w:tc>
          <w:tcPr>
            <w:tcW w:w="123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0,725</w:t>
            </w:r>
          </w:p>
        </w:tc>
        <w:tc>
          <w:tcPr>
            <w:tcW w:w="1445" w:type="dxa"/>
            <w:tcBorders>
              <w:top w:val="nil"/>
              <w:left w:val="nil"/>
              <w:bottom w:val="single" w:sz="4" w:space="0" w:color="auto"/>
              <w:right w:val="doub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9 928,3</w:t>
            </w:r>
          </w:p>
        </w:tc>
      </w:tr>
      <w:tr w:rsidR="000740F0" w:rsidRPr="00957D9C" w:rsidTr="00011B3F">
        <w:trPr>
          <w:trHeight w:val="218"/>
        </w:trPr>
        <w:tc>
          <w:tcPr>
            <w:tcW w:w="2127" w:type="dxa"/>
            <w:tcBorders>
              <w:top w:val="nil"/>
              <w:left w:val="double" w:sz="4" w:space="0" w:color="auto"/>
              <w:bottom w:val="single" w:sz="4" w:space="0" w:color="auto"/>
              <w:right w:val="single" w:sz="4" w:space="0" w:color="auto"/>
            </w:tcBorders>
            <w:shd w:val="clear" w:color="auto" w:fill="auto"/>
            <w:vAlign w:val="center"/>
            <w:hideMark/>
          </w:tcPr>
          <w:p w:rsidR="00957D9C" w:rsidRPr="00957D9C" w:rsidRDefault="00957D9C" w:rsidP="00957D9C">
            <w:pPr>
              <w:rPr>
                <w:color w:val="000000"/>
                <w:sz w:val="16"/>
                <w:szCs w:val="16"/>
              </w:rPr>
            </w:pPr>
            <w:r w:rsidRPr="00957D9C">
              <w:rPr>
                <w:color w:val="000000"/>
                <w:sz w:val="16"/>
                <w:szCs w:val="16"/>
              </w:rPr>
              <w:t>Республика Калмыкия</w:t>
            </w:r>
          </w:p>
        </w:tc>
        <w:tc>
          <w:tcPr>
            <w:tcW w:w="709" w:type="dxa"/>
            <w:tcBorders>
              <w:top w:val="nil"/>
              <w:left w:val="nil"/>
              <w:bottom w:val="single" w:sz="4" w:space="0" w:color="auto"/>
              <w:right w:val="single" w:sz="4" w:space="0" w:color="auto"/>
            </w:tcBorders>
            <w:shd w:val="clear" w:color="auto" w:fill="auto"/>
            <w:vAlign w:val="center"/>
            <w:hideMark/>
          </w:tcPr>
          <w:p w:rsidR="00957D9C" w:rsidRPr="00957D9C" w:rsidRDefault="00957D9C" w:rsidP="00957D9C">
            <w:pPr>
              <w:jc w:val="right"/>
              <w:rPr>
                <w:color w:val="000000"/>
                <w:sz w:val="16"/>
                <w:szCs w:val="16"/>
              </w:rPr>
            </w:pPr>
            <w:r w:rsidRPr="00957D9C">
              <w:rPr>
                <w:color w:val="000000"/>
                <w:sz w:val="16"/>
                <w:szCs w:val="16"/>
              </w:rPr>
              <w:t>20109</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21318</w:t>
            </w:r>
          </w:p>
        </w:tc>
        <w:tc>
          <w:tcPr>
            <w:tcW w:w="850"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22919</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0,59</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0,58</w:t>
            </w:r>
          </w:p>
        </w:tc>
        <w:tc>
          <w:tcPr>
            <w:tcW w:w="79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0,59</w:t>
            </w:r>
          </w:p>
        </w:tc>
        <w:tc>
          <w:tcPr>
            <w:tcW w:w="944" w:type="dxa"/>
            <w:tcBorders>
              <w:top w:val="nil"/>
              <w:left w:val="nil"/>
              <w:bottom w:val="single" w:sz="4" w:space="0" w:color="auto"/>
              <w:right w:val="single" w:sz="4" w:space="0" w:color="auto"/>
            </w:tcBorders>
            <w:shd w:val="clear" w:color="auto" w:fill="auto"/>
            <w:vAlign w:val="bottom"/>
            <w:hideMark/>
          </w:tcPr>
          <w:p w:rsidR="00957D9C" w:rsidRPr="009E3FE4" w:rsidRDefault="00957D9C" w:rsidP="00957D9C">
            <w:pPr>
              <w:jc w:val="right"/>
              <w:rPr>
                <w:color w:val="000000"/>
                <w:sz w:val="16"/>
                <w:szCs w:val="16"/>
              </w:rPr>
            </w:pPr>
            <w:r w:rsidRPr="009E3FE4">
              <w:rPr>
                <w:color w:val="000000"/>
                <w:sz w:val="16"/>
                <w:szCs w:val="16"/>
              </w:rPr>
              <w:t>0,58-0,59</w:t>
            </w:r>
          </w:p>
        </w:tc>
        <w:tc>
          <w:tcPr>
            <w:tcW w:w="1235" w:type="dxa"/>
            <w:tcBorders>
              <w:top w:val="nil"/>
              <w:left w:val="nil"/>
              <w:bottom w:val="single" w:sz="4" w:space="0" w:color="auto"/>
              <w:right w:val="single" w:sz="4" w:space="0" w:color="auto"/>
            </w:tcBorders>
            <w:shd w:val="clear" w:color="auto" w:fill="auto"/>
            <w:vAlign w:val="bottom"/>
            <w:hideMark/>
          </w:tcPr>
          <w:p w:rsidR="00957D9C" w:rsidRPr="009E3FE4" w:rsidRDefault="00957D9C" w:rsidP="00957D9C">
            <w:pPr>
              <w:jc w:val="right"/>
              <w:rPr>
                <w:color w:val="000000"/>
                <w:sz w:val="16"/>
                <w:szCs w:val="16"/>
              </w:rPr>
            </w:pPr>
            <w:r w:rsidRPr="009E3FE4">
              <w:rPr>
                <w:color w:val="000000"/>
                <w:sz w:val="16"/>
                <w:szCs w:val="16"/>
              </w:rPr>
              <w:t>0,561</w:t>
            </w:r>
          </w:p>
        </w:tc>
        <w:tc>
          <w:tcPr>
            <w:tcW w:w="1445" w:type="dxa"/>
            <w:tcBorders>
              <w:top w:val="nil"/>
              <w:left w:val="nil"/>
              <w:bottom w:val="single" w:sz="4" w:space="0" w:color="auto"/>
              <w:right w:val="doub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7 682,5</w:t>
            </w:r>
          </w:p>
        </w:tc>
      </w:tr>
      <w:tr w:rsidR="000740F0" w:rsidRPr="00957D9C" w:rsidTr="00011B3F">
        <w:trPr>
          <w:trHeight w:val="135"/>
        </w:trPr>
        <w:tc>
          <w:tcPr>
            <w:tcW w:w="2127" w:type="dxa"/>
            <w:tcBorders>
              <w:top w:val="nil"/>
              <w:left w:val="double" w:sz="4" w:space="0" w:color="auto"/>
              <w:bottom w:val="single" w:sz="4" w:space="0" w:color="auto"/>
              <w:right w:val="single" w:sz="4" w:space="0" w:color="auto"/>
            </w:tcBorders>
            <w:shd w:val="clear" w:color="auto" w:fill="auto"/>
            <w:vAlign w:val="center"/>
            <w:hideMark/>
          </w:tcPr>
          <w:p w:rsidR="00957D9C" w:rsidRPr="00957D9C" w:rsidRDefault="00957D9C" w:rsidP="00957D9C">
            <w:pPr>
              <w:rPr>
                <w:color w:val="000000"/>
                <w:sz w:val="16"/>
                <w:szCs w:val="16"/>
              </w:rPr>
            </w:pPr>
            <w:r w:rsidRPr="00957D9C">
              <w:rPr>
                <w:color w:val="000000"/>
                <w:sz w:val="16"/>
                <w:szCs w:val="16"/>
              </w:rPr>
              <w:t>Краснодарский край</w:t>
            </w:r>
          </w:p>
        </w:tc>
        <w:tc>
          <w:tcPr>
            <w:tcW w:w="709" w:type="dxa"/>
            <w:tcBorders>
              <w:top w:val="nil"/>
              <w:left w:val="nil"/>
              <w:bottom w:val="single" w:sz="4" w:space="0" w:color="auto"/>
              <w:right w:val="single" w:sz="4" w:space="0" w:color="auto"/>
            </w:tcBorders>
            <w:shd w:val="clear" w:color="auto" w:fill="auto"/>
            <w:vAlign w:val="center"/>
            <w:hideMark/>
          </w:tcPr>
          <w:p w:rsidR="00957D9C" w:rsidRPr="00957D9C" w:rsidRDefault="00957D9C" w:rsidP="00957D9C">
            <w:pPr>
              <w:jc w:val="right"/>
              <w:rPr>
                <w:color w:val="000000"/>
                <w:sz w:val="16"/>
                <w:szCs w:val="16"/>
              </w:rPr>
            </w:pPr>
            <w:r w:rsidRPr="00957D9C">
              <w:rPr>
                <w:color w:val="000000"/>
                <w:sz w:val="16"/>
                <w:szCs w:val="16"/>
              </w:rPr>
              <w:t>26767</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28734</w:t>
            </w:r>
          </w:p>
        </w:tc>
        <w:tc>
          <w:tcPr>
            <w:tcW w:w="850"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30343</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0,79</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0,78</w:t>
            </w:r>
          </w:p>
        </w:tc>
        <w:tc>
          <w:tcPr>
            <w:tcW w:w="79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0,77</w:t>
            </w:r>
          </w:p>
        </w:tc>
        <w:tc>
          <w:tcPr>
            <w:tcW w:w="944" w:type="dxa"/>
            <w:tcBorders>
              <w:top w:val="nil"/>
              <w:left w:val="nil"/>
              <w:bottom w:val="single" w:sz="4" w:space="0" w:color="auto"/>
              <w:right w:val="single" w:sz="4" w:space="0" w:color="auto"/>
            </w:tcBorders>
            <w:shd w:val="clear" w:color="auto" w:fill="auto"/>
            <w:vAlign w:val="bottom"/>
            <w:hideMark/>
          </w:tcPr>
          <w:p w:rsidR="00957D9C" w:rsidRPr="009E3FE4" w:rsidRDefault="00957D9C" w:rsidP="00957D9C">
            <w:pPr>
              <w:jc w:val="right"/>
              <w:rPr>
                <w:color w:val="000000"/>
                <w:sz w:val="16"/>
                <w:szCs w:val="16"/>
              </w:rPr>
            </w:pPr>
            <w:r w:rsidRPr="009E3FE4">
              <w:rPr>
                <w:color w:val="000000"/>
                <w:sz w:val="16"/>
                <w:szCs w:val="16"/>
              </w:rPr>
              <w:t>0,77-0,79</w:t>
            </w:r>
          </w:p>
        </w:tc>
        <w:tc>
          <w:tcPr>
            <w:tcW w:w="1235" w:type="dxa"/>
            <w:tcBorders>
              <w:top w:val="nil"/>
              <w:left w:val="nil"/>
              <w:bottom w:val="single" w:sz="4" w:space="0" w:color="auto"/>
              <w:right w:val="single" w:sz="4" w:space="0" w:color="auto"/>
            </w:tcBorders>
            <w:shd w:val="clear" w:color="auto" w:fill="auto"/>
            <w:vAlign w:val="bottom"/>
            <w:hideMark/>
          </w:tcPr>
          <w:p w:rsidR="00957D9C" w:rsidRPr="009E3FE4" w:rsidRDefault="00957D9C" w:rsidP="00957D9C">
            <w:pPr>
              <w:jc w:val="right"/>
              <w:rPr>
                <w:color w:val="000000"/>
                <w:sz w:val="16"/>
                <w:szCs w:val="16"/>
              </w:rPr>
            </w:pPr>
            <w:r w:rsidRPr="009E3FE4">
              <w:rPr>
                <w:color w:val="000000"/>
                <w:sz w:val="16"/>
                <w:szCs w:val="16"/>
              </w:rPr>
              <w:t>0,793</w:t>
            </w:r>
          </w:p>
        </w:tc>
        <w:tc>
          <w:tcPr>
            <w:tcW w:w="1445" w:type="dxa"/>
            <w:tcBorders>
              <w:top w:val="nil"/>
              <w:left w:val="nil"/>
              <w:bottom w:val="single" w:sz="4" w:space="0" w:color="auto"/>
              <w:right w:val="doub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10 859,5</w:t>
            </w:r>
          </w:p>
        </w:tc>
      </w:tr>
      <w:tr w:rsidR="000740F0" w:rsidRPr="00957D9C" w:rsidTr="00011B3F">
        <w:trPr>
          <w:trHeight w:val="238"/>
        </w:trPr>
        <w:tc>
          <w:tcPr>
            <w:tcW w:w="2127" w:type="dxa"/>
            <w:tcBorders>
              <w:top w:val="nil"/>
              <w:left w:val="double" w:sz="4" w:space="0" w:color="auto"/>
              <w:bottom w:val="single" w:sz="4" w:space="0" w:color="auto"/>
              <w:right w:val="single" w:sz="4" w:space="0" w:color="auto"/>
            </w:tcBorders>
            <w:shd w:val="clear" w:color="auto" w:fill="auto"/>
            <w:vAlign w:val="center"/>
            <w:hideMark/>
          </w:tcPr>
          <w:p w:rsidR="00957D9C" w:rsidRPr="00957D9C" w:rsidRDefault="00957D9C" w:rsidP="00957D9C">
            <w:pPr>
              <w:rPr>
                <w:color w:val="000000"/>
                <w:sz w:val="16"/>
                <w:szCs w:val="16"/>
              </w:rPr>
            </w:pPr>
            <w:r w:rsidRPr="00957D9C">
              <w:rPr>
                <w:color w:val="000000"/>
                <w:sz w:val="16"/>
                <w:szCs w:val="16"/>
              </w:rPr>
              <w:t>Астраханская область</w:t>
            </w:r>
          </w:p>
        </w:tc>
        <w:tc>
          <w:tcPr>
            <w:tcW w:w="709" w:type="dxa"/>
            <w:tcBorders>
              <w:top w:val="nil"/>
              <w:left w:val="nil"/>
              <w:bottom w:val="single" w:sz="4" w:space="0" w:color="auto"/>
              <w:right w:val="single" w:sz="4" w:space="0" w:color="auto"/>
            </w:tcBorders>
            <w:shd w:val="clear" w:color="auto" w:fill="auto"/>
            <w:vAlign w:val="center"/>
            <w:hideMark/>
          </w:tcPr>
          <w:p w:rsidR="00957D9C" w:rsidRPr="00957D9C" w:rsidRDefault="00957D9C" w:rsidP="00957D9C">
            <w:pPr>
              <w:jc w:val="right"/>
              <w:rPr>
                <w:color w:val="000000"/>
                <w:sz w:val="16"/>
                <w:szCs w:val="16"/>
              </w:rPr>
            </w:pPr>
            <w:r w:rsidRPr="00957D9C">
              <w:rPr>
                <w:color w:val="000000"/>
                <w:sz w:val="16"/>
                <w:szCs w:val="16"/>
              </w:rPr>
              <w:t>25499</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27493</w:t>
            </w:r>
          </w:p>
        </w:tc>
        <w:tc>
          <w:tcPr>
            <w:tcW w:w="850"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29599</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0,75</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0,75</w:t>
            </w:r>
          </w:p>
        </w:tc>
        <w:tc>
          <w:tcPr>
            <w:tcW w:w="79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0,76</w:t>
            </w:r>
          </w:p>
        </w:tc>
        <w:tc>
          <w:tcPr>
            <w:tcW w:w="944" w:type="dxa"/>
            <w:tcBorders>
              <w:top w:val="nil"/>
              <w:left w:val="nil"/>
              <w:bottom w:val="single" w:sz="4" w:space="0" w:color="auto"/>
              <w:right w:val="single" w:sz="4" w:space="0" w:color="auto"/>
            </w:tcBorders>
            <w:shd w:val="clear" w:color="auto" w:fill="auto"/>
            <w:vAlign w:val="bottom"/>
            <w:hideMark/>
          </w:tcPr>
          <w:p w:rsidR="00957D9C" w:rsidRPr="009E3FE4" w:rsidRDefault="00957D9C" w:rsidP="00957D9C">
            <w:pPr>
              <w:jc w:val="right"/>
              <w:rPr>
                <w:color w:val="000000"/>
                <w:sz w:val="16"/>
                <w:szCs w:val="16"/>
              </w:rPr>
            </w:pPr>
            <w:r w:rsidRPr="009E3FE4">
              <w:rPr>
                <w:color w:val="000000"/>
                <w:sz w:val="16"/>
                <w:szCs w:val="16"/>
              </w:rPr>
              <w:t>0,75-0,76</w:t>
            </w:r>
          </w:p>
        </w:tc>
        <w:tc>
          <w:tcPr>
            <w:tcW w:w="1235" w:type="dxa"/>
            <w:tcBorders>
              <w:top w:val="nil"/>
              <w:left w:val="nil"/>
              <w:bottom w:val="single" w:sz="4" w:space="0" w:color="auto"/>
              <w:right w:val="single" w:sz="4" w:space="0" w:color="auto"/>
            </w:tcBorders>
            <w:shd w:val="clear" w:color="auto" w:fill="auto"/>
            <w:vAlign w:val="bottom"/>
            <w:hideMark/>
          </w:tcPr>
          <w:p w:rsidR="00957D9C" w:rsidRPr="009E3FE4" w:rsidRDefault="00957D9C" w:rsidP="00957D9C">
            <w:pPr>
              <w:jc w:val="right"/>
              <w:rPr>
                <w:color w:val="000000"/>
                <w:sz w:val="16"/>
                <w:szCs w:val="16"/>
              </w:rPr>
            </w:pPr>
            <w:r w:rsidRPr="009E3FE4">
              <w:rPr>
                <w:color w:val="000000"/>
                <w:sz w:val="16"/>
                <w:szCs w:val="16"/>
              </w:rPr>
              <w:t>0,739</w:t>
            </w:r>
          </w:p>
        </w:tc>
        <w:tc>
          <w:tcPr>
            <w:tcW w:w="1445" w:type="dxa"/>
            <w:tcBorders>
              <w:top w:val="nil"/>
              <w:left w:val="nil"/>
              <w:bottom w:val="single" w:sz="4" w:space="0" w:color="auto"/>
              <w:right w:val="doub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10 120,0</w:t>
            </w:r>
          </w:p>
        </w:tc>
      </w:tr>
      <w:tr w:rsidR="000740F0" w:rsidRPr="00957D9C" w:rsidTr="00011B3F">
        <w:trPr>
          <w:trHeight w:val="127"/>
        </w:trPr>
        <w:tc>
          <w:tcPr>
            <w:tcW w:w="2127" w:type="dxa"/>
            <w:tcBorders>
              <w:top w:val="nil"/>
              <w:left w:val="double" w:sz="4" w:space="0" w:color="auto"/>
              <w:bottom w:val="single" w:sz="4" w:space="0" w:color="auto"/>
              <w:right w:val="single" w:sz="4" w:space="0" w:color="auto"/>
            </w:tcBorders>
            <w:shd w:val="clear" w:color="auto" w:fill="auto"/>
            <w:vAlign w:val="center"/>
            <w:hideMark/>
          </w:tcPr>
          <w:p w:rsidR="00957D9C" w:rsidRPr="00957D9C" w:rsidRDefault="00957D9C" w:rsidP="00957D9C">
            <w:pPr>
              <w:rPr>
                <w:color w:val="000000"/>
                <w:sz w:val="16"/>
                <w:szCs w:val="16"/>
              </w:rPr>
            </w:pPr>
            <w:r w:rsidRPr="00957D9C">
              <w:rPr>
                <w:color w:val="000000"/>
                <w:sz w:val="16"/>
                <w:szCs w:val="16"/>
              </w:rPr>
              <w:t>Волгоградская область</w:t>
            </w:r>
          </w:p>
        </w:tc>
        <w:tc>
          <w:tcPr>
            <w:tcW w:w="709" w:type="dxa"/>
            <w:tcBorders>
              <w:top w:val="nil"/>
              <w:left w:val="nil"/>
              <w:bottom w:val="single" w:sz="4" w:space="0" w:color="auto"/>
              <w:right w:val="single" w:sz="4" w:space="0" w:color="auto"/>
            </w:tcBorders>
            <w:shd w:val="clear" w:color="auto" w:fill="auto"/>
            <w:vAlign w:val="center"/>
            <w:hideMark/>
          </w:tcPr>
          <w:p w:rsidR="00957D9C" w:rsidRPr="00957D9C" w:rsidRDefault="00957D9C" w:rsidP="00957D9C">
            <w:pPr>
              <w:jc w:val="right"/>
              <w:rPr>
                <w:color w:val="000000"/>
                <w:sz w:val="16"/>
                <w:szCs w:val="16"/>
              </w:rPr>
            </w:pPr>
            <w:r w:rsidRPr="00957D9C">
              <w:rPr>
                <w:color w:val="000000"/>
                <w:sz w:val="16"/>
                <w:szCs w:val="16"/>
              </w:rPr>
              <w:t>24361</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26554</w:t>
            </w:r>
          </w:p>
        </w:tc>
        <w:tc>
          <w:tcPr>
            <w:tcW w:w="850"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27962</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0,72</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0,72</w:t>
            </w:r>
          </w:p>
        </w:tc>
        <w:tc>
          <w:tcPr>
            <w:tcW w:w="79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0,71</w:t>
            </w:r>
          </w:p>
        </w:tc>
        <w:tc>
          <w:tcPr>
            <w:tcW w:w="944" w:type="dxa"/>
            <w:tcBorders>
              <w:top w:val="nil"/>
              <w:left w:val="nil"/>
              <w:bottom w:val="single" w:sz="4" w:space="0" w:color="auto"/>
              <w:right w:val="single" w:sz="4" w:space="0" w:color="auto"/>
            </w:tcBorders>
            <w:shd w:val="clear" w:color="auto" w:fill="auto"/>
            <w:vAlign w:val="bottom"/>
            <w:hideMark/>
          </w:tcPr>
          <w:p w:rsidR="00957D9C" w:rsidRPr="009E3FE4" w:rsidRDefault="00957D9C" w:rsidP="00957D9C">
            <w:pPr>
              <w:jc w:val="right"/>
              <w:rPr>
                <w:color w:val="000000"/>
                <w:sz w:val="16"/>
                <w:szCs w:val="16"/>
              </w:rPr>
            </w:pPr>
            <w:r w:rsidRPr="009E3FE4">
              <w:rPr>
                <w:color w:val="000000"/>
                <w:sz w:val="16"/>
                <w:szCs w:val="16"/>
              </w:rPr>
              <w:t>0,71-0,72</w:t>
            </w:r>
          </w:p>
        </w:tc>
        <w:tc>
          <w:tcPr>
            <w:tcW w:w="1235" w:type="dxa"/>
            <w:tcBorders>
              <w:top w:val="nil"/>
              <w:left w:val="nil"/>
              <w:bottom w:val="single" w:sz="4" w:space="0" w:color="auto"/>
              <w:right w:val="single" w:sz="4" w:space="0" w:color="auto"/>
            </w:tcBorders>
            <w:shd w:val="clear" w:color="auto" w:fill="auto"/>
            <w:vAlign w:val="bottom"/>
            <w:hideMark/>
          </w:tcPr>
          <w:p w:rsidR="00957D9C" w:rsidRPr="009E3FE4" w:rsidRDefault="00957D9C" w:rsidP="00957D9C">
            <w:pPr>
              <w:jc w:val="right"/>
              <w:rPr>
                <w:color w:val="000000"/>
                <w:sz w:val="16"/>
                <w:szCs w:val="16"/>
              </w:rPr>
            </w:pPr>
            <w:r w:rsidRPr="009E3FE4">
              <w:rPr>
                <w:color w:val="000000"/>
                <w:sz w:val="16"/>
                <w:szCs w:val="16"/>
              </w:rPr>
              <w:t>0,698</w:t>
            </w:r>
          </w:p>
        </w:tc>
        <w:tc>
          <w:tcPr>
            <w:tcW w:w="1445" w:type="dxa"/>
            <w:tcBorders>
              <w:top w:val="nil"/>
              <w:left w:val="nil"/>
              <w:bottom w:val="single" w:sz="4" w:space="0" w:color="auto"/>
              <w:right w:val="doub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9 558,6</w:t>
            </w:r>
          </w:p>
        </w:tc>
      </w:tr>
      <w:tr w:rsidR="000740F0" w:rsidRPr="00957D9C" w:rsidTr="00011B3F">
        <w:trPr>
          <w:trHeight w:val="216"/>
        </w:trPr>
        <w:tc>
          <w:tcPr>
            <w:tcW w:w="2127" w:type="dxa"/>
            <w:tcBorders>
              <w:top w:val="nil"/>
              <w:left w:val="double" w:sz="4" w:space="0" w:color="auto"/>
              <w:bottom w:val="single" w:sz="4" w:space="0" w:color="auto"/>
              <w:right w:val="single" w:sz="4" w:space="0" w:color="auto"/>
            </w:tcBorders>
            <w:shd w:val="clear" w:color="auto" w:fill="auto"/>
            <w:vAlign w:val="center"/>
            <w:hideMark/>
          </w:tcPr>
          <w:p w:rsidR="00957D9C" w:rsidRPr="00957D9C" w:rsidRDefault="00957D9C" w:rsidP="00957D9C">
            <w:pPr>
              <w:rPr>
                <w:color w:val="000000"/>
                <w:sz w:val="16"/>
                <w:szCs w:val="16"/>
              </w:rPr>
            </w:pPr>
            <w:r w:rsidRPr="00957D9C">
              <w:rPr>
                <w:color w:val="000000"/>
                <w:sz w:val="16"/>
                <w:szCs w:val="16"/>
              </w:rPr>
              <w:t>Ростовская область</w:t>
            </w:r>
          </w:p>
        </w:tc>
        <w:tc>
          <w:tcPr>
            <w:tcW w:w="709" w:type="dxa"/>
            <w:tcBorders>
              <w:top w:val="nil"/>
              <w:left w:val="nil"/>
              <w:bottom w:val="single" w:sz="4" w:space="0" w:color="auto"/>
              <w:right w:val="single" w:sz="4" w:space="0" w:color="auto"/>
            </w:tcBorders>
            <w:shd w:val="clear" w:color="auto" w:fill="auto"/>
            <w:vAlign w:val="center"/>
            <w:hideMark/>
          </w:tcPr>
          <w:p w:rsidR="00957D9C" w:rsidRPr="00957D9C" w:rsidRDefault="00957D9C" w:rsidP="00957D9C">
            <w:pPr>
              <w:jc w:val="right"/>
              <w:rPr>
                <w:color w:val="000000"/>
                <w:sz w:val="16"/>
                <w:szCs w:val="16"/>
              </w:rPr>
            </w:pPr>
            <w:r w:rsidRPr="00957D9C">
              <w:rPr>
                <w:color w:val="000000"/>
                <w:sz w:val="16"/>
                <w:szCs w:val="16"/>
              </w:rPr>
              <w:t>25008</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26689</w:t>
            </w:r>
          </w:p>
        </w:tc>
        <w:tc>
          <w:tcPr>
            <w:tcW w:w="850"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28500</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0,73</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0,73</w:t>
            </w:r>
          </w:p>
        </w:tc>
        <w:tc>
          <w:tcPr>
            <w:tcW w:w="79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0,73</w:t>
            </w:r>
          </w:p>
        </w:tc>
        <w:tc>
          <w:tcPr>
            <w:tcW w:w="944"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0,73</w:t>
            </w:r>
          </w:p>
        </w:tc>
        <w:tc>
          <w:tcPr>
            <w:tcW w:w="123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0,726</w:t>
            </w:r>
          </w:p>
        </w:tc>
        <w:tc>
          <w:tcPr>
            <w:tcW w:w="1445" w:type="dxa"/>
            <w:tcBorders>
              <w:top w:val="nil"/>
              <w:left w:val="nil"/>
              <w:bottom w:val="single" w:sz="4" w:space="0" w:color="auto"/>
              <w:right w:val="doub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9 942,0</w:t>
            </w:r>
          </w:p>
        </w:tc>
      </w:tr>
      <w:tr w:rsidR="000740F0" w:rsidRPr="00957D9C" w:rsidTr="00011B3F">
        <w:trPr>
          <w:trHeight w:val="134"/>
        </w:trPr>
        <w:tc>
          <w:tcPr>
            <w:tcW w:w="2127" w:type="dxa"/>
            <w:tcBorders>
              <w:top w:val="nil"/>
              <w:left w:val="double" w:sz="4" w:space="0" w:color="auto"/>
              <w:bottom w:val="single" w:sz="4" w:space="0" w:color="auto"/>
              <w:right w:val="single" w:sz="4" w:space="0" w:color="auto"/>
            </w:tcBorders>
            <w:shd w:val="clear" w:color="auto" w:fill="auto"/>
            <w:vAlign w:val="center"/>
            <w:hideMark/>
          </w:tcPr>
          <w:p w:rsidR="00957D9C" w:rsidRPr="00957D9C" w:rsidRDefault="00957D9C" w:rsidP="00957D9C">
            <w:pPr>
              <w:rPr>
                <w:color w:val="000000"/>
                <w:sz w:val="16"/>
                <w:szCs w:val="16"/>
              </w:rPr>
            </w:pPr>
            <w:r w:rsidRPr="00957D9C">
              <w:rPr>
                <w:color w:val="000000"/>
                <w:sz w:val="16"/>
                <w:szCs w:val="16"/>
              </w:rPr>
              <w:t>Ставропольский край</w:t>
            </w:r>
          </w:p>
        </w:tc>
        <w:tc>
          <w:tcPr>
            <w:tcW w:w="709" w:type="dxa"/>
            <w:tcBorders>
              <w:top w:val="nil"/>
              <w:left w:val="nil"/>
              <w:bottom w:val="single" w:sz="4" w:space="0" w:color="auto"/>
              <w:right w:val="single" w:sz="4" w:space="0" w:color="auto"/>
            </w:tcBorders>
            <w:shd w:val="clear" w:color="auto" w:fill="auto"/>
            <w:vAlign w:val="center"/>
            <w:hideMark/>
          </w:tcPr>
          <w:p w:rsidR="00957D9C" w:rsidRPr="00957D9C" w:rsidRDefault="00957D9C" w:rsidP="00957D9C">
            <w:pPr>
              <w:jc w:val="right"/>
              <w:rPr>
                <w:color w:val="000000"/>
                <w:sz w:val="16"/>
                <w:szCs w:val="16"/>
              </w:rPr>
            </w:pPr>
            <w:r w:rsidRPr="00957D9C">
              <w:rPr>
                <w:color w:val="000000"/>
                <w:sz w:val="16"/>
                <w:szCs w:val="16"/>
              </w:rPr>
              <w:t>23245</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24655</w:t>
            </w:r>
          </w:p>
        </w:tc>
        <w:tc>
          <w:tcPr>
            <w:tcW w:w="850"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26645</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0,68</w:t>
            </w:r>
          </w:p>
        </w:tc>
        <w:tc>
          <w:tcPr>
            <w:tcW w:w="709"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0,67</w:t>
            </w:r>
          </w:p>
        </w:tc>
        <w:tc>
          <w:tcPr>
            <w:tcW w:w="79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0,68</w:t>
            </w:r>
          </w:p>
        </w:tc>
        <w:tc>
          <w:tcPr>
            <w:tcW w:w="944"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0,67-0,68</w:t>
            </w:r>
          </w:p>
        </w:tc>
        <w:tc>
          <w:tcPr>
            <w:tcW w:w="1235" w:type="dxa"/>
            <w:tcBorders>
              <w:top w:val="nil"/>
              <w:left w:val="nil"/>
              <w:bottom w:val="sing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0,676</w:t>
            </w:r>
          </w:p>
        </w:tc>
        <w:tc>
          <w:tcPr>
            <w:tcW w:w="1445" w:type="dxa"/>
            <w:tcBorders>
              <w:top w:val="nil"/>
              <w:left w:val="nil"/>
              <w:bottom w:val="single" w:sz="4" w:space="0" w:color="auto"/>
              <w:right w:val="doub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9 257,3</w:t>
            </w:r>
          </w:p>
        </w:tc>
      </w:tr>
      <w:tr w:rsidR="000740F0" w:rsidRPr="00957D9C" w:rsidTr="00011B3F">
        <w:trPr>
          <w:trHeight w:val="221"/>
        </w:trPr>
        <w:tc>
          <w:tcPr>
            <w:tcW w:w="2127" w:type="dxa"/>
            <w:tcBorders>
              <w:top w:val="nil"/>
              <w:left w:val="double" w:sz="4" w:space="0" w:color="auto"/>
              <w:bottom w:val="double" w:sz="4" w:space="0" w:color="auto"/>
              <w:right w:val="single" w:sz="4" w:space="0" w:color="auto"/>
            </w:tcBorders>
            <w:shd w:val="clear" w:color="auto" w:fill="auto"/>
            <w:vAlign w:val="center"/>
            <w:hideMark/>
          </w:tcPr>
          <w:p w:rsidR="00957D9C" w:rsidRPr="00957D9C" w:rsidRDefault="00957D9C" w:rsidP="00957D9C">
            <w:pPr>
              <w:rPr>
                <w:color w:val="000000"/>
                <w:sz w:val="16"/>
                <w:szCs w:val="16"/>
              </w:rPr>
            </w:pPr>
            <w:r w:rsidRPr="00957D9C">
              <w:rPr>
                <w:color w:val="000000"/>
                <w:sz w:val="16"/>
                <w:szCs w:val="16"/>
              </w:rPr>
              <w:t>Саратовская область</w:t>
            </w:r>
          </w:p>
        </w:tc>
        <w:tc>
          <w:tcPr>
            <w:tcW w:w="709" w:type="dxa"/>
            <w:tcBorders>
              <w:top w:val="nil"/>
              <w:left w:val="nil"/>
              <w:bottom w:val="double" w:sz="4" w:space="0" w:color="auto"/>
              <w:right w:val="single" w:sz="4" w:space="0" w:color="auto"/>
            </w:tcBorders>
            <w:shd w:val="clear" w:color="auto" w:fill="auto"/>
            <w:vAlign w:val="center"/>
            <w:hideMark/>
          </w:tcPr>
          <w:p w:rsidR="00957D9C" w:rsidRPr="00957D9C" w:rsidRDefault="00957D9C" w:rsidP="00957D9C">
            <w:pPr>
              <w:jc w:val="right"/>
              <w:rPr>
                <w:color w:val="000000"/>
                <w:sz w:val="16"/>
                <w:szCs w:val="16"/>
              </w:rPr>
            </w:pPr>
            <w:r w:rsidRPr="00957D9C">
              <w:rPr>
                <w:color w:val="000000"/>
                <w:sz w:val="16"/>
                <w:szCs w:val="16"/>
              </w:rPr>
              <w:t>22528</w:t>
            </w:r>
          </w:p>
        </w:tc>
        <w:tc>
          <w:tcPr>
            <w:tcW w:w="709" w:type="dxa"/>
            <w:tcBorders>
              <w:top w:val="nil"/>
              <w:left w:val="nil"/>
              <w:bottom w:val="doub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23548</w:t>
            </w:r>
          </w:p>
        </w:tc>
        <w:tc>
          <w:tcPr>
            <w:tcW w:w="850" w:type="dxa"/>
            <w:tcBorders>
              <w:top w:val="nil"/>
              <w:left w:val="nil"/>
              <w:bottom w:val="doub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24738</w:t>
            </w:r>
          </w:p>
        </w:tc>
        <w:tc>
          <w:tcPr>
            <w:tcW w:w="709" w:type="dxa"/>
            <w:tcBorders>
              <w:top w:val="nil"/>
              <w:left w:val="nil"/>
              <w:bottom w:val="doub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0,66</w:t>
            </w:r>
          </w:p>
        </w:tc>
        <w:tc>
          <w:tcPr>
            <w:tcW w:w="709" w:type="dxa"/>
            <w:tcBorders>
              <w:top w:val="nil"/>
              <w:left w:val="nil"/>
              <w:bottom w:val="doub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0,64</w:t>
            </w:r>
          </w:p>
        </w:tc>
        <w:tc>
          <w:tcPr>
            <w:tcW w:w="795" w:type="dxa"/>
            <w:tcBorders>
              <w:top w:val="nil"/>
              <w:left w:val="nil"/>
              <w:bottom w:val="doub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0,63</w:t>
            </w:r>
          </w:p>
        </w:tc>
        <w:tc>
          <w:tcPr>
            <w:tcW w:w="944" w:type="dxa"/>
            <w:tcBorders>
              <w:top w:val="nil"/>
              <w:left w:val="nil"/>
              <w:bottom w:val="doub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0,63-0,66</w:t>
            </w:r>
          </w:p>
        </w:tc>
        <w:tc>
          <w:tcPr>
            <w:tcW w:w="1235" w:type="dxa"/>
            <w:tcBorders>
              <w:top w:val="nil"/>
              <w:left w:val="nil"/>
              <w:bottom w:val="double" w:sz="4" w:space="0" w:color="auto"/>
              <w:right w:val="sing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0,651</w:t>
            </w:r>
          </w:p>
        </w:tc>
        <w:tc>
          <w:tcPr>
            <w:tcW w:w="1445" w:type="dxa"/>
            <w:tcBorders>
              <w:top w:val="nil"/>
              <w:left w:val="nil"/>
              <w:bottom w:val="double" w:sz="4" w:space="0" w:color="auto"/>
              <w:right w:val="double" w:sz="4" w:space="0" w:color="auto"/>
            </w:tcBorders>
            <w:shd w:val="clear" w:color="auto" w:fill="auto"/>
            <w:vAlign w:val="bottom"/>
            <w:hideMark/>
          </w:tcPr>
          <w:p w:rsidR="00957D9C" w:rsidRPr="00957D9C" w:rsidRDefault="00957D9C" w:rsidP="00957D9C">
            <w:pPr>
              <w:jc w:val="right"/>
              <w:rPr>
                <w:color w:val="000000"/>
                <w:sz w:val="16"/>
                <w:szCs w:val="16"/>
              </w:rPr>
            </w:pPr>
            <w:r w:rsidRPr="00957D9C">
              <w:rPr>
                <w:color w:val="000000"/>
                <w:sz w:val="16"/>
                <w:szCs w:val="16"/>
              </w:rPr>
              <w:t>8 914,9</w:t>
            </w:r>
          </w:p>
        </w:tc>
      </w:tr>
    </w:tbl>
    <w:p w:rsidR="00957D9C" w:rsidRDefault="00957D9C" w:rsidP="00AB73F7">
      <w:pPr>
        <w:ind w:firstLine="680"/>
        <w:jc w:val="both"/>
        <w:rPr>
          <w:color w:val="000000"/>
        </w:rPr>
      </w:pPr>
    </w:p>
    <w:p w:rsidR="00A40270" w:rsidRDefault="00434664" w:rsidP="00434664">
      <w:pPr>
        <w:ind w:firstLine="680"/>
        <w:jc w:val="both"/>
        <w:rPr>
          <w:color w:val="000000"/>
        </w:rPr>
      </w:pPr>
      <w:proofErr w:type="gramStart"/>
      <w:r>
        <w:rPr>
          <w:color w:val="000000"/>
        </w:rPr>
        <w:t xml:space="preserve">Как видно из таблицы, в </w:t>
      </w:r>
      <w:r w:rsidR="00A40270">
        <w:rPr>
          <w:color w:val="000000"/>
        </w:rPr>
        <w:t xml:space="preserve">Астраханской и </w:t>
      </w:r>
      <w:r w:rsidRPr="00E66066">
        <w:rPr>
          <w:color w:val="000000"/>
        </w:rPr>
        <w:t>Волгоградской област</w:t>
      </w:r>
      <w:r w:rsidR="001545E7">
        <w:rPr>
          <w:color w:val="000000"/>
        </w:rPr>
        <w:t>ях</w:t>
      </w:r>
      <w:r>
        <w:rPr>
          <w:color w:val="000000"/>
        </w:rPr>
        <w:t>, республике Калмыкия</w:t>
      </w:r>
      <w:r w:rsidR="00A40270">
        <w:rPr>
          <w:color w:val="000000"/>
        </w:rPr>
        <w:t xml:space="preserve"> применяется Коэффициент ниже</w:t>
      </w:r>
      <w:r>
        <w:rPr>
          <w:color w:val="000000"/>
        </w:rPr>
        <w:t xml:space="preserve">, </w:t>
      </w:r>
      <w:r w:rsidR="00A40270">
        <w:rPr>
          <w:color w:val="000000"/>
        </w:rPr>
        <w:t xml:space="preserve">чем коэффициент отношения </w:t>
      </w:r>
      <w:r w:rsidR="00A40270" w:rsidRPr="00A40270">
        <w:rPr>
          <w:color w:val="000000"/>
        </w:rPr>
        <w:t>уровня среднемесячной заработной платы регион</w:t>
      </w:r>
      <w:r w:rsidR="00F843E8">
        <w:rPr>
          <w:color w:val="000000"/>
        </w:rPr>
        <w:t>а</w:t>
      </w:r>
      <w:r w:rsidR="00A40270" w:rsidRPr="00A40270">
        <w:rPr>
          <w:color w:val="000000"/>
        </w:rPr>
        <w:t xml:space="preserve"> к средней заработной плате по РФ</w:t>
      </w:r>
      <w:r w:rsidR="00A40270">
        <w:rPr>
          <w:color w:val="000000"/>
        </w:rPr>
        <w:t>.</w:t>
      </w:r>
      <w:proofErr w:type="gramEnd"/>
    </w:p>
    <w:p w:rsidR="00595AEE" w:rsidRDefault="00F843E8" w:rsidP="00F843E8">
      <w:pPr>
        <w:ind w:firstLine="680"/>
        <w:jc w:val="both"/>
        <w:rPr>
          <w:i/>
          <w:color w:val="000000"/>
        </w:rPr>
      </w:pPr>
      <w:r>
        <w:rPr>
          <w:i/>
          <w:color w:val="000000"/>
        </w:rPr>
        <w:t>У</w:t>
      </w:r>
      <w:r w:rsidRPr="00E66066">
        <w:rPr>
          <w:i/>
          <w:color w:val="000000"/>
        </w:rPr>
        <w:t>читывая значимость данного коэффициента при распределении субвенции</w:t>
      </w:r>
      <w:r w:rsidR="00595AEE">
        <w:rPr>
          <w:i/>
          <w:color w:val="000000"/>
        </w:rPr>
        <w:t>,</w:t>
      </w:r>
      <w:r w:rsidRPr="00E66066">
        <w:rPr>
          <w:i/>
          <w:color w:val="000000"/>
        </w:rPr>
        <w:t xml:space="preserve"> считаем </w:t>
      </w:r>
      <w:r>
        <w:rPr>
          <w:i/>
          <w:color w:val="000000"/>
        </w:rPr>
        <w:t xml:space="preserve">целесообразным </w:t>
      </w:r>
      <w:r w:rsidRPr="00E66066">
        <w:rPr>
          <w:i/>
          <w:color w:val="000000"/>
        </w:rPr>
        <w:t xml:space="preserve">нормативно урегулировать порядок расчета </w:t>
      </w:r>
      <w:r w:rsidR="00595AEE">
        <w:rPr>
          <w:i/>
          <w:color w:val="000000"/>
        </w:rPr>
        <w:t>Коэффициента</w:t>
      </w:r>
      <w:r w:rsidR="00681229">
        <w:rPr>
          <w:i/>
          <w:color w:val="000000"/>
        </w:rPr>
        <w:t xml:space="preserve"> при определении расходов на оплату труда ВУР.</w:t>
      </w:r>
    </w:p>
    <w:p w:rsidR="00F661C4" w:rsidRDefault="000D7414" w:rsidP="00F661C4">
      <w:pPr>
        <w:pStyle w:val="a3"/>
        <w:numPr>
          <w:ilvl w:val="0"/>
          <w:numId w:val="2"/>
        </w:numPr>
        <w:shd w:val="clear" w:color="auto" w:fill="FFFFFF"/>
        <w:spacing w:after="0" w:line="240" w:lineRule="auto"/>
        <w:ind w:left="0" w:firstLine="680"/>
        <w:jc w:val="both"/>
        <w:rPr>
          <w:rFonts w:ascii="Times New Roman" w:hAnsi="Times New Roman" w:cs="Times New Roman"/>
          <w:sz w:val="24"/>
          <w:szCs w:val="24"/>
        </w:rPr>
      </w:pPr>
      <w:r w:rsidRPr="003D5844">
        <w:rPr>
          <w:rFonts w:ascii="Times New Roman" w:hAnsi="Times New Roman" w:cs="Times New Roman"/>
          <w:i/>
          <w:sz w:val="24"/>
          <w:szCs w:val="24"/>
        </w:rPr>
        <w:t>Федеральная м</w:t>
      </w:r>
      <w:r w:rsidR="00F661C4" w:rsidRPr="003D5844">
        <w:rPr>
          <w:rFonts w:ascii="Times New Roman" w:hAnsi="Times New Roman" w:cs="Times New Roman"/>
          <w:i/>
          <w:sz w:val="24"/>
          <w:szCs w:val="24"/>
        </w:rPr>
        <w:t xml:space="preserve">етодика не содержит отдельных расходов, </w:t>
      </w:r>
      <w:r w:rsidR="003D5844">
        <w:rPr>
          <w:rFonts w:ascii="Times New Roman" w:hAnsi="Times New Roman" w:cs="Times New Roman"/>
          <w:i/>
          <w:sz w:val="24"/>
          <w:szCs w:val="24"/>
        </w:rPr>
        <w:t xml:space="preserve">непосредственно </w:t>
      </w:r>
      <w:r w:rsidR="00F661C4" w:rsidRPr="003D5844">
        <w:rPr>
          <w:rFonts w:ascii="Times New Roman" w:hAnsi="Times New Roman" w:cs="Times New Roman"/>
          <w:i/>
          <w:sz w:val="24"/>
          <w:szCs w:val="24"/>
        </w:rPr>
        <w:t>связанных с деятельностью ВУР</w:t>
      </w:r>
      <w:r w:rsidR="00F661C4" w:rsidRPr="00F661C4">
        <w:rPr>
          <w:rFonts w:ascii="Times New Roman" w:hAnsi="Times New Roman" w:cs="Times New Roman"/>
          <w:sz w:val="24"/>
          <w:szCs w:val="24"/>
        </w:rPr>
        <w:t xml:space="preserve">:   </w:t>
      </w:r>
    </w:p>
    <w:p w:rsidR="00F661C4" w:rsidRDefault="00F661C4" w:rsidP="00F661C4">
      <w:pPr>
        <w:shd w:val="clear" w:color="auto" w:fill="FFFFFF"/>
        <w:ind w:left="680"/>
        <w:jc w:val="both"/>
      </w:pPr>
      <w:r w:rsidRPr="00F661C4">
        <w:t xml:space="preserve">- по оплате услуг банка по обслуживанию специального карточного счета ВУР;                                                       - по прохождению ВУР диспансеризации;   </w:t>
      </w:r>
    </w:p>
    <w:p w:rsidR="00F661C4" w:rsidRDefault="00F661C4" w:rsidP="00F661C4">
      <w:pPr>
        <w:shd w:val="clear" w:color="auto" w:fill="FFFFFF"/>
        <w:ind w:firstLine="680"/>
        <w:jc w:val="both"/>
      </w:pPr>
      <w:r w:rsidRPr="00F661C4">
        <w:t xml:space="preserve">-  ежемесячные компенсационные выплаты находящимся в отпуске по уходу за ребенком до достижения им возраста 3 лет;    </w:t>
      </w:r>
    </w:p>
    <w:p w:rsidR="00F661C4" w:rsidRDefault="00F661C4" w:rsidP="00F661C4">
      <w:pPr>
        <w:shd w:val="clear" w:color="auto" w:fill="FFFFFF"/>
        <w:ind w:firstLine="680"/>
        <w:jc w:val="both"/>
      </w:pPr>
      <w:r w:rsidRPr="00F661C4">
        <w:t xml:space="preserve">- по оплате налога </w:t>
      </w:r>
      <w:r w:rsidR="00A70747">
        <w:t xml:space="preserve">на </w:t>
      </w:r>
      <w:r w:rsidRPr="00F661C4">
        <w:t xml:space="preserve">имущество организаций  в части имущества, используемого ВУР;                                                                    </w:t>
      </w:r>
    </w:p>
    <w:p w:rsidR="00F661C4" w:rsidRDefault="00F661C4" w:rsidP="00F661C4">
      <w:pPr>
        <w:shd w:val="clear" w:color="auto" w:fill="FFFFFF"/>
        <w:ind w:firstLine="680"/>
        <w:jc w:val="both"/>
      </w:pPr>
      <w:r w:rsidRPr="00F661C4">
        <w:t xml:space="preserve">- по приобретению </w:t>
      </w:r>
      <w:r w:rsidR="00710C6B">
        <w:t xml:space="preserve">и обслуживанию </w:t>
      </w:r>
      <w:r w:rsidRPr="00F661C4">
        <w:t xml:space="preserve">программного продукта для организации учета военнообязанных граждан.    </w:t>
      </w:r>
    </w:p>
    <w:p w:rsidR="005D267C" w:rsidRPr="00F661C4" w:rsidRDefault="00F661C4" w:rsidP="00F661C4">
      <w:pPr>
        <w:shd w:val="clear" w:color="auto" w:fill="FFFFFF"/>
        <w:ind w:firstLine="680"/>
        <w:jc w:val="both"/>
      </w:pPr>
      <w:r w:rsidRPr="00F661C4">
        <w:t xml:space="preserve">Кроме того, в </w:t>
      </w:r>
      <w:r w:rsidR="000D7414">
        <w:t>Федеральной м</w:t>
      </w:r>
      <w:r w:rsidRPr="00F661C4">
        <w:t xml:space="preserve">етодике не конкретизировано, какое имущество относится к инвентарю, в </w:t>
      </w:r>
      <w:proofErr w:type="gramStart"/>
      <w:r w:rsidRPr="00F661C4">
        <w:t>связи</w:t>
      </w:r>
      <w:proofErr w:type="gramEnd"/>
      <w:r w:rsidRPr="00F661C4">
        <w:t xml:space="preserve"> с чем возникают вопросы о возможности расходования средств федерального бюджета на приобретение бытовых приборов (электрообогреватель, микроволновая печь).</w:t>
      </w:r>
    </w:p>
    <w:p w:rsidR="00B869B4" w:rsidRDefault="00A0238E" w:rsidP="00B869B4">
      <w:pPr>
        <w:shd w:val="clear" w:color="auto" w:fill="FFFFFF"/>
        <w:ind w:firstLine="680"/>
        <w:jc w:val="both"/>
        <w:rPr>
          <w:u w:val="single"/>
        </w:rPr>
      </w:pPr>
      <w:r w:rsidRPr="00A0238E">
        <w:rPr>
          <w:u w:val="single"/>
        </w:rPr>
        <w:t>на региональном уровне</w:t>
      </w:r>
      <w:r w:rsidR="00A70747">
        <w:rPr>
          <w:u w:val="single"/>
        </w:rPr>
        <w:t xml:space="preserve"> </w:t>
      </w:r>
    </w:p>
    <w:p w:rsidR="00F42674" w:rsidRPr="00F42674" w:rsidRDefault="00F42674" w:rsidP="00CE25D3">
      <w:pPr>
        <w:pStyle w:val="a3"/>
        <w:numPr>
          <w:ilvl w:val="0"/>
          <w:numId w:val="2"/>
        </w:numPr>
        <w:shd w:val="clear" w:color="auto" w:fill="FFFFFF"/>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документа, содержащего систематизированные рекомендации для органов местного самоуправления по установлению </w:t>
      </w:r>
      <w:r w:rsidRPr="00F42674">
        <w:rPr>
          <w:rFonts w:ascii="Times New Roman" w:hAnsi="Times New Roman" w:cs="Times New Roman"/>
          <w:color w:val="000000"/>
          <w:sz w:val="24"/>
          <w:szCs w:val="24"/>
        </w:rPr>
        <w:t>единых подходов</w:t>
      </w:r>
      <w:r>
        <w:rPr>
          <w:rFonts w:ascii="Times New Roman" w:hAnsi="Times New Roman" w:cs="Times New Roman"/>
          <w:sz w:val="24"/>
          <w:szCs w:val="24"/>
        </w:rPr>
        <w:t xml:space="preserve"> к определению размера расходов на содержание ВУР (по их видам) на территории региона. </w:t>
      </w:r>
      <w:r w:rsidRPr="00F42674">
        <w:rPr>
          <w:rFonts w:ascii="Times New Roman" w:hAnsi="Times New Roman" w:cs="Times New Roman"/>
          <w:sz w:val="24"/>
          <w:szCs w:val="24"/>
        </w:rPr>
        <w:t xml:space="preserve">В результате в одних поселениях весь объем субвенции направляется на оплату труда и начисления на нее, а в других поселениях на материально-техническое обеспечение направляется  свыше 50%  объема субвенции (например, в 2017 году по </w:t>
      </w:r>
      <w:proofErr w:type="spellStart"/>
      <w:r w:rsidRPr="00F42674">
        <w:rPr>
          <w:rFonts w:ascii="Times New Roman" w:hAnsi="Times New Roman" w:cs="Times New Roman"/>
          <w:sz w:val="24"/>
          <w:szCs w:val="24"/>
        </w:rPr>
        <w:t>Гусевскому</w:t>
      </w:r>
      <w:proofErr w:type="spellEnd"/>
      <w:r w:rsidRPr="00F42674">
        <w:rPr>
          <w:rFonts w:ascii="Times New Roman" w:hAnsi="Times New Roman" w:cs="Times New Roman"/>
          <w:sz w:val="24"/>
          <w:szCs w:val="24"/>
        </w:rPr>
        <w:t xml:space="preserve"> (52,2%) и Романовскому (60,9%) сельским поселениям (далее – с/</w:t>
      </w:r>
      <w:proofErr w:type="spellStart"/>
      <w:r w:rsidRPr="00F42674">
        <w:rPr>
          <w:rFonts w:ascii="Times New Roman" w:hAnsi="Times New Roman" w:cs="Times New Roman"/>
          <w:sz w:val="24"/>
          <w:szCs w:val="24"/>
        </w:rPr>
        <w:t>п</w:t>
      </w:r>
      <w:proofErr w:type="spellEnd"/>
      <w:r w:rsidRPr="00F42674">
        <w:rPr>
          <w:rFonts w:ascii="Times New Roman" w:hAnsi="Times New Roman" w:cs="Times New Roman"/>
          <w:sz w:val="24"/>
          <w:szCs w:val="24"/>
        </w:rPr>
        <w:t xml:space="preserve">) Ольховского муниципального района (далее – МР), </w:t>
      </w:r>
      <w:proofErr w:type="spellStart"/>
      <w:r w:rsidRPr="00F42674">
        <w:rPr>
          <w:rFonts w:ascii="Times New Roman" w:hAnsi="Times New Roman" w:cs="Times New Roman"/>
          <w:sz w:val="24"/>
          <w:szCs w:val="24"/>
        </w:rPr>
        <w:t>Краснинскому</w:t>
      </w:r>
      <w:proofErr w:type="spellEnd"/>
      <w:r w:rsidRPr="00F42674">
        <w:rPr>
          <w:rFonts w:ascii="Times New Roman" w:hAnsi="Times New Roman" w:cs="Times New Roman"/>
          <w:sz w:val="24"/>
          <w:szCs w:val="24"/>
        </w:rPr>
        <w:t xml:space="preserve"> (66,4%) и </w:t>
      </w:r>
      <w:proofErr w:type="spellStart"/>
      <w:r w:rsidRPr="00F42674">
        <w:rPr>
          <w:rFonts w:ascii="Times New Roman" w:hAnsi="Times New Roman" w:cs="Times New Roman"/>
          <w:sz w:val="24"/>
          <w:szCs w:val="24"/>
        </w:rPr>
        <w:t>Ореховскому</w:t>
      </w:r>
      <w:proofErr w:type="spellEnd"/>
      <w:r w:rsidRPr="00F42674">
        <w:rPr>
          <w:rFonts w:ascii="Times New Roman" w:hAnsi="Times New Roman" w:cs="Times New Roman"/>
          <w:sz w:val="24"/>
          <w:szCs w:val="24"/>
        </w:rPr>
        <w:t xml:space="preserve">  (52,5%) с/</w:t>
      </w:r>
      <w:proofErr w:type="spellStart"/>
      <w:proofErr w:type="gramStart"/>
      <w:r w:rsidRPr="00F42674">
        <w:rPr>
          <w:rFonts w:ascii="Times New Roman" w:hAnsi="Times New Roman" w:cs="Times New Roman"/>
          <w:sz w:val="24"/>
          <w:szCs w:val="24"/>
        </w:rPr>
        <w:t>п</w:t>
      </w:r>
      <w:proofErr w:type="spellEnd"/>
      <w:proofErr w:type="gramEnd"/>
      <w:r w:rsidRPr="00F42674">
        <w:rPr>
          <w:rFonts w:ascii="Times New Roman" w:hAnsi="Times New Roman" w:cs="Times New Roman"/>
          <w:sz w:val="24"/>
          <w:szCs w:val="24"/>
        </w:rPr>
        <w:t xml:space="preserve">  Даниловского МР). Также по поселениям наблюдается значительная разница в доле средств, направляемых на материально-техническое обеспечение ВУР, к общему объему субвенции (в 2016 году - от 0,3% до 65,7%, в 2017 году - от 0,2% </w:t>
      </w:r>
      <w:proofErr w:type="gramStart"/>
      <w:r w:rsidRPr="00F42674">
        <w:rPr>
          <w:rFonts w:ascii="Times New Roman" w:hAnsi="Times New Roman" w:cs="Times New Roman"/>
          <w:sz w:val="24"/>
          <w:szCs w:val="24"/>
        </w:rPr>
        <w:t>до</w:t>
      </w:r>
      <w:proofErr w:type="gramEnd"/>
      <w:r w:rsidRPr="00F42674">
        <w:rPr>
          <w:rFonts w:ascii="Times New Roman" w:hAnsi="Times New Roman" w:cs="Times New Roman"/>
          <w:sz w:val="24"/>
          <w:szCs w:val="24"/>
        </w:rPr>
        <w:t xml:space="preserve"> 66,4%).   </w:t>
      </w:r>
    </w:p>
    <w:p w:rsidR="00903421" w:rsidRPr="00903421" w:rsidRDefault="002352CF" w:rsidP="00903421">
      <w:pPr>
        <w:shd w:val="clear" w:color="auto" w:fill="FFFFFF"/>
        <w:ind w:firstLine="680"/>
        <w:jc w:val="both"/>
        <w:rPr>
          <w:u w:val="single"/>
        </w:rPr>
      </w:pPr>
      <w:r w:rsidRPr="00FE7C64">
        <w:t xml:space="preserve">         </w:t>
      </w:r>
      <w:r w:rsidR="00903421" w:rsidRPr="00903421">
        <w:t>н</w:t>
      </w:r>
      <w:r w:rsidR="00903421" w:rsidRPr="00903421">
        <w:rPr>
          <w:u w:val="single"/>
        </w:rPr>
        <w:t>а местном уровне</w:t>
      </w:r>
    </w:p>
    <w:p w:rsidR="00474077" w:rsidRPr="00B66503" w:rsidRDefault="00903421" w:rsidP="00474077">
      <w:pPr>
        <w:pStyle w:val="a3"/>
        <w:numPr>
          <w:ilvl w:val="0"/>
          <w:numId w:val="11"/>
        </w:numPr>
        <w:shd w:val="clear" w:color="auto" w:fill="FFFFFF"/>
        <w:spacing w:after="0" w:line="240" w:lineRule="auto"/>
        <w:ind w:left="0" w:firstLine="680"/>
        <w:jc w:val="both"/>
        <w:rPr>
          <w:rFonts w:ascii="Times New Roman" w:hAnsi="Times New Roman" w:cs="Times New Roman"/>
          <w:i/>
          <w:sz w:val="24"/>
          <w:szCs w:val="24"/>
        </w:rPr>
      </w:pPr>
      <w:r w:rsidRPr="00474077">
        <w:rPr>
          <w:rFonts w:ascii="Times New Roman" w:hAnsi="Times New Roman" w:cs="Times New Roman"/>
          <w:sz w:val="24"/>
          <w:szCs w:val="24"/>
        </w:rPr>
        <w:t xml:space="preserve">по проверенным поселениям установлено, что </w:t>
      </w:r>
      <w:r w:rsidRPr="00B66503">
        <w:rPr>
          <w:rFonts w:ascii="Times New Roman" w:hAnsi="Times New Roman" w:cs="Times New Roman"/>
          <w:i/>
          <w:sz w:val="24"/>
          <w:szCs w:val="24"/>
        </w:rPr>
        <w:t>нормативы затрат на содержание ВУР ОМСУ не утверждались;</w:t>
      </w:r>
    </w:p>
    <w:p w:rsidR="00903421" w:rsidRPr="00474077" w:rsidRDefault="00903421" w:rsidP="00474077">
      <w:pPr>
        <w:pStyle w:val="a3"/>
        <w:numPr>
          <w:ilvl w:val="0"/>
          <w:numId w:val="11"/>
        </w:numPr>
        <w:shd w:val="clear" w:color="auto" w:fill="FFFFFF"/>
        <w:spacing w:after="0" w:line="240" w:lineRule="auto"/>
        <w:ind w:left="0" w:firstLine="680"/>
        <w:jc w:val="both"/>
        <w:rPr>
          <w:rFonts w:ascii="Times New Roman" w:hAnsi="Times New Roman" w:cs="Times New Roman"/>
          <w:sz w:val="24"/>
          <w:szCs w:val="24"/>
        </w:rPr>
      </w:pPr>
      <w:r w:rsidRPr="00B66503">
        <w:rPr>
          <w:rFonts w:ascii="Times New Roman" w:hAnsi="Times New Roman" w:cs="Times New Roman"/>
          <w:i/>
          <w:sz w:val="24"/>
          <w:szCs w:val="24"/>
        </w:rPr>
        <w:t xml:space="preserve">в нарушение п.1 ст.86 БК РФ не принят нормативный правовой акт по расходным обязательствам поселения при осуществлении ОМСУ переданных </w:t>
      </w:r>
      <w:r w:rsidRPr="00B66503">
        <w:rPr>
          <w:rFonts w:ascii="Times New Roman" w:hAnsi="Times New Roman" w:cs="Times New Roman"/>
          <w:i/>
          <w:sz w:val="24"/>
          <w:szCs w:val="24"/>
        </w:rPr>
        <w:lastRenderedPageBreak/>
        <w:t>гос</w:t>
      </w:r>
      <w:r w:rsidR="00C70A62" w:rsidRPr="00B66503">
        <w:rPr>
          <w:rFonts w:ascii="Times New Roman" w:hAnsi="Times New Roman" w:cs="Times New Roman"/>
          <w:i/>
          <w:sz w:val="24"/>
          <w:szCs w:val="24"/>
        </w:rPr>
        <w:t xml:space="preserve">ударственных </w:t>
      </w:r>
      <w:r w:rsidRPr="00B66503">
        <w:rPr>
          <w:rFonts w:ascii="Times New Roman" w:hAnsi="Times New Roman" w:cs="Times New Roman"/>
          <w:i/>
          <w:sz w:val="24"/>
          <w:szCs w:val="24"/>
        </w:rPr>
        <w:t>полномочий</w:t>
      </w:r>
      <w:r w:rsidRPr="00474077">
        <w:rPr>
          <w:rFonts w:ascii="Times New Roman" w:hAnsi="Times New Roman" w:cs="Times New Roman"/>
          <w:sz w:val="24"/>
          <w:szCs w:val="24"/>
        </w:rPr>
        <w:t xml:space="preserve"> по первично</w:t>
      </w:r>
      <w:r w:rsidR="00A202B3">
        <w:rPr>
          <w:rFonts w:ascii="Times New Roman" w:hAnsi="Times New Roman" w:cs="Times New Roman"/>
          <w:sz w:val="24"/>
          <w:szCs w:val="24"/>
        </w:rPr>
        <w:t>му</w:t>
      </w:r>
      <w:r w:rsidRPr="00474077">
        <w:rPr>
          <w:rFonts w:ascii="Times New Roman" w:hAnsi="Times New Roman" w:cs="Times New Roman"/>
          <w:sz w:val="24"/>
          <w:szCs w:val="24"/>
        </w:rPr>
        <w:t xml:space="preserve"> воинско</w:t>
      </w:r>
      <w:r w:rsidR="00A202B3">
        <w:rPr>
          <w:rFonts w:ascii="Times New Roman" w:hAnsi="Times New Roman" w:cs="Times New Roman"/>
          <w:sz w:val="24"/>
          <w:szCs w:val="24"/>
        </w:rPr>
        <w:t>му</w:t>
      </w:r>
      <w:r w:rsidRPr="00474077">
        <w:rPr>
          <w:rFonts w:ascii="Times New Roman" w:hAnsi="Times New Roman" w:cs="Times New Roman"/>
          <w:sz w:val="24"/>
          <w:szCs w:val="24"/>
        </w:rPr>
        <w:t xml:space="preserve"> учет</w:t>
      </w:r>
      <w:r w:rsidR="00A202B3">
        <w:rPr>
          <w:rFonts w:ascii="Times New Roman" w:hAnsi="Times New Roman" w:cs="Times New Roman"/>
          <w:sz w:val="24"/>
          <w:szCs w:val="24"/>
        </w:rPr>
        <w:t>у</w:t>
      </w:r>
      <w:r w:rsidRPr="00474077">
        <w:rPr>
          <w:rFonts w:ascii="Times New Roman" w:hAnsi="Times New Roman" w:cs="Times New Roman"/>
          <w:sz w:val="24"/>
          <w:szCs w:val="24"/>
        </w:rPr>
        <w:t xml:space="preserve"> в 37 поселениях из 102 проверенных (36,3%)</w:t>
      </w:r>
      <w:r w:rsidR="00C70A62" w:rsidRPr="00474077">
        <w:rPr>
          <w:rFonts w:ascii="Times New Roman" w:hAnsi="Times New Roman" w:cs="Times New Roman"/>
          <w:sz w:val="24"/>
          <w:szCs w:val="24"/>
        </w:rPr>
        <w:t xml:space="preserve">, перечень поселений прилагается </w:t>
      </w:r>
      <w:r w:rsidR="00C70A62" w:rsidRPr="00B869B4">
        <w:rPr>
          <w:rFonts w:ascii="Times New Roman" w:hAnsi="Times New Roman" w:cs="Times New Roman"/>
          <w:sz w:val="24"/>
          <w:szCs w:val="24"/>
        </w:rPr>
        <w:t>(</w:t>
      </w:r>
      <w:r w:rsidR="00C70A62" w:rsidRPr="00B869B4">
        <w:rPr>
          <w:rFonts w:ascii="Times New Roman" w:hAnsi="Times New Roman" w:cs="Times New Roman"/>
          <w:color w:val="365F91" w:themeColor="accent1" w:themeShade="BF"/>
          <w:sz w:val="24"/>
          <w:szCs w:val="24"/>
        </w:rPr>
        <w:t>приложение №</w:t>
      </w:r>
      <w:r w:rsidR="009B0DC6" w:rsidRPr="00B869B4">
        <w:rPr>
          <w:rFonts w:ascii="Times New Roman" w:hAnsi="Times New Roman" w:cs="Times New Roman"/>
          <w:color w:val="365F91" w:themeColor="accent1" w:themeShade="BF"/>
          <w:sz w:val="24"/>
          <w:szCs w:val="24"/>
        </w:rPr>
        <w:t xml:space="preserve"> 2</w:t>
      </w:r>
      <w:r w:rsidR="00C70A62" w:rsidRPr="00B869B4">
        <w:rPr>
          <w:rFonts w:ascii="Times New Roman" w:hAnsi="Times New Roman" w:cs="Times New Roman"/>
          <w:sz w:val="24"/>
          <w:szCs w:val="24"/>
        </w:rPr>
        <w:t>).</w:t>
      </w:r>
      <w:r w:rsidRPr="00474077">
        <w:rPr>
          <w:rFonts w:ascii="Times New Roman" w:hAnsi="Times New Roman" w:cs="Times New Roman"/>
          <w:sz w:val="24"/>
          <w:szCs w:val="24"/>
        </w:rPr>
        <w:t xml:space="preserve"> </w:t>
      </w:r>
    </w:p>
    <w:p w:rsidR="00903421" w:rsidRDefault="00903421" w:rsidP="00903421">
      <w:pPr>
        <w:shd w:val="clear" w:color="auto" w:fill="FFFFFF"/>
        <w:ind w:firstLine="680"/>
        <w:jc w:val="both"/>
      </w:pPr>
    </w:p>
    <w:p w:rsidR="00B64087" w:rsidRDefault="0066693E" w:rsidP="0037158D">
      <w:pPr>
        <w:shd w:val="clear" w:color="auto" w:fill="FFFFFF"/>
        <w:ind w:firstLine="680"/>
        <w:jc w:val="center"/>
        <w:rPr>
          <w:b/>
        </w:rPr>
      </w:pPr>
      <w:r w:rsidRPr="0066693E">
        <w:rPr>
          <w:b/>
        </w:rPr>
        <w:t xml:space="preserve">Исполнение бюджетных назначений по субвенции на осуществление полномочий по первичному воинскому учету </w:t>
      </w:r>
    </w:p>
    <w:p w:rsidR="00161FAF" w:rsidRDefault="00161FAF" w:rsidP="00161FAF">
      <w:pPr>
        <w:shd w:val="clear" w:color="auto" w:fill="FFFFFF"/>
        <w:ind w:firstLine="680"/>
        <w:jc w:val="both"/>
      </w:pPr>
      <w:proofErr w:type="gramStart"/>
      <w:r w:rsidRPr="00C358B8">
        <w:t>Закон</w:t>
      </w:r>
      <w:r>
        <w:t xml:space="preserve">ами </w:t>
      </w:r>
      <w:r w:rsidRPr="00C358B8">
        <w:t>Волгоградской области от 07.12.2015 № 206-ОД «Об областном бюджете на 2016 год и на плановый период 2017 и 2018 годов»</w:t>
      </w:r>
      <w:r>
        <w:t>,</w:t>
      </w:r>
      <w:r w:rsidRPr="00BC1CA8">
        <w:t xml:space="preserve"> </w:t>
      </w:r>
      <w:r w:rsidRPr="00C358B8">
        <w:t>от 06.12.2016 № 126-ОД «Об областном бюджете на 2017 год и на плановый период 2018 и 2019 годов»</w:t>
      </w:r>
      <w:r>
        <w:t xml:space="preserve">, от 05.12.2017 № 124-ОД «Об  </w:t>
      </w:r>
      <w:r w:rsidRPr="00C358B8">
        <w:t>областном бюджете на 201</w:t>
      </w:r>
      <w:r>
        <w:t>8</w:t>
      </w:r>
      <w:r w:rsidRPr="00C358B8">
        <w:t xml:space="preserve"> год и на плановый период 201</w:t>
      </w:r>
      <w:r>
        <w:t>9</w:t>
      </w:r>
      <w:r w:rsidRPr="00C358B8">
        <w:t xml:space="preserve"> и 20</w:t>
      </w:r>
      <w:r>
        <w:t>20</w:t>
      </w:r>
      <w:r w:rsidRPr="00C358B8">
        <w:t xml:space="preserve"> годов</w:t>
      </w:r>
      <w:r>
        <w:t>» был предусмотрен объем субвенции в размере</w:t>
      </w:r>
      <w:proofErr w:type="gramEnd"/>
      <w:r>
        <w:t xml:space="preserve"> </w:t>
      </w:r>
      <w:proofErr w:type="gramStart"/>
      <w:r>
        <w:t>37,6 млн. руб., 38,2 млн. руб. и 41,8 млн. руб. соответственно.</w:t>
      </w:r>
      <w:proofErr w:type="gramEnd"/>
      <w:r>
        <w:t xml:space="preserve"> Получателями субвенций явились 424 городских и сельских поселений в 2016 году и 425 поселений в 2017-2018 годах.</w:t>
      </w:r>
    </w:p>
    <w:p w:rsidR="00161FAF" w:rsidRDefault="00161FAF" w:rsidP="00161FAF">
      <w:pPr>
        <w:ind w:firstLine="709"/>
        <w:jc w:val="both"/>
      </w:pPr>
      <w:r>
        <w:t>В 2016 году лимиты бюджетных обязательств Министерством обороны РФ  доводились дважды – 22.01.2016 на 32 001,3 тыс. руб. и 23.03.2016 на 5 647,3 тыс. рублей. Предельные объемы финансирования доведены 20.01.2016 на 32 001,3 тыс. руб. и 22.03.2016 на 5 647,3 тыс. рублей.</w:t>
      </w:r>
    </w:p>
    <w:p w:rsidR="00161FAF" w:rsidRDefault="00161FAF" w:rsidP="00161FAF">
      <w:pPr>
        <w:ind w:firstLine="709"/>
        <w:jc w:val="both"/>
      </w:pPr>
      <w:r>
        <w:t xml:space="preserve">В 2017 году лимиты бюджетных обязательств доведены 09.01.2017 в сумме </w:t>
      </w:r>
      <w:r w:rsidRPr="00A866FF">
        <w:t>38</w:t>
      </w:r>
      <w:r>
        <w:t xml:space="preserve"> 237,8 тыс. руб., предельные объемы финансирования - 25.01.2017 на сумму 9 559,45 тыс. руб., 30.03.2017 на 19 118,9 тыс. руб. </w:t>
      </w:r>
      <w:r w:rsidRPr="00925C10">
        <w:t xml:space="preserve">и </w:t>
      </w:r>
      <w:r w:rsidR="00925C10" w:rsidRPr="00925C10">
        <w:t>29.06</w:t>
      </w:r>
      <w:r w:rsidRPr="00925C10">
        <w:t>.2017 на 9 559,45 тыс. рублей.</w:t>
      </w:r>
    </w:p>
    <w:p w:rsidR="00161FAF" w:rsidRPr="00E96325" w:rsidRDefault="00161FAF" w:rsidP="00161FAF">
      <w:pPr>
        <w:ind w:firstLine="709"/>
        <w:jc w:val="both"/>
      </w:pPr>
      <w:r w:rsidRPr="00101F6A">
        <w:t>В 2018 году лимиты бюджетных обязательств доведены 16.01.2018 на 41</w:t>
      </w:r>
      <w:r>
        <w:t> </w:t>
      </w:r>
      <w:r w:rsidRPr="00E96325">
        <w:t xml:space="preserve">777,3 тыс. руб., предельные объемы финансирования </w:t>
      </w:r>
      <w:r>
        <w:t>-</w:t>
      </w:r>
      <w:r w:rsidRPr="00E96325">
        <w:t xml:space="preserve"> 30.01.2018 на сумму 10</w:t>
      </w:r>
      <w:r>
        <w:t> </w:t>
      </w:r>
      <w:r w:rsidRPr="00E96325">
        <w:t>444,3 ты</w:t>
      </w:r>
      <w:r>
        <w:t>с. руб., 29.03.2018 на сумму 31 </w:t>
      </w:r>
      <w:r w:rsidRPr="00E96325">
        <w:t>3</w:t>
      </w:r>
      <w:r>
        <w:t>3</w:t>
      </w:r>
      <w:r w:rsidRPr="00E96325">
        <w:t>3,0 тыс. рублей.</w:t>
      </w:r>
      <w:r>
        <w:t xml:space="preserve"> </w:t>
      </w:r>
    </w:p>
    <w:p w:rsidR="00161FAF" w:rsidRPr="003719B0" w:rsidRDefault="00161FAF" w:rsidP="00161FAF">
      <w:pPr>
        <w:ind w:firstLine="680"/>
        <w:jc w:val="both"/>
      </w:pPr>
      <w:r w:rsidRPr="00E96325">
        <w:t>Из областного бюджета муниципальным образованиям в 2016 году лимиты доводились 01.01.2016 на 28</w:t>
      </w:r>
      <w:r>
        <w:t> </w:t>
      </w:r>
      <w:r w:rsidRPr="00E96325">
        <w:t>236,45 тыс. руб., 25.01.2016 на 3</w:t>
      </w:r>
      <w:r>
        <w:t> </w:t>
      </w:r>
      <w:r w:rsidRPr="00E96325">
        <w:t>764,85 и 01.04.2016</w:t>
      </w:r>
      <w:r w:rsidRPr="00A45700">
        <w:t xml:space="preserve"> на 5</w:t>
      </w:r>
      <w:r>
        <w:t> </w:t>
      </w:r>
      <w:r w:rsidRPr="00A45700">
        <w:t>647,</w:t>
      </w:r>
      <w:r>
        <w:t>3 тыс. рублей.</w:t>
      </w:r>
      <w:r w:rsidRPr="00A45700">
        <w:t xml:space="preserve"> Финансирование муниципальных образований произведено в 2 этапа – </w:t>
      </w:r>
      <w:r w:rsidRPr="003719B0">
        <w:t>08-11.02.201</w:t>
      </w:r>
      <w:r w:rsidR="003719B0" w:rsidRPr="003719B0">
        <w:t>6</w:t>
      </w:r>
      <w:r w:rsidRPr="003719B0">
        <w:t xml:space="preserve"> и 06-07.10.201</w:t>
      </w:r>
      <w:r w:rsidR="003719B0" w:rsidRPr="003719B0">
        <w:t>6.</w:t>
      </w:r>
    </w:p>
    <w:p w:rsidR="00161FAF" w:rsidRPr="00A45700" w:rsidRDefault="00161FAF" w:rsidP="00161FAF">
      <w:pPr>
        <w:ind w:firstLine="680"/>
        <w:jc w:val="both"/>
      </w:pPr>
      <w:r w:rsidRPr="003719B0">
        <w:t>В 2017 году из областного бюджета лимиты бюджетных обязательств выделены</w:t>
      </w:r>
      <w:r w:rsidRPr="00A45700">
        <w:t xml:space="preserve"> 01.02.2017 на 38</w:t>
      </w:r>
      <w:r>
        <w:t> </w:t>
      </w:r>
      <w:r w:rsidRPr="00A45700">
        <w:t xml:space="preserve">237,8 тыс. руб., финансирование муниципальных образований произведено в 3 этапа – 06-10.02.2017, </w:t>
      </w:r>
      <w:r w:rsidRPr="00925C10">
        <w:t>10.04.2017 и 10.07.2017</w:t>
      </w:r>
      <w:r w:rsidR="00C25047" w:rsidRPr="00925C10">
        <w:t>.</w:t>
      </w:r>
    </w:p>
    <w:p w:rsidR="00161FAF" w:rsidRPr="005B05E5" w:rsidRDefault="00161FAF" w:rsidP="00161FAF">
      <w:pPr>
        <w:ind w:firstLine="680"/>
        <w:jc w:val="both"/>
      </w:pPr>
      <w:r w:rsidRPr="00A45700">
        <w:t xml:space="preserve">На момент проведения проверки в 2018 году из областного бюджета лимиты </w:t>
      </w:r>
      <w:r w:rsidRPr="00101F6A">
        <w:t>бюджетных обязательств выделены 26.01.2018 на 41</w:t>
      </w:r>
      <w:r>
        <w:t> </w:t>
      </w:r>
      <w:r w:rsidRPr="00101F6A">
        <w:t>777</w:t>
      </w:r>
      <w:r>
        <w:t>,</w:t>
      </w:r>
      <w:r w:rsidRPr="00101F6A">
        <w:t xml:space="preserve">3 тыс. руб., финансирование муниципальных образований произведено в 2 этапа – 21.02.2018 и 06.04.2018 в полном </w:t>
      </w:r>
      <w:r w:rsidRPr="005B05E5">
        <w:t>объеме годовых назначений.</w:t>
      </w:r>
      <w:r>
        <w:t xml:space="preserve"> В 2018 году позднее финансирование муниципальных образований объясняется тем, что приказ </w:t>
      </w:r>
      <w:r w:rsidRPr="005B05E5">
        <w:t xml:space="preserve">Министра обороны РФ </w:t>
      </w:r>
      <w:r>
        <w:t xml:space="preserve">о передаче территориальным органам Федерального казначейства Министерством обороны РФ полномочий </w:t>
      </w:r>
      <w:r w:rsidRPr="005B05E5">
        <w:t>получателя средств федерального бюджета по перечислению межбюджетны</w:t>
      </w:r>
      <w:r>
        <w:t>х</w:t>
      </w:r>
      <w:r w:rsidRPr="005B05E5">
        <w:t xml:space="preserve"> трансфертов</w:t>
      </w:r>
      <w:r>
        <w:t xml:space="preserve"> был подписан 14.02.2018, после чего </w:t>
      </w:r>
      <w:proofErr w:type="spellStart"/>
      <w:r w:rsidRPr="005B05E5">
        <w:t>Облфином</w:t>
      </w:r>
      <w:proofErr w:type="spellEnd"/>
      <w:r w:rsidRPr="005B05E5">
        <w:t xml:space="preserve"> в программном комплексе сформи</w:t>
      </w:r>
      <w:r>
        <w:t>рованы заявки на финансировани</w:t>
      </w:r>
      <w:r w:rsidR="00C4700E">
        <w:t>е</w:t>
      </w:r>
      <w:r>
        <w:t xml:space="preserve">, которые </w:t>
      </w:r>
      <w:r w:rsidRPr="005B05E5">
        <w:t>профинансированы 21.02.2018</w:t>
      </w:r>
      <w:r>
        <w:t>.</w:t>
      </w:r>
    </w:p>
    <w:p w:rsidR="00161FAF" w:rsidRDefault="00161FAF" w:rsidP="00161FAF">
      <w:pPr>
        <w:shd w:val="clear" w:color="auto" w:fill="FFFFFF"/>
        <w:ind w:firstLine="680"/>
        <w:jc w:val="both"/>
        <w:rPr>
          <w:i/>
        </w:rPr>
      </w:pPr>
    </w:p>
    <w:p w:rsidR="00161FAF" w:rsidRPr="00AD33D7" w:rsidRDefault="00161FAF" w:rsidP="00161FAF">
      <w:pPr>
        <w:ind w:firstLine="680"/>
        <w:jc w:val="both"/>
      </w:pPr>
      <w:r w:rsidRPr="00AD33D7">
        <w:t>Анализ исполнения бюджетных назначений по субвенции на осуществление полномочий по первичному воинскому учету за 2016 -</w:t>
      </w:r>
      <w:r>
        <w:t xml:space="preserve"> </w:t>
      </w:r>
      <w:r w:rsidRPr="00AD33D7">
        <w:t>2017 годы</w:t>
      </w:r>
      <w:r>
        <w:t xml:space="preserve"> по муниципальным образованиям Волгоградской области </w:t>
      </w:r>
      <w:r w:rsidRPr="00AD33D7">
        <w:t>представлен в таблице.</w:t>
      </w:r>
    </w:p>
    <w:p w:rsidR="00161FAF" w:rsidRPr="00AD33D7" w:rsidRDefault="00161FAF" w:rsidP="00161FAF">
      <w:pPr>
        <w:ind w:firstLine="708"/>
        <w:jc w:val="right"/>
        <w:rPr>
          <w:sz w:val="20"/>
          <w:szCs w:val="20"/>
        </w:rPr>
      </w:pPr>
      <w:r w:rsidRPr="00AD33D7">
        <w:rPr>
          <w:sz w:val="22"/>
          <w:szCs w:val="22"/>
        </w:rPr>
        <w:t>тыс. руб</w:t>
      </w:r>
      <w:r w:rsidRPr="00AD33D7">
        <w:rPr>
          <w:sz w:val="20"/>
          <w:szCs w:val="20"/>
        </w:rPr>
        <w:t>.</w:t>
      </w:r>
    </w:p>
    <w:tbl>
      <w:tblPr>
        <w:tblStyle w:val="a6"/>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34"/>
        <w:gridCol w:w="2693"/>
        <w:gridCol w:w="1560"/>
        <w:gridCol w:w="1417"/>
        <w:gridCol w:w="1418"/>
        <w:gridCol w:w="1417"/>
      </w:tblGrid>
      <w:tr w:rsidR="00161FAF" w:rsidRPr="009D408F" w:rsidTr="000C04C9">
        <w:tc>
          <w:tcPr>
            <w:tcW w:w="1134" w:type="dxa"/>
            <w:tcBorders>
              <w:top w:val="double" w:sz="4" w:space="0" w:color="auto"/>
              <w:bottom w:val="double" w:sz="4" w:space="0" w:color="auto"/>
            </w:tcBorders>
            <w:shd w:val="clear" w:color="auto" w:fill="EAF1DD" w:themeFill="accent3" w:themeFillTint="33"/>
            <w:vAlign w:val="center"/>
          </w:tcPr>
          <w:p w:rsidR="00161FAF" w:rsidRPr="001A1E6A" w:rsidRDefault="00161FAF" w:rsidP="00237EC5">
            <w:pPr>
              <w:jc w:val="center"/>
              <w:rPr>
                <w:b/>
                <w:sz w:val="20"/>
                <w:szCs w:val="20"/>
              </w:rPr>
            </w:pPr>
            <w:r w:rsidRPr="001A1E6A">
              <w:rPr>
                <w:b/>
                <w:sz w:val="20"/>
                <w:szCs w:val="20"/>
              </w:rPr>
              <w:t>Период</w:t>
            </w:r>
          </w:p>
        </w:tc>
        <w:tc>
          <w:tcPr>
            <w:tcW w:w="2693" w:type="dxa"/>
            <w:tcBorders>
              <w:top w:val="double" w:sz="4" w:space="0" w:color="auto"/>
              <w:bottom w:val="double" w:sz="4" w:space="0" w:color="auto"/>
            </w:tcBorders>
            <w:shd w:val="clear" w:color="auto" w:fill="EAF1DD" w:themeFill="accent3" w:themeFillTint="33"/>
            <w:vAlign w:val="center"/>
          </w:tcPr>
          <w:p w:rsidR="00161FAF" w:rsidRPr="001A1E6A" w:rsidRDefault="00161FAF" w:rsidP="00237EC5">
            <w:pPr>
              <w:jc w:val="center"/>
              <w:rPr>
                <w:b/>
                <w:sz w:val="20"/>
                <w:szCs w:val="20"/>
              </w:rPr>
            </w:pPr>
            <w:r w:rsidRPr="001A1E6A">
              <w:rPr>
                <w:b/>
                <w:sz w:val="20"/>
                <w:szCs w:val="20"/>
              </w:rPr>
              <w:t>Утверждено решениями о бюджетах муниципальных образований</w:t>
            </w:r>
          </w:p>
        </w:tc>
        <w:tc>
          <w:tcPr>
            <w:tcW w:w="1560" w:type="dxa"/>
            <w:tcBorders>
              <w:top w:val="double" w:sz="4" w:space="0" w:color="auto"/>
              <w:bottom w:val="double" w:sz="4" w:space="0" w:color="auto"/>
            </w:tcBorders>
            <w:shd w:val="clear" w:color="auto" w:fill="EAF1DD" w:themeFill="accent3" w:themeFillTint="33"/>
            <w:vAlign w:val="center"/>
          </w:tcPr>
          <w:p w:rsidR="00161FAF" w:rsidRPr="001A1E6A" w:rsidRDefault="00161FAF" w:rsidP="00237EC5">
            <w:pPr>
              <w:jc w:val="center"/>
              <w:rPr>
                <w:b/>
                <w:sz w:val="20"/>
                <w:szCs w:val="20"/>
              </w:rPr>
            </w:pPr>
            <w:r w:rsidRPr="001A1E6A">
              <w:rPr>
                <w:b/>
                <w:sz w:val="20"/>
                <w:szCs w:val="20"/>
              </w:rPr>
              <w:t xml:space="preserve">Доведены лимиты </w:t>
            </w:r>
          </w:p>
        </w:tc>
        <w:tc>
          <w:tcPr>
            <w:tcW w:w="1417" w:type="dxa"/>
            <w:tcBorders>
              <w:top w:val="double" w:sz="4" w:space="0" w:color="auto"/>
              <w:bottom w:val="double" w:sz="4" w:space="0" w:color="auto"/>
            </w:tcBorders>
            <w:shd w:val="clear" w:color="auto" w:fill="EAF1DD" w:themeFill="accent3" w:themeFillTint="33"/>
            <w:vAlign w:val="center"/>
          </w:tcPr>
          <w:p w:rsidR="00161FAF" w:rsidRPr="001A1E6A" w:rsidRDefault="00161FAF" w:rsidP="00237EC5">
            <w:pPr>
              <w:jc w:val="center"/>
              <w:rPr>
                <w:b/>
                <w:sz w:val="20"/>
                <w:szCs w:val="20"/>
              </w:rPr>
            </w:pPr>
            <w:r w:rsidRPr="001A1E6A">
              <w:rPr>
                <w:b/>
                <w:sz w:val="20"/>
                <w:szCs w:val="20"/>
              </w:rPr>
              <w:t>Исполнено</w:t>
            </w:r>
          </w:p>
        </w:tc>
        <w:tc>
          <w:tcPr>
            <w:tcW w:w="1418" w:type="dxa"/>
            <w:tcBorders>
              <w:top w:val="double" w:sz="4" w:space="0" w:color="auto"/>
              <w:bottom w:val="double" w:sz="4" w:space="0" w:color="auto"/>
              <w:right w:val="single" w:sz="4" w:space="0" w:color="auto"/>
            </w:tcBorders>
            <w:shd w:val="clear" w:color="auto" w:fill="EAF1DD" w:themeFill="accent3" w:themeFillTint="33"/>
            <w:vAlign w:val="center"/>
          </w:tcPr>
          <w:p w:rsidR="00161FAF" w:rsidRPr="001A1E6A" w:rsidRDefault="00161FAF" w:rsidP="00237EC5">
            <w:pPr>
              <w:jc w:val="center"/>
              <w:rPr>
                <w:b/>
                <w:sz w:val="20"/>
                <w:szCs w:val="20"/>
              </w:rPr>
            </w:pPr>
            <w:r w:rsidRPr="001A1E6A">
              <w:rPr>
                <w:b/>
                <w:sz w:val="20"/>
                <w:szCs w:val="20"/>
              </w:rPr>
              <w:t>% исполнения</w:t>
            </w:r>
          </w:p>
        </w:tc>
        <w:tc>
          <w:tcPr>
            <w:tcW w:w="1417" w:type="dxa"/>
            <w:tcBorders>
              <w:top w:val="double" w:sz="4" w:space="0" w:color="auto"/>
              <w:left w:val="single" w:sz="4" w:space="0" w:color="auto"/>
              <w:bottom w:val="double" w:sz="4" w:space="0" w:color="auto"/>
            </w:tcBorders>
            <w:shd w:val="clear" w:color="auto" w:fill="EAF1DD" w:themeFill="accent3" w:themeFillTint="33"/>
            <w:vAlign w:val="center"/>
          </w:tcPr>
          <w:p w:rsidR="00161FAF" w:rsidRPr="001A1E6A" w:rsidRDefault="00161FAF" w:rsidP="00237EC5">
            <w:pPr>
              <w:jc w:val="center"/>
              <w:rPr>
                <w:b/>
                <w:sz w:val="20"/>
                <w:szCs w:val="20"/>
              </w:rPr>
            </w:pPr>
            <w:r w:rsidRPr="001A1E6A">
              <w:rPr>
                <w:b/>
                <w:sz w:val="20"/>
                <w:szCs w:val="20"/>
              </w:rPr>
              <w:t>Остатки средств субвенции</w:t>
            </w:r>
          </w:p>
        </w:tc>
      </w:tr>
      <w:tr w:rsidR="00161FAF" w:rsidRPr="009D408F" w:rsidTr="000C04C9">
        <w:tc>
          <w:tcPr>
            <w:tcW w:w="1134" w:type="dxa"/>
            <w:tcBorders>
              <w:top w:val="double" w:sz="4" w:space="0" w:color="auto"/>
            </w:tcBorders>
          </w:tcPr>
          <w:p w:rsidR="00161FAF" w:rsidRPr="00AD33D7" w:rsidRDefault="00161FAF" w:rsidP="00237EC5">
            <w:pPr>
              <w:jc w:val="center"/>
            </w:pPr>
            <w:r w:rsidRPr="00AD33D7">
              <w:t>2016 год</w:t>
            </w:r>
          </w:p>
        </w:tc>
        <w:tc>
          <w:tcPr>
            <w:tcW w:w="2693" w:type="dxa"/>
            <w:tcBorders>
              <w:top w:val="double" w:sz="4" w:space="0" w:color="auto"/>
            </w:tcBorders>
          </w:tcPr>
          <w:p w:rsidR="00161FAF" w:rsidRPr="00AD33D7" w:rsidRDefault="00161FAF" w:rsidP="00237EC5">
            <w:pPr>
              <w:jc w:val="center"/>
            </w:pPr>
            <w:r>
              <w:t>37 648,6</w:t>
            </w:r>
          </w:p>
        </w:tc>
        <w:tc>
          <w:tcPr>
            <w:tcW w:w="1560" w:type="dxa"/>
            <w:tcBorders>
              <w:top w:val="double" w:sz="4" w:space="0" w:color="auto"/>
            </w:tcBorders>
            <w:vAlign w:val="center"/>
          </w:tcPr>
          <w:p w:rsidR="00161FAF" w:rsidRPr="00AD33D7" w:rsidRDefault="00161FAF" w:rsidP="00237EC5">
            <w:pPr>
              <w:jc w:val="center"/>
            </w:pPr>
            <w:r>
              <w:t>37 648,6</w:t>
            </w:r>
          </w:p>
        </w:tc>
        <w:tc>
          <w:tcPr>
            <w:tcW w:w="1417" w:type="dxa"/>
            <w:tcBorders>
              <w:top w:val="double" w:sz="4" w:space="0" w:color="auto"/>
            </w:tcBorders>
          </w:tcPr>
          <w:p w:rsidR="00161FAF" w:rsidRPr="00AD33D7" w:rsidRDefault="00161FAF" w:rsidP="00237EC5">
            <w:pPr>
              <w:jc w:val="center"/>
            </w:pPr>
            <w:r>
              <w:t>37 455,1</w:t>
            </w:r>
          </w:p>
        </w:tc>
        <w:tc>
          <w:tcPr>
            <w:tcW w:w="1418" w:type="dxa"/>
            <w:tcBorders>
              <w:top w:val="double" w:sz="4" w:space="0" w:color="auto"/>
              <w:right w:val="single" w:sz="4" w:space="0" w:color="auto"/>
            </w:tcBorders>
            <w:vAlign w:val="center"/>
          </w:tcPr>
          <w:p w:rsidR="00161FAF" w:rsidRPr="00AD33D7" w:rsidRDefault="00161FAF" w:rsidP="00237EC5">
            <w:pPr>
              <w:jc w:val="center"/>
            </w:pPr>
            <w:r>
              <w:t>99,5</w:t>
            </w:r>
          </w:p>
        </w:tc>
        <w:tc>
          <w:tcPr>
            <w:tcW w:w="1417" w:type="dxa"/>
            <w:tcBorders>
              <w:top w:val="double" w:sz="4" w:space="0" w:color="auto"/>
              <w:left w:val="single" w:sz="4" w:space="0" w:color="auto"/>
            </w:tcBorders>
            <w:vAlign w:val="center"/>
          </w:tcPr>
          <w:p w:rsidR="00161FAF" w:rsidRPr="00AD33D7" w:rsidRDefault="00161FAF" w:rsidP="00237EC5">
            <w:pPr>
              <w:jc w:val="center"/>
            </w:pPr>
            <w:r>
              <w:t>193,5</w:t>
            </w:r>
          </w:p>
        </w:tc>
      </w:tr>
      <w:tr w:rsidR="00161FAF" w:rsidRPr="001F3680" w:rsidTr="000C04C9">
        <w:tc>
          <w:tcPr>
            <w:tcW w:w="1134" w:type="dxa"/>
          </w:tcPr>
          <w:p w:rsidR="00161FAF" w:rsidRPr="00AD33D7" w:rsidRDefault="00161FAF" w:rsidP="00237EC5">
            <w:pPr>
              <w:jc w:val="center"/>
            </w:pPr>
            <w:r w:rsidRPr="00AD33D7">
              <w:t>2017 год</w:t>
            </w:r>
          </w:p>
        </w:tc>
        <w:tc>
          <w:tcPr>
            <w:tcW w:w="2693" w:type="dxa"/>
          </w:tcPr>
          <w:p w:rsidR="00161FAF" w:rsidRPr="00AD33D7" w:rsidRDefault="00161FAF" w:rsidP="00237EC5">
            <w:pPr>
              <w:jc w:val="center"/>
            </w:pPr>
            <w:r>
              <w:t>38 237,8</w:t>
            </w:r>
          </w:p>
        </w:tc>
        <w:tc>
          <w:tcPr>
            <w:tcW w:w="1560" w:type="dxa"/>
          </w:tcPr>
          <w:p w:rsidR="00161FAF" w:rsidRPr="00AD33D7" w:rsidRDefault="00161FAF" w:rsidP="00237EC5">
            <w:pPr>
              <w:jc w:val="center"/>
            </w:pPr>
            <w:r>
              <w:t>38 237,8</w:t>
            </w:r>
          </w:p>
        </w:tc>
        <w:tc>
          <w:tcPr>
            <w:tcW w:w="1417" w:type="dxa"/>
          </w:tcPr>
          <w:p w:rsidR="00161FAF" w:rsidRPr="00AD33D7" w:rsidRDefault="00161FAF" w:rsidP="00237EC5">
            <w:pPr>
              <w:jc w:val="center"/>
            </w:pPr>
            <w:r>
              <w:t>37 941,7</w:t>
            </w:r>
          </w:p>
        </w:tc>
        <w:tc>
          <w:tcPr>
            <w:tcW w:w="1418" w:type="dxa"/>
            <w:tcBorders>
              <w:right w:val="single" w:sz="4" w:space="0" w:color="auto"/>
            </w:tcBorders>
          </w:tcPr>
          <w:p w:rsidR="00161FAF" w:rsidRPr="00AD33D7" w:rsidRDefault="00161FAF" w:rsidP="00237EC5">
            <w:pPr>
              <w:jc w:val="center"/>
            </w:pPr>
            <w:r>
              <w:t>99,2</w:t>
            </w:r>
          </w:p>
        </w:tc>
        <w:tc>
          <w:tcPr>
            <w:tcW w:w="1417" w:type="dxa"/>
            <w:tcBorders>
              <w:left w:val="single" w:sz="4" w:space="0" w:color="auto"/>
            </w:tcBorders>
          </w:tcPr>
          <w:p w:rsidR="00161FAF" w:rsidRPr="00AD33D7" w:rsidRDefault="00161FAF" w:rsidP="00237EC5">
            <w:pPr>
              <w:jc w:val="center"/>
            </w:pPr>
            <w:r>
              <w:t>296,1</w:t>
            </w:r>
          </w:p>
        </w:tc>
      </w:tr>
    </w:tbl>
    <w:p w:rsidR="00161FAF" w:rsidRPr="00E96325" w:rsidRDefault="00161FAF" w:rsidP="00161FAF">
      <w:pPr>
        <w:ind w:firstLine="709"/>
        <w:jc w:val="both"/>
      </w:pPr>
    </w:p>
    <w:p w:rsidR="00161FAF" w:rsidRDefault="00161FAF" w:rsidP="00161FAF">
      <w:pPr>
        <w:shd w:val="clear" w:color="auto" w:fill="FFFFFF"/>
        <w:ind w:firstLine="680"/>
        <w:jc w:val="both"/>
      </w:pPr>
      <w:r>
        <w:t>Как видно из приведенной таблицы</w:t>
      </w:r>
      <w:r w:rsidR="008C2DB4">
        <w:t>,</w:t>
      </w:r>
      <w:r>
        <w:t xml:space="preserve"> за анализируемые периоды наблюдается практически полное использование поступивших средств субвенции. На 01.01.2017 и 01.01.2018 неиспользованные остатки средств субвенции составили </w:t>
      </w:r>
      <w:r w:rsidR="00055400">
        <w:t xml:space="preserve">соответственно </w:t>
      </w:r>
      <w:r>
        <w:t>193,5 тыс. руб. и 296,1 тыс. руб., которые были возвращены в федеральный бюджет.</w:t>
      </w:r>
    </w:p>
    <w:p w:rsidR="00161FAF" w:rsidRDefault="00161FAF" w:rsidP="00161FAF">
      <w:pPr>
        <w:shd w:val="clear" w:color="auto" w:fill="FFFFFF"/>
        <w:ind w:firstLine="680"/>
        <w:jc w:val="both"/>
      </w:pPr>
      <w:r w:rsidRPr="0057444E">
        <w:t xml:space="preserve">Потребность на сумму остатков </w:t>
      </w:r>
      <w:r w:rsidR="00055400">
        <w:t xml:space="preserve">средств </w:t>
      </w:r>
      <w:r w:rsidRPr="0057444E">
        <w:t>в 2016 - 2018 годах</w:t>
      </w:r>
      <w:r>
        <w:t xml:space="preserve"> </w:t>
      </w:r>
      <w:proofErr w:type="spellStart"/>
      <w:r>
        <w:t>Облфином</w:t>
      </w:r>
      <w:proofErr w:type="spellEnd"/>
      <w:r w:rsidRPr="0057444E">
        <w:t xml:space="preserve"> не </w:t>
      </w:r>
      <w:proofErr w:type="gramStart"/>
      <w:r w:rsidRPr="0057444E">
        <w:t>заявлялась</w:t>
      </w:r>
      <w:proofErr w:type="gramEnd"/>
      <w:r>
        <w:t>.</w:t>
      </w:r>
    </w:p>
    <w:p w:rsidR="00161FAF" w:rsidRDefault="00161FAF" w:rsidP="00161FAF">
      <w:pPr>
        <w:shd w:val="clear" w:color="auto" w:fill="FFFFFF"/>
        <w:ind w:firstLine="680"/>
        <w:jc w:val="both"/>
      </w:pPr>
      <w:r>
        <w:lastRenderedPageBreak/>
        <w:t>Наличие остатков средств наблюдается в 20 поселениях (4,7% от всех поселений, получивших субвенцию) в 2016 году и 15 поселениях (3,5% от всех поселений) в 2017 году</w:t>
      </w:r>
      <w:r w:rsidR="00EE559A">
        <w:t xml:space="preserve"> (информация об остатках приведена в </w:t>
      </w:r>
      <w:r w:rsidR="00EE559A" w:rsidRPr="00B869B4">
        <w:rPr>
          <w:color w:val="17365D" w:themeColor="text2" w:themeShade="BF"/>
        </w:rPr>
        <w:t>приложении №</w:t>
      </w:r>
      <w:r w:rsidR="00246B37" w:rsidRPr="00B869B4">
        <w:rPr>
          <w:color w:val="17365D" w:themeColor="text2" w:themeShade="BF"/>
        </w:rPr>
        <w:t xml:space="preserve"> 3</w:t>
      </w:r>
      <w:r w:rsidR="00EE559A" w:rsidRPr="00B869B4">
        <w:t>).</w:t>
      </w:r>
      <w:r>
        <w:t xml:space="preserve"> </w:t>
      </w:r>
      <w:r w:rsidR="00246B37">
        <w:t xml:space="preserve">По пояснению глав поселений </w:t>
      </w:r>
      <w:r w:rsidR="00BC28DF">
        <w:t xml:space="preserve">остатки сложились в связи с экономией </w:t>
      </w:r>
      <w:r>
        <w:t xml:space="preserve">средств субвенции, а также отсутствием потребности в оставшихся средствах </w:t>
      </w:r>
      <w:r w:rsidR="00BC28DF">
        <w:t>субвенции.</w:t>
      </w:r>
      <w:r>
        <w:t xml:space="preserve"> Вместе с тем проведенное мероприятие показало, что неизрасходованные средства субвенции могли быть</w:t>
      </w:r>
      <w:r w:rsidR="00BC28DF">
        <w:t xml:space="preserve"> направлены</w:t>
      </w:r>
      <w:r>
        <w:t xml:space="preserve"> на оплату коммунальных и транспортных услуг, услуг связи. Указанные расходы осуществлялись </w:t>
      </w:r>
      <w:r w:rsidR="00BC28DF">
        <w:t xml:space="preserve">в основном </w:t>
      </w:r>
      <w:r>
        <w:t xml:space="preserve">за счет средств местного бюджета, так как </w:t>
      </w:r>
      <w:r w:rsidRPr="003607F0">
        <w:t>рабочее место ВУР располагается в здании админ</w:t>
      </w:r>
      <w:r>
        <w:t>и</w:t>
      </w:r>
      <w:r w:rsidRPr="003607F0">
        <w:t>страции</w:t>
      </w:r>
      <w:r>
        <w:t>, а</w:t>
      </w:r>
      <w:r w:rsidRPr="003607F0">
        <w:t xml:space="preserve"> раздельный учет указанных расходов </w:t>
      </w:r>
      <w:r>
        <w:t>поселениями не ведется.</w:t>
      </w:r>
    </w:p>
    <w:p w:rsidR="00161FAF" w:rsidRDefault="00161FAF" w:rsidP="00161FAF">
      <w:pPr>
        <w:autoSpaceDE w:val="0"/>
        <w:autoSpaceDN w:val="0"/>
        <w:adjustRightInd w:val="0"/>
        <w:ind w:firstLine="709"/>
        <w:jc w:val="both"/>
        <w:rPr>
          <w:color w:val="00B050"/>
        </w:rPr>
      </w:pPr>
    </w:p>
    <w:p w:rsidR="00F0063A" w:rsidRPr="001A509C" w:rsidRDefault="001A509C" w:rsidP="00161FAF">
      <w:pPr>
        <w:autoSpaceDE w:val="0"/>
        <w:autoSpaceDN w:val="0"/>
        <w:adjustRightInd w:val="0"/>
        <w:ind w:firstLine="680"/>
        <w:jc w:val="both"/>
      </w:pPr>
      <w:r w:rsidRPr="001A509C">
        <w:t>Анализ показал, что наибольший объем  средств субвенции  направлен на оплату труда и страховые взносы</w:t>
      </w:r>
      <w:r>
        <w:t xml:space="preserve"> (в 2016 году – 33,8 млн. руб., или 90,3%, в 2017 году </w:t>
      </w:r>
      <w:r w:rsidR="0082606E">
        <w:t>–</w:t>
      </w:r>
      <w:r>
        <w:t xml:space="preserve"> </w:t>
      </w:r>
      <w:r w:rsidR="0082606E">
        <w:t>35,0 млн. руб., или 92,3%)</w:t>
      </w:r>
      <w:r w:rsidRPr="001A509C">
        <w:t xml:space="preserve">, что </w:t>
      </w:r>
      <w:r>
        <w:t>представлено на</w:t>
      </w:r>
      <w:r w:rsidRPr="001A509C">
        <w:t xml:space="preserve"> диаграмме.</w:t>
      </w:r>
    </w:p>
    <w:p w:rsidR="00F860F1" w:rsidRDefault="00F0063A" w:rsidP="00F0063A">
      <w:pPr>
        <w:autoSpaceDE w:val="0"/>
        <w:autoSpaceDN w:val="0"/>
        <w:adjustRightInd w:val="0"/>
        <w:ind w:left="-1134"/>
        <w:jc w:val="both"/>
        <w:rPr>
          <w:noProof/>
        </w:rPr>
      </w:pPr>
      <w:r w:rsidRPr="00F0063A">
        <w:rPr>
          <w:noProof/>
        </w:rPr>
        <w:t xml:space="preserve"> </w:t>
      </w:r>
    </w:p>
    <w:p w:rsidR="00F860F1" w:rsidRDefault="00F860F1" w:rsidP="00F860F1">
      <w:pPr>
        <w:autoSpaceDE w:val="0"/>
        <w:autoSpaceDN w:val="0"/>
        <w:adjustRightInd w:val="0"/>
        <w:ind w:left="-284"/>
        <w:jc w:val="both"/>
        <w:rPr>
          <w:highlight w:val="lightGray"/>
        </w:rPr>
      </w:pPr>
      <w:r w:rsidRPr="00F860F1">
        <w:rPr>
          <w:noProof/>
        </w:rPr>
        <w:drawing>
          <wp:inline distT="0" distB="0" distL="0" distR="0">
            <wp:extent cx="3059075" cy="2311604"/>
            <wp:effectExtent l="19050" t="0" r="27025"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860F1">
        <w:rPr>
          <w:noProof/>
        </w:rPr>
        <w:drawing>
          <wp:inline distT="0" distB="0" distL="0" distR="0">
            <wp:extent cx="2768041" cy="2311604"/>
            <wp:effectExtent l="19050" t="0" r="13259"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1FAF" w:rsidRDefault="00161FAF" w:rsidP="00161FAF">
      <w:pPr>
        <w:autoSpaceDE w:val="0"/>
        <w:autoSpaceDN w:val="0"/>
        <w:adjustRightInd w:val="0"/>
        <w:ind w:firstLine="680"/>
        <w:jc w:val="both"/>
        <w:rPr>
          <w:highlight w:val="lightGray"/>
        </w:rPr>
      </w:pPr>
    </w:p>
    <w:p w:rsidR="00BD1576" w:rsidRPr="006A4A76" w:rsidRDefault="00BD7872" w:rsidP="00BD1576">
      <w:pPr>
        <w:autoSpaceDE w:val="0"/>
        <w:autoSpaceDN w:val="0"/>
        <w:adjustRightInd w:val="0"/>
        <w:ind w:firstLine="680"/>
        <w:jc w:val="both"/>
      </w:pPr>
      <w:r>
        <w:t>П</w:t>
      </w:r>
      <w:r w:rsidR="000A31AA">
        <w:t xml:space="preserve">о проверенным поселениям </w:t>
      </w:r>
      <w:r w:rsidR="006A4A76" w:rsidRPr="006A4A76">
        <w:t>с</w:t>
      </w:r>
      <w:r w:rsidR="00BD1576" w:rsidRPr="006A4A76">
        <w:t xml:space="preserve">редняя месячная заработная плата освобожденного сотрудника ВУР на полной ставке варьировала в 2016 году от 8,3 тыс. руб. до 15,3 тыс. руб., в 2017 году от 9,5 тыс. руб. </w:t>
      </w:r>
      <w:proofErr w:type="gramStart"/>
      <w:r w:rsidR="00BD1576" w:rsidRPr="006A4A76">
        <w:t>до</w:t>
      </w:r>
      <w:proofErr w:type="gramEnd"/>
      <w:r w:rsidR="00BD1576" w:rsidRPr="006A4A76">
        <w:t xml:space="preserve">  13,3 тыс. руб</w:t>
      </w:r>
      <w:r w:rsidR="000A31AA">
        <w:t>. (</w:t>
      </w:r>
      <w:r w:rsidR="000A31AA" w:rsidRPr="000230E8">
        <w:rPr>
          <w:color w:val="17365D" w:themeColor="text2" w:themeShade="BF"/>
        </w:rPr>
        <w:t xml:space="preserve">приложение № </w:t>
      </w:r>
      <w:r w:rsidR="006C466E" w:rsidRPr="000230E8">
        <w:rPr>
          <w:color w:val="17365D" w:themeColor="text2" w:themeShade="BF"/>
        </w:rPr>
        <w:t>4</w:t>
      </w:r>
      <w:r w:rsidR="000A31AA" w:rsidRPr="000230E8">
        <w:t>).</w:t>
      </w:r>
      <w:r w:rsidR="00BD1576" w:rsidRPr="006A4A76">
        <w:t xml:space="preserve"> Например, 8,3 тыс. руб. в 2016 году составила средняя месячная заработная плата у сотрудника ВУР в Алексеевском с</w:t>
      </w:r>
      <w:r w:rsidR="006A4A76">
        <w:t>/</w:t>
      </w:r>
      <w:proofErr w:type="spellStart"/>
      <w:proofErr w:type="gramStart"/>
      <w:r w:rsidR="006A4A76">
        <w:t>п</w:t>
      </w:r>
      <w:proofErr w:type="spellEnd"/>
      <w:proofErr w:type="gramEnd"/>
      <w:r w:rsidR="00BD1576" w:rsidRPr="006A4A76">
        <w:t xml:space="preserve"> Алексеевского </w:t>
      </w:r>
      <w:r w:rsidR="006A4A76">
        <w:t>МР</w:t>
      </w:r>
      <w:r w:rsidR="00BD1576" w:rsidRPr="006A4A76">
        <w:t xml:space="preserve">, у которого материальные расходы составляли 69,4 тыс. руб. (35,1% от объема субвенции 197,6 тыс. руб.) и сложились в связи с приобретением компьютерного места, программного продукта «Воинский учет» и услуг по обслуживанию программного обеспечения, расходных материалов  и канцелярских товаров. </w:t>
      </w:r>
    </w:p>
    <w:p w:rsidR="00BD1576" w:rsidRPr="006A4A76" w:rsidRDefault="00BD1576" w:rsidP="00BD1576">
      <w:pPr>
        <w:autoSpaceDE w:val="0"/>
        <w:autoSpaceDN w:val="0"/>
        <w:adjustRightInd w:val="0"/>
        <w:ind w:firstLine="680"/>
        <w:jc w:val="both"/>
      </w:pPr>
      <w:r w:rsidRPr="006A4A76">
        <w:t>Наибольшая средняя заработная плата ВУР сложилась при отсутствии расходов на материально-техническое обеспечение</w:t>
      </w:r>
      <w:r w:rsidR="00E523C9">
        <w:t xml:space="preserve"> и оплату услуг</w:t>
      </w:r>
      <w:r w:rsidRPr="006A4A76">
        <w:t xml:space="preserve"> за счет субвенции в </w:t>
      </w:r>
      <w:proofErr w:type="spellStart"/>
      <w:r w:rsidRPr="006A4A76">
        <w:t>Россошенском</w:t>
      </w:r>
      <w:proofErr w:type="spellEnd"/>
      <w:r w:rsidRPr="006A4A76">
        <w:t xml:space="preserve"> с</w:t>
      </w:r>
      <w:r w:rsidR="006A4A76">
        <w:t>/</w:t>
      </w:r>
      <w:proofErr w:type="spellStart"/>
      <w:proofErr w:type="gramStart"/>
      <w:r w:rsidR="006A4A76">
        <w:t>п</w:t>
      </w:r>
      <w:proofErr w:type="spellEnd"/>
      <w:proofErr w:type="gramEnd"/>
      <w:r w:rsidRPr="006A4A76">
        <w:t xml:space="preserve"> </w:t>
      </w:r>
      <w:proofErr w:type="spellStart"/>
      <w:r w:rsidRPr="006A4A76">
        <w:t>Городищенского</w:t>
      </w:r>
      <w:proofErr w:type="spellEnd"/>
      <w:r w:rsidRPr="006A4A76">
        <w:t xml:space="preserve"> </w:t>
      </w:r>
      <w:r w:rsidR="006A4A76">
        <w:t>МР</w:t>
      </w:r>
      <w:r w:rsidRPr="006A4A76">
        <w:t xml:space="preserve"> (за 2016 год </w:t>
      </w:r>
      <w:r w:rsidR="006A4A76">
        <w:t xml:space="preserve">- </w:t>
      </w:r>
      <w:r w:rsidRPr="006A4A76">
        <w:t>13,2 тыс. руб., за 2017 год</w:t>
      </w:r>
      <w:r w:rsidR="006A4A76">
        <w:t xml:space="preserve"> -</w:t>
      </w:r>
      <w:r w:rsidRPr="006A4A76">
        <w:t xml:space="preserve"> 12,9 тыс. руб.),  </w:t>
      </w:r>
      <w:proofErr w:type="spellStart"/>
      <w:r w:rsidRPr="006A4A76">
        <w:t>Кисловском</w:t>
      </w:r>
      <w:proofErr w:type="spellEnd"/>
      <w:r w:rsidRPr="006A4A76">
        <w:t xml:space="preserve"> с</w:t>
      </w:r>
      <w:r w:rsidR="00E523C9">
        <w:t>/</w:t>
      </w:r>
      <w:proofErr w:type="spellStart"/>
      <w:r w:rsidR="00E523C9">
        <w:t>п</w:t>
      </w:r>
      <w:proofErr w:type="spellEnd"/>
      <w:r w:rsidRPr="006A4A76">
        <w:t xml:space="preserve"> Быковского </w:t>
      </w:r>
      <w:r w:rsidR="00E523C9">
        <w:t>МР</w:t>
      </w:r>
      <w:r w:rsidRPr="006A4A76">
        <w:t xml:space="preserve"> (12,7 тыс. руб. и 12,8 тыс. руб.), в </w:t>
      </w:r>
      <w:proofErr w:type="spellStart"/>
      <w:r w:rsidRPr="006A4A76">
        <w:t>Мариновском</w:t>
      </w:r>
      <w:proofErr w:type="spellEnd"/>
      <w:r w:rsidRPr="006A4A76">
        <w:t xml:space="preserve"> с</w:t>
      </w:r>
      <w:r w:rsidR="00E523C9">
        <w:t>/</w:t>
      </w:r>
      <w:proofErr w:type="spellStart"/>
      <w:r w:rsidR="00E523C9">
        <w:t>п</w:t>
      </w:r>
      <w:proofErr w:type="spellEnd"/>
      <w:r w:rsidRPr="006A4A76">
        <w:t xml:space="preserve"> </w:t>
      </w:r>
      <w:proofErr w:type="spellStart"/>
      <w:r w:rsidRPr="006A4A76">
        <w:t>Калачевского</w:t>
      </w:r>
      <w:proofErr w:type="spellEnd"/>
      <w:r w:rsidRPr="006A4A76">
        <w:t xml:space="preserve"> </w:t>
      </w:r>
      <w:r w:rsidR="00E523C9">
        <w:t>МР</w:t>
      </w:r>
      <w:r w:rsidRPr="006A4A76">
        <w:t xml:space="preserve"> (в 2017 году – 13 тыс. руб.), в </w:t>
      </w:r>
      <w:r w:rsidRPr="006A4A76">
        <w:rPr>
          <w:rFonts w:eastAsia="Calibri"/>
        </w:rPr>
        <w:t>Ольшанско</w:t>
      </w:r>
      <w:r w:rsidRPr="006A4A76">
        <w:t>м</w:t>
      </w:r>
      <w:r w:rsidRPr="006A4A76">
        <w:rPr>
          <w:rFonts w:eastAsia="Calibri"/>
        </w:rPr>
        <w:t xml:space="preserve"> с</w:t>
      </w:r>
      <w:r w:rsidR="00E523C9">
        <w:rPr>
          <w:rFonts w:eastAsia="Calibri"/>
        </w:rPr>
        <w:t>/</w:t>
      </w:r>
      <w:proofErr w:type="spellStart"/>
      <w:proofErr w:type="gramStart"/>
      <w:r w:rsidR="00E523C9">
        <w:rPr>
          <w:rFonts w:eastAsia="Calibri"/>
        </w:rPr>
        <w:t>п</w:t>
      </w:r>
      <w:proofErr w:type="spellEnd"/>
      <w:proofErr w:type="gramEnd"/>
      <w:r w:rsidRPr="006A4A76">
        <w:t xml:space="preserve"> Урюпинского </w:t>
      </w:r>
      <w:r w:rsidR="00E523C9">
        <w:t>МР</w:t>
      </w:r>
      <w:r w:rsidRPr="006A4A76">
        <w:t xml:space="preserve"> (в 2017 году – 13 тыс. руб.) и других.  </w:t>
      </w:r>
    </w:p>
    <w:p w:rsidR="00BD1576" w:rsidRDefault="00BD1576" w:rsidP="00BD1576">
      <w:pPr>
        <w:autoSpaceDE w:val="0"/>
        <w:autoSpaceDN w:val="0"/>
        <w:adjustRightInd w:val="0"/>
        <w:ind w:firstLine="680"/>
        <w:jc w:val="both"/>
      </w:pPr>
      <w:r w:rsidRPr="006A4A76">
        <w:t xml:space="preserve">Максимальная средняя заработная плата 15,3 тыс. руб. в 2016 году сложилась у ВУР в </w:t>
      </w:r>
      <w:proofErr w:type="spellStart"/>
      <w:r w:rsidRPr="006A4A76">
        <w:t>Светлоярском</w:t>
      </w:r>
      <w:proofErr w:type="spellEnd"/>
      <w:r w:rsidRPr="006A4A76">
        <w:t xml:space="preserve"> городском поселении</w:t>
      </w:r>
      <w:r w:rsidR="004D37B7">
        <w:t xml:space="preserve"> (далее – </w:t>
      </w:r>
      <w:proofErr w:type="gramStart"/>
      <w:r w:rsidR="004D37B7">
        <w:t>г</w:t>
      </w:r>
      <w:proofErr w:type="gramEnd"/>
      <w:r w:rsidR="004D37B7">
        <w:t>/</w:t>
      </w:r>
      <w:proofErr w:type="spellStart"/>
      <w:r w:rsidR="004D37B7">
        <w:t>п</w:t>
      </w:r>
      <w:proofErr w:type="spellEnd"/>
      <w:r w:rsidR="004D37B7">
        <w:t>)</w:t>
      </w:r>
      <w:r w:rsidRPr="006A4A76">
        <w:t xml:space="preserve"> </w:t>
      </w:r>
      <w:proofErr w:type="spellStart"/>
      <w:r w:rsidRPr="006A4A76">
        <w:t>Светлоярского</w:t>
      </w:r>
      <w:proofErr w:type="spellEnd"/>
      <w:r w:rsidRPr="006A4A76">
        <w:t xml:space="preserve"> </w:t>
      </w:r>
      <w:r w:rsidR="004D37B7">
        <w:t>МР</w:t>
      </w:r>
      <w:r w:rsidRPr="006A4A76">
        <w:t xml:space="preserve"> в связи с ошибочным расчетом субвенции </w:t>
      </w:r>
      <w:proofErr w:type="spellStart"/>
      <w:r w:rsidRPr="006A4A76">
        <w:t>Облфином</w:t>
      </w:r>
      <w:proofErr w:type="spellEnd"/>
      <w:r w:rsidRPr="006A4A76">
        <w:t xml:space="preserve"> (расчет произведен на 3 единицы вместо 2-х).</w:t>
      </w:r>
    </w:p>
    <w:p w:rsidR="008A45CB" w:rsidRDefault="00323F71" w:rsidP="00161FAF">
      <w:pPr>
        <w:autoSpaceDE w:val="0"/>
        <w:autoSpaceDN w:val="0"/>
        <w:adjustRightInd w:val="0"/>
        <w:ind w:firstLine="680"/>
        <w:jc w:val="both"/>
      </w:pPr>
      <w:r>
        <w:t xml:space="preserve">Сравнительный анализ с минимальным размером оплаты труда (далее – МРОТ) </w:t>
      </w:r>
      <w:r w:rsidR="00BE2731">
        <w:t xml:space="preserve">показал, что </w:t>
      </w:r>
      <w:r w:rsidR="0072119B">
        <w:t xml:space="preserve">практически </w:t>
      </w:r>
      <w:r>
        <w:t>во всех поселениях средняя заработная плата выше</w:t>
      </w:r>
      <w:r w:rsidR="00BE2731">
        <w:t xml:space="preserve"> МРОТ</w:t>
      </w:r>
      <w:r>
        <w:t xml:space="preserve">, за исключением </w:t>
      </w:r>
      <w:r w:rsidRPr="006C2BB1">
        <w:t>Купцовско</w:t>
      </w:r>
      <w:r>
        <w:t>го с/</w:t>
      </w:r>
      <w:proofErr w:type="spellStart"/>
      <w:proofErr w:type="gramStart"/>
      <w:r>
        <w:t>п</w:t>
      </w:r>
      <w:proofErr w:type="spellEnd"/>
      <w:proofErr w:type="gramEnd"/>
      <w:r>
        <w:t xml:space="preserve"> Котовского МР </w:t>
      </w:r>
      <w:r w:rsidR="008A45CB">
        <w:t>(ВУР работае</w:t>
      </w:r>
      <w:r w:rsidR="008C2DB4">
        <w:t>т</w:t>
      </w:r>
      <w:r w:rsidR="008A45CB">
        <w:t xml:space="preserve"> по совместительству на 0,4 ставки)</w:t>
      </w:r>
      <w:r>
        <w:t xml:space="preserve"> и </w:t>
      </w:r>
      <w:r w:rsidRPr="006C2BB1">
        <w:t>Киреевско</w:t>
      </w:r>
      <w:r>
        <w:t>го с/</w:t>
      </w:r>
      <w:proofErr w:type="spellStart"/>
      <w:r>
        <w:t>п</w:t>
      </w:r>
      <w:proofErr w:type="spellEnd"/>
      <w:r>
        <w:t xml:space="preserve"> Ольховского М</w:t>
      </w:r>
      <w:r w:rsidR="008A45CB">
        <w:t>Р (ВУР ра</w:t>
      </w:r>
      <w:r w:rsidR="00E51D78">
        <w:t>ботает по совместительству на 0,</w:t>
      </w:r>
      <w:r w:rsidR="008A45CB">
        <w:t>3 ставки)</w:t>
      </w:r>
      <w:r>
        <w:t xml:space="preserve"> в 2016 году</w:t>
      </w:r>
      <w:r w:rsidR="008A45CB">
        <w:t>, впоследствии средняя заработная плата ВУР была увеличена.</w:t>
      </w:r>
    </w:p>
    <w:p w:rsidR="006A4A76" w:rsidRDefault="009A35E8" w:rsidP="006A4A76">
      <w:pPr>
        <w:autoSpaceDE w:val="0"/>
        <w:autoSpaceDN w:val="0"/>
        <w:adjustRightInd w:val="0"/>
        <w:ind w:firstLine="680"/>
        <w:jc w:val="both"/>
      </w:pPr>
      <w:r>
        <w:t>В сравнении со средней заработной платой по региону</w:t>
      </w:r>
      <w:r w:rsidR="006A4A76">
        <w:t>, составлявшей в 2016 году 25,7 тыс. руб.</w:t>
      </w:r>
      <w:r w:rsidR="00920DA1">
        <w:t xml:space="preserve"> и</w:t>
      </w:r>
      <w:r w:rsidR="006A4A76">
        <w:t xml:space="preserve"> в 2017 году – 27,9 тыс. руб., средняя заработная плата ВУР существенно ниже (в 2 раза и более). </w:t>
      </w:r>
    </w:p>
    <w:p w:rsidR="006A4A76" w:rsidRDefault="006A4A76" w:rsidP="006A4A76">
      <w:pPr>
        <w:autoSpaceDE w:val="0"/>
        <w:autoSpaceDN w:val="0"/>
        <w:adjustRightInd w:val="0"/>
        <w:ind w:firstLine="680"/>
        <w:jc w:val="both"/>
      </w:pPr>
    </w:p>
    <w:p w:rsidR="00EE7AC3" w:rsidRPr="00EE7AC3" w:rsidRDefault="00EE7AC3" w:rsidP="00161FAF">
      <w:pPr>
        <w:autoSpaceDE w:val="0"/>
        <w:autoSpaceDN w:val="0"/>
        <w:adjustRightInd w:val="0"/>
        <w:ind w:firstLine="680"/>
        <w:jc w:val="both"/>
      </w:pPr>
      <w:r w:rsidRPr="00EE7AC3">
        <w:lastRenderedPageBreak/>
        <w:t>Размер направляемых средств субвенции на иные расходы в разрезе видов расходов и количества поселений приведен на следующей диаграмме.</w:t>
      </w:r>
    </w:p>
    <w:p w:rsidR="009E3FE4" w:rsidRDefault="00EE7AC3" w:rsidP="00EE7AC3">
      <w:pPr>
        <w:autoSpaceDE w:val="0"/>
        <w:autoSpaceDN w:val="0"/>
        <w:adjustRightInd w:val="0"/>
        <w:ind w:firstLine="680"/>
        <w:jc w:val="center"/>
        <w:rPr>
          <w:sz w:val="20"/>
          <w:szCs w:val="20"/>
        </w:rPr>
      </w:pPr>
      <w:r>
        <w:rPr>
          <w:sz w:val="20"/>
          <w:szCs w:val="20"/>
        </w:rPr>
        <w:t xml:space="preserve">                                                                                                              </w:t>
      </w:r>
    </w:p>
    <w:p w:rsidR="009E3FE4" w:rsidRDefault="009E3FE4" w:rsidP="00EE7AC3">
      <w:pPr>
        <w:autoSpaceDE w:val="0"/>
        <w:autoSpaceDN w:val="0"/>
        <w:adjustRightInd w:val="0"/>
        <w:ind w:firstLine="680"/>
        <w:jc w:val="center"/>
        <w:rPr>
          <w:sz w:val="20"/>
          <w:szCs w:val="20"/>
        </w:rPr>
      </w:pPr>
    </w:p>
    <w:p w:rsidR="00161FAF" w:rsidRPr="00EE7AC3" w:rsidRDefault="009E3FE4" w:rsidP="009E3FE4">
      <w:pPr>
        <w:autoSpaceDE w:val="0"/>
        <w:autoSpaceDN w:val="0"/>
        <w:adjustRightInd w:val="0"/>
        <w:ind w:firstLine="680"/>
        <w:jc w:val="center"/>
        <w:rPr>
          <w:sz w:val="20"/>
          <w:szCs w:val="20"/>
        </w:rPr>
      </w:pPr>
      <w:r>
        <w:rPr>
          <w:sz w:val="20"/>
          <w:szCs w:val="20"/>
        </w:rPr>
        <w:t xml:space="preserve">                                                                                                 </w:t>
      </w:r>
      <w:r w:rsidR="00EE7AC3">
        <w:rPr>
          <w:sz w:val="20"/>
          <w:szCs w:val="20"/>
        </w:rPr>
        <w:t xml:space="preserve"> </w:t>
      </w:r>
      <w:r w:rsidR="00124365">
        <w:rPr>
          <w:sz w:val="20"/>
          <w:szCs w:val="20"/>
        </w:rPr>
        <w:t>к</w:t>
      </w:r>
      <w:r w:rsidR="00633CEB">
        <w:rPr>
          <w:sz w:val="20"/>
          <w:szCs w:val="20"/>
        </w:rPr>
        <w:t xml:space="preserve">оличество поселений в </w:t>
      </w:r>
      <w:r w:rsidR="00EE7AC3" w:rsidRPr="00EE7AC3">
        <w:rPr>
          <w:sz w:val="20"/>
          <w:szCs w:val="20"/>
        </w:rPr>
        <w:t>ед. (тыс. руб.)</w:t>
      </w:r>
    </w:p>
    <w:p w:rsidR="00161FAF" w:rsidRDefault="00B42128" w:rsidP="00B42128">
      <w:pPr>
        <w:autoSpaceDE w:val="0"/>
        <w:autoSpaceDN w:val="0"/>
        <w:adjustRightInd w:val="0"/>
        <w:jc w:val="both"/>
        <w:rPr>
          <w:highlight w:val="lightGray"/>
        </w:rPr>
      </w:pPr>
      <w:r w:rsidRPr="00B42128">
        <w:rPr>
          <w:noProof/>
        </w:rPr>
        <w:drawing>
          <wp:inline distT="0" distB="0" distL="0" distR="0">
            <wp:extent cx="5850636" cy="3233318"/>
            <wp:effectExtent l="19050" t="0" r="16764" b="5182"/>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1FAF" w:rsidRDefault="00161FAF" w:rsidP="00161FAF">
      <w:pPr>
        <w:autoSpaceDE w:val="0"/>
        <w:autoSpaceDN w:val="0"/>
        <w:adjustRightInd w:val="0"/>
        <w:ind w:firstLine="680"/>
        <w:jc w:val="both"/>
        <w:rPr>
          <w:highlight w:val="lightGray"/>
        </w:rPr>
      </w:pPr>
    </w:p>
    <w:p w:rsidR="00EE7AC3" w:rsidRDefault="00BF6566" w:rsidP="00EE7AC3">
      <w:pPr>
        <w:autoSpaceDE w:val="0"/>
        <w:autoSpaceDN w:val="0"/>
        <w:adjustRightInd w:val="0"/>
        <w:ind w:firstLine="680"/>
        <w:jc w:val="both"/>
        <w:rPr>
          <w:highlight w:val="lightGray"/>
        </w:rPr>
      </w:pPr>
      <w:r>
        <w:t>Наибольшее количество поселений (318</w:t>
      </w:r>
      <w:r w:rsidR="00142D4E">
        <w:t xml:space="preserve"> ед.</w:t>
      </w:r>
      <w:r>
        <w:t xml:space="preserve"> в 2016 году и 315</w:t>
      </w:r>
      <w:r w:rsidR="00142D4E">
        <w:t xml:space="preserve"> ед.</w:t>
      </w:r>
      <w:r>
        <w:t xml:space="preserve"> в 2017 году) за счет средств субвенции приобрел</w:t>
      </w:r>
      <w:r w:rsidR="000009FB">
        <w:t>о</w:t>
      </w:r>
      <w:r>
        <w:t xml:space="preserve"> мебель, </w:t>
      </w:r>
      <w:r w:rsidR="0072363A" w:rsidRPr="0072363A">
        <w:t>инвентар</w:t>
      </w:r>
      <w:r>
        <w:t>ь</w:t>
      </w:r>
      <w:r w:rsidR="0072363A" w:rsidRPr="0072363A">
        <w:t>, оргтехник</w:t>
      </w:r>
      <w:r>
        <w:t>у</w:t>
      </w:r>
      <w:r w:rsidR="0072363A" w:rsidRPr="0072363A">
        <w:t>, средства связи</w:t>
      </w:r>
      <w:r>
        <w:t xml:space="preserve"> и</w:t>
      </w:r>
      <w:r w:rsidR="0072363A" w:rsidRPr="0072363A">
        <w:t xml:space="preserve"> расходны</w:t>
      </w:r>
      <w:r>
        <w:t>е</w:t>
      </w:r>
      <w:r w:rsidR="0072363A" w:rsidRPr="0072363A">
        <w:t xml:space="preserve"> материал</w:t>
      </w:r>
      <w:r>
        <w:t>ы</w:t>
      </w:r>
      <w:r w:rsidR="00786882">
        <w:t xml:space="preserve"> на 3</w:t>
      </w:r>
      <w:r w:rsidR="003C4591">
        <w:t> 120,6 тыс. руб.</w:t>
      </w:r>
      <w:r w:rsidR="00786882">
        <w:t xml:space="preserve"> в 2016 году и 2</w:t>
      </w:r>
      <w:r w:rsidR="003C4591">
        <w:t> 492,5 тыс. руб.</w:t>
      </w:r>
      <w:r w:rsidR="00786882">
        <w:t xml:space="preserve"> в 2017 году.</w:t>
      </w:r>
    </w:p>
    <w:p w:rsidR="00EE7AC3" w:rsidRDefault="006C4471" w:rsidP="00EE7AC3">
      <w:pPr>
        <w:autoSpaceDE w:val="0"/>
        <w:autoSpaceDN w:val="0"/>
        <w:adjustRightInd w:val="0"/>
        <w:ind w:firstLine="680"/>
        <w:jc w:val="both"/>
      </w:pPr>
      <w:r w:rsidRPr="006C4471">
        <w:t>Наименьшее количество поселений направлял</w:t>
      </w:r>
      <w:r w:rsidR="000009FB">
        <w:t>о</w:t>
      </w:r>
      <w:r w:rsidRPr="006C4471">
        <w:t xml:space="preserve"> средства субвенции на </w:t>
      </w:r>
      <w:r>
        <w:t>аренду помещений (2 ед. в 2016 году и 1 ед. в 2017 году) и командировочные расходы  (2 ед. в 2016 году, в 2017 году не направлялись).</w:t>
      </w:r>
    </w:p>
    <w:p w:rsidR="000009FB" w:rsidRDefault="000009FB" w:rsidP="000009FB">
      <w:pPr>
        <w:autoSpaceDE w:val="0"/>
        <w:autoSpaceDN w:val="0"/>
        <w:adjustRightInd w:val="0"/>
        <w:ind w:firstLine="680"/>
        <w:jc w:val="both"/>
      </w:pPr>
      <w:r w:rsidRPr="00C4700E">
        <w:t xml:space="preserve">Анализ показал, что </w:t>
      </w:r>
      <w:r w:rsidR="00C4700E" w:rsidRPr="00C4700E">
        <w:t xml:space="preserve">ни одним поселением не осуществлялось </w:t>
      </w:r>
      <w:r w:rsidRPr="00C4700E">
        <w:t>направление средств на все виды возможных расходов, определенных Федеральной методикой</w:t>
      </w:r>
      <w:r w:rsidRPr="00C4700E">
        <w:rPr>
          <w:rFonts w:eastAsiaTheme="minorHAnsi"/>
          <w:lang w:eastAsia="en-US"/>
        </w:rPr>
        <w:t xml:space="preserve"> (расходы на оплату аренды помещений, услуг связи, транспортных услуг, коммунальных услуг, командировочные расходы, расходы на обеспечение мебелью, инвентарем, оргтехникой, средствами связи, расходными материалами)</w:t>
      </w:r>
      <w:r w:rsidR="00C4700E" w:rsidRPr="00C4700E">
        <w:rPr>
          <w:rFonts w:eastAsiaTheme="minorHAnsi"/>
          <w:lang w:eastAsia="en-US"/>
        </w:rPr>
        <w:t>, в основном в связи с недостаточностью объема средств субвенции</w:t>
      </w:r>
      <w:r w:rsidRPr="00C4700E">
        <w:t>.</w:t>
      </w:r>
      <w:r>
        <w:t xml:space="preserve"> </w:t>
      </w:r>
    </w:p>
    <w:p w:rsidR="004E4EC4" w:rsidRPr="00CA535A" w:rsidRDefault="004E4EC4" w:rsidP="004E4EC4">
      <w:pPr>
        <w:ind w:firstLine="680"/>
        <w:jc w:val="both"/>
        <w:rPr>
          <w:color w:val="000000"/>
        </w:rPr>
      </w:pPr>
      <w:r>
        <w:rPr>
          <w:color w:val="000000"/>
        </w:rPr>
        <w:t xml:space="preserve">Из 102 проверенных поселений в </w:t>
      </w:r>
      <w:r w:rsidRPr="00CA535A">
        <w:rPr>
          <w:color w:val="000000"/>
        </w:rPr>
        <w:t xml:space="preserve"> 3-х поселениях (</w:t>
      </w:r>
      <w:proofErr w:type="spellStart"/>
      <w:r w:rsidRPr="00CA535A">
        <w:rPr>
          <w:color w:val="000000"/>
        </w:rPr>
        <w:t>Быковское</w:t>
      </w:r>
      <w:proofErr w:type="spellEnd"/>
      <w:r w:rsidRPr="00CA535A">
        <w:rPr>
          <w:color w:val="000000"/>
        </w:rPr>
        <w:t xml:space="preserve"> г/</w:t>
      </w:r>
      <w:proofErr w:type="spellStart"/>
      <w:proofErr w:type="gramStart"/>
      <w:r w:rsidRPr="00CA535A">
        <w:rPr>
          <w:color w:val="000000"/>
        </w:rPr>
        <w:t>п</w:t>
      </w:r>
      <w:proofErr w:type="spellEnd"/>
      <w:proofErr w:type="gramEnd"/>
      <w:r w:rsidRPr="00CA535A">
        <w:rPr>
          <w:color w:val="000000"/>
        </w:rPr>
        <w:t xml:space="preserve"> Быковского МР, г/</w:t>
      </w:r>
      <w:proofErr w:type="spellStart"/>
      <w:r w:rsidRPr="00CA535A">
        <w:rPr>
          <w:color w:val="000000"/>
        </w:rPr>
        <w:t>п</w:t>
      </w:r>
      <w:proofErr w:type="spellEnd"/>
      <w:r w:rsidRPr="00CA535A">
        <w:rPr>
          <w:color w:val="000000"/>
        </w:rPr>
        <w:t xml:space="preserve"> р.п. Средняя Ахтуба </w:t>
      </w:r>
      <w:proofErr w:type="spellStart"/>
      <w:r w:rsidRPr="00CA535A">
        <w:rPr>
          <w:color w:val="000000"/>
        </w:rPr>
        <w:t>Среднеахтубинского</w:t>
      </w:r>
      <w:proofErr w:type="spellEnd"/>
      <w:r w:rsidRPr="00CA535A">
        <w:rPr>
          <w:color w:val="000000"/>
        </w:rPr>
        <w:t xml:space="preserve"> МР, </w:t>
      </w:r>
      <w:proofErr w:type="spellStart"/>
      <w:r w:rsidRPr="00CA535A">
        <w:rPr>
          <w:color w:val="000000"/>
        </w:rPr>
        <w:t>Светлоярское</w:t>
      </w:r>
      <w:proofErr w:type="spellEnd"/>
      <w:r w:rsidRPr="00CA535A">
        <w:rPr>
          <w:color w:val="000000"/>
        </w:rPr>
        <w:t xml:space="preserve"> г/</w:t>
      </w:r>
      <w:proofErr w:type="spellStart"/>
      <w:proofErr w:type="gramStart"/>
      <w:r w:rsidRPr="00CA535A">
        <w:rPr>
          <w:color w:val="000000"/>
        </w:rPr>
        <w:t>п</w:t>
      </w:r>
      <w:proofErr w:type="spellEnd"/>
      <w:proofErr w:type="gramEnd"/>
      <w:r>
        <w:rPr>
          <w:color w:val="000000"/>
        </w:rPr>
        <w:t xml:space="preserve"> </w:t>
      </w:r>
      <w:proofErr w:type="spellStart"/>
      <w:r w:rsidRPr="00CA535A">
        <w:rPr>
          <w:color w:val="000000"/>
        </w:rPr>
        <w:t>Светлоярского</w:t>
      </w:r>
      <w:proofErr w:type="spellEnd"/>
      <w:r w:rsidRPr="00CA535A">
        <w:rPr>
          <w:color w:val="000000"/>
        </w:rPr>
        <w:t xml:space="preserve"> МР) здания, в которых размещены ВУР, находятся на балансе Министерства обороны РФ  и содержатся за счет средств федерального бюджета</w:t>
      </w:r>
      <w:r w:rsidR="00136FE0">
        <w:rPr>
          <w:color w:val="000000"/>
        </w:rPr>
        <w:t>, т.е. расходы на коммунальные услуги и услуги связи в части деятельности ВУР поселениями не осуществляются</w:t>
      </w:r>
      <w:r w:rsidRPr="00CA535A">
        <w:rPr>
          <w:color w:val="000000"/>
        </w:rPr>
        <w:t xml:space="preserve">. </w:t>
      </w:r>
    </w:p>
    <w:p w:rsidR="00EE7AC3" w:rsidRDefault="00EE7AC3" w:rsidP="00EE7AC3">
      <w:pPr>
        <w:autoSpaceDE w:val="0"/>
        <w:autoSpaceDN w:val="0"/>
        <w:adjustRightInd w:val="0"/>
        <w:ind w:firstLine="680"/>
        <w:jc w:val="both"/>
        <w:rPr>
          <w:highlight w:val="lightGray"/>
        </w:rPr>
      </w:pPr>
    </w:p>
    <w:p w:rsidR="00161FAF" w:rsidRPr="0020503B" w:rsidRDefault="00161FAF" w:rsidP="00161FAF">
      <w:pPr>
        <w:pStyle w:val="ConsPlusNormal"/>
        <w:ind w:firstLine="680"/>
        <w:jc w:val="center"/>
        <w:rPr>
          <w:rFonts w:ascii="Times New Roman" w:eastAsiaTheme="minorHAnsi" w:hAnsi="Times New Roman" w:cs="Times New Roman"/>
          <w:sz w:val="24"/>
          <w:szCs w:val="24"/>
          <w:u w:val="single"/>
          <w:lang w:eastAsia="en-US"/>
        </w:rPr>
      </w:pPr>
      <w:r w:rsidRPr="0020503B">
        <w:rPr>
          <w:rFonts w:ascii="Times New Roman" w:eastAsiaTheme="minorHAnsi" w:hAnsi="Times New Roman" w:cs="Times New Roman"/>
          <w:sz w:val="24"/>
          <w:szCs w:val="24"/>
          <w:u w:val="single"/>
          <w:lang w:eastAsia="en-US"/>
        </w:rPr>
        <w:t>Сведения о количестве граждан, состоящих на воинском учете, и военно-учетн</w:t>
      </w:r>
      <w:r w:rsidR="00BF52AD" w:rsidRPr="0020503B">
        <w:rPr>
          <w:rFonts w:ascii="Times New Roman" w:eastAsiaTheme="minorHAnsi" w:hAnsi="Times New Roman" w:cs="Times New Roman"/>
          <w:sz w:val="24"/>
          <w:szCs w:val="24"/>
          <w:u w:val="single"/>
          <w:lang w:eastAsia="en-US"/>
        </w:rPr>
        <w:t>ых</w:t>
      </w:r>
      <w:r w:rsidRPr="0020503B">
        <w:rPr>
          <w:rFonts w:ascii="Times New Roman" w:eastAsiaTheme="minorHAnsi" w:hAnsi="Times New Roman" w:cs="Times New Roman"/>
          <w:sz w:val="24"/>
          <w:szCs w:val="24"/>
          <w:u w:val="single"/>
          <w:lang w:eastAsia="en-US"/>
        </w:rPr>
        <w:t xml:space="preserve"> работник</w:t>
      </w:r>
      <w:r w:rsidR="00BF52AD" w:rsidRPr="0020503B">
        <w:rPr>
          <w:rFonts w:ascii="Times New Roman" w:eastAsiaTheme="minorHAnsi" w:hAnsi="Times New Roman" w:cs="Times New Roman"/>
          <w:sz w:val="24"/>
          <w:szCs w:val="24"/>
          <w:u w:val="single"/>
          <w:lang w:eastAsia="en-US"/>
        </w:rPr>
        <w:t>ах</w:t>
      </w:r>
    </w:p>
    <w:p w:rsidR="00161FAF" w:rsidRPr="0020503B" w:rsidRDefault="0020503B" w:rsidP="00161FAF">
      <w:pPr>
        <w:autoSpaceDE w:val="0"/>
        <w:autoSpaceDN w:val="0"/>
        <w:adjustRightInd w:val="0"/>
        <w:ind w:firstLine="680"/>
        <w:jc w:val="both"/>
        <w:rPr>
          <w:rFonts w:eastAsiaTheme="minorHAnsi"/>
          <w:lang w:eastAsia="en-US"/>
        </w:rPr>
      </w:pPr>
      <w:r w:rsidRPr="0020503B">
        <w:rPr>
          <w:rFonts w:eastAsiaTheme="minorHAnsi"/>
          <w:lang w:eastAsia="en-US"/>
        </w:rPr>
        <w:t>Д</w:t>
      </w:r>
      <w:r w:rsidR="00BF52AD" w:rsidRPr="0020503B">
        <w:rPr>
          <w:rFonts w:eastAsiaTheme="minorHAnsi"/>
          <w:lang w:eastAsia="en-US"/>
        </w:rPr>
        <w:t>анные, учтенные</w:t>
      </w:r>
      <w:r w:rsidRPr="0020503B">
        <w:rPr>
          <w:rFonts w:eastAsiaTheme="minorHAnsi"/>
          <w:lang w:eastAsia="en-US"/>
        </w:rPr>
        <w:t xml:space="preserve"> при распределении субвенции, о к</w:t>
      </w:r>
      <w:r w:rsidR="00161FAF" w:rsidRPr="0020503B">
        <w:rPr>
          <w:rFonts w:eastAsiaTheme="minorHAnsi"/>
          <w:lang w:eastAsia="en-US"/>
        </w:rPr>
        <w:t>оличество гражд</w:t>
      </w:r>
      <w:r w:rsidRPr="0020503B">
        <w:rPr>
          <w:rFonts w:eastAsiaTheme="minorHAnsi"/>
          <w:lang w:eastAsia="en-US"/>
        </w:rPr>
        <w:t xml:space="preserve">ан, состоящих на воинском учете, и количестве ВУР, </w:t>
      </w:r>
      <w:r w:rsidR="00161FAF" w:rsidRPr="0020503B">
        <w:rPr>
          <w:rFonts w:eastAsiaTheme="minorHAnsi"/>
          <w:lang w:eastAsia="en-US"/>
        </w:rPr>
        <w:t>приведен</w:t>
      </w:r>
      <w:r w:rsidRPr="0020503B">
        <w:rPr>
          <w:rFonts w:eastAsiaTheme="minorHAnsi"/>
          <w:lang w:eastAsia="en-US"/>
        </w:rPr>
        <w:t>ы</w:t>
      </w:r>
      <w:r w:rsidR="00161FAF" w:rsidRPr="0020503B">
        <w:rPr>
          <w:rFonts w:eastAsiaTheme="minorHAnsi"/>
          <w:lang w:eastAsia="en-US"/>
        </w:rPr>
        <w:t xml:space="preserve"> в таблице.</w:t>
      </w:r>
    </w:p>
    <w:tbl>
      <w:tblPr>
        <w:tblW w:w="9379" w:type="dxa"/>
        <w:tblInd w:w="85" w:type="dxa"/>
        <w:tblLayout w:type="fixed"/>
        <w:tblLook w:val="04A0"/>
      </w:tblPr>
      <w:tblGrid>
        <w:gridCol w:w="1740"/>
        <w:gridCol w:w="2678"/>
        <w:gridCol w:w="1417"/>
        <w:gridCol w:w="1701"/>
        <w:gridCol w:w="1843"/>
      </w:tblGrid>
      <w:tr w:rsidR="00BF52AD" w:rsidRPr="00BF52AD" w:rsidTr="00BF52AD">
        <w:trPr>
          <w:trHeight w:val="311"/>
        </w:trPr>
        <w:tc>
          <w:tcPr>
            <w:tcW w:w="1740" w:type="dxa"/>
            <w:vMerge w:val="restart"/>
            <w:tcBorders>
              <w:top w:val="double" w:sz="6" w:space="0" w:color="auto"/>
              <w:left w:val="double" w:sz="6" w:space="0" w:color="auto"/>
              <w:bottom w:val="double" w:sz="6" w:space="0" w:color="auto"/>
              <w:right w:val="single" w:sz="4" w:space="0" w:color="auto"/>
            </w:tcBorders>
            <w:shd w:val="clear" w:color="000000" w:fill="EAF1DD"/>
            <w:vAlign w:val="center"/>
            <w:hideMark/>
          </w:tcPr>
          <w:p w:rsidR="00BF52AD" w:rsidRPr="00BF52AD" w:rsidRDefault="00BF52AD" w:rsidP="00BF52AD">
            <w:pPr>
              <w:jc w:val="center"/>
              <w:rPr>
                <w:color w:val="000000"/>
                <w:sz w:val="20"/>
                <w:szCs w:val="20"/>
              </w:rPr>
            </w:pPr>
            <w:r w:rsidRPr="00BF52AD">
              <w:rPr>
                <w:color w:val="000000"/>
                <w:sz w:val="20"/>
                <w:szCs w:val="20"/>
              </w:rPr>
              <w:t> </w:t>
            </w:r>
          </w:p>
        </w:tc>
        <w:tc>
          <w:tcPr>
            <w:tcW w:w="2678" w:type="dxa"/>
            <w:vMerge w:val="restart"/>
            <w:tcBorders>
              <w:top w:val="double" w:sz="6" w:space="0" w:color="auto"/>
              <w:left w:val="single" w:sz="4" w:space="0" w:color="auto"/>
              <w:bottom w:val="double" w:sz="6" w:space="0" w:color="auto"/>
              <w:right w:val="single" w:sz="4" w:space="0" w:color="auto"/>
            </w:tcBorders>
            <w:shd w:val="clear" w:color="000000" w:fill="EAF1DD"/>
            <w:vAlign w:val="center"/>
            <w:hideMark/>
          </w:tcPr>
          <w:p w:rsidR="00BF52AD" w:rsidRPr="00BF52AD" w:rsidRDefault="00BF52AD" w:rsidP="00BF52AD">
            <w:pPr>
              <w:jc w:val="center"/>
              <w:rPr>
                <w:color w:val="000000"/>
                <w:sz w:val="20"/>
                <w:szCs w:val="20"/>
              </w:rPr>
            </w:pPr>
            <w:r w:rsidRPr="00BF52AD">
              <w:rPr>
                <w:color w:val="000000"/>
                <w:sz w:val="20"/>
                <w:szCs w:val="20"/>
              </w:rPr>
              <w:t>Количество граждан, состоявших на воинском учете в органах местного самоуправления, ед.</w:t>
            </w:r>
          </w:p>
        </w:tc>
        <w:tc>
          <w:tcPr>
            <w:tcW w:w="4961" w:type="dxa"/>
            <w:gridSpan w:val="3"/>
            <w:tcBorders>
              <w:top w:val="double" w:sz="6" w:space="0" w:color="auto"/>
              <w:left w:val="nil"/>
              <w:bottom w:val="nil"/>
              <w:right w:val="double" w:sz="6" w:space="0" w:color="000000"/>
            </w:tcBorders>
            <w:shd w:val="clear" w:color="000000" w:fill="EAF1DD"/>
            <w:vAlign w:val="center"/>
            <w:hideMark/>
          </w:tcPr>
          <w:p w:rsidR="00BF52AD" w:rsidRPr="00BF52AD" w:rsidRDefault="00BF52AD" w:rsidP="00BF52AD">
            <w:pPr>
              <w:jc w:val="center"/>
              <w:rPr>
                <w:color w:val="000000"/>
                <w:sz w:val="20"/>
                <w:szCs w:val="20"/>
              </w:rPr>
            </w:pPr>
            <w:r w:rsidRPr="00BF52AD">
              <w:rPr>
                <w:color w:val="000000"/>
                <w:sz w:val="20"/>
                <w:szCs w:val="20"/>
              </w:rPr>
              <w:t>Количество военно-учетных работников, ед.</w:t>
            </w:r>
          </w:p>
        </w:tc>
      </w:tr>
      <w:tr w:rsidR="00BF52AD" w:rsidRPr="00BF52AD" w:rsidTr="00BF52AD">
        <w:trPr>
          <w:trHeight w:val="670"/>
        </w:trPr>
        <w:tc>
          <w:tcPr>
            <w:tcW w:w="1740" w:type="dxa"/>
            <w:vMerge/>
            <w:tcBorders>
              <w:top w:val="double" w:sz="6" w:space="0" w:color="auto"/>
              <w:left w:val="double" w:sz="6" w:space="0" w:color="auto"/>
              <w:bottom w:val="double" w:sz="6" w:space="0" w:color="auto"/>
              <w:right w:val="single" w:sz="4" w:space="0" w:color="auto"/>
            </w:tcBorders>
            <w:vAlign w:val="center"/>
            <w:hideMark/>
          </w:tcPr>
          <w:p w:rsidR="00BF52AD" w:rsidRPr="00BF52AD" w:rsidRDefault="00BF52AD" w:rsidP="00BF52AD">
            <w:pPr>
              <w:rPr>
                <w:color w:val="000000"/>
                <w:sz w:val="20"/>
                <w:szCs w:val="20"/>
              </w:rPr>
            </w:pPr>
          </w:p>
        </w:tc>
        <w:tc>
          <w:tcPr>
            <w:tcW w:w="2678" w:type="dxa"/>
            <w:vMerge/>
            <w:tcBorders>
              <w:top w:val="double" w:sz="6" w:space="0" w:color="auto"/>
              <w:left w:val="single" w:sz="4" w:space="0" w:color="auto"/>
              <w:bottom w:val="double" w:sz="6" w:space="0" w:color="auto"/>
              <w:right w:val="single" w:sz="4" w:space="0" w:color="auto"/>
            </w:tcBorders>
            <w:vAlign w:val="center"/>
            <w:hideMark/>
          </w:tcPr>
          <w:p w:rsidR="00BF52AD" w:rsidRPr="00BF52AD" w:rsidRDefault="00BF52AD" w:rsidP="00BF52AD">
            <w:pPr>
              <w:rPr>
                <w:color w:val="000000"/>
                <w:sz w:val="20"/>
                <w:szCs w:val="20"/>
              </w:rPr>
            </w:pPr>
          </w:p>
        </w:tc>
        <w:tc>
          <w:tcPr>
            <w:tcW w:w="1417" w:type="dxa"/>
            <w:tcBorders>
              <w:top w:val="single" w:sz="4" w:space="0" w:color="auto"/>
              <w:left w:val="nil"/>
              <w:bottom w:val="double" w:sz="6" w:space="0" w:color="auto"/>
              <w:right w:val="single" w:sz="4" w:space="0" w:color="auto"/>
            </w:tcBorders>
            <w:shd w:val="clear" w:color="000000" w:fill="EAF1DD"/>
            <w:vAlign w:val="center"/>
            <w:hideMark/>
          </w:tcPr>
          <w:p w:rsidR="00BF52AD" w:rsidRPr="00BF52AD" w:rsidRDefault="00BF52AD" w:rsidP="00BF52AD">
            <w:pPr>
              <w:jc w:val="center"/>
              <w:rPr>
                <w:color w:val="000000"/>
                <w:sz w:val="20"/>
                <w:szCs w:val="20"/>
              </w:rPr>
            </w:pPr>
            <w:r w:rsidRPr="00BF52AD">
              <w:rPr>
                <w:color w:val="000000"/>
                <w:sz w:val="20"/>
                <w:szCs w:val="20"/>
              </w:rPr>
              <w:t>Всего</w:t>
            </w:r>
          </w:p>
        </w:tc>
        <w:tc>
          <w:tcPr>
            <w:tcW w:w="1701" w:type="dxa"/>
            <w:tcBorders>
              <w:top w:val="single" w:sz="4" w:space="0" w:color="auto"/>
              <w:left w:val="nil"/>
              <w:bottom w:val="double" w:sz="6" w:space="0" w:color="auto"/>
              <w:right w:val="single" w:sz="4" w:space="0" w:color="auto"/>
            </w:tcBorders>
            <w:shd w:val="clear" w:color="000000" w:fill="EAF1DD"/>
            <w:vAlign w:val="center"/>
            <w:hideMark/>
          </w:tcPr>
          <w:p w:rsidR="00BF52AD" w:rsidRPr="00BF52AD" w:rsidRDefault="00BF52AD" w:rsidP="00BF52AD">
            <w:pPr>
              <w:jc w:val="center"/>
              <w:rPr>
                <w:color w:val="000000"/>
                <w:sz w:val="20"/>
                <w:szCs w:val="20"/>
              </w:rPr>
            </w:pPr>
            <w:r>
              <w:rPr>
                <w:color w:val="000000"/>
                <w:sz w:val="20"/>
                <w:szCs w:val="20"/>
              </w:rPr>
              <w:t>о</w:t>
            </w:r>
            <w:r w:rsidRPr="00BF52AD">
              <w:rPr>
                <w:color w:val="000000"/>
                <w:sz w:val="20"/>
                <w:szCs w:val="20"/>
              </w:rPr>
              <w:t>свобожденных</w:t>
            </w:r>
          </w:p>
        </w:tc>
        <w:tc>
          <w:tcPr>
            <w:tcW w:w="1843" w:type="dxa"/>
            <w:tcBorders>
              <w:top w:val="single" w:sz="4" w:space="0" w:color="auto"/>
              <w:left w:val="nil"/>
              <w:bottom w:val="double" w:sz="6" w:space="0" w:color="auto"/>
              <w:right w:val="double" w:sz="6" w:space="0" w:color="auto"/>
            </w:tcBorders>
            <w:shd w:val="clear" w:color="000000" w:fill="EAF1DD"/>
            <w:vAlign w:val="center"/>
            <w:hideMark/>
          </w:tcPr>
          <w:p w:rsidR="00BF52AD" w:rsidRPr="00BF52AD" w:rsidRDefault="00BF52AD" w:rsidP="00BF52AD">
            <w:pPr>
              <w:jc w:val="center"/>
              <w:rPr>
                <w:color w:val="000000"/>
                <w:sz w:val="20"/>
                <w:szCs w:val="20"/>
              </w:rPr>
            </w:pPr>
            <w:r>
              <w:rPr>
                <w:color w:val="000000"/>
                <w:sz w:val="20"/>
                <w:szCs w:val="20"/>
              </w:rPr>
              <w:t>п</w:t>
            </w:r>
            <w:r w:rsidRPr="00BF52AD">
              <w:rPr>
                <w:color w:val="000000"/>
                <w:sz w:val="20"/>
                <w:szCs w:val="20"/>
              </w:rPr>
              <w:t>о совместительству</w:t>
            </w:r>
          </w:p>
        </w:tc>
      </w:tr>
      <w:tr w:rsidR="00BF52AD" w:rsidRPr="00BF52AD" w:rsidTr="00BF52AD">
        <w:trPr>
          <w:trHeight w:val="315"/>
        </w:trPr>
        <w:tc>
          <w:tcPr>
            <w:tcW w:w="1740" w:type="dxa"/>
            <w:tcBorders>
              <w:top w:val="nil"/>
              <w:left w:val="double" w:sz="6" w:space="0" w:color="auto"/>
              <w:bottom w:val="single" w:sz="4" w:space="0" w:color="auto"/>
              <w:right w:val="single" w:sz="4" w:space="0" w:color="auto"/>
            </w:tcBorders>
            <w:shd w:val="clear" w:color="auto" w:fill="auto"/>
            <w:noWrap/>
            <w:hideMark/>
          </w:tcPr>
          <w:p w:rsidR="00BF52AD" w:rsidRPr="00BF52AD" w:rsidRDefault="00BF52AD" w:rsidP="00BF52AD">
            <w:pPr>
              <w:rPr>
                <w:sz w:val="20"/>
                <w:szCs w:val="20"/>
              </w:rPr>
            </w:pPr>
            <w:r w:rsidRPr="00BF52AD">
              <w:rPr>
                <w:sz w:val="20"/>
                <w:szCs w:val="20"/>
              </w:rPr>
              <w:t>на 2016 год</w:t>
            </w:r>
          </w:p>
        </w:tc>
        <w:tc>
          <w:tcPr>
            <w:tcW w:w="2678" w:type="dxa"/>
            <w:tcBorders>
              <w:top w:val="nil"/>
              <w:left w:val="nil"/>
              <w:bottom w:val="single" w:sz="4" w:space="0" w:color="auto"/>
              <w:right w:val="single" w:sz="4" w:space="0" w:color="auto"/>
            </w:tcBorders>
            <w:shd w:val="clear" w:color="auto" w:fill="auto"/>
            <w:noWrap/>
            <w:hideMark/>
          </w:tcPr>
          <w:p w:rsidR="00BF52AD" w:rsidRPr="00BF52AD" w:rsidRDefault="00BF52AD" w:rsidP="00BF52AD">
            <w:r w:rsidRPr="00BF52AD">
              <w:rPr>
                <w:sz w:val="22"/>
                <w:szCs w:val="22"/>
              </w:rPr>
              <w:t>163 569</w:t>
            </w:r>
          </w:p>
        </w:tc>
        <w:tc>
          <w:tcPr>
            <w:tcW w:w="1417" w:type="dxa"/>
            <w:tcBorders>
              <w:top w:val="nil"/>
              <w:left w:val="nil"/>
              <w:bottom w:val="single" w:sz="4" w:space="0" w:color="auto"/>
              <w:right w:val="single" w:sz="4" w:space="0" w:color="auto"/>
            </w:tcBorders>
            <w:shd w:val="clear" w:color="auto" w:fill="auto"/>
            <w:noWrap/>
            <w:hideMark/>
          </w:tcPr>
          <w:p w:rsidR="00BF52AD" w:rsidRPr="00BF52AD" w:rsidRDefault="00BF52AD" w:rsidP="00BF52AD">
            <w:r w:rsidRPr="00BF52AD">
              <w:rPr>
                <w:sz w:val="22"/>
                <w:szCs w:val="22"/>
              </w:rPr>
              <w:t>435</w:t>
            </w:r>
          </w:p>
        </w:tc>
        <w:tc>
          <w:tcPr>
            <w:tcW w:w="1701" w:type="dxa"/>
            <w:tcBorders>
              <w:top w:val="nil"/>
              <w:left w:val="nil"/>
              <w:bottom w:val="single" w:sz="4" w:space="0" w:color="auto"/>
              <w:right w:val="single" w:sz="4" w:space="0" w:color="auto"/>
            </w:tcBorders>
            <w:shd w:val="clear" w:color="auto" w:fill="auto"/>
            <w:noWrap/>
            <w:hideMark/>
          </w:tcPr>
          <w:p w:rsidR="00BF52AD" w:rsidRPr="00BF52AD" w:rsidRDefault="00BF52AD" w:rsidP="00BF52AD">
            <w:r w:rsidRPr="00BF52AD">
              <w:rPr>
                <w:sz w:val="22"/>
                <w:szCs w:val="22"/>
              </w:rPr>
              <w:t>94</w:t>
            </w:r>
          </w:p>
        </w:tc>
        <w:tc>
          <w:tcPr>
            <w:tcW w:w="1843" w:type="dxa"/>
            <w:tcBorders>
              <w:top w:val="nil"/>
              <w:left w:val="nil"/>
              <w:bottom w:val="single" w:sz="4" w:space="0" w:color="auto"/>
              <w:right w:val="double" w:sz="6" w:space="0" w:color="auto"/>
            </w:tcBorders>
            <w:shd w:val="clear" w:color="auto" w:fill="auto"/>
            <w:noWrap/>
            <w:hideMark/>
          </w:tcPr>
          <w:p w:rsidR="00BF52AD" w:rsidRPr="00BF52AD" w:rsidRDefault="00BF52AD" w:rsidP="00BF52AD">
            <w:r w:rsidRPr="00BF52AD">
              <w:rPr>
                <w:sz w:val="22"/>
                <w:szCs w:val="22"/>
              </w:rPr>
              <w:t>341</w:t>
            </w:r>
          </w:p>
        </w:tc>
      </w:tr>
      <w:tr w:rsidR="00BF52AD" w:rsidRPr="00BF52AD" w:rsidTr="00BF52AD">
        <w:trPr>
          <w:trHeight w:val="300"/>
        </w:trPr>
        <w:tc>
          <w:tcPr>
            <w:tcW w:w="1740" w:type="dxa"/>
            <w:tcBorders>
              <w:top w:val="nil"/>
              <w:left w:val="double" w:sz="6" w:space="0" w:color="auto"/>
              <w:bottom w:val="single" w:sz="4" w:space="0" w:color="auto"/>
              <w:right w:val="single" w:sz="4" w:space="0" w:color="auto"/>
            </w:tcBorders>
            <w:shd w:val="clear" w:color="auto" w:fill="auto"/>
            <w:noWrap/>
            <w:hideMark/>
          </w:tcPr>
          <w:p w:rsidR="00BF52AD" w:rsidRPr="00BF52AD" w:rsidRDefault="00BF52AD" w:rsidP="00BF52AD">
            <w:pPr>
              <w:rPr>
                <w:sz w:val="20"/>
                <w:szCs w:val="20"/>
              </w:rPr>
            </w:pPr>
            <w:r w:rsidRPr="00BF52AD">
              <w:rPr>
                <w:sz w:val="20"/>
                <w:szCs w:val="20"/>
              </w:rPr>
              <w:t>на 2017 год</w:t>
            </w:r>
          </w:p>
        </w:tc>
        <w:tc>
          <w:tcPr>
            <w:tcW w:w="2678" w:type="dxa"/>
            <w:tcBorders>
              <w:top w:val="nil"/>
              <w:left w:val="nil"/>
              <w:bottom w:val="single" w:sz="4" w:space="0" w:color="auto"/>
              <w:right w:val="single" w:sz="4" w:space="0" w:color="auto"/>
            </w:tcBorders>
            <w:shd w:val="clear" w:color="auto" w:fill="auto"/>
            <w:noWrap/>
            <w:hideMark/>
          </w:tcPr>
          <w:p w:rsidR="00BF52AD" w:rsidRPr="00BF52AD" w:rsidRDefault="00BF52AD" w:rsidP="00BF52AD">
            <w:r w:rsidRPr="00BF52AD">
              <w:rPr>
                <w:sz w:val="22"/>
                <w:szCs w:val="22"/>
              </w:rPr>
              <w:t>163 919</w:t>
            </w:r>
          </w:p>
        </w:tc>
        <w:tc>
          <w:tcPr>
            <w:tcW w:w="1417" w:type="dxa"/>
            <w:tcBorders>
              <w:top w:val="nil"/>
              <w:left w:val="nil"/>
              <w:bottom w:val="single" w:sz="4" w:space="0" w:color="auto"/>
              <w:right w:val="single" w:sz="4" w:space="0" w:color="auto"/>
            </w:tcBorders>
            <w:shd w:val="clear" w:color="auto" w:fill="auto"/>
            <w:noWrap/>
            <w:hideMark/>
          </w:tcPr>
          <w:p w:rsidR="00BF52AD" w:rsidRPr="00BF52AD" w:rsidRDefault="00BF52AD" w:rsidP="00BF52AD">
            <w:r w:rsidRPr="00BF52AD">
              <w:rPr>
                <w:sz w:val="22"/>
                <w:szCs w:val="22"/>
              </w:rPr>
              <w:t>438</w:t>
            </w:r>
          </w:p>
        </w:tc>
        <w:tc>
          <w:tcPr>
            <w:tcW w:w="1701" w:type="dxa"/>
            <w:tcBorders>
              <w:top w:val="nil"/>
              <w:left w:val="nil"/>
              <w:bottom w:val="single" w:sz="4" w:space="0" w:color="auto"/>
              <w:right w:val="single" w:sz="4" w:space="0" w:color="auto"/>
            </w:tcBorders>
            <w:shd w:val="clear" w:color="auto" w:fill="auto"/>
            <w:noWrap/>
            <w:hideMark/>
          </w:tcPr>
          <w:p w:rsidR="00BF52AD" w:rsidRPr="00BF52AD" w:rsidRDefault="00BF52AD" w:rsidP="00BF52AD">
            <w:r w:rsidRPr="00BF52AD">
              <w:rPr>
                <w:sz w:val="22"/>
                <w:szCs w:val="22"/>
              </w:rPr>
              <w:t>94</w:t>
            </w:r>
          </w:p>
        </w:tc>
        <w:tc>
          <w:tcPr>
            <w:tcW w:w="1843" w:type="dxa"/>
            <w:tcBorders>
              <w:top w:val="nil"/>
              <w:left w:val="nil"/>
              <w:bottom w:val="single" w:sz="4" w:space="0" w:color="auto"/>
              <w:right w:val="double" w:sz="6" w:space="0" w:color="auto"/>
            </w:tcBorders>
            <w:shd w:val="clear" w:color="auto" w:fill="auto"/>
            <w:noWrap/>
            <w:hideMark/>
          </w:tcPr>
          <w:p w:rsidR="00BF52AD" w:rsidRPr="00BF52AD" w:rsidRDefault="00BF52AD" w:rsidP="00BF52AD">
            <w:r w:rsidRPr="00BF52AD">
              <w:rPr>
                <w:sz w:val="22"/>
                <w:szCs w:val="22"/>
              </w:rPr>
              <w:t>344</w:t>
            </w:r>
          </w:p>
        </w:tc>
      </w:tr>
      <w:tr w:rsidR="00BF52AD" w:rsidRPr="00BF52AD" w:rsidTr="00B33C9A">
        <w:trPr>
          <w:trHeight w:val="106"/>
        </w:trPr>
        <w:tc>
          <w:tcPr>
            <w:tcW w:w="1740" w:type="dxa"/>
            <w:tcBorders>
              <w:top w:val="nil"/>
              <w:left w:val="double" w:sz="6" w:space="0" w:color="auto"/>
              <w:bottom w:val="double" w:sz="6" w:space="0" w:color="auto"/>
              <w:right w:val="single" w:sz="4" w:space="0" w:color="auto"/>
            </w:tcBorders>
            <w:shd w:val="clear" w:color="auto" w:fill="auto"/>
            <w:hideMark/>
          </w:tcPr>
          <w:p w:rsidR="00BF52AD" w:rsidRPr="00BF52AD" w:rsidRDefault="00BF52AD" w:rsidP="00BF52AD">
            <w:pPr>
              <w:rPr>
                <w:sz w:val="20"/>
                <w:szCs w:val="20"/>
              </w:rPr>
            </w:pPr>
            <w:r w:rsidRPr="00BF52AD">
              <w:rPr>
                <w:iCs/>
                <w:sz w:val="20"/>
                <w:szCs w:val="20"/>
              </w:rPr>
              <w:t>на 2018 год</w:t>
            </w:r>
          </w:p>
        </w:tc>
        <w:tc>
          <w:tcPr>
            <w:tcW w:w="2678" w:type="dxa"/>
            <w:tcBorders>
              <w:top w:val="nil"/>
              <w:left w:val="nil"/>
              <w:bottom w:val="double" w:sz="6" w:space="0" w:color="auto"/>
              <w:right w:val="single" w:sz="4" w:space="0" w:color="auto"/>
            </w:tcBorders>
            <w:shd w:val="clear" w:color="auto" w:fill="auto"/>
            <w:noWrap/>
            <w:hideMark/>
          </w:tcPr>
          <w:p w:rsidR="00BF52AD" w:rsidRPr="00BF52AD" w:rsidRDefault="00BF52AD" w:rsidP="00BF52AD">
            <w:r w:rsidRPr="00BF52AD">
              <w:rPr>
                <w:sz w:val="22"/>
                <w:szCs w:val="22"/>
              </w:rPr>
              <w:t>160 615</w:t>
            </w:r>
          </w:p>
        </w:tc>
        <w:tc>
          <w:tcPr>
            <w:tcW w:w="1417" w:type="dxa"/>
            <w:tcBorders>
              <w:top w:val="nil"/>
              <w:left w:val="nil"/>
              <w:bottom w:val="double" w:sz="6" w:space="0" w:color="auto"/>
              <w:right w:val="single" w:sz="4" w:space="0" w:color="auto"/>
            </w:tcBorders>
            <w:shd w:val="clear" w:color="auto" w:fill="auto"/>
            <w:noWrap/>
            <w:hideMark/>
          </w:tcPr>
          <w:p w:rsidR="00BF52AD" w:rsidRPr="00BF52AD" w:rsidRDefault="00BF52AD" w:rsidP="00BF52AD">
            <w:r w:rsidRPr="00BF52AD">
              <w:rPr>
                <w:sz w:val="22"/>
                <w:szCs w:val="22"/>
              </w:rPr>
              <w:t>438</w:t>
            </w:r>
          </w:p>
        </w:tc>
        <w:tc>
          <w:tcPr>
            <w:tcW w:w="1701" w:type="dxa"/>
            <w:tcBorders>
              <w:top w:val="nil"/>
              <w:left w:val="nil"/>
              <w:bottom w:val="double" w:sz="6" w:space="0" w:color="auto"/>
              <w:right w:val="single" w:sz="4" w:space="0" w:color="auto"/>
            </w:tcBorders>
            <w:shd w:val="clear" w:color="auto" w:fill="auto"/>
            <w:noWrap/>
            <w:hideMark/>
          </w:tcPr>
          <w:p w:rsidR="00BF52AD" w:rsidRPr="00BF52AD" w:rsidRDefault="00BF52AD" w:rsidP="00BF52AD">
            <w:r w:rsidRPr="00BF52AD">
              <w:rPr>
                <w:sz w:val="22"/>
                <w:szCs w:val="22"/>
              </w:rPr>
              <w:t>91</w:t>
            </w:r>
          </w:p>
        </w:tc>
        <w:tc>
          <w:tcPr>
            <w:tcW w:w="1843" w:type="dxa"/>
            <w:tcBorders>
              <w:top w:val="nil"/>
              <w:left w:val="nil"/>
              <w:bottom w:val="double" w:sz="6" w:space="0" w:color="auto"/>
              <w:right w:val="double" w:sz="6" w:space="0" w:color="auto"/>
            </w:tcBorders>
            <w:shd w:val="clear" w:color="auto" w:fill="auto"/>
            <w:noWrap/>
            <w:hideMark/>
          </w:tcPr>
          <w:p w:rsidR="00BF52AD" w:rsidRPr="00BF52AD" w:rsidRDefault="00BF52AD" w:rsidP="00BF52AD">
            <w:r w:rsidRPr="00BF52AD">
              <w:rPr>
                <w:sz w:val="22"/>
                <w:szCs w:val="22"/>
              </w:rPr>
              <w:t>347</w:t>
            </w:r>
          </w:p>
        </w:tc>
      </w:tr>
    </w:tbl>
    <w:p w:rsidR="0020503B" w:rsidRDefault="0020503B" w:rsidP="00161FAF">
      <w:pPr>
        <w:autoSpaceDE w:val="0"/>
        <w:autoSpaceDN w:val="0"/>
        <w:adjustRightInd w:val="0"/>
        <w:ind w:firstLine="680"/>
        <w:jc w:val="both"/>
        <w:rPr>
          <w:rFonts w:eastAsiaTheme="minorHAnsi"/>
          <w:lang w:eastAsia="en-US"/>
        </w:rPr>
      </w:pPr>
      <w:r w:rsidRPr="0020503B">
        <w:rPr>
          <w:rFonts w:eastAsiaTheme="minorHAnsi"/>
          <w:lang w:eastAsia="en-US"/>
        </w:rPr>
        <w:lastRenderedPageBreak/>
        <w:t>Как видно из таблицы, при увеличении</w:t>
      </w:r>
      <w:r w:rsidR="000B23C2">
        <w:rPr>
          <w:rFonts w:eastAsiaTheme="minorHAnsi"/>
          <w:lang w:eastAsia="en-US"/>
        </w:rPr>
        <w:t xml:space="preserve"> на </w:t>
      </w:r>
      <w:r w:rsidRPr="0020503B">
        <w:rPr>
          <w:rFonts w:eastAsiaTheme="minorHAnsi"/>
          <w:lang w:eastAsia="en-US"/>
        </w:rPr>
        <w:t xml:space="preserve"> </w:t>
      </w:r>
      <w:r w:rsidR="000B23C2">
        <w:rPr>
          <w:rFonts w:eastAsiaTheme="minorHAnsi"/>
          <w:lang w:eastAsia="en-US"/>
        </w:rPr>
        <w:t xml:space="preserve">2017 год </w:t>
      </w:r>
      <w:r w:rsidRPr="0020503B">
        <w:rPr>
          <w:rFonts w:eastAsiaTheme="minorHAnsi"/>
          <w:lang w:eastAsia="en-US"/>
        </w:rPr>
        <w:t>количества граждан, состоящих на воинском учете, выросло количество ВУР на 3 ед., на 2018 год количество ВУР осталось неизменным.</w:t>
      </w:r>
    </w:p>
    <w:p w:rsidR="00605E80" w:rsidRDefault="00F65949" w:rsidP="00161FAF">
      <w:pPr>
        <w:autoSpaceDE w:val="0"/>
        <w:autoSpaceDN w:val="0"/>
        <w:adjustRightInd w:val="0"/>
        <w:ind w:firstLine="680"/>
        <w:jc w:val="both"/>
        <w:rPr>
          <w:rFonts w:eastAsiaTheme="minorHAnsi"/>
          <w:lang w:eastAsia="en-US"/>
        </w:rPr>
      </w:pPr>
      <w:r>
        <w:rPr>
          <w:rFonts w:eastAsiaTheme="minorHAnsi"/>
          <w:lang w:eastAsia="en-US"/>
        </w:rPr>
        <w:t>В поселениях Волгоградской области н</w:t>
      </w:r>
      <w:r w:rsidR="00605E80">
        <w:rPr>
          <w:rFonts w:eastAsiaTheme="minorHAnsi"/>
          <w:lang w:eastAsia="en-US"/>
        </w:rPr>
        <w:t xml:space="preserve">аибольшую часть </w:t>
      </w:r>
      <w:r>
        <w:rPr>
          <w:rFonts w:eastAsiaTheme="minorHAnsi"/>
          <w:lang w:eastAsia="en-US"/>
        </w:rPr>
        <w:t>ВУР составляют работники, работающие по совместительству, - 78,4% в 2016 году, 78,5% в 2017 году и 79,2% в 2018 году.</w:t>
      </w:r>
    </w:p>
    <w:p w:rsidR="002A1BF9" w:rsidRDefault="00F65949" w:rsidP="00161FAF">
      <w:pPr>
        <w:autoSpaceDE w:val="0"/>
        <w:autoSpaceDN w:val="0"/>
        <w:adjustRightInd w:val="0"/>
        <w:ind w:firstLine="680"/>
        <w:jc w:val="both"/>
        <w:rPr>
          <w:rFonts w:eastAsiaTheme="minorHAnsi"/>
          <w:lang w:eastAsia="en-US"/>
        </w:rPr>
      </w:pPr>
      <w:r>
        <w:rPr>
          <w:rFonts w:eastAsiaTheme="minorHAnsi"/>
          <w:lang w:eastAsia="en-US"/>
        </w:rPr>
        <w:t xml:space="preserve">Информация о </w:t>
      </w:r>
      <w:r w:rsidR="002A1BF9">
        <w:rPr>
          <w:rFonts w:eastAsiaTheme="minorHAnsi"/>
          <w:lang w:eastAsia="en-US"/>
        </w:rPr>
        <w:t>структуре ставок ВУР, распределенных по поселениям, приведена на диаграмме.</w:t>
      </w:r>
    </w:p>
    <w:p w:rsidR="00F65949" w:rsidRDefault="002A1BF9" w:rsidP="002A1BF9">
      <w:pPr>
        <w:autoSpaceDE w:val="0"/>
        <w:autoSpaceDN w:val="0"/>
        <w:adjustRightInd w:val="0"/>
        <w:ind w:firstLine="680"/>
        <w:jc w:val="right"/>
        <w:rPr>
          <w:rFonts w:eastAsiaTheme="minorHAnsi"/>
          <w:lang w:eastAsia="en-US"/>
        </w:rPr>
      </w:pPr>
      <w:r>
        <w:rPr>
          <w:rFonts w:eastAsiaTheme="minorHAnsi"/>
          <w:lang w:eastAsia="en-US"/>
        </w:rPr>
        <w:t>количество поселений, ед.</w:t>
      </w:r>
    </w:p>
    <w:p w:rsidR="00253DB7" w:rsidRDefault="00253DB7" w:rsidP="00253DB7">
      <w:pPr>
        <w:autoSpaceDE w:val="0"/>
        <w:autoSpaceDN w:val="0"/>
        <w:adjustRightInd w:val="0"/>
        <w:jc w:val="right"/>
        <w:rPr>
          <w:rFonts w:eastAsiaTheme="minorHAnsi"/>
          <w:lang w:eastAsia="en-US"/>
        </w:rPr>
      </w:pPr>
    </w:p>
    <w:p w:rsidR="00253DB7" w:rsidRDefault="00253DB7" w:rsidP="00253DB7">
      <w:pPr>
        <w:autoSpaceDE w:val="0"/>
        <w:autoSpaceDN w:val="0"/>
        <w:adjustRightInd w:val="0"/>
        <w:jc w:val="right"/>
        <w:rPr>
          <w:rFonts w:eastAsiaTheme="minorHAnsi"/>
          <w:lang w:eastAsia="en-US"/>
        </w:rPr>
      </w:pPr>
      <w:r w:rsidRPr="00253DB7">
        <w:rPr>
          <w:rFonts w:eastAsiaTheme="minorHAnsi"/>
          <w:noProof/>
        </w:rPr>
        <w:drawing>
          <wp:inline distT="0" distB="0" distL="0" distR="0">
            <wp:extent cx="6078042" cy="2648102"/>
            <wp:effectExtent l="19050" t="0" r="17958"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3DB7" w:rsidRDefault="00253DB7" w:rsidP="00253DB7">
      <w:pPr>
        <w:autoSpaceDE w:val="0"/>
        <w:autoSpaceDN w:val="0"/>
        <w:adjustRightInd w:val="0"/>
        <w:jc w:val="right"/>
        <w:rPr>
          <w:rFonts w:eastAsiaTheme="minorHAnsi"/>
          <w:lang w:eastAsia="en-US"/>
        </w:rPr>
      </w:pPr>
    </w:p>
    <w:p w:rsidR="00605E80" w:rsidRDefault="002A1BF9" w:rsidP="00161FAF">
      <w:pPr>
        <w:autoSpaceDE w:val="0"/>
        <w:autoSpaceDN w:val="0"/>
        <w:adjustRightInd w:val="0"/>
        <w:ind w:firstLine="680"/>
        <w:jc w:val="both"/>
        <w:rPr>
          <w:rFonts w:eastAsiaTheme="minorHAnsi"/>
          <w:lang w:eastAsia="en-US"/>
        </w:rPr>
      </w:pPr>
      <w:r>
        <w:rPr>
          <w:rFonts w:eastAsiaTheme="minorHAnsi"/>
          <w:lang w:eastAsia="en-US"/>
        </w:rPr>
        <w:t>Как видно из диаграммы</w:t>
      </w:r>
      <w:r w:rsidR="008C2DB4">
        <w:rPr>
          <w:rFonts w:eastAsiaTheme="minorHAnsi"/>
          <w:lang w:eastAsia="en-US"/>
        </w:rPr>
        <w:t>,</w:t>
      </w:r>
      <w:r>
        <w:rPr>
          <w:rFonts w:eastAsiaTheme="minorHAnsi"/>
          <w:lang w:eastAsia="en-US"/>
        </w:rPr>
        <w:t xml:space="preserve"> в наибольшем количестве поселений ВУР осуществляют свою деятельность на 0,2 и 0,3 ставках: в 2016 году – в 283 поселениях (66,7% от общего количества поселений), в 2017 году – в 290 (68,3%), в 2018 году – </w:t>
      </w:r>
      <w:proofErr w:type="gramStart"/>
      <w:r>
        <w:rPr>
          <w:rFonts w:eastAsiaTheme="minorHAnsi"/>
          <w:lang w:eastAsia="en-US"/>
        </w:rPr>
        <w:t>в</w:t>
      </w:r>
      <w:proofErr w:type="gramEnd"/>
      <w:r>
        <w:rPr>
          <w:rFonts w:eastAsiaTheme="minorHAnsi"/>
          <w:lang w:eastAsia="en-US"/>
        </w:rPr>
        <w:t xml:space="preserve"> 302 (71,1%).</w:t>
      </w:r>
    </w:p>
    <w:p w:rsidR="00605E80" w:rsidRDefault="00605E80" w:rsidP="00161FAF">
      <w:pPr>
        <w:autoSpaceDE w:val="0"/>
        <w:autoSpaceDN w:val="0"/>
        <w:adjustRightInd w:val="0"/>
        <w:ind w:firstLine="680"/>
        <w:jc w:val="both"/>
        <w:rPr>
          <w:rFonts w:eastAsiaTheme="minorHAnsi"/>
          <w:lang w:eastAsia="en-US"/>
        </w:rPr>
      </w:pPr>
    </w:p>
    <w:p w:rsidR="00B33C9A" w:rsidRDefault="00B33C9A" w:rsidP="00B33C9A">
      <w:pPr>
        <w:autoSpaceDE w:val="0"/>
        <w:autoSpaceDN w:val="0"/>
        <w:adjustRightInd w:val="0"/>
        <w:ind w:firstLine="709"/>
        <w:jc w:val="both"/>
      </w:pPr>
      <w:proofErr w:type="gramStart"/>
      <w:r w:rsidRPr="00A94546">
        <w:t xml:space="preserve">Проверкой </w:t>
      </w:r>
      <w:proofErr w:type="spellStart"/>
      <w:r>
        <w:t>Облфина</w:t>
      </w:r>
      <w:proofErr w:type="spellEnd"/>
      <w:r>
        <w:t xml:space="preserve"> </w:t>
      </w:r>
      <w:r w:rsidRPr="00A94546">
        <w:t>установлено, что численность граждан, указанных в отчет</w:t>
      </w:r>
      <w:r w:rsidR="001025CF">
        <w:t>е</w:t>
      </w:r>
      <w:r w:rsidRPr="00A94546">
        <w:t xml:space="preserve"> о расходовании субвенций</w:t>
      </w:r>
      <w:r w:rsidR="001025CF">
        <w:t>, утвержденн</w:t>
      </w:r>
      <w:r w:rsidR="00F863D6">
        <w:t xml:space="preserve">ом приказом </w:t>
      </w:r>
      <w:r w:rsidRPr="00A94546">
        <w:rPr>
          <w:bCs/>
        </w:rPr>
        <w:t xml:space="preserve">Минфина РФ от 03.07.2006 </w:t>
      </w:r>
      <w:r>
        <w:rPr>
          <w:bCs/>
        </w:rPr>
        <w:t>№</w:t>
      </w:r>
      <w:r w:rsidRPr="00A94546">
        <w:rPr>
          <w:bCs/>
        </w:rPr>
        <w:t xml:space="preserve"> 90н </w:t>
      </w:r>
      <w:r>
        <w:rPr>
          <w:bCs/>
        </w:rPr>
        <w:t>«</w:t>
      </w:r>
      <w:r w:rsidRPr="00A94546">
        <w:rPr>
          <w:bCs/>
        </w:rPr>
        <w:t>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w:t>
      </w:r>
      <w:r>
        <w:rPr>
          <w:bCs/>
        </w:rPr>
        <w:t>»</w:t>
      </w:r>
      <w:r w:rsidR="00F863D6">
        <w:rPr>
          <w:bCs/>
        </w:rPr>
        <w:t xml:space="preserve"> (далее – Приказ Минфина РФ № 90н</w:t>
      </w:r>
      <w:r w:rsidRPr="00A94546">
        <w:t xml:space="preserve">)  на </w:t>
      </w:r>
      <w:r w:rsidR="00237EC5">
        <w:t>31</w:t>
      </w:r>
      <w:r w:rsidRPr="00A94546">
        <w:t>.</w:t>
      </w:r>
      <w:r w:rsidR="00237EC5">
        <w:t>12</w:t>
      </w:r>
      <w:r w:rsidRPr="00A94546">
        <w:t>.201</w:t>
      </w:r>
      <w:r w:rsidR="00D97A25">
        <w:t>4</w:t>
      </w:r>
      <w:r w:rsidRPr="00A94546">
        <w:t xml:space="preserve"> составляла 163 569 граждан, на </w:t>
      </w:r>
      <w:r w:rsidR="00D97A25">
        <w:t>31</w:t>
      </w:r>
      <w:r w:rsidRPr="00A94546">
        <w:t>.</w:t>
      </w:r>
      <w:r w:rsidR="00D97A25">
        <w:t>12</w:t>
      </w:r>
      <w:r w:rsidRPr="00A94546">
        <w:t>.201</w:t>
      </w:r>
      <w:r w:rsidR="00D97A25">
        <w:t>5</w:t>
      </w:r>
      <w:r w:rsidRPr="00A94546">
        <w:t xml:space="preserve"> – 160 711 граждан,  на </w:t>
      </w:r>
      <w:r w:rsidR="00D97A25">
        <w:t>31</w:t>
      </w:r>
      <w:r w:rsidRPr="00A94546">
        <w:t>.</w:t>
      </w:r>
      <w:r w:rsidR="00D97A25">
        <w:t>12</w:t>
      </w:r>
      <w:r w:rsidRPr="00A94546">
        <w:t>.201</w:t>
      </w:r>
      <w:r w:rsidR="00D97A25">
        <w:t>6</w:t>
      </w:r>
      <w:r w:rsidRPr="00A94546">
        <w:t xml:space="preserve"> - 157 739</w:t>
      </w:r>
      <w:proofErr w:type="gramEnd"/>
      <w:r w:rsidRPr="00A94546">
        <w:t xml:space="preserve"> граждан. </w:t>
      </w:r>
      <w:proofErr w:type="gramStart"/>
      <w:r w:rsidRPr="00A94546">
        <w:t xml:space="preserve">При этом исходные данные </w:t>
      </w:r>
      <w:proofErr w:type="spellStart"/>
      <w:r>
        <w:t>Облвоенкома</w:t>
      </w:r>
      <w:r w:rsidR="00D97A25">
        <w:t>та</w:t>
      </w:r>
      <w:proofErr w:type="spellEnd"/>
      <w:r>
        <w:t xml:space="preserve">, направляемые в </w:t>
      </w:r>
      <w:proofErr w:type="spellStart"/>
      <w:r>
        <w:t>Облфин</w:t>
      </w:r>
      <w:proofErr w:type="spellEnd"/>
      <w:r>
        <w:t xml:space="preserve"> для проведения расчета и согласования проекта федерального бюджета </w:t>
      </w:r>
      <w:r w:rsidR="00F77EA2">
        <w:t>на 2016</w:t>
      </w:r>
      <w:r w:rsidR="00D2292D">
        <w:t>,</w:t>
      </w:r>
      <w:r w:rsidR="00F77EA2">
        <w:t xml:space="preserve"> 2017, 2018 годы </w:t>
      </w:r>
      <w:r>
        <w:t>по выделению субвенций,</w:t>
      </w:r>
      <w:r w:rsidRPr="00A94546">
        <w:t xml:space="preserve"> на </w:t>
      </w:r>
      <w:r w:rsidR="00D97A25">
        <w:t>31</w:t>
      </w:r>
      <w:r w:rsidR="00D97A25" w:rsidRPr="00A94546">
        <w:t>.</w:t>
      </w:r>
      <w:r w:rsidR="00D97A25">
        <w:t>12</w:t>
      </w:r>
      <w:r w:rsidR="00D97A25" w:rsidRPr="00A94546">
        <w:t>.201</w:t>
      </w:r>
      <w:r w:rsidR="00D97A25">
        <w:t>4</w:t>
      </w:r>
      <w:r w:rsidR="00D97A25" w:rsidRPr="00A94546">
        <w:t xml:space="preserve"> </w:t>
      </w:r>
      <w:r w:rsidRPr="00A94546">
        <w:t xml:space="preserve">составили 163 569 </w:t>
      </w:r>
      <w:r>
        <w:t>ед.,</w:t>
      </w:r>
      <w:r w:rsidRPr="00A94546">
        <w:t xml:space="preserve"> на </w:t>
      </w:r>
      <w:r w:rsidR="00D97A25">
        <w:t>31</w:t>
      </w:r>
      <w:r w:rsidR="00D97A25" w:rsidRPr="00A94546">
        <w:t>.</w:t>
      </w:r>
      <w:r w:rsidR="00D97A25">
        <w:t>12</w:t>
      </w:r>
      <w:r w:rsidR="00D97A25" w:rsidRPr="00A94546">
        <w:t>.201</w:t>
      </w:r>
      <w:r w:rsidR="00D97A25">
        <w:t>5</w:t>
      </w:r>
      <w:r w:rsidR="00D97A25" w:rsidRPr="00A94546">
        <w:t xml:space="preserve"> </w:t>
      </w:r>
      <w:r w:rsidRPr="00A94546">
        <w:t xml:space="preserve">– 163 919 </w:t>
      </w:r>
      <w:r>
        <w:t xml:space="preserve">ед. </w:t>
      </w:r>
      <w:r w:rsidRPr="00A94546">
        <w:t>(отклонение 3 208 человек</w:t>
      </w:r>
      <w:r w:rsidR="009F4B2B">
        <w:t xml:space="preserve"> от данных отчетности</w:t>
      </w:r>
      <w:r w:rsidRPr="00A94546">
        <w:t xml:space="preserve">), на </w:t>
      </w:r>
      <w:r w:rsidR="00D97A25">
        <w:t>31</w:t>
      </w:r>
      <w:r w:rsidR="00D97A25" w:rsidRPr="00A94546">
        <w:t>.</w:t>
      </w:r>
      <w:r w:rsidR="00D97A25">
        <w:t>12</w:t>
      </w:r>
      <w:r w:rsidR="00D97A25" w:rsidRPr="00A94546">
        <w:t>.201</w:t>
      </w:r>
      <w:r w:rsidR="00D97A25">
        <w:t>6</w:t>
      </w:r>
      <w:r w:rsidR="00D97A25" w:rsidRPr="00A94546">
        <w:t xml:space="preserve"> </w:t>
      </w:r>
      <w:r w:rsidRPr="00A94546">
        <w:t xml:space="preserve">– 160 615 </w:t>
      </w:r>
      <w:r>
        <w:t>ед.</w:t>
      </w:r>
      <w:r w:rsidRPr="00A94546">
        <w:t xml:space="preserve"> (отклонение – 2 876 человек).</w:t>
      </w:r>
      <w:proofErr w:type="gramEnd"/>
      <w:r w:rsidRPr="00A94546">
        <w:t xml:space="preserve"> Таким образом, исходные данные, на 2017 и 2018 годы, предоставленные </w:t>
      </w:r>
      <w:proofErr w:type="spellStart"/>
      <w:r>
        <w:t>Облвоенком</w:t>
      </w:r>
      <w:r w:rsidR="00D97A25">
        <w:t>атом</w:t>
      </w:r>
      <w:proofErr w:type="spellEnd"/>
      <w:r w:rsidRPr="00A94546">
        <w:t>, не соответствуют требованиям п. 13 Постановления</w:t>
      </w:r>
      <w:r>
        <w:t xml:space="preserve"> Правительства РФ </w:t>
      </w:r>
      <w:r w:rsidRPr="00A94546">
        <w:t xml:space="preserve"> № 719</w:t>
      </w:r>
      <w:r w:rsidR="009F4B2B">
        <w:t>, согласно которому общее количество работников, осуществляющих воинский учет, определяется исходя из количества граждан, состоящих на воинском учете по состоянию на 31 декабря предшествующего года.</w:t>
      </w:r>
    </w:p>
    <w:p w:rsidR="00237EC5" w:rsidRDefault="00237EC5" w:rsidP="00B33C9A">
      <w:pPr>
        <w:autoSpaceDE w:val="0"/>
        <w:autoSpaceDN w:val="0"/>
        <w:adjustRightInd w:val="0"/>
        <w:ind w:firstLine="709"/>
        <w:jc w:val="both"/>
      </w:pPr>
      <w:proofErr w:type="spellStart"/>
      <w:r>
        <w:t>Облвоенком</w:t>
      </w:r>
      <w:r w:rsidR="00D97A25">
        <w:t>атом</w:t>
      </w:r>
      <w:proofErr w:type="spellEnd"/>
      <w:r>
        <w:t xml:space="preserve"> пояснено (письмо от 30.08.2018 № 2/3/2791), что на основании п. 5 ст. 133 БК РФ до 20 августа текущего финансового года главными распорядителями средств федерального бюджета проводится сверка исходных данных с высшим исполнительным органом государственной власти субъекта РФ.</w:t>
      </w:r>
      <w:r w:rsidR="00C361B2">
        <w:t xml:space="preserve"> </w:t>
      </w:r>
      <w:r>
        <w:t xml:space="preserve">Для сверки необходимого количества сотрудников ОМСУ, осуществляющих  полномочия по ведению первичного воинского учета, военный комиссариат представляет в распорядительный орган субъекта РФ  количество граждан, состоящих на первичном воинском учете в ОМСУ, </w:t>
      </w:r>
      <w:r w:rsidRPr="00C361B2">
        <w:rPr>
          <w:u w:val="single"/>
        </w:rPr>
        <w:t>по состоянию на 1 августа текущего года.</w:t>
      </w:r>
      <w:r>
        <w:t xml:space="preserve"> </w:t>
      </w:r>
    </w:p>
    <w:p w:rsidR="00237EC5" w:rsidRPr="000526D5" w:rsidRDefault="00237EC5" w:rsidP="00237EC5">
      <w:pPr>
        <w:autoSpaceDE w:val="0"/>
        <w:autoSpaceDN w:val="0"/>
        <w:adjustRightInd w:val="0"/>
        <w:ind w:firstLine="709"/>
        <w:jc w:val="both"/>
      </w:pPr>
      <w:proofErr w:type="spellStart"/>
      <w:r w:rsidRPr="00A94546">
        <w:t>Облфином</w:t>
      </w:r>
      <w:proofErr w:type="spellEnd"/>
      <w:r w:rsidRPr="00A94546">
        <w:t xml:space="preserve"> производится сверка данных, предоставляемых </w:t>
      </w:r>
      <w:proofErr w:type="spellStart"/>
      <w:r w:rsidRPr="00A94546">
        <w:t>Облвоенкоматом</w:t>
      </w:r>
      <w:proofErr w:type="spellEnd"/>
      <w:r w:rsidRPr="00A94546">
        <w:t>, с</w:t>
      </w:r>
      <w:r>
        <w:t xml:space="preserve"> данными, размещенными для расчета субвенции на официальном сайте Минобороны России.</w:t>
      </w:r>
    </w:p>
    <w:p w:rsidR="00D97A25" w:rsidRDefault="00D97A25" w:rsidP="00D97A25">
      <w:pPr>
        <w:autoSpaceDE w:val="0"/>
        <w:autoSpaceDN w:val="0"/>
        <w:adjustRightInd w:val="0"/>
        <w:ind w:firstLine="709"/>
        <w:jc w:val="both"/>
      </w:pPr>
      <w:r>
        <w:lastRenderedPageBreak/>
        <w:t xml:space="preserve">В ходе </w:t>
      </w:r>
      <w:r w:rsidR="009F4B2B">
        <w:t xml:space="preserve">мероприятия </w:t>
      </w:r>
      <w:r>
        <w:t>проанализированы исходные данные, использованные Минобороны РФ при расчете субвенции регионам РФ</w:t>
      </w:r>
      <w:r w:rsidR="00C306F6">
        <w:t>,</w:t>
      </w:r>
      <w:r>
        <w:t xml:space="preserve"> с исходными данными </w:t>
      </w:r>
      <w:proofErr w:type="spellStart"/>
      <w:r>
        <w:t>Облвоенкомата</w:t>
      </w:r>
      <w:proofErr w:type="spellEnd"/>
      <w:r>
        <w:t xml:space="preserve">, использованными при распределении субвенции из областного бюджета. Установлено, что </w:t>
      </w:r>
      <w:r w:rsidR="00267214">
        <w:t>для</w:t>
      </w:r>
      <w:r>
        <w:t xml:space="preserve"> распределени</w:t>
      </w:r>
      <w:r w:rsidR="00267214">
        <w:t>я</w:t>
      </w:r>
      <w:r>
        <w:t xml:space="preserve"> субвенции на 2018 год </w:t>
      </w:r>
      <w:proofErr w:type="spellStart"/>
      <w:r>
        <w:t>Облвоенкоматом</w:t>
      </w:r>
      <w:proofErr w:type="spellEnd"/>
      <w:r>
        <w:t xml:space="preserve"> в августе 2017 года предоставлены данные о численности ВУР</w:t>
      </w:r>
      <w:r w:rsidR="00C306F6">
        <w:t xml:space="preserve"> в количестве</w:t>
      </w:r>
      <w:r>
        <w:t xml:space="preserve"> 438 </w:t>
      </w:r>
      <w:r w:rsidR="00C306F6">
        <w:t>ед.</w:t>
      </w:r>
      <w:r>
        <w:t xml:space="preserve">, в т.ч. 91 </w:t>
      </w:r>
      <w:r w:rsidR="00C306F6">
        <w:t xml:space="preserve">ед. </w:t>
      </w:r>
      <w:r>
        <w:t xml:space="preserve">на освобожденной основе и 347 </w:t>
      </w:r>
      <w:r w:rsidR="00C306F6">
        <w:t>ед.</w:t>
      </w:r>
      <w:r>
        <w:t xml:space="preserve">, </w:t>
      </w:r>
      <w:proofErr w:type="gramStart"/>
      <w:r>
        <w:t>работающих</w:t>
      </w:r>
      <w:proofErr w:type="gramEnd"/>
      <w:r>
        <w:t xml:space="preserve"> по совместительству. </w:t>
      </w:r>
      <w:r w:rsidR="00267214">
        <w:t>При этом в исходных данных М</w:t>
      </w:r>
      <w:r>
        <w:t xml:space="preserve">инобороны РФ учтено 438 </w:t>
      </w:r>
      <w:r w:rsidR="00C306F6">
        <w:t>ед.</w:t>
      </w:r>
      <w:r>
        <w:t>, в т.ч. 94</w:t>
      </w:r>
      <w:r w:rsidR="00C306F6">
        <w:t xml:space="preserve"> ед.</w:t>
      </w:r>
      <w:r>
        <w:t xml:space="preserve"> на освобожденной основе и 344 </w:t>
      </w:r>
      <w:r w:rsidR="00C306F6">
        <w:t>ед.</w:t>
      </w:r>
      <w:r>
        <w:t>, работающих по совместительству, то есть 3</w:t>
      </w:r>
      <w:r w:rsidR="000C585B">
        <w:t xml:space="preserve"> ед.</w:t>
      </w:r>
      <w:r>
        <w:t>, работающих по совместительству</w:t>
      </w:r>
      <w:r w:rsidR="00C361B2">
        <w:t>,</w:t>
      </w:r>
      <w:r>
        <w:t xml:space="preserve"> перемещены на </w:t>
      </w:r>
      <w:proofErr w:type="gramStart"/>
      <w:r>
        <w:t>работающих</w:t>
      </w:r>
      <w:proofErr w:type="gramEnd"/>
      <w:r>
        <w:t xml:space="preserve"> на постоянной основе.</w:t>
      </w:r>
      <w:r w:rsidRPr="00D97A25">
        <w:t xml:space="preserve"> </w:t>
      </w:r>
      <w:proofErr w:type="spellStart"/>
      <w:r w:rsidR="000C585B">
        <w:t>Облвоенкомат</w:t>
      </w:r>
      <w:proofErr w:type="spellEnd"/>
      <w:r w:rsidRPr="00D97A25">
        <w:t xml:space="preserve"> объяснить причины расхождения данных на 3 ед</w:t>
      </w:r>
      <w:r>
        <w:t>.</w:t>
      </w:r>
      <w:r w:rsidRPr="00D97A25">
        <w:t xml:space="preserve">  не может.</w:t>
      </w:r>
    </w:p>
    <w:p w:rsidR="00B33C9A" w:rsidRDefault="00B33C9A" w:rsidP="00161FAF">
      <w:pPr>
        <w:autoSpaceDE w:val="0"/>
        <w:autoSpaceDN w:val="0"/>
        <w:adjustRightInd w:val="0"/>
        <w:ind w:firstLine="680"/>
        <w:jc w:val="both"/>
        <w:rPr>
          <w:rFonts w:eastAsiaTheme="minorHAnsi"/>
          <w:lang w:eastAsia="en-US"/>
        </w:rPr>
      </w:pPr>
    </w:p>
    <w:p w:rsidR="0037158D" w:rsidRPr="007912F0" w:rsidRDefault="0037158D" w:rsidP="00770736">
      <w:pPr>
        <w:shd w:val="clear" w:color="auto" w:fill="FFFFFF"/>
        <w:ind w:firstLine="680"/>
        <w:jc w:val="center"/>
        <w:rPr>
          <w:b/>
        </w:rPr>
      </w:pPr>
      <w:r w:rsidRPr="007912F0">
        <w:rPr>
          <w:b/>
        </w:rPr>
        <w:t xml:space="preserve">Сведения о направлении </w:t>
      </w:r>
      <w:r w:rsidR="00495DFD">
        <w:rPr>
          <w:b/>
        </w:rPr>
        <w:t>органами местного самоуправления</w:t>
      </w:r>
      <w:r w:rsidRPr="007912F0">
        <w:rPr>
          <w:b/>
        </w:rPr>
        <w:t xml:space="preserve"> средств местного бюджета</w:t>
      </w:r>
      <w:r w:rsidR="00770736">
        <w:rPr>
          <w:b/>
        </w:rPr>
        <w:t xml:space="preserve"> на содержание ВУР</w:t>
      </w:r>
    </w:p>
    <w:p w:rsidR="009C3D1D" w:rsidRDefault="009C3D1D" w:rsidP="009C3D1D">
      <w:pPr>
        <w:ind w:firstLine="680"/>
        <w:jc w:val="both"/>
        <w:rPr>
          <w:rFonts w:eastAsiaTheme="minorHAnsi"/>
          <w:lang w:eastAsia="en-US"/>
        </w:rPr>
      </w:pPr>
      <w:r w:rsidRPr="009C3D1D">
        <w:t>Пунктом 5 ст. 19 Федерального закона от 06.10.2003 № 131-ФЗ «Об общих принципах организации местного самоуправления в Российской Федерации» определено, что ОМСУ</w:t>
      </w:r>
      <w:r w:rsidRPr="009C3D1D">
        <w:rPr>
          <w:rFonts w:eastAsiaTheme="minorHAnsi"/>
          <w:lang w:eastAsia="en-US"/>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rPr>
          <w:rFonts w:eastAsiaTheme="minorHAnsi"/>
          <w:lang w:eastAsia="en-US"/>
        </w:rPr>
        <w:t xml:space="preserve"> в случаях и порядке, предусмотренных уставом муниципального образования.</w:t>
      </w:r>
    </w:p>
    <w:p w:rsidR="001E081C" w:rsidRDefault="0037158D" w:rsidP="0037158D">
      <w:pPr>
        <w:shd w:val="clear" w:color="auto" w:fill="FFFFFF"/>
        <w:ind w:firstLine="680"/>
        <w:jc w:val="both"/>
      </w:pPr>
      <w:r>
        <w:t>Анализ показал, что практически во всех поселения</w:t>
      </w:r>
      <w:r w:rsidR="00F51E50">
        <w:t>х</w:t>
      </w:r>
      <w:r>
        <w:t xml:space="preserve"> Волгоградской области решения об использовании средств местного бюджета в 2016-2017 годах не принимались. Только в одном поселении (</w:t>
      </w:r>
      <w:r w:rsidRPr="00D21A0C">
        <w:t>Политотдельско</w:t>
      </w:r>
      <w:r>
        <w:t>е</w:t>
      </w:r>
      <w:r w:rsidRPr="00D21A0C">
        <w:t xml:space="preserve"> с</w:t>
      </w:r>
      <w:r w:rsidR="006F6F5C">
        <w:t>/</w:t>
      </w:r>
      <w:proofErr w:type="spellStart"/>
      <w:proofErr w:type="gramStart"/>
      <w:r w:rsidR="006F6F5C">
        <w:t>п</w:t>
      </w:r>
      <w:proofErr w:type="spellEnd"/>
      <w:proofErr w:type="gramEnd"/>
      <w:r w:rsidRPr="00D21A0C">
        <w:t xml:space="preserve"> Николаевского </w:t>
      </w:r>
      <w:r w:rsidR="006F6F5C">
        <w:t>МР</w:t>
      </w:r>
      <w:r>
        <w:t>)</w:t>
      </w:r>
      <w:r w:rsidRPr="00D21A0C">
        <w:t xml:space="preserve"> </w:t>
      </w:r>
      <w:r>
        <w:t>в 2016-2017 годах выделение средств местного бюджета для осуществления государственных полномочий  на общую сумму 13,6 тыс. руб.</w:t>
      </w:r>
      <w:r w:rsidR="001E081C">
        <w:t xml:space="preserve"> (2016 г. – 6,3 тыс. руб., 2017 г. – 7,3 тыс. руб.)</w:t>
      </w:r>
      <w:r>
        <w:t xml:space="preserve"> было определено решением Совета депутатов</w:t>
      </w:r>
      <w:r w:rsidRPr="00334402">
        <w:t xml:space="preserve"> </w:t>
      </w:r>
      <w:r w:rsidRPr="00D21A0C">
        <w:t>в связи с недостаточностью средств федерального бюджета на выплату заработной платы.</w:t>
      </w:r>
      <w:r>
        <w:t xml:space="preserve"> </w:t>
      </w:r>
    </w:p>
    <w:p w:rsidR="00466299" w:rsidRDefault="001E081C" w:rsidP="00466299">
      <w:pPr>
        <w:shd w:val="clear" w:color="auto" w:fill="FFFFFF"/>
        <w:ind w:firstLine="680"/>
        <w:jc w:val="both"/>
      </w:pPr>
      <w:r>
        <w:t>Вместе</w:t>
      </w:r>
      <w:r w:rsidR="004372C3">
        <w:t xml:space="preserve"> с тем</w:t>
      </w:r>
      <w:r>
        <w:t xml:space="preserve"> проверками установлено, что </w:t>
      </w:r>
      <w:r w:rsidR="007502A6">
        <w:t xml:space="preserve">средства местного бюджета на исполнение </w:t>
      </w:r>
      <w:proofErr w:type="spellStart"/>
      <w:r w:rsidR="007502A6">
        <w:t>госполномочия</w:t>
      </w:r>
      <w:proofErr w:type="spellEnd"/>
      <w:r w:rsidR="007502A6">
        <w:t xml:space="preserve">  </w:t>
      </w:r>
      <w:r>
        <w:t xml:space="preserve">фактически </w:t>
      </w:r>
      <w:r w:rsidR="007502A6">
        <w:t>направлялись.</w:t>
      </w:r>
      <w:r w:rsidR="00466299">
        <w:t xml:space="preserve"> </w:t>
      </w:r>
      <w:r>
        <w:t xml:space="preserve">Так, </w:t>
      </w:r>
      <w:r w:rsidR="00466299">
        <w:t xml:space="preserve">в </w:t>
      </w:r>
      <w:proofErr w:type="spellStart"/>
      <w:r w:rsidR="00466299">
        <w:t>Новомаксимовском</w:t>
      </w:r>
      <w:proofErr w:type="spellEnd"/>
      <w:r w:rsidR="00466299">
        <w:t xml:space="preserve"> с/</w:t>
      </w:r>
      <w:proofErr w:type="spellStart"/>
      <w:proofErr w:type="gramStart"/>
      <w:r w:rsidR="00466299">
        <w:t>п</w:t>
      </w:r>
      <w:proofErr w:type="spellEnd"/>
      <w:proofErr w:type="gramEnd"/>
      <w:r w:rsidR="00466299">
        <w:t xml:space="preserve"> </w:t>
      </w:r>
      <w:proofErr w:type="spellStart"/>
      <w:r w:rsidR="00466299">
        <w:t>Суровикинского</w:t>
      </w:r>
      <w:proofErr w:type="spellEnd"/>
      <w:r w:rsidR="00466299">
        <w:t xml:space="preserve"> МР перечисление </w:t>
      </w:r>
      <w:r w:rsidR="00466299" w:rsidRPr="0057775D">
        <w:t xml:space="preserve"> налога на доходы физических лиц </w:t>
      </w:r>
      <w:r w:rsidR="00466299">
        <w:t xml:space="preserve">(далее – НДФЛ) с заработной платы ВУР, работающего по совместительству, </w:t>
      </w:r>
      <w:r w:rsidR="00466299" w:rsidRPr="0057775D">
        <w:t xml:space="preserve">производилось из средств местного бюджета </w:t>
      </w:r>
      <w:r w:rsidR="00466299">
        <w:t>в 2016-2017 годах на общую сумму 13,2 тыс. руб. (</w:t>
      </w:r>
      <w:r w:rsidR="00466299" w:rsidRPr="0057775D">
        <w:t>2016 г</w:t>
      </w:r>
      <w:r w:rsidR="00466299">
        <w:t>. -</w:t>
      </w:r>
      <w:r w:rsidR="00466299" w:rsidRPr="0057775D">
        <w:t xml:space="preserve">  6,2  тыс. руб</w:t>
      </w:r>
      <w:r w:rsidR="00880B14">
        <w:t>.</w:t>
      </w:r>
      <w:r w:rsidR="00466299" w:rsidRPr="0057775D">
        <w:t>, 2017</w:t>
      </w:r>
      <w:r w:rsidR="00466299">
        <w:t xml:space="preserve"> г. </w:t>
      </w:r>
      <w:r w:rsidR="00466299" w:rsidRPr="0057775D">
        <w:t xml:space="preserve">-  </w:t>
      </w:r>
      <w:r w:rsidR="00466299">
        <w:t xml:space="preserve">7,0 тыс. </w:t>
      </w:r>
      <w:r w:rsidR="00466299" w:rsidRPr="00652D49">
        <w:t>руб</w:t>
      </w:r>
      <w:r w:rsidR="00466299">
        <w:t>.).</w:t>
      </w:r>
    </w:p>
    <w:p w:rsidR="00AF1D5F" w:rsidRPr="00AF1D5F" w:rsidRDefault="00CA535A" w:rsidP="0037158D">
      <w:pPr>
        <w:shd w:val="clear" w:color="auto" w:fill="FFFFFF"/>
        <w:ind w:firstLine="680"/>
        <w:jc w:val="both"/>
      </w:pPr>
      <w:proofErr w:type="gramStart"/>
      <w:r>
        <w:t>В</w:t>
      </w:r>
      <w:r w:rsidR="0037158D" w:rsidRPr="00B00896">
        <w:rPr>
          <w:color w:val="000000"/>
        </w:rPr>
        <w:t xml:space="preserve"> 75 поселениях из 102 проверенных (73,5%)  в 2016 году и 77 поселениях из 102 проверенных (75,5%) в 2017 году расходы на содержание ВУР в части услуг связи, коммунальных услуг, обслуживания офисной техники осуществлялись за счет средств местного бюджета в связи с тем, что рабочее место ВУР располагается в здании администрации</w:t>
      </w:r>
      <w:r w:rsidR="0037158D">
        <w:rPr>
          <w:color w:val="000000"/>
        </w:rPr>
        <w:t>, а</w:t>
      </w:r>
      <w:r w:rsidR="0037158D" w:rsidRPr="00B00896">
        <w:rPr>
          <w:color w:val="000000"/>
        </w:rPr>
        <w:t xml:space="preserve"> раздельный учет указанных расходов администрациями </w:t>
      </w:r>
      <w:r w:rsidR="0037158D" w:rsidRPr="00AF1D5F">
        <w:t>не ведется.</w:t>
      </w:r>
      <w:proofErr w:type="gramEnd"/>
      <w:r w:rsidR="0037158D" w:rsidRPr="00AF1D5F">
        <w:t xml:space="preserve"> </w:t>
      </w:r>
      <w:r w:rsidR="00B90FCD">
        <w:t>По оплате транспортных услуг расходы</w:t>
      </w:r>
      <w:r w:rsidR="0037158D" w:rsidRPr="00AF1D5F">
        <w:t xml:space="preserve"> </w:t>
      </w:r>
      <w:r w:rsidR="00AF1D5F" w:rsidRPr="00AF1D5F">
        <w:t>за счет средств субвенции не выделялись, так как осуществлялась доставка ВУР совместно с другими работниками администрации или работник, осуществляющи</w:t>
      </w:r>
      <w:r w:rsidR="00495DFD">
        <w:t>й</w:t>
      </w:r>
      <w:r w:rsidR="00AF1D5F" w:rsidRPr="00AF1D5F">
        <w:t xml:space="preserve"> обязанности ВУР по совместительству, при поездках </w:t>
      </w:r>
      <w:r w:rsidR="00495DFD">
        <w:t>выполнял,</w:t>
      </w:r>
      <w:r w:rsidR="00AF1D5F" w:rsidRPr="00AF1D5F">
        <w:t xml:space="preserve"> </w:t>
      </w:r>
      <w:r w:rsidR="00495DFD">
        <w:t xml:space="preserve">в том числе </w:t>
      </w:r>
      <w:r w:rsidR="00AF1D5F" w:rsidRPr="00AF1D5F">
        <w:t>иные функции, не связанные с воинским учетом.</w:t>
      </w:r>
    </w:p>
    <w:p w:rsidR="00296B27" w:rsidRPr="00A60640" w:rsidRDefault="003E2F03" w:rsidP="0037158D">
      <w:pPr>
        <w:shd w:val="clear" w:color="auto" w:fill="FFFFFF"/>
        <w:ind w:firstLine="680"/>
        <w:jc w:val="both"/>
      </w:pPr>
      <w:r w:rsidRPr="00A60640">
        <w:t>Отдельными КСО муниципальных образований были выделены расчетным путем средства местного бюджета, направляемые на содержание ВУР в части оплаты услуг связи, транспортных, коммунальных услуг</w:t>
      </w:r>
      <w:r w:rsidR="009C1D7F" w:rsidRPr="00A60640">
        <w:t xml:space="preserve"> и содержания оргтехники</w:t>
      </w:r>
      <w:r w:rsidR="000D6EE0">
        <w:t xml:space="preserve">, которые составили </w:t>
      </w:r>
      <w:r w:rsidR="000D6EE0" w:rsidRPr="00A60640">
        <w:t xml:space="preserve">в 17 поселениях </w:t>
      </w:r>
      <w:r w:rsidR="009C1D7F" w:rsidRPr="00A60640">
        <w:t xml:space="preserve">в 2016 </w:t>
      </w:r>
      <w:r w:rsidR="00A60640" w:rsidRPr="00A60640">
        <w:t xml:space="preserve">и 2017 годах </w:t>
      </w:r>
      <w:r w:rsidR="000D6EE0">
        <w:t xml:space="preserve">соответственно </w:t>
      </w:r>
      <w:r w:rsidR="009C1D7F" w:rsidRPr="00A60640">
        <w:t>194,0 тыс.</w:t>
      </w:r>
      <w:r w:rsidR="00AC5E70">
        <w:t xml:space="preserve"> </w:t>
      </w:r>
      <w:r w:rsidR="009C1D7F" w:rsidRPr="00A60640">
        <w:t xml:space="preserve">руб. и </w:t>
      </w:r>
      <w:r w:rsidR="00A60640" w:rsidRPr="00A60640">
        <w:t>198,9 тыс.</w:t>
      </w:r>
      <w:r w:rsidR="00AC5E70">
        <w:t xml:space="preserve"> </w:t>
      </w:r>
      <w:r w:rsidR="00A60640" w:rsidRPr="00A60640">
        <w:t>руб</w:t>
      </w:r>
      <w:r w:rsidR="000D6EE0">
        <w:t>лей.</w:t>
      </w:r>
    </w:p>
    <w:p w:rsidR="00D91C5C" w:rsidRDefault="00D91C5C" w:rsidP="00CA535A">
      <w:pPr>
        <w:shd w:val="clear" w:color="auto" w:fill="FFFFFF"/>
        <w:ind w:firstLine="680"/>
        <w:jc w:val="both"/>
      </w:pPr>
    </w:p>
    <w:p w:rsidR="00D91C5C" w:rsidRPr="00D91C5C" w:rsidRDefault="000D09D2" w:rsidP="00D91C5C">
      <w:pPr>
        <w:shd w:val="clear" w:color="auto" w:fill="FFFFFF"/>
        <w:ind w:firstLine="680"/>
        <w:jc w:val="both"/>
      </w:pPr>
      <w:r w:rsidRPr="003C22DF">
        <w:t xml:space="preserve">С учетом того, что по большинству проверенных поселений наблюдается </w:t>
      </w:r>
      <w:r w:rsidR="00B054D5" w:rsidRPr="003C22DF">
        <w:t>использование средств местного бюджета</w:t>
      </w:r>
      <w:r w:rsidR="004F5651">
        <w:t xml:space="preserve"> на содержание ВУР</w:t>
      </w:r>
      <w:r w:rsidR="007F04AB">
        <w:t>,</w:t>
      </w:r>
      <w:r w:rsidR="003C22DF" w:rsidRPr="003C22DF">
        <w:t xml:space="preserve"> </w:t>
      </w:r>
      <w:r w:rsidR="003648FA">
        <w:t xml:space="preserve">то </w:t>
      </w:r>
      <w:r w:rsidR="003C22DF" w:rsidRPr="003C22DF">
        <w:t>можно сделать вывод</w:t>
      </w:r>
      <w:r w:rsidR="003648FA">
        <w:t xml:space="preserve"> о недостаточности</w:t>
      </w:r>
      <w:r w:rsidR="003C22DF" w:rsidRPr="003C22DF">
        <w:t xml:space="preserve"> объема субвенции для финансового обеспечения расходных обязательств муниципальных образований, возникших при выполнении государственных полномочий.</w:t>
      </w:r>
      <w:r w:rsidR="005D72DE">
        <w:t xml:space="preserve"> </w:t>
      </w:r>
      <w:r w:rsidR="00D91C5C" w:rsidRPr="00D91C5C">
        <w:t>Например, при проверке а</w:t>
      </w:r>
      <w:r w:rsidR="00D91C5C" w:rsidRPr="00B054D5">
        <w:t>дминистраци</w:t>
      </w:r>
      <w:r w:rsidR="00D91C5C" w:rsidRPr="00D91C5C">
        <w:t>и</w:t>
      </w:r>
      <w:r w:rsidR="00D91C5C" w:rsidRPr="00B054D5">
        <w:t xml:space="preserve"> г</w:t>
      </w:r>
      <w:r w:rsidR="00D91C5C" w:rsidRPr="00D91C5C">
        <w:t>/</w:t>
      </w:r>
      <w:proofErr w:type="spellStart"/>
      <w:proofErr w:type="gramStart"/>
      <w:r w:rsidR="00D91C5C" w:rsidRPr="00D91C5C">
        <w:t>п</w:t>
      </w:r>
      <w:proofErr w:type="spellEnd"/>
      <w:proofErr w:type="gramEnd"/>
      <w:r w:rsidR="00D91C5C" w:rsidRPr="00B054D5">
        <w:t xml:space="preserve"> г. Краснослободск</w:t>
      </w:r>
      <w:r w:rsidR="00D91C5C" w:rsidRPr="00D91C5C">
        <w:t xml:space="preserve"> </w:t>
      </w:r>
      <w:proofErr w:type="spellStart"/>
      <w:r w:rsidR="00D91C5C" w:rsidRPr="00D91C5C">
        <w:t>Среднеахтубинского</w:t>
      </w:r>
      <w:proofErr w:type="spellEnd"/>
      <w:r w:rsidR="00D91C5C" w:rsidRPr="00D91C5C">
        <w:t xml:space="preserve"> МР </w:t>
      </w:r>
      <w:r w:rsidR="00B5383E">
        <w:t xml:space="preserve">была рассчитана </w:t>
      </w:r>
      <w:r w:rsidR="00D91C5C" w:rsidRPr="00D91C5C">
        <w:t>минимальная потребность в субвенции в 2017 году</w:t>
      </w:r>
      <w:r w:rsidR="00B5383E">
        <w:t xml:space="preserve">, которая </w:t>
      </w:r>
      <w:r w:rsidR="00D91C5C" w:rsidRPr="00D91C5C">
        <w:t>состав</w:t>
      </w:r>
      <w:r w:rsidR="00B5383E">
        <w:t>ила</w:t>
      </w:r>
      <w:r w:rsidR="00D91C5C" w:rsidRPr="00D91C5C">
        <w:t xml:space="preserve"> 753,7 тыс. руб., что выше на 147,2 тыс. руб. (+24,3%) объема полученной субвенции в размере 606,5 тыс. рублей.</w:t>
      </w:r>
    </w:p>
    <w:p w:rsidR="00D91C5C" w:rsidRPr="00EC788D" w:rsidRDefault="009A1B1D" w:rsidP="00D91C5C">
      <w:pPr>
        <w:shd w:val="clear" w:color="auto" w:fill="FFFFFF"/>
        <w:ind w:firstLine="680"/>
        <w:jc w:val="both"/>
      </w:pPr>
      <w:r>
        <w:t xml:space="preserve">Также следует отметить, что </w:t>
      </w:r>
      <w:r w:rsidR="00F95B1F" w:rsidRPr="00EC788D">
        <w:t>даже в тех поселениях, где весь объем субвенции направлен на оплату труда ВУР</w:t>
      </w:r>
      <w:r w:rsidR="00EC788D" w:rsidRPr="00EC788D">
        <w:t>, работающего на полную ставку,</w:t>
      </w:r>
      <w:r w:rsidR="00F95B1F" w:rsidRPr="00EC788D">
        <w:t xml:space="preserve"> размер </w:t>
      </w:r>
      <w:r>
        <w:t xml:space="preserve">его </w:t>
      </w:r>
      <w:r w:rsidR="00F95B1F" w:rsidRPr="00EC788D">
        <w:t xml:space="preserve">среднемесячной </w:t>
      </w:r>
      <w:r w:rsidR="00F95B1F" w:rsidRPr="00EC788D">
        <w:lastRenderedPageBreak/>
        <w:t xml:space="preserve">заработной платы </w:t>
      </w:r>
      <w:r w:rsidR="00EC788D" w:rsidRPr="00EC788D">
        <w:t>невысок и в 2 раза ниже средней заработной платы по региону</w:t>
      </w:r>
      <w:r w:rsidR="00EC788D">
        <w:t xml:space="preserve">, что видно из </w:t>
      </w:r>
      <w:r w:rsidR="0012659B">
        <w:t xml:space="preserve">нижеприведенной </w:t>
      </w:r>
      <w:r w:rsidR="00EC788D">
        <w:t>таблицы</w:t>
      </w:r>
      <w:r w:rsidR="00EC788D" w:rsidRPr="00EC788D">
        <w:t>.</w:t>
      </w:r>
    </w:p>
    <w:tbl>
      <w:tblPr>
        <w:tblW w:w="9804" w:type="dxa"/>
        <w:tblInd w:w="85" w:type="dxa"/>
        <w:tblLook w:val="04A0"/>
      </w:tblPr>
      <w:tblGrid>
        <w:gridCol w:w="460"/>
        <w:gridCol w:w="4140"/>
        <w:gridCol w:w="1000"/>
        <w:gridCol w:w="1794"/>
        <w:gridCol w:w="1134"/>
        <w:gridCol w:w="1276"/>
      </w:tblGrid>
      <w:tr w:rsidR="00214D87" w:rsidRPr="009C0B56" w:rsidTr="00214D87">
        <w:trPr>
          <w:trHeight w:val="886"/>
        </w:trPr>
        <w:tc>
          <w:tcPr>
            <w:tcW w:w="460" w:type="dxa"/>
            <w:tcBorders>
              <w:top w:val="double" w:sz="6" w:space="0" w:color="auto"/>
              <w:left w:val="double" w:sz="6" w:space="0" w:color="auto"/>
              <w:bottom w:val="single" w:sz="4" w:space="0" w:color="auto"/>
              <w:right w:val="single" w:sz="4" w:space="0" w:color="auto"/>
            </w:tcBorders>
            <w:shd w:val="clear" w:color="000000" w:fill="EAF1DD"/>
            <w:vAlign w:val="center"/>
            <w:hideMark/>
          </w:tcPr>
          <w:p w:rsidR="00214D87" w:rsidRPr="009C0B56" w:rsidRDefault="00214D87" w:rsidP="009C0B56">
            <w:pPr>
              <w:jc w:val="center"/>
              <w:rPr>
                <w:b/>
                <w:bCs/>
                <w:color w:val="000000"/>
                <w:sz w:val="16"/>
                <w:szCs w:val="16"/>
              </w:rPr>
            </w:pPr>
            <w:r w:rsidRPr="009C0B56">
              <w:rPr>
                <w:b/>
                <w:bCs/>
                <w:color w:val="000000"/>
                <w:sz w:val="16"/>
                <w:szCs w:val="16"/>
              </w:rPr>
              <w:t xml:space="preserve">№ </w:t>
            </w:r>
            <w:proofErr w:type="spellStart"/>
            <w:proofErr w:type="gramStart"/>
            <w:r w:rsidRPr="009C0B56">
              <w:rPr>
                <w:b/>
                <w:bCs/>
                <w:color w:val="000000"/>
                <w:sz w:val="16"/>
                <w:szCs w:val="16"/>
              </w:rPr>
              <w:t>п</w:t>
            </w:r>
            <w:proofErr w:type="spellEnd"/>
            <w:proofErr w:type="gramEnd"/>
            <w:r w:rsidRPr="009C0B56">
              <w:rPr>
                <w:b/>
                <w:bCs/>
                <w:color w:val="000000"/>
                <w:sz w:val="16"/>
                <w:szCs w:val="16"/>
              </w:rPr>
              <w:t>/</w:t>
            </w:r>
            <w:proofErr w:type="spellStart"/>
            <w:r w:rsidRPr="009C0B56">
              <w:rPr>
                <w:b/>
                <w:bCs/>
                <w:color w:val="000000"/>
                <w:sz w:val="16"/>
                <w:szCs w:val="16"/>
              </w:rPr>
              <w:t>п</w:t>
            </w:r>
            <w:proofErr w:type="spellEnd"/>
          </w:p>
        </w:tc>
        <w:tc>
          <w:tcPr>
            <w:tcW w:w="4140" w:type="dxa"/>
            <w:tcBorders>
              <w:top w:val="double" w:sz="6" w:space="0" w:color="auto"/>
              <w:left w:val="nil"/>
              <w:bottom w:val="single" w:sz="4" w:space="0" w:color="auto"/>
              <w:right w:val="single" w:sz="4" w:space="0" w:color="auto"/>
            </w:tcBorders>
            <w:shd w:val="clear" w:color="000000" w:fill="EAF1DD"/>
            <w:vAlign w:val="center"/>
            <w:hideMark/>
          </w:tcPr>
          <w:p w:rsidR="00214D87" w:rsidRPr="009C0B56" w:rsidRDefault="00214D87" w:rsidP="009C0B56">
            <w:pPr>
              <w:jc w:val="center"/>
              <w:rPr>
                <w:b/>
                <w:bCs/>
                <w:color w:val="000000"/>
                <w:sz w:val="16"/>
                <w:szCs w:val="16"/>
              </w:rPr>
            </w:pPr>
            <w:r w:rsidRPr="009C0B56">
              <w:rPr>
                <w:b/>
                <w:bCs/>
                <w:color w:val="000000"/>
                <w:sz w:val="16"/>
                <w:szCs w:val="16"/>
              </w:rPr>
              <w:t>Наименование органа местного самоуправления</w:t>
            </w:r>
          </w:p>
        </w:tc>
        <w:tc>
          <w:tcPr>
            <w:tcW w:w="1000" w:type="dxa"/>
            <w:tcBorders>
              <w:top w:val="double" w:sz="6" w:space="0" w:color="auto"/>
              <w:left w:val="nil"/>
              <w:bottom w:val="single" w:sz="4" w:space="0" w:color="auto"/>
              <w:right w:val="single" w:sz="4" w:space="0" w:color="auto"/>
            </w:tcBorders>
            <w:shd w:val="clear" w:color="000000" w:fill="EAF1DD"/>
            <w:vAlign w:val="center"/>
            <w:hideMark/>
          </w:tcPr>
          <w:p w:rsidR="00214D87" w:rsidRPr="009C0B56" w:rsidRDefault="00214D87" w:rsidP="009C0B56">
            <w:pPr>
              <w:jc w:val="center"/>
              <w:rPr>
                <w:b/>
                <w:bCs/>
                <w:color w:val="000000"/>
                <w:sz w:val="16"/>
                <w:szCs w:val="16"/>
              </w:rPr>
            </w:pPr>
            <w:r w:rsidRPr="009C0B56">
              <w:rPr>
                <w:b/>
                <w:bCs/>
                <w:color w:val="000000"/>
                <w:sz w:val="16"/>
                <w:szCs w:val="16"/>
              </w:rPr>
              <w:t>Объем субвенции</w:t>
            </w:r>
          </w:p>
        </w:tc>
        <w:tc>
          <w:tcPr>
            <w:tcW w:w="1794" w:type="dxa"/>
            <w:tcBorders>
              <w:top w:val="double" w:sz="6" w:space="0" w:color="auto"/>
              <w:left w:val="nil"/>
              <w:bottom w:val="single" w:sz="4" w:space="0" w:color="auto"/>
              <w:right w:val="single" w:sz="4" w:space="0" w:color="auto"/>
            </w:tcBorders>
            <w:shd w:val="clear" w:color="000000" w:fill="EAF1DD"/>
            <w:vAlign w:val="center"/>
            <w:hideMark/>
          </w:tcPr>
          <w:p w:rsidR="00214D87" w:rsidRDefault="00214D87" w:rsidP="009C0B56">
            <w:pPr>
              <w:jc w:val="center"/>
              <w:rPr>
                <w:b/>
                <w:bCs/>
                <w:color w:val="000000"/>
                <w:sz w:val="16"/>
                <w:szCs w:val="16"/>
              </w:rPr>
            </w:pPr>
            <w:r w:rsidRPr="009C0B56">
              <w:rPr>
                <w:b/>
                <w:bCs/>
                <w:color w:val="000000"/>
                <w:sz w:val="16"/>
                <w:szCs w:val="16"/>
              </w:rPr>
              <w:t xml:space="preserve">Расходы на оплату труда с учетом страховых взносов </w:t>
            </w:r>
            <w:r>
              <w:rPr>
                <w:b/>
                <w:bCs/>
                <w:color w:val="000000"/>
                <w:sz w:val="16"/>
                <w:szCs w:val="16"/>
              </w:rPr>
              <w:t>на полные ставки</w:t>
            </w:r>
          </w:p>
          <w:p w:rsidR="00214D87" w:rsidRPr="009C0B56" w:rsidRDefault="00214D87" w:rsidP="009C0B56">
            <w:pPr>
              <w:jc w:val="center"/>
              <w:rPr>
                <w:b/>
                <w:bCs/>
                <w:color w:val="000000"/>
                <w:sz w:val="16"/>
                <w:szCs w:val="16"/>
              </w:rPr>
            </w:pPr>
          </w:p>
        </w:tc>
        <w:tc>
          <w:tcPr>
            <w:tcW w:w="1134" w:type="dxa"/>
            <w:tcBorders>
              <w:top w:val="double" w:sz="6" w:space="0" w:color="auto"/>
              <w:left w:val="nil"/>
              <w:bottom w:val="single" w:sz="4" w:space="0" w:color="auto"/>
              <w:right w:val="single" w:sz="4" w:space="0" w:color="auto"/>
            </w:tcBorders>
            <w:shd w:val="clear" w:color="000000" w:fill="EAF1DD"/>
            <w:vAlign w:val="center"/>
            <w:hideMark/>
          </w:tcPr>
          <w:p w:rsidR="00214D87" w:rsidRPr="009C0B56" w:rsidRDefault="00214D87" w:rsidP="009C0B56">
            <w:pPr>
              <w:jc w:val="center"/>
              <w:rPr>
                <w:b/>
                <w:bCs/>
                <w:color w:val="000000"/>
                <w:sz w:val="16"/>
                <w:szCs w:val="16"/>
              </w:rPr>
            </w:pPr>
            <w:r w:rsidRPr="009C0B56">
              <w:rPr>
                <w:b/>
                <w:bCs/>
                <w:color w:val="000000"/>
                <w:sz w:val="16"/>
                <w:szCs w:val="16"/>
              </w:rPr>
              <w:t>Средняя заработная плата ВУР</w:t>
            </w:r>
          </w:p>
        </w:tc>
        <w:tc>
          <w:tcPr>
            <w:tcW w:w="1276" w:type="dxa"/>
            <w:tcBorders>
              <w:top w:val="double" w:sz="6" w:space="0" w:color="auto"/>
              <w:left w:val="nil"/>
              <w:bottom w:val="single" w:sz="4" w:space="0" w:color="auto"/>
              <w:right w:val="double" w:sz="6" w:space="0" w:color="auto"/>
            </w:tcBorders>
            <w:shd w:val="clear" w:color="000000" w:fill="EAF1DD"/>
            <w:vAlign w:val="center"/>
            <w:hideMark/>
          </w:tcPr>
          <w:p w:rsidR="00214D87" w:rsidRPr="009C0B56" w:rsidRDefault="00214D87" w:rsidP="009C0B56">
            <w:pPr>
              <w:jc w:val="center"/>
              <w:rPr>
                <w:b/>
                <w:bCs/>
                <w:color w:val="000000"/>
                <w:sz w:val="16"/>
                <w:szCs w:val="16"/>
              </w:rPr>
            </w:pPr>
            <w:r w:rsidRPr="009C0B56">
              <w:rPr>
                <w:b/>
                <w:bCs/>
                <w:color w:val="000000"/>
                <w:sz w:val="16"/>
                <w:szCs w:val="16"/>
              </w:rPr>
              <w:t>Сравнение со средней заработной платой по региону</w:t>
            </w:r>
          </w:p>
        </w:tc>
      </w:tr>
      <w:tr w:rsidR="00214D87" w:rsidRPr="009C0B56" w:rsidTr="00214D87">
        <w:trPr>
          <w:trHeight w:val="105"/>
        </w:trPr>
        <w:tc>
          <w:tcPr>
            <w:tcW w:w="460" w:type="dxa"/>
            <w:tcBorders>
              <w:top w:val="nil"/>
              <w:left w:val="double" w:sz="6" w:space="0" w:color="auto"/>
              <w:bottom w:val="double" w:sz="6" w:space="0" w:color="auto"/>
              <w:right w:val="single" w:sz="4" w:space="0" w:color="auto"/>
            </w:tcBorders>
            <w:shd w:val="clear" w:color="000000" w:fill="EAF1DD"/>
            <w:noWrap/>
            <w:vAlign w:val="bottom"/>
            <w:hideMark/>
          </w:tcPr>
          <w:p w:rsidR="00214D87" w:rsidRPr="009C0B56" w:rsidRDefault="00214D87" w:rsidP="009C0B56">
            <w:pPr>
              <w:jc w:val="right"/>
              <w:rPr>
                <w:color w:val="000000"/>
                <w:sz w:val="16"/>
                <w:szCs w:val="16"/>
              </w:rPr>
            </w:pPr>
            <w:r w:rsidRPr="009C0B56">
              <w:rPr>
                <w:color w:val="000000"/>
                <w:sz w:val="16"/>
                <w:szCs w:val="16"/>
              </w:rPr>
              <w:t>1</w:t>
            </w:r>
          </w:p>
        </w:tc>
        <w:tc>
          <w:tcPr>
            <w:tcW w:w="4140" w:type="dxa"/>
            <w:tcBorders>
              <w:top w:val="nil"/>
              <w:left w:val="nil"/>
              <w:bottom w:val="double" w:sz="6" w:space="0" w:color="auto"/>
              <w:right w:val="single" w:sz="4" w:space="0" w:color="auto"/>
            </w:tcBorders>
            <w:shd w:val="clear" w:color="000000" w:fill="EAF1DD"/>
            <w:noWrap/>
            <w:vAlign w:val="bottom"/>
            <w:hideMark/>
          </w:tcPr>
          <w:p w:rsidR="00214D87" w:rsidRPr="009C0B56" w:rsidRDefault="00214D87" w:rsidP="009C0B56">
            <w:pPr>
              <w:jc w:val="right"/>
              <w:rPr>
                <w:color w:val="000000"/>
                <w:sz w:val="16"/>
                <w:szCs w:val="16"/>
              </w:rPr>
            </w:pPr>
            <w:r w:rsidRPr="009C0B56">
              <w:rPr>
                <w:color w:val="000000"/>
                <w:sz w:val="16"/>
                <w:szCs w:val="16"/>
              </w:rPr>
              <w:t>2</w:t>
            </w:r>
          </w:p>
        </w:tc>
        <w:tc>
          <w:tcPr>
            <w:tcW w:w="1000" w:type="dxa"/>
            <w:tcBorders>
              <w:top w:val="nil"/>
              <w:left w:val="nil"/>
              <w:bottom w:val="double" w:sz="6" w:space="0" w:color="auto"/>
              <w:right w:val="single" w:sz="4" w:space="0" w:color="auto"/>
            </w:tcBorders>
            <w:shd w:val="clear" w:color="000000" w:fill="EAF1DD"/>
            <w:noWrap/>
            <w:vAlign w:val="bottom"/>
            <w:hideMark/>
          </w:tcPr>
          <w:p w:rsidR="00214D87" w:rsidRPr="009C0B56" w:rsidRDefault="00214D87" w:rsidP="009C0B56">
            <w:pPr>
              <w:jc w:val="right"/>
              <w:rPr>
                <w:color w:val="000000"/>
                <w:sz w:val="16"/>
                <w:szCs w:val="16"/>
              </w:rPr>
            </w:pPr>
            <w:r w:rsidRPr="009C0B56">
              <w:rPr>
                <w:color w:val="000000"/>
                <w:sz w:val="16"/>
                <w:szCs w:val="16"/>
              </w:rPr>
              <w:t>3</w:t>
            </w:r>
          </w:p>
        </w:tc>
        <w:tc>
          <w:tcPr>
            <w:tcW w:w="1794" w:type="dxa"/>
            <w:tcBorders>
              <w:top w:val="nil"/>
              <w:left w:val="nil"/>
              <w:bottom w:val="double" w:sz="6" w:space="0" w:color="auto"/>
              <w:right w:val="single" w:sz="4" w:space="0" w:color="auto"/>
            </w:tcBorders>
            <w:shd w:val="clear" w:color="000000" w:fill="EAF1DD"/>
            <w:noWrap/>
            <w:vAlign w:val="bottom"/>
            <w:hideMark/>
          </w:tcPr>
          <w:p w:rsidR="00214D87" w:rsidRPr="009C0B56" w:rsidRDefault="00214D87" w:rsidP="009C0B56">
            <w:pPr>
              <w:jc w:val="right"/>
              <w:rPr>
                <w:color w:val="000000"/>
                <w:sz w:val="16"/>
                <w:szCs w:val="16"/>
              </w:rPr>
            </w:pPr>
            <w:r w:rsidRPr="009C0B56">
              <w:rPr>
                <w:color w:val="000000"/>
                <w:sz w:val="16"/>
                <w:szCs w:val="16"/>
              </w:rPr>
              <w:t>4</w:t>
            </w:r>
          </w:p>
        </w:tc>
        <w:tc>
          <w:tcPr>
            <w:tcW w:w="1134" w:type="dxa"/>
            <w:tcBorders>
              <w:top w:val="nil"/>
              <w:left w:val="nil"/>
              <w:bottom w:val="double" w:sz="6" w:space="0" w:color="auto"/>
              <w:right w:val="single" w:sz="4" w:space="0" w:color="auto"/>
            </w:tcBorders>
            <w:shd w:val="clear" w:color="000000" w:fill="EAF1DD"/>
            <w:noWrap/>
            <w:vAlign w:val="bottom"/>
            <w:hideMark/>
          </w:tcPr>
          <w:p w:rsidR="00214D87" w:rsidRPr="009C0B56" w:rsidRDefault="00214D87" w:rsidP="00214D87">
            <w:pPr>
              <w:jc w:val="right"/>
              <w:rPr>
                <w:color w:val="000000"/>
                <w:sz w:val="16"/>
                <w:szCs w:val="16"/>
              </w:rPr>
            </w:pPr>
            <w:r>
              <w:rPr>
                <w:color w:val="000000"/>
                <w:sz w:val="16"/>
                <w:szCs w:val="16"/>
              </w:rPr>
              <w:t>5</w:t>
            </w:r>
          </w:p>
        </w:tc>
        <w:tc>
          <w:tcPr>
            <w:tcW w:w="1276" w:type="dxa"/>
            <w:tcBorders>
              <w:top w:val="nil"/>
              <w:left w:val="nil"/>
              <w:bottom w:val="double" w:sz="6" w:space="0" w:color="auto"/>
              <w:right w:val="double" w:sz="6" w:space="0" w:color="auto"/>
            </w:tcBorders>
            <w:shd w:val="clear" w:color="000000" w:fill="EAF1DD"/>
            <w:hideMark/>
          </w:tcPr>
          <w:p w:rsidR="00214D87" w:rsidRPr="009C0B56" w:rsidRDefault="00214D87" w:rsidP="00214D87">
            <w:pPr>
              <w:jc w:val="right"/>
              <w:rPr>
                <w:color w:val="000000"/>
                <w:sz w:val="16"/>
                <w:szCs w:val="16"/>
              </w:rPr>
            </w:pPr>
            <w:r>
              <w:rPr>
                <w:color w:val="000000"/>
                <w:sz w:val="16"/>
                <w:szCs w:val="16"/>
              </w:rPr>
              <w:t>6</w:t>
            </w:r>
          </w:p>
        </w:tc>
      </w:tr>
      <w:tr w:rsidR="00214D87" w:rsidRPr="009C0B56" w:rsidTr="00214D87">
        <w:trPr>
          <w:trHeight w:val="389"/>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sz w:val="16"/>
                <w:szCs w:val="16"/>
              </w:rPr>
            </w:pPr>
            <w:r w:rsidRPr="009C0B56">
              <w:rPr>
                <w:sz w:val="16"/>
                <w:szCs w:val="16"/>
              </w:rPr>
              <w:t>Администрация Быковского городского поселения Быковского муниципального района</w:t>
            </w:r>
            <w:r>
              <w:rPr>
                <w:sz w:val="16"/>
                <w:szCs w:val="16"/>
              </w:rPr>
              <w:t xml:space="preserve"> (2 ВУР)</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395,3</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395,3</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12,6</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-13,1</w:t>
            </w:r>
          </w:p>
        </w:tc>
      </w:tr>
      <w:tr w:rsidR="00214D87" w:rsidRPr="009C0B56" w:rsidTr="00214D87">
        <w:trPr>
          <w:trHeight w:val="428"/>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2</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sz w:val="16"/>
                <w:szCs w:val="16"/>
              </w:rPr>
            </w:pPr>
            <w:r w:rsidRPr="009C0B56">
              <w:rPr>
                <w:sz w:val="16"/>
                <w:szCs w:val="16"/>
              </w:rPr>
              <w:t xml:space="preserve">Администрация </w:t>
            </w:r>
            <w:proofErr w:type="spellStart"/>
            <w:r w:rsidRPr="009C0B56">
              <w:rPr>
                <w:sz w:val="16"/>
                <w:szCs w:val="16"/>
              </w:rPr>
              <w:t>Кисловского</w:t>
            </w:r>
            <w:proofErr w:type="spellEnd"/>
            <w:r w:rsidRPr="009C0B56">
              <w:rPr>
                <w:sz w:val="16"/>
                <w:szCs w:val="16"/>
              </w:rPr>
              <w:t xml:space="preserve"> сельского поселения  Быковского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000000" w:fill="FFFFFF"/>
            <w:noWrap/>
            <w:vAlign w:val="bottom"/>
            <w:hideMark/>
          </w:tcPr>
          <w:p w:rsidR="00214D87" w:rsidRPr="009C0B56" w:rsidRDefault="00214D87" w:rsidP="009C0B56">
            <w:pPr>
              <w:jc w:val="right"/>
              <w:rPr>
                <w:color w:val="000000"/>
                <w:sz w:val="16"/>
                <w:szCs w:val="16"/>
              </w:rPr>
            </w:pPr>
            <w:r w:rsidRPr="009C0B56">
              <w:rPr>
                <w:color w:val="000000"/>
                <w:sz w:val="16"/>
                <w:szCs w:val="16"/>
              </w:rPr>
              <w:t>12,7</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-13,0</w:t>
            </w:r>
          </w:p>
        </w:tc>
      </w:tr>
      <w:tr w:rsidR="00214D87" w:rsidRPr="009C0B56" w:rsidTr="00214D87">
        <w:trPr>
          <w:trHeight w:val="307"/>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3</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Котлубанского</w:t>
            </w:r>
            <w:proofErr w:type="spellEnd"/>
            <w:r w:rsidRPr="009C0B56">
              <w:rPr>
                <w:color w:val="000000"/>
                <w:sz w:val="16"/>
                <w:szCs w:val="16"/>
              </w:rPr>
              <w:t xml:space="preserve"> сельского поселения </w:t>
            </w:r>
            <w:proofErr w:type="spellStart"/>
            <w:r w:rsidRPr="009C0B56">
              <w:rPr>
                <w:color w:val="000000"/>
                <w:sz w:val="16"/>
                <w:szCs w:val="16"/>
              </w:rPr>
              <w:t>Городищенского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000000" w:fill="FFFFFF"/>
            <w:noWrap/>
            <w:vAlign w:val="bottom"/>
            <w:hideMark/>
          </w:tcPr>
          <w:p w:rsidR="00214D87" w:rsidRPr="009C0B56" w:rsidRDefault="00214D87" w:rsidP="009C0B56">
            <w:pPr>
              <w:jc w:val="right"/>
              <w:rPr>
                <w:color w:val="000000"/>
                <w:sz w:val="16"/>
                <w:szCs w:val="16"/>
              </w:rPr>
            </w:pPr>
            <w:r w:rsidRPr="009C0B56">
              <w:rPr>
                <w:color w:val="000000"/>
                <w:sz w:val="16"/>
                <w:szCs w:val="16"/>
              </w:rPr>
              <w:t>12,2</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-13,5</w:t>
            </w:r>
          </w:p>
        </w:tc>
      </w:tr>
      <w:tr w:rsidR="00214D87" w:rsidRPr="009C0B56" w:rsidTr="00214D87">
        <w:trPr>
          <w:trHeight w:val="315"/>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4</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Россошенского</w:t>
            </w:r>
            <w:proofErr w:type="spellEnd"/>
            <w:r w:rsidRPr="009C0B56">
              <w:rPr>
                <w:color w:val="000000"/>
                <w:sz w:val="16"/>
                <w:szCs w:val="16"/>
              </w:rPr>
              <w:t xml:space="preserve"> сельского поселения </w:t>
            </w:r>
            <w:proofErr w:type="spellStart"/>
            <w:r w:rsidRPr="009C0B56">
              <w:rPr>
                <w:color w:val="000000"/>
                <w:sz w:val="16"/>
                <w:szCs w:val="16"/>
              </w:rPr>
              <w:t>Городищенского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000000" w:fill="FFFFFF"/>
            <w:noWrap/>
            <w:vAlign w:val="bottom"/>
            <w:hideMark/>
          </w:tcPr>
          <w:p w:rsidR="00214D87" w:rsidRPr="009C0B56" w:rsidRDefault="00214D87" w:rsidP="009C0B56">
            <w:pPr>
              <w:jc w:val="right"/>
              <w:rPr>
                <w:color w:val="000000"/>
                <w:sz w:val="16"/>
                <w:szCs w:val="16"/>
              </w:rPr>
            </w:pPr>
            <w:r w:rsidRPr="009C0B56">
              <w:rPr>
                <w:color w:val="000000"/>
                <w:sz w:val="16"/>
                <w:szCs w:val="16"/>
              </w:rPr>
              <w:t>13,2</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-12,5</w:t>
            </w:r>
          </w:p>
        </w:tc>
      </w:tr>
      <w:tr w:rsidR="00214D87" w:rsidRPr="009C0B56" w:rsidTr="00214D87">
        <w:trPr>
          <w:trHeight w:val="365"/>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5</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Администрация городского поселения .г</w:t>
            </w:r>
            <w:proofErr w:type="gramStart"/>
            <w:r w:rsidRPr="009C0B56">
              <w:rPr>
                <w:color w:val="000000"/>
                <w:sz w:val="16"/>
                <w:szCs w:val="16"/>
              </w:rPr>
              <w:t>.Д</w:t>
            </w:r>
            <w:proofErr w:type="gramEnd"/>
            <w:r w:rsidRPr="009C0B56">
              <w:rPr>
                <w:color w:val="000000"/>
                <w:sz w:val="16"/>
                <w:szCs w:val="16"/>
              </w:rPr>
              <w:t>убовка Дубовского муниципального района</w:t>
            </w:r>
            <w:r>
              <w:rPr>
                <w:color w:val="000000"/>
                <w:sz w:val="16"/>
                <w:szCs w:val="16"/>
              </w:rPr>
              <w:t xml:space="preserve"> (3ВУР)</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592,9</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592,9</w:t>
            </w:r>
          </w:p>
        </w:tc>
        <w:tc>
          <w:tcPr>
            <w:tcW w:w="1134" w:type="dxa"/>
            <w:tcBorders>
              <w:top w:val="nil"/>
              <w:left w:val="nil"/>
              <w:bottom w:val="single" w:sz="4" w:space="0" w:color="auto"/>
              <w:right w:val="single" w:sz="4" w:space="0" w:color="auto"/>
            </w:tcBorders>
            <w:shd w:val="clear" w:color="000000" w:fill="FFFFFF"/>
            <w:noWrap/>
            <w:vAlign w:val="bottom"/>
            <w:hideMark/>
          </w:tcPr>
          <w:p w:rsidR="00214D87" w:rsidRPr="009C0B56" w:rsidRDefault="00214D87" w:rsidP="009C0B56">
            <w:pPr>
              <w:jc w:val="right"/>
              <w:rPr>
                <w:color w:val="000000"/>
                <w:sz w:val="16"/>
                <w:szCs w:val="16"/>
              </w:rPr>
            </w:pPr>
            <w:r w:rsidRPr="009C0B56">
              <w:rPr>
                <w:color w:val="000000"/>
                <w:sz w:val="16"/>
                <w:szCs w:val="16"/>
              </w:rPr>
              <w:t>11,4</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-14,3</w:t>
            </w:r>
          </w:p>
        </w:tc>
      </w:tr>
      <w:tr w:rsidR="00214D87" w:rsidRPr="009C0B56" w:rsidTr="00214D87">
        <w:trPr>
          <w:trHeight w:val="287"/>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6</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Линёвского</w:t>
            </w:r>
            <w:proofErr w:type="spellEnd"/>
            <w:r w:rsidRPr="009C0B56">
              <w:rPr>
                <w:color w:val="000000"/>
                <w:sz w:val="16"/>
                <w:szCs w:val="16"/>
              </w:rPr>
              <w:t xml:space="preserve"> городского поселения </w:t>
            </w:r>
            <w:proofErr w:type="spellStart"/>
            <w:r w:rsidRPr="009C0B56">
              <w:rPr>
                <w:color w:val="000000"/>
                <w:sz w:val="16"/>
                <w:szCs w:val="16"/>
              </w:rPr>
              <w:t>Жирновского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000000" w:fill="FFFFFF"/>
            <w:noWrap/>
            <w:vAlign w:val="bottom"/>
            <w:hideMark/>
          </w:tcPr>
          <w:p w:rsidR="00214D87" w:rsidRPr="009C0B56" w:rsidRDefault="00214D87" w:rsidP="004B00C0">
            <w:pPr>
              <w:jc w:val="right"/>
              <w:rPr>
                <w:color w:val="000000"/>
                <w:sz w:val="16"/>
                <w:szCs w:val="16"/>
              </w:rPr>
            </w:pPr>
            <w:r>
              <w:rPr>
                <w:color w:val="000000"/>
                <w:sz w:val="16"/>
                <w:szCs w:val="16"/>
              </w:rPr>
              <w:t>12,8</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AF1DE9">
            <w:pPr>
              <w:jc w:val="right"/>
              <w:rPr>
                <w:color w:val="000000"/>
                <w:sz w:val="16"/>
                <w:szCs w:val="16"/>
              </w:rPr>
            </w:pPr>
            <w:r w:rsidRPr="009C0B56">
              <w:rPr>
                <w:color w:val="000000"/>
                <w:sz w:val="16"/>
                <w:szCs w:val="16"/>
              </w:rPr>
              <w:t>-1</w:t>
            </w:r>
            <w:r>
              <w:rPr>
                <w:color w:val="000000"/>
                <w:sz w:val="16"/>
                <w:szCs w:val="16"/>
              </w:rPr>
              <w:t>2,9</w:t>
            </w:r>
          </w:p>
        </w:tc>
      </w:tr>
      <w:tr w:rsidR="00214D87" w:rsidRPr="009C0B56" w:rsidTr="00214D87">
        <w:trPr>
          <w:trHeight w:val="336"/>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7</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Медведицкого сельского поселения </w:t>
            </w:r>
            <w:proofErr w:type="spellStart"/>
            <w:r w:rsidRPr="009C0B56">
              <w:rPr>
                <w:color w:val="000000"/>
                <w:sz w:val="16"/>
                <w:szCs w:val="16"/>
              </w:rPr>
              <w:t>Жирновского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000000" w:fill="FFFFFF"/>
            <w:noWrap/>
            <w:vAlign w:val="bottom"/>
            <w:hideMark/>
          </w:tcPr>
          <w:p w:rsidR="00214D87" w:rsidRPr="009C0B56" w:rsidRDefault="00214D87" w:rsidP="004B00C0">
            <w:pPr>
              <w:jc w:val="right"/>
              <w:rPr>
                <w:color w:val="000000"/>
                <w:sz w:val="16"/>
                <w:szCs w:val="16"/>
              </w:rPr>
            </w:pPr>
            <w:r w:rsidRPr="009C0B56">
              <w:rPr>
                <w:color w:val="000000"/>
                <w:sz w:val="16"/>
                <w:szCs w:val="16"/>
              </w:rPr>
              <w:t>1</w:t>
            </w:r>
            <w:r>
              <w:rPr>
                <w:color w:val="000000"/>
                <w:sz w:val="16"/>
                <w:szCs w:val="16"/>
              </w:rPr>
              <w:t>2,5</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AF1DE9">
            <w:pPr>
              <w:jc w:val="right"/>
              <w:rPr>
                <w:color w:val="000000"/>
                <w:sz w:val="16"/>
                <w:szCs w:val="16"/>
              </w:rPr>
            </w:pPr>
            <w:r w:rsidRPr="009C0B56">
              <w:rPr>
                <w:color w:val="000000"/>
                <w:sz w:val="16"/>
                <w:szCs w:val="16"/>
              </w:rPr>
              <w:t>-1</w:t>
            </w:r>
            <w:r>
              <w:rPr>
                <w:color w:val="000000"/>
                <w:sz w:val="16"/>
                <w:szCs w:val="16"/>
              </w:rPr>
              <w:t>3,2</w:t>
            </w:r>
          </w:p>
        </w:tc>
      </w:tr>
      <w:tr w:rsidR="00214D87" w:rsidRPr="009C0B56" w:rsidTr="00214D87">
        <w:trPr>
          <w:trHeight w:val="415"/>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8</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Преображенскогосельского</w:t>
            </w:r>
            <w:proofErr w:type="spellEnd"/>
            <w:r w:rsidRPr="009C0B56">
              <w:rPr>
                <w:color w:val="000000"/>
                <w:sz w:val="16"/>
                <w:szCs w:val="16"/>
              </w:rPr>
              <w:t xml:space="preserve"> поселения </w:t>
            </w:r>
            <w:proofErr w:type="spellStart"/>
            <w:r w:rsidRPr="009C0B56">
              <w:rPr>
                <w:color w:val="000000"/>
                <w:sz w:val="16"/>
                <w:szCs w:val="16"/>
              </w:rPr>
              <w:t>Киквинзенского</w:t>
            </w:r>
            <w:proofErr w:type="spellEnd"/>
            <w:r w:rsidRPr="009C0B56">
              <w:rPr>
                <w:color w:val="000000"/>
                <w:sz w:val="16"/>
                <w:szCs w:val="16"/>
              </w:rPr>
              <w:t xml:space="preserve"> муниципального района </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12,6</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-13,1</w:t>
            </w:r>
          </w:p>
        </w:tc>
      </w:tr>
      <w:tr w:rsidR="00214D87" w:rsidRPr="009C0B56" w:rsidTr="00214D87">
        <w:trPr>
          <w:trHeight w:val="450"/>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9</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sz w:val="16"/>
                <w:szCs w:val="16"/>
              </w:rPr>
            </w:pPr>
            <w:r w:rsidRPr="009C0B56">
              <w:rPr>
                <w:sz w:val="16"/>
                <w:szCs w:val="16"/>
              </w:rPr>
              <w:t xml:space="preserve">Администрация </w:t>
            </w:r>
            <w:proofErr w:type="spellStart"/>
            <w:r w:rsidRPr="009C0B56">
              <w:rPr>
                <w:sz w:val="16"/>
                <w:szCs w:val="16"/>
              </w:rPr>
              <w:t>Царевского</w:t>
            </w:r>
            <w:proofErr w:type="spellEnd"/>
            <w:r w:rsidRPr="009C0B56">
              <w:rPr>
                <w:sz w:val="16"/>
                <w:szCs w:val="16"/>
              </w:rPr>
              <w:t xml:space="preserve"> сельского поселения Ленинского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12,6</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-13,1</w:t>
            </w:r>
          </w:p>
        </w:tc>
      </w:tr>
      <w:tr w:rsidR="00214D87" w:rsidRPr="009C0B56" w:rsidTr="00214D87">
        <w:trPr>
          <w:trHeight w:val="304"/>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10</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Администрация Панфиловского сельского поселения Новоаннинского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12,7</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-13,0</w:t>
            </w:r>
          </w:p>
        </w:tc>
      </w:tr>
      <w:tr w:rsidR="00214D87" w:rsidRPr="009C0B56" w:rsidTr="00214D87">
        <w:trPr>
          <w:trHeight w:val="450"/>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11</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Администрация городского поселения р.п</w:t>
            </w:r>
            <w:proofErr w:type="gramStart"/>
            <w:r w:rsidRPr="009C0B56">
              <w:rPr>
                <w:color w:val="000000"/>
                <w:sz w:val="16"/>
                <w:szCs w:val="16"/>
              </w:rPr>
              <w:t>.О</w:t>
            </w:r>
            <w:proofErr w:type="gramEnd"/>
            <w:r w:rsidRPr="009C0B56">
              <w:rPr>
                <w:color w:val="000000"/>
                <w:sz w:val="16"/>
                <w:szCs w:val="16"/>
              </w:rPr>
              <w:t>ктябрьский Октябрьского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12,8</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-12,9</w:t>
            </w:r>
          </w:p>
        </w:tc>
      </w:tr>
      <w:tr w:rsidR="00214D87" w:rsidRPr="009C0B56" w:rsidTr="00214D87">
        <w:trPr>
          <w:trHeight w:val="450"/>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Гмелинского</w:t>
            </w:r>
            <w:proofErr w:type="spellEnd"/>
            <w:r w:rsidRPr="009C0B56">
              <w:rPr>
                <w:color w:val="000000"/>
                <w:sz w:val="16"/>
                <w:szCs w:val="16"/>
              </w:rPr>
              <w:t xml:space="preserve">  сельского поселения </w:t>
            </w:r>
            <w:proofErr w:type="spellStart"/>
            <w:r w:rsidRPr="009C0B56">
              <w:rPr>
                <w:color w:val="000000"/>
                <w:sz w:val="16"/>
                <w:szCs w:val="16"/>
              </w:rPr>
              <w:t>Старополтавского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197,6</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11,4</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-14,3</w:t>
            </w:r>
          </w:p>
        </w:tc>
      </w:tr>
      <w:tr w:rsidR="00214D87" w:rsidRPr="009C0B56" w:rsidTr="00214D87">
        <w:trPr>
          <w:trHeight w:val="450"/>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Администрация Чернышковского городского поселения Чернышковского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197,5</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197,5</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12,3</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-13,4</w:t>
            </w:r>
          </w:p>
        </w:tc>
      </w:tr>
      <w:tr w:rsidR="00214D87" w:rsidRPr="009C0B56" w:rsidTr="00214D87">
        <w:trPr>
          <w:trHeight w:val="383"/>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Кисловского</w:t>
            </w:r>
            <w:proofErr w:type="spellEnd"/>
            <w:r w:rsidRPr="009C0B56">
              <w:rPr>
                <w:color w:val="000000"/>
                <w:sz w:val="16"/>
                <w:szCs w:val="16"/>
              </w:rPr>
              <w:t xml:space="preserve"> сельского поселения  Быковского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12,9</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-15,0</w:t>
            </w:r>
          </w:p>
        </w:tc>
      </w:tr>
      <w:tr w:rsidR="00214D87" w:rsidRPr="009C0B56" w:rsidTr="00214D87">
        <w:trPr>
          <w:trHeight w:val="275"/>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2</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Котлубанского</w:t>
            </w:r>
            <w:proofErr w:type="spellEnd"/>
            <w:r w:rsidRPr="009C0B56">
              <w:rPr>
                <w:color w:val="000000"/>
                <w:sz w:val="16"/>
                <w:szCs w:val="16"/>
              </w:rPr>
              <w:t xml:space="preserve"> сельского поселения </w:t>
            </w:r>
            <w:proofErr w:type="spellStart"/>
            <w:r w:rsidRPr="009C0B56">
              <w:rPr>
                <w:color w:val="000000"/>
                <w:sz w:val="16"/>
                <w:szCs w:val="16"/>
              </w:rPr>
              <w:t>Городищенского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11,6</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-16,3</w:t>
            </w:r>
          </w:p>
        </w:tc>
      </w:tr>
      <w:tr w:rsidR="00214D87" w:rsidRPr="009C0B56" w:rsidTr="00214D87">
        <w:trPr>
          <w:trHeight w:val="450"/>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3</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Новожизненского</w:t>
            </w:r>
            <w:proofErr w:type="spellEnd"/>
            <w:r w:rsidRPr="009C0B56">
              <w:rPr>
                <w:color w:val="000000"/>
                <w:sz w:val="16"/>
                <w:szCs w:val="16"/>
              </w:rPr>
              <w:t xml:space="preserve"> сельского поселения </w:t>
            </w:r>
            <w:proofErr w:type="spellStart"/>
            <w:r w:rsidRPr="009C0B56">
              <w:rPr>
                <w:color w:val="000000"/>
                <w:sz w:val="16"/>
                <w:szCs w:val="16"/>
              </w:rPr>
              <w:t>Городищенского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12,9</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-15,0</w:t>
            </w:r>
          </w:p>
        </w:tc>
      </w:tr>
      <w:tr w:rsidR="00214D87" w:rsidRPr="009C0B56" w:rsidTr="00214D87">
        <w:trPr>
          <w:trHeight w:val="273"/>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0A3FCB">
            <w:pPr>
              <w:jc w:val="right"/>
              <w:rPr>
                <w:color w:val="000000"/>
                <w:sz w:val="16"/>
                <w:szCs w:val="16"/>
              </w:rPr>
            </w:pPr>
            <w:r>
              <w:rPr>
                <w:color w:val="000000"/>
                <w:sz w:val="16"/>
                <w:szCs w:val="16"/>
              </w:rPr>
              <w:t>4</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Россошенского</w:t>
            </w:r>
            <w:proofErr w:type="spellEnd"/>
            <w:r w:rsidRPr="009C0B56">
              <w:rPr>
                <w:color w:val="000000"/>
                <w:sz w:val="16"/>
                <w:szCs w:val="16"/>
              </w:rPr>
              <w:t xml:space="preserve"> сельского поселения </w:t>
            </w:r>
            <w:proofErr w:type="spellStart"/>
            <w:r w:rsidRPr="009C0B56">
              <w:rPr>
                <w:color w:val="000000"/>
                <w:sz w:val="16"/>
                <w:szCs w:val="16"/>
              </w:rPr>
              <w:t>Городищенского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12,9</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-15,0</w:t>
            </w:r>
          </w:p>
        </w:tc>
      </w:tr>
      <w:tr w:rsidR="00214D87" w:rsidRPr="009C0B56" w:rsidTr="00214D87">
        <w:trPr>
          <w:trHeight w:val="437"/>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0A3FCB">
            <w:pPr>
              <w:jc w:val="right"/>
              <w:rPr>
                <w:color w:val="000000"/>
                <w:sz w:val="16"/>
                <w:szCs w:val="16"/>
              </w:rPr>
            </w:pPr>
            <w:r>
              <w:rPr>
                <w:color w:val="000000"/>
                <w:sz w:val="16"/>
                <w:szCs w:val="16"/>
              </w:rPr>
              <w:t>5</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Мариновского</w:t>
            </w:r>
            <w:proofErr w:type="spellEnd"/>
            <w:r w:rsidRPr="009C0B56">
              <w:rPr>
                <w:color w:val="000000"/>
                <w:sz w:val="16"/>
                <w:szCs w:val="16"/>
              </w:rPr>
              <w:t xml:space="preserve"> сельского поселения </w:t>
            </w:r>
            <w:proofErr w:type="spellStart"/>
            <w:r w:rsidRPr="009C0B56">
              <w:rPr>
                <w:color w:val="000000"/>
                <w:sz w:val="16"/>
                <w:szCs w:val="16"/>
              </w:rPr>
              <w:t>Калачевского</w:t>
            </w:r>
            <w:proofErr w:type="spellEnd"/>
            <w:r w:rsidRPr="009C0B56">
              <w:rPr>
                <w:color w:val="000000"/>
                <w:sz w:val="16"/>
                <w:szCs w:val="16"/>
              </w:rPr>
              <w:t xml:space="preserve"> муниципального района</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-14,9</w:t>
            </w:r>
          </w:p>
        </w:tc>
      </w:tr>
      <w:tr w:rsidR="00214D87" w:rsidRPr="009C0B56" w:rsidTr="00214D87">
        <w:trPr>
          <w:trHeight w:val="334"/>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rsidR="00214D87" w:rsidRPr="009C0B56" w:rsidRDefault="00214D87" w:rsidP="000A3FCB">
            <w:pPr>
              <w:jc w:val="right"/>
              <w:rPr>
                <w:color w:val="000000"/>
                <w:sz w:val="16"/>
                <w:szCs w:val="16"/>
              </w:rPr>
            </w:pPr>
            <w:r>
              <w:rPr>
                <w:color w:val="000000"/>
                <w:sz w:val="16"/>
                <w:szCs w:val="16"/>
              </w:rPr>
              <w:t>6</w:t>
            </w:r>
          </w:p>
        </w:tc>
        <w:tc>
          <w:tcPr>
            <w:tcW w:w="4140" w:type="dxa"/>
            <w:tcBorders>
              <w:top w:val="nil"/>
              <w:left w:val="nil"/>
              <w:bottom w:val="single" w:sz="4"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 xml:space="preserve">Администрация </w:t>
            </w:r>
            <w:proofErr w:type="spellStart"/>
            <w:r w:rsidRPr="009C0B56">
              <w:rPr>
                <w:color w:val="000000"/>
                <w:sz w:val="16"/>
                <w:szCs w:val="16"/>
              </w:rPr>
              <w:t>Преображенскогосельского</w:t>
            </w:r>
            <w:proofErr w:type="spellEnd"/>
            <w:r w:rsidRPr="009C0B56">
              <w:rPr>
                <w:color w:val="000000"/>
                <w:sz w:val="16"/>
                <w:szCs w:val="16"/>
              </w:rPr>
              <w:t xml:space="preserve"> поселения </w:t>
            </w:r>
            <w:proofErr w:type="spellStart"/>
            <w:r w:rsidRPr="009C0B56">
              <w:rPr>
                <w:color w:val="000000"/>
                <w:sz w:val="16"/>
                <w:szCs w:val="16"/>
              </w:rPr>
              <w:t>Киквинзенского</w:t>
            </w:r>
            <w:proofErr w:type="spellEnd"/>
            <w:r w:rsidRPr="009C0B56">
              <w:rPr>
                <w:color w:val="000000"/>
                <w:sz w:val="16"/>
                <w:szCs w:val="16"/>
              </w:rPr>
              <w:t xml:space="preserve"> муниципального района </w:t>
            </w:r>
          </w:p>
        </w:tc>
        <w:tc>
          <w:tcPr>
            <w:tcW w:w="1000"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794" w:type="dxa"/>
            <w:tcBorders>
              <w:top w:val="nil"/>
              <w:left w:val="nil"/>
              <w:bottom w:val="single" w:sz="4"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12,9</w:t>
            </w:r>
          </w:p>
        </w:tc>
        <w:tc>
          <w:tcPr>
            <w:tcW w:w="1276" w:type="dxa"/>
            <w:tcBorders>
              <w:top w:val="nil"/>
              <w:left w:val="nil"/>
              <w:bottom w:val="single" w:sz="4"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-15,0</w:t>
            </w:r>
          </w:p>
        </w:tc>
      </w:tr>
      <w:tr w:rsidR="00214D87" w:rsidRPr="009C0B56" w:rsidTr="00214D87">
        <w:trPr>
          <w:trHeight w:val="342"/>
        </w:trPr>
        <w:tc>
          <w:tcPr>
            <w:tcW w:w="460" w:type="dxa"/>
            <w:tcBorders>
              <w:top w:val="nil"/>
              <w:left w:val="double" w:sz="6" w:space="0" w:color="auto"/>
              <w:bottom w:val="double" w:sz="6" w:space="0" w:color="auto"/>
              <w:right w:val="single" w:sz="4" w:space="0" w:color="auto"/>
            </w:tcBorders>
            <w:shd w:val="clear" w:color="auto" w:fill="auto"/>
            <w:noWrap/>
            <w:vAlign w:val="bottom"/>
            <w:hideMark/>
          </w:tcPr>
          <w:p w:rsidR="00214D87" w:rsidRPr="009C0B56" w:rsidRDefault="00214D87" w:rsidP="000A3FCB">
            <w:pPr>
              <w:jc w:val="right"/>
              <w:rPr>
                <w:color w:val="000000"/>
                <w:sz w:val="16"/>
                <w:szCs w:val="16"/>
              </w:rPr>
            </w:pPr>
            <w:r>
              <w:rPr>
                <w:color w:val="000000"/>
                <w:sz w:val="16"/>
                <w:szCs w:val="16"/>
              </w:rPr>
              <w:t>7</w:t>
            </w:r>
          </w:p>
        </w:tc>
        <w:tc>
          <w:tcPr>
            <w:tcW w:w="4140" w:type="dxa"/>
            <w:tcBorders>
              <w:top w:val="nil"/>
              <w:left w:val="nil"/>
              <w:bottom w:val="double" w:sz="6" w:space="0" w:color="auto"/>
              <w:right w:val="single" w:sz="4" w:space="0" w:color="auto"/>
            </w:tcBorders>
            <w:shd w:val="clear" w:color="auto" w:fill="auto"/>
            <w:vAlign w:val="center"/>
            <w:hideMark/>
          </w:tcPr>
          <w:p w:rsidR="00214D87" w:rsidRPr="009C0B56" w:rsidRDefault="00214D87" w:rsidP="009C0B56">
            <w:pPr>
              <w:jc w:val="both"/>
              <w:rPr>
                <w:color w:val="000000"/>
                <w:sz w:val="16"/>
                <w:szCs w:val="16"/>
              </w:rPr>
            </w:pPr>
            <w:r w:rsidRPr="009C0B56">
              <w:rPr>
                <w:color w:val="000000"/>
                <w:sz w:val="16"/>
                <w:szCs w:val="16"/>
              </w:rPr>
              <w:t>Администрация Ольшанского сельского поселения Урюпинского муниципального района</w:t>
            </w:r>
          </w:p>
        </w:tc>
        <w:tc>
          <w:tcPr>
            <w:tcW w:w="1000" w:type="dxa"/>
            <w:tcBorders>
              <w:top w:val="nil"/>
              <w:left w:val="nil"/>
              <w:bottom w:val="double" w:sz="6"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794" w:type="dxa"/>
            <w:tcBorders>
              <w:top w:val="nil"/>
              <w:left w:val="nil"/>
              <w:bottom w:val="double" w:sz="6" w:space="0" w:color="auto"/>
              <w:right w:val="single" w:sz="4" w:space="0" w:color="auto"/>
            </w:tcBorders>
            <w:shd w:val="clear" w:color="auto" w:fill="auto"/>
            <w:vAlign w:val="bottom"/>
            <w:hideMark/>
          </w:tcPr>
          <w:p w:rsidR="00214D87" w:rsidRPr="009C0B56" w:rsidRDefault="00214D87" w:rsidP="009C0B56">
            <w:pPr>
              <w:jc w:val="right"/>
              <w:rPr>
                <w:color w:val="000000"/>
                <w:sz w:val="16"/>
                <w:szCs w:val="16"/>
              </w:rPr>
            </w:pPr>
            <w:r w:rsidRPr="009C0B56">
              <w:rPr>
                <w:color w:val="000000"/>
                <w:sz w:val="16"/>
                <w:szCs w:val="16"/>
              </w:rPr>
              <w:t>202,2</w:t>
            </w:r>
          </w:p>
        </w:tc>
        <w:tc>
          <w:tcPr>
            <w:tcW w:w="1134" w:type="dxa"/>
            <w:tcBorders>
              <w:top w:val="nil"/>
              <w:left w:val="nil"/>
              <w:bottom w:val="double" w:sz="6" w:space="0" w:color="auto"/>
              <w:right w:val="single" w:sz="4"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13</w:t>
            </w:r>
          </w:p>
        </w:tc>
        <w:tc>
          <w:tcPr>
            <w:tcW w:w="1276" w:type="dxa"/>
            <w:tcBorders>
              <w:top w:val="nil"/>
              <w:left w:val="nil"/>
              <w:bottom w:val="double" w:sz="6" w:space="0" w:color="auto"/>
              <w:right w:val="double" w:sz="6" w:space="0" w:color="auto"/>
            </w:tcBorders>
            <w:shd w:val="clear" w:color="auto" w:fill="auto"/>
            <w:noWrap/>
            <w:vAlign w:val="bottom"/>
            <w:hideMark/>
          </w:tcPr>
          <w:p w:rsidR="00214D87" w:rsidRPr="009C0B56" w:rsidRDefault="00214D87" w:rsidP="009C0B56">
            <w:pPr>
              <w:jc w:val="right"/>
              <w:rPr>
                <w:color w:val="000000"/>
                <w:sz w:val="16"/>
                <w:szCs w:val="16"/>
              </w:rPr>
            </w:pPr>
            <w:r w:rsidRPr="009C0B56">
              <w:rPr>
                <w:color w:val="000000"/>
                <w:sz w:val="16"/>
                <w:szCs w:val="16"/>
              </w:rPr>
              <w:t>-14,9</w:t>
            </w:r>
          </w:p>
        </w:tc>
      </w:tr>
    </w:tbl>
    <w:p w:rsidR="00D91C5C" w:rsidRDefault="00D91C5C" w:rsidP="009C0B56">
      <w:pPr>
        <w:shd w:val="clear" w:color="auto" w:fill="FFFFFF"/>
        <w:ind w:left="-340"/>
        <w:jc w:val="both"/>
        <w:rPr>
          <w:color w:val="002060"/>
        </w:rPr>
      </w:pPr>
    </w:p>
    <w:p w:rsidR="004E4EC4" w:rsidRPr="004E4EC4" w:rsidRDefault="004E4EC4" w:rsidP="0037158D">
      <w:pPr>
        <w:shd w:val="clear" w:color="auto" w:fill="FFFFFF"/>
        <w:ind w:firstLine="680"/>
        <w:jc w:val="both"/>
      </w:pPr>
      <w:r w:rsidRPr="004E4EC4">
        <w:t xml:space="preserve">Полагаем, что направление всего объема субвенции только на оплату труда ВУР и страховых взносов с нее также может </w:t>
      </w:r>
      <w:r w:rsidRPr="00FA2515">
        <w:t>свидетельствовать о недостат</w:t>
      </w:r>
      <w:r w:rsidR="00FA2515" w:rsidRPr="00FA2515">
        <w:t>очности о</w:t>
      </w:r>
      <w:r w:rsidRPr="00FA2515">
        <w:t xml:space="preserve">бъема </w:t>
      </w:r>
      <w:r w:rsidR="00FA2515" w:rsidRPr="00FA2515">
        <w:t>бюджетных ассигнований, выделенных получателям субвенций.</w:t>
      </w:r>
    </w:p>
    <w:p w:rsidR="0037158D" w:rsidRDefault="0037158D" w:rsidP="00AA3471">
      <w:pPr>
        <w:autoSpaceDE w:val="0"/>
        <w:autoSpaceDN w:val="0"/>
        <w:adjustRightInd w:val="0"/>
        <w:ind w:firstLine="709"/>
        <w:jc w:val="center"/>
        <w:rPr>
          <w:b/>
        </w:rPr>
      </w:pPr>
    </w:p>
    <w:p w:rsidR="006F7CDF" w:rsidRDefault="00AA3471" w:rsidP="00AA3471">
      <w:pPr>
        <w:autoSpaceDE w:val="0"/>
        <w:autoSpaceDN w:val="0"/>
        <w:adjustRightInd w:val="0"/>
        <w:ind w:firstLine="709"/>
        <w:jc w:val="center"/>
        <w:rPr>
          <w:b/>
        </w:rPr>
      </w:pPr>
      <w:r w:rsidRPr="00AA3471">
        <w:rPr>
          <w:b/>
        </w:rPr>
        <w:t>Сведения о нарушениях, допущенных при распределении и   использовании субвенций, выявленных в ходе мероприятия</w:t>
      </w:r>
    </w:p>
    <w:p w:rsidR="00365815" w:rsidRDefault="00365815" w:rsidP="00365815">
      <w:pPr>
        <w:autoSpaceDE w:val="0"/>
        <w:autoSpaceDN w:val="0"/>
        <w:adjustRightInd w:val="0"/>
        <w:ind w:firstLine="709"/>
        <w:jc w:val="both"/>
      </w:pPr>
      <w:r w:rsidRPr="00365815">
        <w:t>По результатам проведенного мероприятия КСП и КСО муниципальных образований выявлены следующие нарушения:</w:t>
      </w:r>
    </w:p>
    <w:p w:rsidR="0007321B" w:rsidRDefault="0007321B" w:rsidP="0007321B">
      <w:pPr>
        <w:autoSpaceDE w:val="0"/>
        <w:autoSpaceDN w:val="0"/>
        <w:adjustRightInd w:val="0"/>
        <w:ind w:firstLine="709"/>
        <w:jc w:val="center"/>
        <w:rPr>
          <w:i/>
          <w:u w:val="single"/>
        </w:rPr>
      </w:pPr>
      <w:r w:rsidRPr="0007321B">
        <w:rPr>
          <w:i/>
          <w:u w:val="single"/>
        </w:rPr>
        <w:t>нецелевое использование бюджетных средств</w:t>
      </w:r>
    </w:p>
    <w:p w:rsidR="00900A6D" w:rsidRDefault="002E2516" w:rsidP="00900A6D">
      <w:pPr>
        <w:pStyle w:val="a3"/>
        <w:numPr>
          <w:ilvl w:val="0"/>
          <w:numId w:val="10"/>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а</w:t>
      </w:r>
      <w:r w:rsidR="00643F53" w:rsidRPr="00643F53">
        <w:rPr>
          <w:rFonts w:ascii="Times New Roman" w:hAnsi="Times New Roman" w:cs="Times New Roman"/>
          <w:sz w:val="24"/>
          <w:szCs w:val="24"/>
        </w:rPr>
        <w:t>дминистраци</w:t>
      </w:r>
      <w:r w:rsidR="00643F53">
        <w:rPr>
          <w:rFonts w:ascii="Times New Roman" w:hAnsi="Times New Roman" w:cs="Times New Roman"/>
          <w:sz w:val="24"/>
          <w:szCs w:val="24"/>
        </w:rPr>
        <w:t xml:space="preserve">ей </w:t>
      </w:r>
      <w:r w:rsidR="00643F53" w:rsidRPr="00643F53">
        <w:rPr>
          <w:rFonts w:ascii="Times New Roman" w:hAnsi="Times New Roman" w:cs="Times New Roman"/>
          <w:sz w:val="24"/>
          <w:szCs w:val="24"/>
        </w:rPr>
        <w:t>Медведицкого с</w:t>
      </w:r>
      <w:r w:rsidR="00643F53">
        <w:rPr>
          <w:rFonts w:ascii="Times New Roman" w:hAnsi="Times New Roman" w:cs="Times New Roman"/>
          <w:sz w:val="24"/>
          <w:szCs w:val="24"/>
        </w:rPr>
        <w:t>/</w:t>
      </w:r>
      <w:proofErr w:type="spellStart"/>
      <w:proofErr w:type="gramStart"/>
      <w:r w:rsidR="00643F53">
        <w:rPr>
          <w:rFonts w:ascii="Times New Roman" w:hAnsi="Times New Roman" w:cs="Times New Roman"/>
          <w:sz w:val="24"/>
          <w:szCs w:val="24"/>
        </w:rPr>
        <w:t>п</w:t>
      </w:r>
      <w:proofErr w:type="spellEnd"/>
      <w:proofErr w:type="gramEnd"/>
      <w:r w:rsidR="00643F53" w:rsidRPr="00643F53">
        <w:rPr>
          <w:rFonts w:ascii="Times New Roman" w:hAnsi="Times New Roman" w:cs="Times New Roman"/>
          <w:sz w:val="24"/>
          <w:szCs w:val="24"/>
        </w:rPr>
        <w:t xml:space="preserve"> </w:t>
      </w:r>
      <w:proofErr w:type="spellStart"/>
      <w:r w:rsidR="00643F53" w:rsidRPr="00643F53">
        <w:rPr>
          <w:rFonts w:ascii="Times New Roman" w:hAnsi="Times New Roman" w:cs="Times New Roman"/>
          <w:sz w:val="24"/>
          <w:szCs w:val="24"/>
        </w:rPr>
        <w:t>Жирновского</w:t>
      </w:r>
      <w:proofErr w:type="spellEnd"/>
      <w:r w:rsidR="00643F53" w:rsidRPr="00643F53">
        <w:rPr>
          <w:rFonts w:ascii="Times New Roman" w:hAnsi="Times New Roman" w:cs="Times New Roman"/>
          <w:sz w:val="24"/>
          <w:szCs w:val="24"/>
        </w:rPr>
        <w:t xml:space="preserve"> </w:t>
      </w:r>
      <w:r w:rsidR="00643F53">
        <w:rPr>
          <w:rFonts w:ascii="Times New Roman" w:hAnsi="Times New Roman" w:cs="Times New Roman"/>
          <w:sz w:val="24"/>
          <w:szCs w:val="24"/>
        </w:rPr>
        <w:t xml:space="preserve">МР </w:t>
      </w:r>
      <w:r w:rsidR="00900A6D" w:rsidRPr="00900A6D">
        <w:rPr>
          <w:rFonts w:ascii="Times New Roman" w:hAnsi="Times New Roman" w:cs="Times New Roman"/>
          <w:sz w:val="24"/>
          <w:szCs w:val="24"/>
        </w:rPr>
        <w:t xml:space="preserve">нарушены ч.6 ст.140 БК РФ, п.2 </w:t>
      </w:r>
      <w:r w:rsidR="00643F53">
        <w:rPr>
          <w:rFonts w:ascii="Times New Roman" w:hAnsi="Times New Roman" w:cs="Times New Roman"/>
          <w:sz w:val="24"/>
          <w:szCs w:val="24"/>
        </w:rPr>
        <w:t>Федеральной м</w:t>
      </w:r>
      <w:r w:rsidR="00900A6D" w:rsidRPr="00900A6D">
        <w:rPr>
          <w:rFonts w:ascii="Times New Roman" w:hAnsi="Times New Roman" w:cs="Times New Roman"/>
          <w:sz w:val="24"/>
          <w:szCs w:val="24"/>
        </w:rPr>
        <w:t xml:space="preserve">етодики в части использования средств субвенции </w:t>
      </w:r>
      <w:r w:rsidR="00D80740">
        <w:rPr>
          <w:rFonts w:ascii="Times New Roman" w:hAnsi="Times New Roman" w:cs="Times New Roman"/>
          <w:sz w:val="24"/>
          <w:szCs w:val="24"/>
        </w:rPr>
        <w:t xml:space="preserve">в размере </w:t>
      </w:r>
      <w:r w:rsidR="00D80740" w:rsidRPr="00D80740">
        <w:rPr>
          <w:rFonts w:ascii="Times New Roman" w:hAnsi="Times New Roman" w:cs="Times New Roman"/>
          <w:sz w:val="24"/>
          <w:szCs w:val="24"/>
        </w:rPr>
        <w:t xml:space="preserve">1,1 </w:t>
      </w:r>
      <w:r w:rsidR="00D80740">
        <w:rPr>
          <w:rFonts w:ascii="Times New Roman" w:hAnsi="Times New Roman" w:cs="Times New Roman"/>
          <w:sz w:val="24"/>
          <w:szCs w:val="24"/>
        </w:rPr>
        <w:t xml:space="preserve">тыс. руб. </w:t>
      </w:r>
      <w:r w:rsidR="00D80740" w:rsidRPr="00D80740">
        <w:rPr>
          <w:rFonts w:ascii="Times New Roman" w:hAnsi="Times New Roman" w:cs="Times New Roman"/>
          <w:sz w:val="24"/>
          <w:szCs w:val="24"/>
        </w:rPr>
        <w:t>(0,8 т</w:t>
      </w:r>
      <w:r w:rsidR="00D80740">
        <w:rPr>
          <w:rFonts w:ascii="Times New Roman" w:hAnsi="Times New Roman" w:cs="Times New Roman"/>
          <w:sz w:val="24"/>
          <w:szCs w:val="24"/>
        </w:rPr>
        <w:t>ыс. руб.</w:t>
      </w:r>
      <w:r w:rsidR="00D80740" w:rsidRPr="00D80740">
        <w:rPr>
          <w:rFonts w:ascii="Times New Roman" w:hAnsi="Times New Roman" w:cs="Times New Roman"/>
          <w:sz w:val="24"/>
          <w:szCs w:val="24"/>
        </w:rPr>
        <w:t xml:space="preserve"> в 2016 году, 0,3 т</w:t>
      </w:r>
      <w:r w:rsidR="00D80740">
        <w:rPr>
          <w:rFonts w:ascii="Times New Roman" w:hAnsi="Times New Roman" w:cs="Times New Roman"/>
          <w:sz w:val="24"/>
          <w:szCs w:val="24"/>
        </w:rPr>
        <w:t>ыс. руб.</w:t>
      </w:r>
      <w:r w:rsidR="00D80740" w:rsidRPr="00D80740">
        <w:rPr>
          <w:rFonts w:ascii="Times New Roman" w:hAnsi="Times New Roman" w:cs="Times New Roman"/>
          <w:sz w:val="24"/>
          <w:szCs w:val="24"/>
        </w:rPr>
        <w:t xml:space="preserve"> в 2017 году)</w:t>
      </w:r>
      <w:r w:rsidR="00D80740">
        <w:rPr>
          <w:rFonts w:ascii="Times New Roman" w:hAnsi="Times New Roman" w:cs="Times New Roman"/>
          <w:sz w:val="24"/>
          <w:szCs w:val="24"/>
        </w:rPr>
        <w:t xml:space="preserve"> </w:t>
      </w:r>
      <w:r w:rsidR="00900A6D" w:rsidRPr="00900A6D">
        <w:rPr>
          <w:rFonts w:ascii="Times New Roman" w:hAnsi="Times New Roman" w:cs="Times New Roman"/>
          <w:sz w:val="24"/>
          <w:szCs w:val="24"/>
        </w:rPr>
        <w:t xml:space="preserve">на цели, не предусмотренные нормативным правовым актом (оплата услуг банка по зачислению денежных средств на специальный карточный счет работника ВУР), являющимся правовым основанием предоставления указанных средств, что в соответствии со ст. 306.4 БК РФ является нецелевым использованием бюджетных средств. Составлен протокол об административном правонарушении по ст. 15.14 </w:t>
      </w:r>
      <w:proofErr w:type="spellStart"/>
      <w:r w:rsidR="00900A6D" w:rsidRPr="00900A6D">
        <w:rPr>
          <w:rFonts w:ascii="Times New Roman" w:hAnsi="Times New Roman" w:cs="Times New Roman"/>
          <w:sz w:val="24"/>
          <w:szCs w:val="24"/>
        </w:rPr>
        <w:t>КоАП</w:t>
      </w:r>
      <w:proofErr w:type="spellEnd"/>
      <w:r w:rsidR="00900A6D" w:rsidRPr="00900A6D">
        <w:rPr>
          <w:rFonts w:ascii="Times New Roman" w:hAnsi="Times New Roman" w:cs="Times New Roman"/>
          <w:sz w:val="24"/>
          <w:szCs w:val="24"/>
        </w:rPr>
        <w:t xml:space="preserve"> РФ в отношении главы поселения</w:t>
      </w:r>
      <w:r w:rsidR="00F24D20">
        <w:rPr>
          <w:rFonts w:ascii="Times New Roman" w:hAnsi="Times New Roman" w:cs="Times New Roman"/>
          <w:sz w:val="24"/>
          <w:szCs w:val="24"/>
        </w:rPr>
        <w:t>,</w:t>
      </w:r>
      <w:r w:rsidR="00900A6D" w:rsidRPr="00900A6D">
        <w:rPr>
          <w:rFonts w:ascii="Times New Roman" w:hAnsi="Times New Roman" w:cs="Times New Roman"/>
          <w:sz w:val="24"/>
          <w:szCs w:val="24"/>
        </w:rPr>
        <w:t xml:space="preserve"> вынесено замечание</w:t>
      </w:r>
      <w:r w:rsidR="00F24D20">
        <w:rPr>
          <w:rFonts w:ascii="Times New Roman" w:hAnsi="Times New Roman" w:cs="Times New Roman"/>
          <w:sz w:val="24"/>
          <w:szCs w:val="24"/>
        </w:rPr>
        <w:t>.</w:t>
      </w:r>
      <w:r w:rsidR="00900A6D" w:rsidRPr="00900A6D">
        <w:rPr>
          <w:rFonts w:ascii="Times New Roman" w:hAnsi="Times New Roman" w:cs="Times New Roman"/>
          <w:sz w:val="24"/>
          <w:szCs w:val="24"/>
        </w:rPr>
        <w:t xml:space="preserve"> На основании приказа </w:t>
      </w:r>
      <w:proofErr w:type="spellStart"/>
      <w:r w:rsidR="00643F53">
        <w:rPr>
          <w:rFonts w:ascii="Times New Roman" w:hAnsi="Times New Roman" w:cs="Times New Roman"/>
          <w:sz w:val="24"/>
          <w:szCs w:val="24"/>
        </w:rPr>
        <w:t>Облфина</w:t>
      </w:r>
      <w:proofErr w:type="spellEnd"/>
      <w:r w:rsidR="00900A6D" w:rsidRPr="00900A6D">
        <w:rPr>
          <w:rFonts w:ascii="Times New Roman" w:hAnsi="Times New Roman" w:cs="Times New Roman"/>
          <w:sz w:val="24"/>
          <w:szCs w:val="24"/>
        </w:rPr>
        <w:t xml:space="preserve"> о применении мер бюджетного принуждения </w:t>
      </w:r>
      <w:r w:rsidR="00A8211C">
        <w:rPr>
          <w:rFonts w:ascii="Times New Roman" w:hAnsi="Times New Roman" w:cs="Times New Roman"/>
          <w:sz w:val="24"/>
          <w:szCs w:val="24"/>
        </w:rPr>
        <w:t xml:space="preserve">по </w:t>
      </w:r>
      <w:r w:rsidR="00A8211C">
        <w:rPr>
          <w:rFonts w:ascii="Times New Roman" w:hAnsi="Times New Roman" w:cs="Times New Roman"/>
          <w:sz w:val="24"/>
          <w:szCs w:val="24"/>
        </w:rPr>
        <w:lastRenderedPageBreak/>
        <w:t>бесспорному взысканию сре</w:t>
      </w:r>
      <w:proofErr w:type="gramStart"/>
      <w:r w:rsidR="00A8211C">
        <w:rPr>
          <w:rFonts w:ascii="Times New Roman" w:hAnsi="Times New Roman" w:cs="Times New Roman"/>
          <w:sz w:val="24"/>
          <w:szCs w:val="24"/>
        </w:rPr>
        <w:t>дств с б</w:t>
      </w:r>
      <w:proofErr w:type="gramEnd"/>
      <w:r w:rsidR="00A8211C">
        <w:rPr>
          <w:rFonts w:ascii="Times New Roman" w:hAnsi="Times New Roman" w:cs="Times New Roman"/>
          <w:sz w:val="24"/>
          <w:szCs w:val="24"/>
        </w:rPr>
        <w:t>юджета поселения последним</w:t>
      </w:r>
      <w:r w:rsidR="00900A6D" w:rsidRPr="00900A6D">
        <w:rPr>
          <w:rFonts w:ascii="Times New Roman" w:hAnsi="Times New Roman" w:cs="Times New Roman"/>
          <w:sz w:val="24"/>
          <w:szCs w:val="24"/>
        </w:rPr>
        <w:t xml:space="preserve"> денежные средства возвращены  в областной бюджет 07.08.2018</w:t>
      </w:r>
      <w:r w:rsidR="00A8211C">
        <w:rPr>
          <w:rFonts w:ascii="Times New Roman" w:hAnsi="Times New Roman" w:cs="Times New Roman"/>
          <w:sz w:val="24"/>
          <w:szCs w:val="24"/>
        </w:rPr>
        <w:t>, далее</w:t>
      </w:r>
      <w:r w:rsidR="00900A6D" w:rsidRPr="00900A6D">
        <w:rPr>
          <w:rFonts w:ascii="Times New Roman" w:hAnsi="Times New Roman" w:cs="Times New Roman"/>
          <w:sz w:val="24"/>
          <w:szCs w:val="24"/>
        </w:rPr>
        <w:t xml:space="preserve"> 14.08.2018 перечислены </w:t>
      </w:r>
      <w:proofErr w:type="spellStart"/>
      <w:r w:rsidR="00CE63E8">
        <w:rPr>
          <w:rFonts w:ascii="Times New Roman" w:hAnsi="Times New Roman" w:cs="Times New Roman"/>
          <w:sz w:val="24"/>
          <w:szCs w:val="24"/>
        </w:rPr>
        <w:t>Облфином</w:t>
      </w:r>
      <w:proofErr w:type="spellEnd"/>
      <w:r w:rsidR="00CE63E8" w:rsidRPr="00900A6D">
        <w:rPr>
          <w:rFonts w:ascii="Times New Roman" w:hAnsi="Times New Roman" w:cs="Times New Roman"/>
          <w:sz w:val="24"/>
          <w:szCs w:val="24"/>
        </w:rPr>
        <w:t xml:space="preserve"> </w:t>
      </w:r>
      <w:r w:rsidR="00900A6D" w:rsidRPr="00900A6D">
        <w:rPr>
          <w:rFonts w:ascii="Times New Roman" w:hAnsi="Times New Roman" w:cs="Times New Roman"/>
          <w:sz w:val="24"/>
          <w:szCs w:val="24"/>
        </w:rPr>
        <w:t>на счет УФК по Волгоградской области (ФКУ «Военный комиссариат Волгоградской области»)</w:t>
      </w:r>
      <w:r w:rsidR="00643F53">
        <w:rPr>
          <w:rFonts w:ascii="Times New Roman" w:hAnsi="Times New Roman" w:cs="Times New Roman"/>
          <w:sz w:val="24"/>
          <w:szCs w:val="24"/>
        </w:rPr>
        <w:t>;</w:t>
      </w:r>
    </w:p>
    <w:p w:rsidR="00643F53" w:rsidRDefault="002E2516" w:rsidP="00900A6D">
      <w:pPr>
        <w:pStyle w:val="a3"/>
        <w:numPr>
          <w:ilvl w:val="0"/>
          <w:numId w:val="10"/>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а</w:t>
      </w:r>
      <w:r w:rsidRPr="002E2516">
        <w:rPr>
          <w:rFonts w:ascii="Times New Roman" w:hAnsi="Times New Roman" w:cs="Times New Roman"/>
          <w:sz w:val="24"/>
          <w:szCs w:val="24"/>
        </w:rPr>
        <w:t xml:space="preserve">дминистрация </w:t>
      </w:r>
      <w:proofErr w:type="spellStart"/>
      <w:r w:rsidRPr="002E2516">
        <w:rPr>
          <w:rFonts w:ascii="Times New Roman" w:hAnsi="Times New Roman" w:cs="Times New Roman"/>
          <w:sz w:val="24"/>
          <w:szCs w:val="24"/>
        </w:rPr>
        <w:t>Червленовского</w:t>
      </w:r>
      <w:proofErr w:type="spellEnd"/>
      <w:r w:rsidRPr="002E2516">
        <w:rPr>
          <w:rFonts w:ascii="Times New Roman" w:hAnsi="Times New Roman" w:cs="Times New Roman"/>
          <w:sz w:val="24"/>
          <w:szCs w:val="24"/>
        </w:rPr>
        <w:t xml:space="preserve"> с</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sidRPr="002E2516">
        <w:rPr>
          <w:rFonts w:ascii="Times New Roman" w:hAnsi="Times New Roman" w:cs="Times New Roman"/>
          <w:sz w:val="24"/>
          <w:szCs w:val="24"/>
        </w:rPr>
        <w:t xml:space="preserve">  </w:t>
      </w:r>
      <w:proofErr w:type="spellStart"/>
      <w:r w:rsidRPr="002E2516">
        <w:rPr>
          <w:rFonts w:ascii="Times New Roman" w:hAnsi="Times New Roman" w:cs="Times New Roman"/>
          <w:sz w:val="24"/>
          <w:szCs w:val="24"/>
        </w:rPr>
        <w:t>Светлоярского</w:t>
      </w:r>
      <w:proofErr w:type="spellEnd"/>
      <w:r w:rsidRPr="002E2516">
        <w:rPr>
          <w:rFonts w:ascii="Times New Roman" w:hAnsi="Times New Roman" w:cs="Times New Roman"/>
          <w:sz w:val="24"/>
          <w:szCs w:val="24"/>
        </w:rPr>
        <w:t xml:space="preserve"> </w:t>
      </w:r>
      <w:r>
        <w:rPr>
          <w:rFonts w:ascii="Times New Roman" w:hAnsi="Times New Roman" w:cs="Times New Roman"/>
          <w:sz w:val="24"/>
          <w:szCs w:val="24"/>
        </w:rPr>
        <w:t xml:space="preserve">МР </w:t>
      </w:r>
      <w:r w:rsidR="00CE63E8">
        <w:rPr>
          <w:rFonts w:ascii="Times New Roman" w:hAnsi="Times New Roman" w:cs="Times New Roman"/>
          <w:sz w:val="24"/>
          <w:szCs w:val="24"/>
        </w:rPr>
        <w:t>допущено нецелевое использование бюджетных средств при направлении</w:t>
      </w:r>
      <w:r w:rsidR="00C86307">
        <w:rPr>
          <w:rFonts w:ascii="Times New Roman" w:hAnsi="Times New Roman" w:cs="Times New Roman"/>
          <w:sz w:val="24"/>
          <w:szCs w:val="24"/>
        </w:rPr>
        <w:t xml:space="preserve"> в 2017 году</w:t>
      </w:r>
      <w:r w:rsidR="00CE63E8">
        <w:rPr>
          <w:rFonts w:ascii="Times New Roman" w:hAnsi="Times New Roman" w:cs="Times New Roman"/>
          <w:sz w:val="24"/>
          <w:szCs w:val="24"/>
        </w:rPr>
        <w:t xml:space="preserve"> средств субвенции в размере 9,6 тыс. руб. на</w:t>
      </w:r>
      <w:r w:rsidR="00C86307">
        <w:rPr>
          <w:rFonts w:ascii="Times New Roman" w:hAnsi="Times New Roman" w:cs="Times New Roman"/>
          <w:sz w:val="24"/>
          <w:szCs w:val="24"/>
        </w:rPr>
        <w:t xml:space="preserve"> непредусмотренные Федеральной методикой расходы -</w:t>
      </w:r>
      <w:r w:rsidR="00CE63E8">
        <w:rPr>
          <w:rFonts w:ascii="Times New Roman" w:hAnsi="Times New Roman" w:cs="Times New Roman"/>
          <w:sz w:val="24"/>
          <w:szCs w:val="24"/>
        </w:rPr>
        <w:t xml:space="preserve"> оплату</w:t>
      </w:r>
      <w:r w:rsidRPr="002E2516">
        <w:rPr>
          <w:rFonts w:ascii="Times New Roman" w:hAnsi="Times New Roman" w:cs="Times New Roman"/>
          <w:sz w:val="24"/>
          <w:szCs w:val="24"/>
        </w:rPr>
        <w:t xml:space="preserve"> в работ по монтажу ПВХ окон в здании </w:t>
      </w:r>
      <w:r w:rsidRPr="00C361B2">
        <w:rPr>
          <w:rFonts w:ascii="Times New Roman" w:hAnsi="Times New Roman" w:cs="Times New Roman"/>
          <w:sz w:val="24"/>
          <w:szCs w:val="24"/>
        </w:rPr>
        <w:t>администрации</w:t>
      </w:r>
      <w:r w:rsidR="00CE63E8" w:rsidRPr="00C361B2">
        <w:rPr>
          <w:rFonts w:ascii="Times New Roman" w:hAnsi="Times New Roman" w:cs="Times New Roman"/>
          <w:sz w:val="24"/>
          <w:szCs w:val="24"/>
        </w:rPr>
        <w:t>.</w:t>
      </w:r>
      <w:r w:rsidRPr="00C361B2">
        <w:rPr>
          <w:rFonts w:ascii="Times New Roman" w:hAnsi="Times New Roman" w:cs="Times New Roman"/>
          <w:sz w:val="24"/>
          <w:szCs w:val="24"/>
        </w:rPr>
        <w:t xml:space="preserve"> Протокол об административном правонарушении, составленный для привлечения нарушителя к административной ответственности по ст. 15.14 </w:t>
      </w:r>
      <w:proofErr w:type="spellStart"/>
      <w:r w:rsidRPr="00C361B2">
        <w:rPr>
          <w:rFonts w:ascii="Times New Roman" w:hAnsi="Times New Roman" w:cs="Times New Roman"/>
          <w:sz w:val="24"/>
          <w:szCs w:val="24"/>
        </w:rPr>
        <w:t>КоАП</w:t>
      </w:r>
      <w:proofErr w:type="spellEnd"/>
      <w:r w:rsidRPr="00C361B2">
        <w:rPr>
          <w:rFonts w:ascii="Times New Roman" w:hAnsi="Times New Roman" w:cs="Times New Roman"/>
          <w:sz w:val="24"/>
          <w:szCs w:val="24"/>
        </w:rPr>
        <w:t xml:space="preserve"> РФ, находится на рассмотрении у мирового судьи</w:t>
      </w:r>
      <w:r w:rsidR="00C361B2" w:rsidRPr="00C361B2">
        <w:rPr>
          <w:rFonts w:ascii="Times New Roman" w:hAnsi="Times New Roman" w:cs="Times New Roman"/>
          <w:sz w:val="24"/>
          <w:szCs w:val="24"/>
        </w:rPr>
        <w:t xml:space="preserve"> (рассмотрении отложено до 03.10.2018)</w:t>
      </w:r>
      <w:r w:rsidRPr="00C361B2">
        <w:rPr>
          <w:rFonts w:ascii="Times New Roman" w:hAnsi="Times New Roman" w:cs="Times New Roman"/>
          <w:sz w:val="24"/>
          <w:szCs w:val="24"/>
        </w:rPr>
        <w:t xml:space="preserve">. На основании приказа </w:t>
      </w:r>
      <w:proofErr w:type="spellStart"/>
      <w:r w:rsidR="00CE63E8" w:rsidRPr="00C361B2">
        <w:rPr>
          <w:rFonts w:ascii="Times New Roman" w:hAnsi="Times New Roman" w:cs="Times New Roman"/>
          <w:sz w:val="24"/>
          <w:szCs w:val="24"/>
        </w:rPr>
        <w:t>Облфина</w:t>
      </w:r>
      <w:proofErr w:type="spellEnd"/>
      <w:r w:rsidRPr="00C361B2">
        <w:rPr>
          <w:rFonts w:ascii="Times New Roman" w:hAnsi="Times New Roman" w:cs="Times New Roman"/>
          <w:sz w:val="24"/>
          <w:szCs w:val="24"/>
        </w:rPr>
        <w:t xml:space="preserve"> о применении</w:t>
      </w:r>
      <w:r w:rsidRPr="002E2516">
        <w:rPr>
          <w:rFonts w:ascii="Times New Roman" w:hAnsi="Times New Roman" w:cs="Times New Roman"/>
          <w:sz w:val="24"/>
          <w:szCs w:val="24"/>
        </w:rPr>
        <w:t xml:space="preserve"> мер бюджетного принуждения денежные средства возвращены поселением в областной бюджет 26.07.2018 и 27.07.2018 перечислены </w:t>
      </w:r>
      <w:proofErr w:type="spellStart"/>
      <w:r w:rsidR="00CE63E8">
        <w:rPr>
          <w:rFonts w:ascii="Times New Roman" w:hAnsi="Times New Roman" w:cs="Times New Roman"/>
          <w:sz w:val="24"/>
          <w:szCs w:val="24"/>
        </w:rPr>
        <w:t>Облфином</w:t>
      </w:r>
      <w:proofErr w:type="spellEnd"/>
      <w:r w:rsidRPr="002E2516">
        <w:rPr>
          <w:rFonts w:ascii="Times New Roman" w:hAnsi="Times New Roman" w:cs="Times New Roman"/>
          <w:sz w:val="24"/>
          <w:szCs w:val="24"/>
        </w:rPr>
        <w:t xml:space="preserve"> на счет УФК по Волгоградской области</w:t>
      </w:r>
      <w:r w:rsidR="00CE63E8">
        <w:rPr>
          <w:rFonts w:ascii="Times New Roman" w:hAnsi="Times New Roman" w:cs="Times New Roman"/>
          <w:sz w:val="24"/>
          <w:szCs w:val="24"/>
        </w:rPr>
        <w:t>;</w:t>
      </w:r>
    </w:p>
    <w:p w:rsidR="002E2516" w:rsidRDefault="008E634D" w:rsidP="00900A6D">
      <w:pPr>
        <w:pStyle w:val="a3"/>
        <w:numPr>
          <w:ilvl w:val="0"/>
          <w:numId w:val="10"/>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в</w:t>
      </w:r>
      <w:r w:rsidRPr="008E634D">
        <w:rPr>
          <w:rFonts w:ascii="Times New Roman" w:hAnsi="Times New Roman" w:cs="Times New Roman"/>
          <w:sz w:val="24"/>
          <w:szCs w:val="24"/>
        </w:rPr>
        <w:t xml:space="preserve"> нарушение ч.1 ст. 287 Трудового кодекса РФ </w:t>
      </w:r>
      <w:r>
        <w:rPr>
          <w:rFonts w:ascii="Times New Roman" w:hAnsi="Times New Roman" w:cs="Times New Roman"/>
          <w:sz w:val="24"/>
          <w:szCs w:val="24"/>
        </w:rPr>
        <w:t>а</w:t>
      </w:r>
      <w:r w:rsidRPr="008E634D">
        <w:rPr>
          <w:rFonts w:ascii="Times New Roman" w:hAnsi="Times New Roman" w:cs="Times New Roman"/>
          <w:sz w:val="24"/>
          <w:szCs w:val="24"/>
        </w:rPr>
        <w:t>дминистраци</w:t>
      </w:r>
      <w:r>
        <w:rPr>
          <w:rFonts w:ascii="Times New Roman" w:hAnsi="Times New Roman" w:cs="Times New Roman"/>
          <w:sz w:val="24"/>
          <w:szCs w:val="24"/>
        </w:rPr>
        <w:t>ей</w:t>
      </w:r>
      <w:r w:rsidRPr="008E634D">
        <w:rPr>
          <w:rFonts w:ascii="Times New Roman" w:hAnsi="Times New Roman" w:cs="Times New Roman"/>
          <w:sz w:val="24"/>
          <w:szCs w:val="24"/>
        </w:rPr>
        <w:t xml:space="preserve"> </w:t>
      </w:r>
      <w:proofErr w:type="spellStart"/>
      <w:r w:rsidRPr="008E634D">
        <w:rPr>
          <w:rFonts w:ascii="Times New Roman" w:hAnsi="Times New Roman" w:cs="Times New Roman"/>
          <w:sz w:val="24"/>
          <w:szCs w:val="24"/>
        </w:rPr>
        <w:t>Левчуновского</w:t>
      </w:r>
      <w:proofErr w:type="spellEnd"/>
      <w:r w:rsidRPr="008E634D">
        <w:rPr>
          <w:rFonts w:ascii="Times New Roman" w:hAnsi="Times New Roman" w:cs="Times New Roman"/>
          <w:sz w:val="24"/>
          <w:szCs w:val="24"/>
        </w:rPr>
        <w:t xml:space="preserve"> с</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sidRPr="008E634D">
        <w:rPr>
          <w:rFonts w:ascii="Times New Roman" w:hAnsi="Times New Roman" w:cs="Times New Roman"/>
          <w:sz w:val="24"/>
          <w:szCs w:val="24"/>
        </w:rPr>
        <w:t xml:space="preserve"> Николаевского </w:t>
      </w:r>
      <w:r>
        <w:rPr>
          <w:rFonts w:ascii="Times New Roman" w:hAnsi="Times New Roman" w:cs="Times New Roman"/>
          <w:sz w:val="24"/>
          <w:szCs w:val="24"/>
        </w:rPr>
        <w:t>МР</w:t>
      </w:r>
      <w:r w:rsidRPr="008E634D">
        <w:rPr>
          <w:rFonts w:ascii="Times New Roman" w:hAnsi="Times New Roman" w:cs="Times New Roman"/>
          <w:sz w:val="24"/>
          <w:szCs w:val="24"/>
        </w:rPr>
        <w:t xml:space="preserve"> произведена оплата учебного о</w:t>
      </w:r>
      <w:r>
        <w:rPr>
          <w:rFonts w:ascii="Times New Roman" w:hAnsi="Times New Roman" w:cs="Times New Roman"/>
          <w:sz w:val="24"/>
          <w:szCs w:val="24"/>
        </w:rPr>
        <w:t xml:space="preserve">тпуска ВУР по совместительству </w:t>
      </w:r>
      <w:r w:rsidRPr="008E634D">
        <w:rPr>
          <w:rFonts w:ascii="Times New Roman" w:hAnsi="Times New Roman" w:cs="Times New Roman"/>
          <w:sz w:val="24"/>
          <w:szCs w:val="24"/>
        </w:rPr>
        <w:t>в 2016-2017 г</w:t>
      </w:r>
      <w:r>
        <w:rPr>
          <w:rFonts w:ascii="Times New Roman" w:hAnsi="Times New Roman" w:cs="Times New Roman"/>
          <w:sz w:val="24"/>
          <w:szCs w:val="24"/>
        </w:rPr>
        <w:t>г.</w:t>
      </w:r>
      <w:r w:rsidRPr="008E634D">
        <w:rPr>
          <w:rFonts w:ascii="Times New Roman" w:hAnsi="Times New Roman" w:cs="Times New Roman"/>
          <w:sz w:val="24"/>
          <w:szCs w:val="24"/>
        </w:rPr>
        <w:t xml:space="preserve"> в сумме 12,6 тыс. руб.</w:t>
      </w:r>
      <w:r w:rsidRPr="008E634D">
        <w:t xml:space="preserve"> </w:t>
      </w:r>
      <w:r w:rsidRPr="008E634D">
        <w:rPr>
          <w:rFonts w:ascii="Times New Roman" w:hAnsi="Times New Roman" w:cs="Times New Roman"/>
          <w:sz w:val="24"/>
          <w:szCs w:val="24"/>
        </w:rPr>
        <w:t>(5,6 т</w:t>
      </w:r>
      <w:r w:rsidR="00A257CD">
        <w:rPr>
          <w:rFonts w:ascii="Times New Roman" w:hAnsi="Times New Roman" w:cs="Times New Roman"/>
          <w:sz w:val="24"/>
          <w:szCs w:val="24"/>
        </w:rPr>
        <w:t xml:space="preserve">ыс. </w:t>
      </w:r>
      <w:r w:rsidRPr="008E634D">
        <w:rPr>
          <w:rFonts w:ascii="Times New Roman" w:hAnsi="Times New Roman" w:cs="Times New Roman"/>
          <w:sz w:val="24"/>
          <w:szCs w:val="24"/>
        </w:rPr>
        <w:t>р</w:t>
      </w:r>
      <w:r w:rsidR="00A257CD">
        <w:rPr>
          <w:rFonts w:ascii="Times New Roman" w:hAnsi="Times New Roman" w:cs="Times New Roman"/>
          <w:sz w:val="24"/>
          <w:szCs w:val="24"/>
        </w:rPr>
        <w:t>уб</w:t>
      </w:r>
      <w:r w:rsidRPr="008E634D">
        <w:rPr>
          <w:rFonts w:ascii="Times New Roman" w:hAnsi="Times New Roman" w:cs="Times New Roman"/>
          <w:sz w:val="24"/>
          <w:szCs w:val="24"/>
        </w:rPr>
        <w:t xml:space="preserve">. в 2016 году </w:t>
      </w:r>
      <w:r w:rsidR="00C86307">
        <w:rPr>
          <w:rFonts w:ascii="Times New Roman" w:hAnsi="Times New Roman" w:cs="Times New Roman"/>
          <w:sz w:val="24"/>
          <w:szCs w:val="24"/>
        </w:rPr>
        <w:t>и</w:t>
      </w:r>
      <w:r w:rsidRPr="008E634D">
        <w:rPr>
          <w:rFonts w:ascii="Times New Roman" w:hAnsi="Times New Roman" w:cs="Times New Roman"/>
          <w:sz w:val="24"/>
          <w:szCs w:val="24"/>
        </w:rPr>
        <w:t xml:space="preserve"> 7,0 т</w:t>
      </w:r>
      <w:r w:rsidR="00264072">
        <w:rPr>
          <w:rFonts w:ascii="Times New Roman" w:hAnsi="Times New Roman" w:cs="Times New Roman"/>
          <w:sz w:val="24"/>
          <w:szCs w:val="24"/>
        </w:rPr>
        <w:t>ыс</w:t>
      </w:r>
      <w:r w:rsidRPr="008E634D">
        <w:rPr>
          <w:rFonts w:ascii="Times New Roman" w:hAnsi="Times New Roman" w:cs="Times New Roman"/>
          <w:sz w:val="24"/>
          <w:szCs w:val="24"/>
        </w:rPr>
        <w:t>.</w:t>
      </w:r>
      <w:r w:rsidR="00264072">
        <w:rPr>
          <w:rFonts w:ascii="Times New Roman" w:hAnsi="Times New Roman" w:cs="Times New Roman"/>
          <w:sz w:val="24"/>
          <w:szCs w:val="24"/>
        </w:rPr>
        <w:t xml:space="preserve"> </w:t>
      </w:r>
      <w:r w:rsidRPr="008E634D">
        <w:rPr>
          <w:rFonts w:ascii="Times New Roman" w:hAnsi="Times New Roman" w:cs="Times New Roman"/>
          <w:sz w:val="24"/>
          <w:szCs w:val="24"/>
        </w:rPr>
        <w:t>р</w:t>
      </w:r>
      <w:r w:rsidR="00264072">
        <w:rPr>
          <w:rFonts w:ascii="Times New Roman" w:hAnsi="Times New Roman" w:cs="Times New Roman"/>
          <w:sz w:val="24"/>
          <w:szCs w:val="24"/>
        </w:rPr>
        <w:t>уб.</w:t>
      </w:r>
      <w:r w:rsidRPr="008E634D">
        <w:rPr>
          <w:rFonts w:ascii="Times New Roman" w:hAnsi="Times New Roman" w:cs="Times New Roman"/>
          <w:sz w:val="24"/>
          <w:szCs w:val="24"/>
        </w:rPr>
        <w:t xml:space="preserve"> в 2017 году), т.е. указанные расходы не соответствуют целям, определенным </w:t>
      </w:r>
      <w:r>
        <w:rPr>
          <w:rFonts w:ascii="Times New Roman" w:hAnsi="Times New Roman" w:cs="Times New Roman"/>
          <w:sz w:val="24"/>
          <w:szCs w:val="24"/>
        </w:rPr>
        <w:t>Федеральной методикой</w:t>
      </w:r>
      <w:r w:rsidRPr="008E634D">
        <w:rPr>
          <w:rFonts w:ascii="Times New Roman" w:hAnsi="Times New Roman" w:cs="Times New Roman"/>
          <w:sz w:val="24"/>
          <w:szCs w:val="24"/>
        </w:rPr>
        <w:t xml:space="preserve">, что в соответствии со ст. 306.4 БК РФ является нецелевым использованием бюджетных средств. Протокол об административном правонарушении не составлялся в связи с истечением сроков давности для привлечения к административной ответственности. </w:t>
      </w:r>
      <w:r>
        <w:rPr>
          <w:rFonts w:ascii="Times New Roman" w:hAnsi="Times New Roman" w:cs="Times New Roman"/>
          <w:sz w:val="24"/>
          <w:szCs w:val="24"/>
        </w:rPr>
        <w:t xml:space="preserve">Уведомление о применении бюджетных мер принуждения </w:t>
      </w:r>
      <w:r w:rsidR="00F27577">
        <w:rPr>
          <w:rFonts w:ascii="Times New Roman" w:hAnsi="Times New Roman" w:cs="Times New Roman"/>
          <w:sz w:val="24"/>
          <w:szCs w:val="24"/>
        </w:rPr>
        <w:t xml:space="preserve">КСП </w:t>
      </w:r>
      <w:r>
        <w:rPr>
          <w:rFonts w:ascii="Times New Roman" w:hAnsi="Times New Roman" w:cs="Times New Roman"/>
          <w:sz w:val="24"/>
          <w:szCs w:val="24"/>
        </w:rPr>
        <w:t>направлено</w:t>
      </w:r>
      <w:r w:rsidR="00C85264">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Облфин</w:t>
      </w:r>
      <w:proofErr w:type="spellEnd"/>
      <w:r>
        <w:rPr>
          <w:rFonts w:ascii="Times New Roman" w:hAnsi="Times New Roman" w:cs="Times New Roman"/>
          <w:sz w:val="24"/>
          <w:szCs w:val="24"/>
        </w:rPr>
        <w:t xml:space="preserve"> </w:t>
      </w:r>
      <w:r w:rsidR="00C361B2" w:rsidRPr="00C361B2">
        <w:rPr>
          <w:rFonts w:ascii="Times New Roman" w:hAnsi="Times New Roman" w:cs="Times New Roman"/>
          <w:sz w:val="24"/>
          <w:szCs w:val="24"/>
        </w:rPr>
        <w:t>18.</w:t>
      </w:r>
      <w:r w:rsidR="00C85264" w:rsidRPr="00C361B2">
        <w:rPr>
          <w:rFonts w:ascii="Times New Roman" w:hAnsi="Times New Roman" w:cs="Times New Roman"/>
          <w:sz w:val="24"/>
          <w:szCs w:val="24"/>
        </w:rPr>
        <w:t>09.2018;</w:t>
      </w:r>
    </w:p>
    <w:p w:rsidR="00365815" w:rsidRPr="00643F53" w:rsidRDefault="00365815" w:rsidP="00643F53">
      <w:pPr>
        <w:autoSpaceDE w:val="0"/>
        <w:autoSpaceDN w:val="0"/>
        <w:adjustRightInd w:val="0"/>
        <w:ind w:firstLine="709"/>
        <w:jc w:val="center"/>
        <w:rPr>
          <w:i/>
          <w:u w:val="single"/>
        </w:rPr>
      </w:pPr>
      <w:r w:rsidRPr="00643F53">
        <w:rPr>
          <w:i/>
          <w:u w:val="single"/>
        </w:rPr>
        <w:t>соблюдение правил предоставления субвенций</w:t>
      </w:r>
    </w:p>
    <w:p w:rsidR="00AA3471" w:rsidRPr="00EC73B7" w:rsidRDefault="00365815" w:rsidP="00EC73B7">
      <w:pPr>
        <w:pStyle w:val="a3"/>
        <w:numPr>
          <w:ilvl w:val="0"/>
          <w:numId w:val="6"/>
        </w:numPr>
        <w:autoSpaceDE w:val="0"/>
        <w:autoSpaceDN w:val="0"/>
        <w:adjustRightInd w:val="0"/>
        <w:spacing w:after="0" w:line="240" w:lineRule="auto"/>
        <w:ind w:left="0" w:firstLine="680"/>
        <w:jc w:val="both"/>
      </w:pPr>
      <w:proofErr w:type="gramStart"/>
      <w:r w:rsidRPr="00EC73B7">
        <w:rPr>
          <w:rFonts w:ascii="Times New Roman" w:hAnsi="Times New Roman" w:cs="Times New Roman"/>
          <w:sz w:val="24"/>
          <w:szCs w:val="24"/>
        </w:rPr>
        <w:t xml:space="preserve">в нарушение п.11 </w:t>
      </w:r>
      <w:r w:rsidR="00CD4ABB" w:rsidRPr="00EC73B7">
        <w:rPr>
          <w:rFonts w:ascii="Times New Roman" w:hAnsi="Times New Roman" w:cs="Times New Roman"/>
          <w:sz w:val="24"/>
          <w:szCs w:val="24"/>
        </w:rPr>
        <w:t>П</w:t>
      </w:r>
      <w:r w:rsidRPr="00EC73B7">
        <w:rPr>
          <w:rFonts w:ascii="Times New Roman" w:hAnsi="Times New Roman" w:cs="Times New Roman"/>
          <w:sz w:val="24"/>
          <w:szCs w:val="24"/>
        </w:rPr>
        <w:t xml:space="preserve">остановления Правительства РФ № 719 по </w:t>
      </w:r>
      <w:proofErr w:type="spellStart"/>
      <w:r w:rsidRPr="00EC73B7">
        <w:rPr>
          <w:rFonts w:ascii="Times New Roman" w:hAnsi="Times New Roman" w:cs="Times New Roman"/>
          <w:sz w:val="24"/>
          <w:szCs w:val="24"/>
        </w:rPr>
        <w:t>Светлоярскому</w:t>
      </w:r>
      <w:proofErr w:type="spellEnd"/>
      <w:r w:rsidRPr="00EC73B7">
        <w:rPr>
          <w:rFonts w:ascii="Times New Roman" w:hAnsi="Times New Roman" w:cs="Times New Roman"/>
          <w:sz w:val="24"/>
          <w:szCs w:val="24"/>
        </w:rPr>
        <w:t xml:space="preserve"> городскому поселению </w:t>
      </w:r>
      <w:r w:rsidR="00D51F6C" w:rsidRPr="00EC73B7">
        <w:rPr>
          <w:rFonts w:ascii="Times New Roman" w:hAnsi="Times New Roman" w:cs="Times New Roman"/>
          <w:sz w:val="24"/>
          <w:szCs w:val="24"/>
        </w:rPr>
        <w:t>(далее – г/</w:t>
      </w:r>
      <w:proofErr w:type="spellStart"/>
      <w:r w:rsidR="00D51F6C" w:rsidRPr="00EC73B7">
        <w:rPr>
          <w:rFonts w:ascii="Times New Roman" w:hAnsi="Times New Roman" w:cs="Times New Roman"/>
          <w:sz w:val="24"/>
          <w:szCs w:val="24"/>
        </w:rPr>
        <w:t>п</w:t>
      </w:r>
      <w:proofErr w:type="spellEnd"/>
      <w:r w:rsidR="00D51F6C" w:rsidRPr="00EC73B7">
        <w:rPr>
          <w:rFonts w:ascii="Times New Roman" w:hAnsi="Times New Roman" w:cs="Times New Roman"/>
          <w:sz w:val="24"/>
          <w:szCs w:val="24"/>
        </w:rPr>
        <w:t xml:space="preserve">) </w:t>
      </w:r>
      <w:proofErr w:type="spellStart"/>
      <w:r w:rsidRPr="00EC73B7">
        <w:rPr>
          <w:rFonts w:ascii="Times New Roman" w:hAnsi="Times New Roman" w:cs="Times New Roman"/>
          <w:sz w:val="24"/>
          <w:szCs w:val="24"/>
        </w:rPr>
        <w:t>Светлоярского</w:t>
      </w:r>
      <w:proofErr w:type="spellEnd"/>
      <w:r w:rsidRPr="00EC73B7">
        <w:rPr>
          <w:rFonts w:ascii="Times New Roman" w:hAnsi="Times New Roman" w:cs="Times New Roman"/>
          <w:sz w:val="24"/>
          <w:szCs w:val="24"/>
        </w:rPr>
        <w:t xml:space="preserve"> муниципального района </w:t>
      </w:r>
      <w:r w:rsidR="00D51F6C" w:rsidRPr="00EC73B7">
        <w:rPr>
          <w:rFonts w:ascii="Times New Roman" w:hAnsi="Times New Roman" w:cs="Times New Roman"/>
          <w:sz w:val="24"/>
          <w:szCs w:val="24"/>
        </w:rPr>
        <w:t xml:space="preserve">(далее – МР) </w:t>
      </w:r>
      <w:r w:rsidRPr="00EC73B7">
        <w:rPr>
          <w:rFonts w:ascii="Times New Roman" w:hAnsi="Times New Roman" w:cs="Times New Roman"/>
          <w:sz w:val="24"/>
          <w:szCs w:val="24"/>
        </w:rPr>
        <w:t xml:space="preserve">на 2016 год </w:t>
      </w:r>
      <w:proofErr w:type="spellStart"/>
      <w:r w:rsidRPr="00EC73B7">
        <w:rPr>
          <w:rFonts w:ascii="Times New Roman" w:hAnsi="Times New Roman" w:cs="Times New Roman"/>
          <w:sz w:val="24"/>
          <w:szCs w:val="24"/>
        </w:rPr>
        <w:t>Облфином</w:t>
      </w:r>
      <w:proofErr w:type="spellEnd"/>
      <w:r w:rsidRPr="00EC73B7">
        <w:rPr>
          <w:rFonts w:ascii="Times New Roman" w:hAnsi="Times New Roman" w:cs="Times New Roman"/>
          <w:sz w:val="24"/>
          <w:szCs w:val="24"/>
        </w:rPr>
        <w:t xml:space="preserve"> субвенция рассчитана и предоставлена с превышением установленных норм – на 3 освобожденных работника вместо 2-х и составила 592,9 т.р. вместо 395,3 т.р., превышение составило 197,6 т</w:t>
      </w:r>
      <w:r w:rsidR="003F01C4">
        <w:rPr>
          <w:rFonts w:ascii="Times New Roman" w:hAnsi="Times New Roman" w:cs="Times New Roman"/>
          <w:sz w:val="24"/>
          <w:szCs w:val="24"/>
        </w:rPr>
        <w:t>ыс</w:t>
      </w:r>
      <w:r w:rsidRPr="00EC73B7">
        <w:rPr>
          <w:rFonts w:ascii="Times New Roman" w:hAnsi="Times New Roman" w:cs="Times New Roman"/>
          <w:sz w:val="24"/>
          <w:szCs w:val="24"/>
        </w:rPr>
        <w:t>.</w:t>
      </w:r>
      <w:r w:rsidR="003F01C4">
        <w:rPr>
          <w:rFonts w:ascii="Times New Roman" w:hAnsi="Times New Roman" w:cs="Times New Roman"/>
          <w:sz w:val="24"/>
          <w:szCs w:val="24"/>
        </w:rPr>
        <w:t xml:space="preserve"> </w:t>
      </w:r>
      <w:r w:rsidRPr="00EC73B7">
        <w:rPr>
          <w:rFonts w:ascii="Times New Roman" w:hAnsi="Times New Roman" w:cs="Times New Roman"/>
          <w:sz w:val="24"/>
          <w:szCs w:val="24"/>
        </w:rPr>
        <w:t>р</w:t>
      </w:r>
      <w:r w:rsidR="003F01C4">
        <w:rPr>
          <w:rFonts w:ascii="Times New Roman" w:hAnsi="Times New Roman" w:cs="Times New Roman"/>
          <w:sz w:val="24"/>
          <w:szCs w:val="24"/>
        </w:rPr>
        <w:t>уб</w:t>
      </w:r>
      <w:r w:rsidRPr="00EC73B7">
        <w:rPr>
          <w:rFonts w:ascii="Times New Roman" w:hAnsi="Times New Roman" w:cs="Times New Roman"/>
          <w:sz w:val="24"/>
          <w:szCs w:val="24"/>
        </w:rPr>
        <w:t xml:space="preserve">. (исходные данные </w:t>
      </w:r>
      <w:proofErr w:type="spellStart"/>
      <w:r w:rsidRPr="00EC73B7">
        <w:rPr>
          <w:rFonts w:ascii="Times New Roman" w:hAnsi="Times New Roman" w:cs="Times New Roman"/>
          <w:sz w:val="24"/>
          <w:szCs w:val="24"/>
        </w:rPr>
        <w:t>Облвоенкомата</w:t>
      </w:r>
      <w:proofErr w:type="spellEnd"/>
      <w:r w:rsidRPr="00EC73B7">
        <w:rPr>
          <w:rFonts w:ascii="Times New Roman" w:hAnsi="Times New Roman" w:cs="Times New Roman"/>
          <w:sz w:val="24"/>
          <w:szCs w:val="24"/>
        </w:rPr>
        <w:t xml:space="preserve"> для предоставления субвенции на 2016</w:t>
      </w:r>
      <w:proofErr w:type="gramEnd"/>
      <w:r w:rsidRPr="00EC73B7">
        <w:rPr>
          <w:rFonts w:ascii="Times New Roman" w:hAnsi="Times New Roman" w:cs="Times New Roman"/>
          <w:sz w:val="24"/>
          <w:szCs w:val="24"/>
        </w:rPr>
        <w:t xml:space="preserve"> год по поселению  составляют 2975 граждан, состоящих на учете, и 2 единицы</w:t>
      </w:r>
      <w:r w:rsidRPr="00EC73B7">
        <w:t xml:space="preserve"> </w:t>
      </w:r>
      <w:r w:rsidRPr="00DB6403">
        <w:rPr>
          <w:rFonts w:ascii="Times New Roman" w:hAnsi="Times New Roman" w:cs="Times New Roman"/>
          <w:sz w:val="24"/>
          <w:szCs w:val="24"/>
        </w:rPr>
        <w:t>ВУР)</w:t>
      </w:r>
      <w:r w:rsidR="00D51F6C" w:rsidRPr="00EC73B7">
        <w:t>;</w:t>
      </w:r>
    </w:p>
    <w:p w:rsidR="00365815" w:rsidRPr="00B168A5" w:rsidRDefault="00365815" w:rsidP="009E6F62">
      <w:pPr>
        <w:autoSpaceDE w:val="0"/>
        <w:autoSpaceDN w:val="0"/>
        <w:adjustRightInd w:val="0"/>
        <w:ind w:firstLine="680"/>
        <w:jc w:val="center"/>
        <w:rPr>
          <w:rFonts w:eastAsiaTheme="minorHAnsi"/>
          <w:i/>
          <w:u w:val="single"/>
          <w:lang w:eastAsia="en-US"/>
        </w:rPr>
      </w:pPr>
      <w:r w:rsidRPr="00B168A5">
        <w:rPr>
          <w:rFonts w:eastAsiaTheme="minorHAnsi"/>
          <w:i/>
          <w:u w:val="single"/>
          <w:lang w:eastAsia="en-US"/>
        </w:rPr>
        <w:t>ведение бюджетного учета</w:t>
      </w:r>
    </w:p>
    <w:p w:rsidR="00170C1D" w:rsidRDefault="00365815" w:rsidP="00170C1D">
      <w:pPr>
        <w:pStyle w:val="a3"/>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proofErr w:type="gramStart"/>
      <w:r w:rsidRPr="00170C1D">
        <w:rPr>
          <w:rFonts w:ascii="Times New Roman" w:hAnsi="Times New Roman" w:cs="Times New Roman"/>
          <w:sz w:val="24"/>
          <w:szCs w:val="24"/>
        </w:rPr>
        <w:t xml:space="preserve">в нарушение п. 11 раздела 1 Инструкции по применению единого плана счетов бухгалтерского учета ..., утвержденной приказом Минфина от 01.12.2010 № 157н, согласно которому записи в регистры бухгалтерского учета осуществляются по мере совершения операций и принятия к бухгалтерскому учету первичного учетного документа, но не позднее следующего дня после получения первичного (сводного) учетного документа, </w:t>
      </w:r>
      <w:r w:rsidR="00D51F6C" w:rsidRPr="00170C1D">
        <w:rPr>
          <w:rFonts w:ascii="Times New Roman" w:hAnsi="Times New Roman" w:cs="Times New Roman"/>
          <w:sz w:val="24"/>
          <w:szCs w:val="24"/>
        </w:rPr>
        <w:t>Береславским сельским поселением (далее- с/</w:t>
      </w:r>
      <w:proofErr w:type="spellStart"/>
      <w:r w:rsidR="00D51F6C" w:rsidRPr="00170C1D">
        <w:rPr>
          <w:rFonts w:ascii="Times New Roman" w:hAnsi="Times New Roman" w:cs="Times New Roman"/>
          <w:sz w:val="24"/>
          <w:szCs w:val="24"/>
        </w:rPr>
        <w:t>п</w:t>
      </w:r>
      <w:proofErr w:type="spellEnd"/>
      <w:r w:rsidR="00D51F6C" w:rsidRPr="00170C1D">
        <w:rPr>
          <w:rFonts w:ascii="Times New Roman" w:hAnsi="Times New Roman" w:cs="Times New Roman"/>
          <w:sz w:val="24"/>
          <w:szCs w:val="24"/>
        </w:rPr>
        <w:t xml:space="preserve">) </w:t>
      </w:r>
      <w:proofErr w:type="spellStart"/>
      <w:r w:rsidR="00D51F6C" w:rsidRPr="00170C1D">
        <w:rPr>
          <w:rFonts w:ascii="Times New Roman" w:hAnsi="Times New Roman" w:cs="Times New Roman"/>
          <w:sz w:val="24"/>
          <w:szCs w:val="24"/>
        </w:rPr>
        <w:t>Калачевского</w:t>
      </w:r>
      <w:proofErr w:type="spellEnd"/>
      <w:r w:rsidR="00D51F6C" w:rsidRPr="00170C1D">
        <w:rPr>
          <w:rFonts w:ascii="Times New Roman" w:hAnsi="Times New Roman" w:cs="Times New Roman"/>
          <w:sz w:val="24"/>
          <w:szCs w:val="24"/>
        </w:rPr>
        <w:t xml:space="preserve"> МР операция</w:t>
      </w:r>
      <w:proofErr w:type="gramEnd"/>
      <w:r w:rsidR="00D51F6C" w:rsidRPr="00170C1D">
        <w:rPr>
          <w:rFonts w:ascii="Times New Roman" w:hAnsi="Times New Roman" w:cs="Times New Roman"/>
          <w:sz w:val="24"/>
          <w:szCs w:val="24"/>
        </w:rPr>
        <w:t xml:space="preserve"> по поступлению </w:t>
      </w:r>
      <w:r w:rsidRPr="00170C1D">
        <w:rPr>
          <w:rFonts w:ascii="Times New Roman" w:hAnsi="Times New Roman" w:cs="Times New Roman"/>
          <w:sz w:val="24"/>
          <w:szCs w:val="24"/>
        </w:rPr>
        <w:t>част</w:t>
      </w:r>
      <w:r w:rsidR="00D51F6C" w:rsidRPr="00170C1D">
        <w:rPr>
          <w:rFonts w:ascii="Times New Roman" w:hAnsi="Times New Roman" w:cs="Times New Roman"/>
          <w:sz w:val="24"/>
          <w:szCs w:val="24"/>
        </w:rPr>
        <w:t>и</w:t>
      </w:r>
      <w:r w:rsidRPr="00170C1D">
        <w:rPr>
          <w:rFonts w:ascii="Times New Roman" w:hAnsi="Times New Roman" w:cs="Times New Roman"/>
          <w:sz w:val="24"/>
          <w:szCs w:val="24"/>
        </w:rPr>
        <w:t xml:space="preserve"> субвенции в размере 168,0 т.р., перечисленн</w:t>
      </w:r>
      <w:r w:rsidR="00D51F6C" w:rsidRPr="00170C1D">
        <w:rPr>
          <w:rFonts w:ascii="Times New Roman" w:hAnsi="Times New Roman" w:cs="Times New Roman"/>
          <w:sz w:val="24"/>
          <w:szCs w:val="24"/>
        </w:rPr>
        <w:t>ой</w:t>
      </w:r>
      <w:r w:rsidRPr="00170C1D">
        <w:rPr>
          <w:rFonts w:ascii="Times New Roman" w:hAnsi="Times New Roman" w:cs="Times New Roman"/>
          <w:sz w:val="24"/>
          <w:szCs w:val="24"/>
        </w:rPr>
        <w:t xml:space="preserve"> </w:t>
      </w:r>
      <w:proofErr w:type="spellStart"/>
      <w:proofErr w:type="gramStart"/>
      <w:r w:rsidRPr="00170C1D">
        <w:rPr>
          <w:rFonts w:ascii="Times New Roman" w:hAnsi="Times New Roman" w:cs="Times New Roman"/>
          <w:sz w:val="24"/>
          <w:szCs w:val="24"/>
        </w:rPr>
        <w:t>п</w:t>
      </w:r>
      <w:proofErr w:type="spellEnd"/>
      <w:proofErr w:type="gramEnd"/>
      <w:r w:rsidRPr="00170C1D">
        <w:rPr>
          <w:rFonts w:ascii="Times New Roman" w:hAnsi="Times New Roman" w:cs="Times New Roman"/>
          <w:sz w:val="24"/>
          <w:szCs w:val="24"/>
        </w:rPr>
        <w:t>/</w:t>
      </w:r>
      <w:proofErr w:type="spellStart"/>
      <w:r w:rsidRPr="00170C1D">
        <w:rPr>
          <w:rFonts w:ascii="Times New Roman" w:hAnsi="Times New Roman" w:cs="Times New Roman"/>
          <w:sz w:val="24"/>
          <w:szCs w:val="24"/>
        </w:rPr>
        <w:t>п</w:t>
      </w:r>
      <w:proofErr w:type="spellEnd"/>
      <w:r w:rsidRPr="00170C1D">
        <w:rPr>
          <w:rFonts w:ascii="Times New Roman" w:hAnsi="Times New Roman" w:cs="Times New Roman"/>
          <w:sz w:val="24"/>
          <w:szCs w:val="24"/>
        </w:rPr>
        <w:t xml:space="preserve"> от 11.02.2016, в бюджетном учете  отражен</w:t>
      </w:r>
      <w:r w:rsidR="00D51F6C" w:rsidRPr="00170C1D">
        <w:rPr>
          <w:rFonts w:ascii="Times New Roman" w:hAnsi="Times New Roman" w:cs="Times New Roman"/>
          <w:sz w:val="24"/>
          <w:szCs w:val="24"/>
        </w:rPr>
        <w:t>а</w:t>
      </w:r>
      <w:r w:rsidRPr="00170C1D">
        <w:rPr>
          <w:rFonts w:ascii="Times New Roman" w:hAnsi="Times New Roman" w:cs="Times New Roman"/>
          <w:sz w:val="24"/>
          <w:szCs w:val="24"/>
        </w:rPr>
        <w:t xml:space="preserve"> в марте месяце</w:t>
      </w:r>
      <w:r w:rsidR="00D51F6C" w:rsidRPr="00170C1D">
        <w:rPr>
          <w:rFonts w:ascii="Times New Roman" w:hAnsi="Times New Roman" w:cs="Times New Roman"/>
          <w:sz w:val="24"/>
          <w:szCs w:val="24"/>
        </w:rPr>
        <w:t>;</w:t>
      </w:r>
    </w:p>
    <w:p w:rsidR="00754D13" w:rsidRPr="00170C1D" w:rsidRDefault="00754D13" w:rsidP="00170C1D">
      <w:pPr>
        <w:pStyle w:val="a3"/>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170C1D">
        <w:rPr>
          <w:rFonts w:ascii="Times New Roman" w:hAnsi="Times New Roman" w:cs="Times New Roman"/>
          <w:sz w:val="24"/>
          <w:szCs w:val="24"/>
        </w:rPr>
        <w:t xml:space="preserve">в нарушение ст. 10 Федерального закона от 06.12.2011 № </w:t>
      </w:r>
      <w:r w:rsidR="001E4C1B" w:rsidRPr="00170C1D">
        <w:rPr>
          <w:rFonts w:ascii="Times New Roman" w:hAnsi="Times New Roman" w:cs="Times New Roman"/>
          <w:sz w:val="24"/>
          <w:szCs w:val="24"/>
        </w:rPr>
        <w:t>402-ФЗ «О бухгалтерском учете</w:t>
      </w:r>
      <w:bookmarkStart w:id="0" w:name="OLE_LINK1"/>
      <w:bookmarkStart w:id="1" w:name="OLE_LINK2"/>
      <w:r w:rsidR="001E4C1B" w:rsidRPr="00170C1D">
        <w:rPr>
          <w:rFonts w:ascii="Times New Roman" w:hAnsi="Times New Roman" w:cs="Times New Roman"/>
          <w:sz w:val="24"/>
          <w:szCs w:val="24"/>
        </w:rPr>
        <w:t>»</w:t>
      </w:r>
      <w:bookmarkEnd w:id="0"/>
      <w:bookmarkEnd w:id="1"/>
      <w:r w:rsidRPr="00170C1D">
        <w:rPr>
          <w:rFonts w:ascii="Times New Roman" w:hAnsi="Times New Roman" w:cs="Times New Roman"/>
          <w:sz w:val="24"/>
          <w:szCs w:val="24"/>
        </w:rPr>
        <w:t xml:space="preserve"> </w:t>
      </w:r>
      <w:proofErr w:type="spellStart"/>
      <w:r w:rsidR="001E4C1B" w:rsidRPr="00170C1D">
        <w:rPr>
          <w:rFonts w:ascii="Times New Roman" w:hAnsi="Times New Roman" w:cs="Times New Roman"/>
          <w:sz w:val="24"/>
          <w:szCs w:val="24"/>
        </w:rPr>
        <w:t>Солодчинским</w:t>
      </w:r>
      <w:proofErr w:type="spellEnd"/>
      <w:r w:rsidR="001E4C1B" w:rsidRPr="00170C1D">
        <w:rPr>
          <w:rFonts w:ascii="Times New Roman" w:hAnsi="Times New Roman" w:cs="Times New Roman"/>
          <w:sz w:val="24"/>
          <w:szCs w:val="24"/>
        </w:rPr>
        <w:t xml:space="preserve"> с</w:t>
      </w:r>
      <w:r w:rsidR="008C3E66">
        <w:rPr>
          <w:rFonts w:ascii="Times New Roman" w:hAnsi="Times New Roman" w:cs="Times New Roman"/>
          <w:sz w:val="24"/>
          <w:szCs w:val="24"/>
        </w:rPr>
        <w:t>/</w:t>
      </w:r>
      <w:proofErr w:type="spellStart"/>
      <w:proofErr w:type="gramStart"/>
      <w:r w:rsidR="008C3E66">
        <w:rPr>
          <w:rFonts w:ascii="Times New Roman" w:hAnsi="Times New Roman" w:cs="Times New Roman"/>
          <w:sz w:val="24"/>
          <w:szCs w:val="24"/>
        </w:rPr>
        <w:t>п</w:t>
      </w:r>
      <w:proofErr w:type="spellEnd"/>
      <w:proofErr w:type="gramEnd"/>
      <w:r w:rsidR="001E4C1B" w:rsidRPr="00170C1D">
        <w:rPr>
          <w:rFonts w:ascii="Times New Roman" w:hAnsi="Times New Roman" w:cs="Times New Roman"/>
          <w:sz w:val="24"/>
          <w:szCs w:val="24"/>
        </w:rPr>
        <w:t xml:space="preserve"> Ольховского МР </w:t>
      </w:r>
      <w:r w:rsidRPr="00170C1D">
        <w:rPr>
          <w:rFonts w:ascii="Times New Roman" w:hAnsi="Times New Roman" w:cs="Times New Roman"/>
          <w:sz w:val="24"/>
          <w:szCs w:val="24"/>
        </w:rPr>
        <w:t xml:space="preserve">в балансе </w:t>
      </w:r>
      <w:r w:rsidR="001E4C1B" w:rsidRPr="00170C1D">
        <w:rPr>
          <w:rFonts w:ascii="Times New Roman" w:hAnsi="Times New Roman" w:cs="Times New Roman"/>
          <w:sz w:val="24"/>
          <w:szCs w:val="24"/>
        </w:rPr>
        <w:t xml:space="preserve">за 2016 год </w:t>
      </w:r>
      <w:r w:rsidRPr="00170C1D">
        <w:rPr>
          <w:rFonts w:ascii="Times New Roman" w:hAnsi="Times New Roman" w:cs="Times New Roman"/>
          <w:sz w:val="24"/>
          <w:szCs w:val="24"/>
        </w:rPr>
        <w:t>не отражено приобретенное имущество (блок питания) на сумму 1,9 тыс. руб</w:t>
      </w:r>
      <w:r w:rsidR="009D4DE0" w:rsidRPr="00170C1D">
        <w:rPr>
          <w:rFonts w:ascii="Times New Roman" w:hAnsi="Times New Roman" w:cs="Times New Roman"/>
          <w:sz w:val="24"/>
          <w:szCs w:val="24"/>
        </w:rPr>
        <w:t>.</w:t>
      </w:r>
      <w:r w:rsidR="001E4C1B" w:rsidRPr="00170C1D">
        <w:rPr>
          <w:rFonts w:ascii="Times New Roman" w:hAnsi="Times New Roman" w:cs="Times New Roman"/>
          <w:sz w:val="24"/>
          <w:szCs w:val="24"/>
        </w:rPr>
        <w:t>;</w:t>
      </w:r>
    </w:p>
    <w:p w:rsidR="00B168A5" w:rsidRPr="00B168A5" w:rsidRDefault="00B168A5" w:rsidP="00B168A5">
      <w:pPr>
        <w:autoSpaceDE w:val="0"/>
        <w:autoSpaceDN w:val="0"/>
        <w:adjustRightInd w:val="0"/>
        <w:ind w:firstLine="680"/>
        <w:jc w:val="center"/>
        <w:rPr>
          <w:rFonts w:eastAsiaTheme="minorHAnsi"/>
          <w:i/>
          <w:u w:val="single"/>
          <w:lang w:eastAsia="en-US"/>
        </w:rPr>
      </w:pPr>
      <w:r w:rsidRPr="00B168A5">
        <w:rPr>
          <w:rFonts w:eastAsiaTheme="minorHAnsi"/>
          <w:i/>
          <w:u w:val="single"/>
          <w:lang w:eastAsia="en-US"/>
        </w:rPr>
        <w:t xml:space="preserve">достоверность </w:t>
      </w:r>
      <w:r w:rsidR="00DF646D">
        <w:rPr>
          <w:rFonts w:eastAsiaTheme="minorHAnsi"/>
          <w:i/>
          <w:u w:val="single"/>
          <w:lang w:eastAsia="en-US"/>
        </w:rPr>
        <w:t xml:space="preserve">и правильность заполнения </w:t>
      </w:r>
      <w:r w:rsidRPr="00B168A5">
        <w:rPr>
          <w:rFonts w:eastAsiaTheme="minorHAnsi"/>
          <w:i/>
          <w:u w:val="single"/>
          <w:lang w:eastAsia="en-US"/>
        </w:rPr>
        <w:t xml:space="preserve">бюджетной </w:t>
      </w:r>
      <w:r w:rsidR="00F863D6">
        <w:rPr>
          <w:rFonts w:eastAsiaTheme="minorHAnsi"/>
          <w:i/>
          <w:u w:val="single"/>
          <w:lang w:eastAsia="en-US"/>
        </w:rPr>
        <w:t>отчетности и отчетности, предусмотренной приказом Минфина РФ № 90н</w:t>
      </w:r>
      <w:r w:rsidR="005612F2">
        <w:rPr>
          <w:rFonts w:eastAsiaTheme="minorHAnsi"/>
          <w:i/>
          <w:u w:val="single"/>
          <w:lang w:eastAsia="en-US"/>
        </w:rPr>
        <w:t>, а также соблюдение сроков представления отчетности</w:t>
      </w:r>
    </w:p>
    <w:p w:rsidR="00C610E9" w:rsidRDefault="009472C1" w:rsidP="00C610E9">
      <w:pPr>
        <w:pStyle w:val="a3"/>
        <w:numPr>
          <w:ilvl w:val="0"/>
          <w:numId w:val="7"/>
        </w:numPr>
        <w:autoSpaceDE w:val="0"/>
        <w:autoSpaceDN w:val="0"/>
        <w:adjustRightInd w:val="0"/>
        <w:spacing w:after="0" w:line="240" w:lineRule="auto"/>
        <w:ind w:left="0" w:firstLine="680"/>
        <w:jc w:val="both"/>
        <w:rPr>
          <w:rFonts w:ascii="Times New Roman" w:hAnsi="Times New Roman" w:cs="Times New Roman"/>
          <w:sz w:val="24"/>
          <w:szCs w:val="24"/>
        </w:rPr>
      </w:pPr>
      <w:proofErr w:type="gramStart"/>
      <w:r w:rsidRPr="00947D33">
        <w:rPr>
          <w:rFonts w:ascii="Times New Roman" w:hAnsi="Times New Roman" w:cs="Times New Roman"/>
          <w:sz w:val="24"/>
          <w:szCs w:val="24"/>
        </w:rPr>
        <w:t>в нарушение  ст. 13 Федерального закона от 06.12.2011 № 402-ФЗ «О бухгалтерском учете</w:t>
      </w:r>
      <w:bookmarkStart w:id="2" w:name="OLE_LINK3"/>
      <w:bookmarkStart w:id="3" w:name="OLE_LINK4"/>
      <w:r w:rsidRPr="00947D33">
        <w:rPr>
          <w:rFonts w:ascii="Times New Roman" w:hAnsi="Times New Roman" w:cs="Times New Roman"/>
          <w:sz w:val="24"/>
          <w:szCs w:val="24"/>
        </w:rPr>
        <w:t>»</w:t>
      </w:r>
      <w:bookmarkEnd w:id="2"/>
      <w:bookmarkEnd w:id="3"/>
      <w:r w:rsidRPr="00947D33">
        <w:rPr>
          <w:rFonts w:ascii="Times New Roman" w:hAnsi="Times New Roman" w:cs="Times New Roman"/>
          <w:sz w:val="24"/>
          <w:szCs w:val="24"/>
        </w:rPr>
        <w:t>, п.3 Инструкции по применению единого плана счетов бухгалтерского учета..., утвержденной  приказом Минфина России от 01.12.2010 № 157н, п.7  Инструкции о порядке составления и представления годовой, квартальной и месячной отчетности…, утвержденной приказом Минфина РФ от 28.12.2010 № 191н, в Сведениях по дебиторской и кредиторской задолженности (ф. 0503169)  за 2017</w:t>
      </w:r>
      <w:proofErr w:type="gramEnd"/>
      <w:r w:rsidRPr="00947D33">
        <w:rPr>
          <w:rFonts w:ascii="Times New Roman" w:hAnsi="Times New Roman" w:cs="Times New Roman"/>
          <w:sz w:val="24"/>
          <w:szCs w:val="24"/>
        </w:rPr>
        <w:t xml:space="preserve"> год Медведицким с/</w:t>
      </w:r>
      <w:proofErr w:type="spellStart"/>
      <w:proofErr w:type="gramStart"/>
      <w:r w:rsidRPr="00947D33">
        <w:rPr>
          <w:rFonts w:ascii="Times New Roman" w:hAnsi="Times New Roman" w:cs="Times New Roman"/>
          <w:sz w:val="24"/>
          <w:szCs w:val="24"/>
        </w:rPr>
        <w:t>п</w:t>
      </w:r>
      <w:proofErr w:type="spellEnd"/>
      <w:proofErr w:type="gramEnd"/>
      <w:r w:rsidRPr="00947D33">
        <w:rPr>
          <w:rFonts w:ascii="Times New Roman" w:hAnsi="Times New Roman" w:cs="Times New Roman"/>
          <w:sz w:val="24"/>
          <w:szCs w:val="24"/>
        </w:rPr>
        <w:t xml:space="preserve"> </w:t>
      </w:r>
      <w:proofErr w:type="spellStart"/>
      <w:r w:rsidRPr="00947D33">
        <w:rPr>
          <w:rFonts w:ascii="Times New Roman" w:hAnsi="Times New Roman" w:cs="Times New Roman"/>
          <w:sz w:val="24"/>
          <w:szCs w:val="24"/>
        </w:rPr>
        <w:t>Жирновского</w:t>
      </w:r>
      <w:proofErr w:type="spellEnd"/>
      <w:r w:rsidRPr="00947D33">
        <w:rPr>
          <w:rFonts w:ascii="Times New Roman" w:hAnsi="Times New Roman" w:cs="Times New Roman"/>
          <w:sz w:val="24"/>
          <w:szCs w:val="24"/>
        </w:rPr>
        <w:t xml:space="preserve"> МР в составе кредиторской задолженности по счету 208.21 «Расчеты с подотчетными лицами по оплате услуг связи» отражена  задолженность в сумме 1,1 тыс. руб., которая согласно данным </w:t>
      </w:r>
      <w:proofErr w:type="spellStart"/>
      <w:r w:rsidRPr="00947D33">
        <w:rPr>
          <w:rFonts w:ascii="Times New Roman" w:hAnsi="Times New Roman" w:cs="Times New Roman"/>
          <w:sz w:val="24"/>
          <w:szCs w:val="24"/>
        </w:rPr>
        <w:t>оборотно-сальдовой</w:t>
      </w:r>
      <w:proofErr w:type="spellEnd"/>
      <w:r w:rsidRPr="00947D33">
        <w:rPr>
          <w:rFonts w:ascii="Times New Roman" w:hAnsi="Times New Roman" w:cs="Times New Roman"/>
          <w:sz w:val="24"/>
          <w:szCs w:val="24"/>
        </w:rPr>
        <w:t xml:space="preserve"> ведомости не числится. В результате произошло искажение строки бюджетной отчетности на 22,4%  (более чем на 10%), что является </w:t>
      </w:r>
      <w:r w:rsidRPr="00947D33">
        <w:rPr>
          <w:rFonts w:ascii="Times New Roman" w:hAnsi="Times New Roman" w:cs="Times New Roman"/>
          <w:sz w:val="24"/>
          <w:szCs w:val="24"/>
        </w:rPr>
        <w:lastRenderedPageBreak/>
        <w:t xml:space="preserve">административным правонарушением по ст. 15.11 </w:t>
      </w:r>
      <w:proofErr w:type="spellStart"/>
      <w:r w:rsidRPr="00947D33">
        <w:rPr>
          <w:rFonts w:ascii="Times New Roman" w:hAnsi="Times New Roman" w:cs="Times New Roman"/>
          <w:sz w:val="24"/>
          <w:szCs w:val="24"/>
        </w:rPr>
        <w:t>КоАП</w:t>
      </w:r>
      <w:proofErr w:type="spellEnd"/>
      <w:r w:rsidRPr="00947D33">
        <w:rPr>
          <w:rFonts w:ascii="Times New Roman" w:hAnsi="Times New Roman" w:cs="Times New Roman"/>
          <w:sz w:val="24"/>
          <w:szCs w:val="24"/>
        </w:rPr>
        <w:t xml:space="preserve"> РФ (главный бухгалтер привлечен к административной ответственности в размере 5 т</w:t>
      </w:r>
      <w:r w:rsidR="004F5E99" w:rsidRPr="00947D33">
        <w:rPr>
          <w:rFonts w:ascii="Times New Roman" w:hAnsi="Times New Roman" w:cs="Times New Roman"/>
          <w:sz w:val="24"/>
          <w:szCs w:val="24"/>
        </w:rPr>
        <w:t>ыс</w:t>
      </w:r>
      <w:r w:rsidRPr="00947D33">
        <w:rPr>
          <w:rFonts w:ascii="Times New Roman" w:hAnsi="Times New Roman" w:cs="Times New Roman"/>
          <w:sz w:val="24"/>
          <w:szCs w:val="24"/>
        </w:rPr>
        <w:t>.</w:t>
      </w:r>
      <w:r w:rsidR="004F5E99" w:rsidRPr="00947D33">
        <w:rPr>
          <w:rFonts w:ascii="Times New Roman" w:hAnsi="Times New Roman" w:cs="Times New Roman"/>
          <w:sz w:val="24"/>
          <w:szCs w:val="24"/>
        </w:rPr>
        <w:t xml:space="preserve"> </w:t>
      </w:r>
      <w:r w:rsidRPr="00947D33">
        <w:rPr>
          <w:rFonts w:ascii="Times New Roman" w:hAnsi="Times New Roman" w:cs="Times New Roman"/>
          <w:sz w:val="24"/>
          <w:szCs w:val="24"/>
        </w:rPr>
        <w:t>р</w:t>
      </w:r>
      <w:r w:rsidR="004F5E99" w:rsidRPr="00947D33">
        <w:rPr>
          <w:rFonts w:ascii="Times New Roman" w:hAnsi="Times New Roman" w:cs="Times New Roman"/>
          <w:sz w:val="24"/>
          <w:szCs w:val="24"/>
        </w:rPr>
        <w:t>уб</w:t>
      </w:r>
      <w:r w:rsidR="00DB0252" w:rsidRPr="00947D33">
        <w:rPr>
          <w:rFonts w:ascii="Times New Roman" w:hAnsi="Times New Roman" w:cs="Times New Roman"/>
          <w:sz w:val="24"/>
          <w:szCs w:val="24"/>
        </w:rPr>
        <w:t>.</w:t>
      </w:r>
      <w:r w:rsidR="00EB2F9A" w:rsidRPr="00947D33">
        <w:rPr>
          <w:rFonts w:ascii="Times New Roman" w:hAnsi="Times New Roman" w:cs="Times New Roman"/>
          <w:sz w:val="24"/>
          <w:szCs w:val="24"/>
        </w:rPr>
        <w:t>)</w:t>
      </w:r>
      <w:r w:rsidR="00DB0252" w:rsidRPr="00947D33">
        <w:rPr>
          <w:rFonts w:ascii="Times New Roman" w:hAnsi="Times New Roman" w:cs="Times New Roman"/>
          <w:sz w:val="24"/>
          <w:szCs w:val="24"/>
        </w:rPr>
        <w:t>;</w:t>
      </w:r>
    </w:p>
    <w:p w:rsidR="00C610E9" w:rsidRPr="00C610E9" w:rsidRDefault="00DF646D" w:rsidP="00C610E9">
      <w:pPr>
        <w:pStyle w:val="a3"/>
        <w:numPr>
          <w:ilvl w:val="0"/>
          <w:numId w:val="7"/>
        </w:numPr>
        <w:autoSpaceDE w:val="0"/>
        <w:autoSpaceDN w:val="0"/>
        <w:adjustRightInd w:val="0"/>
        <w:spacing w:after="0" w:line="240" w:lineRule="auto"/>
        <w:ind w:left="0" w:firstLine="680"/>
        <w:jc w:val="both"/>
        <w:rPr>
          <w:rFonts w:ascii="Times New Roman" w:hAnsi="Times New Roman" w:cs="Times New Roman"/>
          <w:sz w:val="24"/>
          <w:szCs w:val="24"/>
        </w:rPr>
      </w:pPr>
      <w:r w:rsidRPr="00C610E9">
        <w:rPr>
          <w:rFonts w:ascii="Times New Roman" w:hAnsi="Times New Roman" w:cs="Times New Roman"/>
          <w:sz w:val="24"/>
          <w:szCs w:val="24"/>
        </w:rPr>
        <w:t>в нарушение приказа Минфина России № 90н Сергиевским с/</w:t>
      </w:r>
      <w:proofErr w:type="spellStart"/>
      <w:proofErr w:type="gramStart"/>
      <w:r w:rsidRPr="00C610E9">
        <w:rPr>
          <w:rFonts w:ascii="Times New Roman" w:hAnsi="Times New Roman" w:cs="Times New Roman"/>
          <w:sz w:val="24"/>
          <w:szCs w:val="24"/>
        </w:rPr>
        <w:t>п</w:t>
      </w:r>
      <w:proofErr w:type="spellEnd"/>
      <w:proofErr w:type="gramEnd"/>
      <w:r w:rsidRPr="00C610E9">
        <w:rPr>
          <w:rFonts w:ascii="Times New Roman" w:hAnsi="Times New Roman" w:cs="Times New Roman"/>
          <w:sz w:val="24"/>
          <w:szCs w:val="24"/>
        </w:rPr>
        <w:t xml:space="preserve"> Даниловского МР в отчете за </w:t>
      </w:r>
      <w:r w:rsidRPr="00C610E9">
        <w:rPr>
          <w:rFonts w:ascii="Times New Roman" w:hAnsi="Times New Roman" w:cs="Times New Roman"/>
          <w:sz w:val="24"/>
          <w:szCs w:val="24"/>
          <w:lang w:val="en-US"/>
        </w:rPr>
        <w:t>II</w:t>
      </w:r>
      <w:r w:rsidRPr="00C610E9">
        <w:rPr>
          <w:rFonts w:ascii="Times New Roman" w:hAnsi="Times New Roman" w:cs="Times New Roman"/>
          <w:sz w:val="24"/>
          <w:szCs w:val="24"/>
        </w:rPr>
        <w:t xml:space="preserve"> кв. 2016 г. неверно отражены данные  граф 15, 17 (расходы на оплату труда за отчетный период) и в отчетах за II-IV кв. 2017 г. </w:t>
      </w:r>
      <w:r w:rsidR="00010970" w:rsidRPr="00C610E9">
        <w:rPr>
          <w:rFonts w:ascii="Times New Roman" w:hAnsi="Times New Roman" w:cs="Times New Roman"/>
          <w:sz w:val="24"/>
          <w:szCs w:val="24"/>
        </w:rPr>
        <w:t xml:space="preserve">- </w:t>
      </w:r>
      <w:r w:rsidRPr="00C610E9">
        <w:rPr>
          <w:rFonts w:ascii="Times New Roman" w:hAnsi="Times New Roman" w:cs="Times New Roman"/>
          <w:sz w:val="24"/>
          <w:szCs w:val="24"/>
        </w:rPr>
        <w:t xml:space="preserve">данные граф 15-24 (расходы за отчетный период): вместо квартальных сумм указывались данные нарастающим итогом с начала года.   Кроме того, установлены расхождения между данными годовой бюджетной отчетности </w:t>
      </w:r>
      <w:r w:rsidR="00010970" w:rsidRPr="00C610E9">
        <w:rPr>
          <w:rFonts w:ascii="Times New Roman" w:hAnsi="Times New Roman" w:cs="Times New Roman"/>
          <w:sz w:val="24"/>
          <w:szCs w:val="24"/>
        </w:rPr>
        <w:t xml:space="preserve">(ф. 0503127) </w:t>
      </w:r>
      <w:r w:rsidRPr="00C610E9">
        <w:rPr>
          <w:rFonts w:ascii="Times New Roman" w:hAnsi="Times New Roman" w:cs="Times New Roman"/>
          <w:sz w:val="24"/>
          <w:szCs w:val="24"/>
        </w:rPr>
        <w:t>и данными ежеквартальных отчетов по Приказу № 90н за 2016 год</w:t>
      </w:r>
      <w:r w:rsidR="000020E5" w:rsidRPr="00C610E9">
        <w:rPr>
          <w:rFonts w:ascii="Times New Roman" w:hAnsi="Times New Roman" w:cs="Times New Roman"/>
          <w:sz w:val="24"/>
          <w:szCs w:val="24"/>
        </w:rPr>
        <w:t xml:space="preserve"> в разрезе видов расходов </w:t>
      </w:r>
      <w:r w:rsidR="00893D87" w:rsidRPr="00C610E9">
        <w:rPr>
          <w:rFonts w:ascii="Times New Roman" w:hAnsi="Times New Roman" w:cs="Times New Roman"/>
          <w:sz w:val="24"/>
          <w:szCs w:val="24"/>
        </w:rPr>
        <w:t xml:space="preserve">– на оплату труда и услуг связи </w:t>
      </w:r>
      <w:r w:rsidR="000020E5" w:rsidRPr="00C610E9">
        <w:rPr>
          <w:rFonts w:ascii="Times New Roman" w:hAnsi="Times New Roman" w:cs="Times New Roman"/>
          <w:sz w:val="24"/>
          <w:szCs w:val="24"/>
        </w:rPr>
        <w:t>(расхождение составило 1,1 тыс. руб.);</w:t>
      </w:r>
    </w:p>
    <w:p w:rsidR="00B168A5" w:rsidRPr="00C610E9" w:rsidRDefault="00801AA5" w:rsidP="00C610E9">
      <w:pPr>
        <w:pStyle w:val="a3"/>
        <w:numPr>
          <w:ilvl w:val="0"/>
          <w:numId w:val="7"/>
        </w:numPr>
        <w:autoSpaceDE w:val="0"/>
        <w:autoSpaceDN w:val="0"/>
        <w:adjustRightInd w:val="0"/>
        <w:spacing w:after="0" w:line="240" w:lineRule="auto"/>
        <w:ind w:left="0" w:firstLine="680"/>
        <w:jc w:val="both"/>
        <w:rPr>
          <w:rFonts w:ascii="Times New Roman" w:hAnsi="Times New Roman" w:cs="Times New Roman"/>
          <w:sz w:val="24"/>
          <w:szCs w:val="24"/>
        </w:rPr>
      </w:pPr>
      <w:r w:rsidRPr="00C610E9">
        <w:rPr>
          <w:rFonts w:ascii="Times New Roman" w:hAnsi="Times New Roman" w:cs="Times New Roman"/>
          <w:sz w:val="24"/>
          <w:szCs w:val="24"/>
        </w:rPr>
        <w:t xml:space="preserve">нарушены сроки представления отчета о расходовании субвенции </w:t>
      </w:r>
      <w:proofErr w:type="spellStart"/>
      <w:r w:rsidRPr="00C610E9">
        <w:rPr>
          <w:rFonts w:ascii="Times New Roman" w:hAnsi="Times New Roman" w:cs="Times New Roman"/>
          <w:sz w:val="24"/>
          <w:szCs w:val="24"/>
        </w:rPr>
        <w:t>Глазуновским</w:t>
      </w:r>
      <w:proofErr w:type="spellEnd"/>
      <w:r w:rsidRPr="00C610E9">
        <w:rPr>
          <w:rFonts w:ascii="Times New Roman" w:hAnsi="Times New Roman" w:cs="Times New Roman"/>
          <w:sz w:val="24"/>
          <w:szCs w:val="24"/>
        </w:rPr>
        <w:t xml:space="preserve"> с/</w:t>
      </w:r>
      <w:proofErr w:type="spellStart"/>
      <w:proofErr w:type="gramStart"/>
      <w:r w:rsidRPr="00C610E9">
        <w:rPr>
          <w:rFonts w:ascii="Times New Roman" w:hAnsi="Times New Roman" w:cs="Times New Roman"/>
          <w:sz w:val="24"/>
          <w:szCs w:val="24"/>
        </w:rPr>
        <w:t>п</w:t>
      </w:r>
      <w:proofErr w:type="spellEnd"/>
      <w:proofErr w:type="gramEnd"/>
      <w:r w:rsidRPr="00C610E9">
        <w:rPr>
          <w:rFonts w:ascii="Times New Roman" w:hAnsi="Times New Roman" w:cs="Times New Roman"/>
          <w:sz w:val="24"/>
          <w:szCs w:val="24"/>
        </w:rPr>
        <w:t xml:space="preserve"> </w:t>
      </w:r>
      <w:proofErr w:type="spellStart"/>
      <w:r w:rsidRPr="00C610E9">
        <w:rPr>
          <w:rFonts w:ascii="Times New Roman" w:hAnsi="Times New Roman" w:cs="Times New Roman"/>
          <w:sz w:val="24"/>
          <w:szCs w:val="24"/>
        </w:rPr>
        <w:t>Кумылженского</w:t>
      </w:r>
      <w:proofErr w:type="spellEnd"/>
      <w:r w:rsidRPr="00C610E9">
        <w:rPr>
          <w:rFonts w:ascii="Times New Roman" w:hAnsi="Times New Roman" w:cs="Times New Roman"/>
          <w:sz w:val="24"/>
          <w:szCs w:val="24"/>
        </w:rPr>
        <w:t xml:space="preserve"> МР за 1 и 2 квартал 2016 г. (представлен 13.04.2016 и 11.07.2016),</w:t>
      </w:r>
      <w:r w:rsidR="00231167" w:rsidRPr="00C610E9">
        <w:rPr>
          <w:rFonts w:ascii="Times New Roman" w:hAnsi="Times New Roman" w:cs="Times New Roman"/>
          <w:sz w:val="24"/>
          <w:szCs w:val="24"/>
        </w:rPr>
        <w:t xml:space="preserve"> 1 квартал 2017 г. (представлен</w:t>
      </w:r>
      <w:r w:rsidRPr="00C610E9">
        <w:rPr>
          <w:rFonts w:ascii="Times New Roman" w:hAnsi="Times New Roman" w:cs="Times New Roman"/>
          <w:sz w:val="24"/>
          <w:szCs w:val="24"/>
        </w:rPr>
        <w:t xml:space="preserve"> 10.04.2017) вмест</w:t>
      </w:r>
      <w:r w:rsidR="00D03088">
        <w:rPr>
          <w:rFonts w:ascii="Times New Roman" w:hAnsi="Times New Roman" w:cs="Times New Roman"/>
          <w:sz w:val="24"/>
          <w:szCs w:val="24"/>
        </w:rPr>
        <w:t>о</w:t>
      </w:r>
      <w:r w:rsidRPr="00C610E9">
        <w:rPr>
          <w:rFonts w:ascii="Times New Roman" w:hAnsi="Times New Roman" w:cs="Times New Roman"/>
          <w:sz w:val="24"/>
          <w:szCs w:val="24"/>
        </w:rPr>
        <w:t xml:space="preserve"> 7-го числа месяца, следующего за отчетным кварталом, чем не соблюден п.7 Правил предоставления из федерального бюджета бюджетам субъектов РФ субвенций...., утвержденных </w:t>
      </w:r>
      <w:r w:rsidR="00263CF1" w:rsidRPr="00C610E9">
        <w:rPr>
          <w:rFonts w:ascii="Times New Roman" w:hAnsi="Times New Roman" w:cs="Times New Roman"/>
          <w:sz w:val="24"/>
          <w:szCs w:val="24"/>
        </w:rPr>
        <w:t>П</w:t>
      </w:r>
      <w:r w:rsidRPr="00C610E9">
        <w:rPr>
          <w:rFonts w:ascii="Times New Roman" w:hAnsi="Times New Roman" w:cs="Times New Roman"/>
          <w:sz w:val="24"/>
          <w:szCs w:val="24"/>
        </w:rPr>
        <w:t>остановлением Правительства РФ № 258</w:t>
      </w:r>
      <w:r w:rsidR="00067795" w:rsidRPr="00C610E9">
        <w:rPr>
          <w:rFonts w:ascii="Times New Roman" w:hAnsi="Times New Roman" w:cs="Times New Roman"/>
          <w:sz w:val="24"/>
          <w:szCs w:val="24"/>
        </w:rPr>
        <w:t>;</w:t>
      </w:r>
    </w:p>
    <w:p w:rsidR="0061667D" w:rsidRDefault="0061667D" w:rsidP="009E6F62">
      <w:pPr>
        <w:autoSpaceDE w:val="0"/>
        <w:autoSpaceDN w:val="0"/>
        <w:adjustRightInd w:val="0"/>
        <w:ind w:firstLine="680"/>
        <w:jc w:val="center"/>
        <w:rPr>
          <w:rFonts w:eastAsiaTheme="minorHAnsi"/>
          <w:i/>
          <w:u w:val="single"/>
          <w:lang w:eastAsia="en-US"/>
        </w:rPr>
      </w:pPr>
      <w:r>
        <w:rPr>
          <w:rFonts w:eastAsiaTheme="minorHAnsi"/>
          <w:i/>
          <w:u w:val="single"/>
          <w:lang w:eastAsia="en-US"/>
        </w:rPr>
        <w:t>с</w:t>
      </w:r>
      <w:r w:rsidRPr="0061667D">
        <w:rPr>
          <w:rFonts w:eastAsiaTheme="minorHAnsi"/>
          <w:i/>
          <w:u w:val="single"/>
          <w:lang w:eastAsia="en-US"/>
        </w:rPr>
        <w:t xml:space="preserve">облюдение требований законодательства о контрактной системе при осуществлении закупок товаров, работ и услуг для нужд </w:t>
      </w:r>
      <w:r>
        <w:rPr>
          <w:rFonts w:eastAsiaTheme="minorHAnsi"/>
          <w:i/>
          <w:u w:val="single"/>
          <w:lang w:eastAsia="en-US"/>
        </w:rPr>
        <w:t>военно-учетного стола</w:t>
      </w:r>
      <w:r w:rsidRPr="0061667D">
        <w:rPr>
          <w:rFonts w:eastAsiaTheme="minorHAnsi"/>
          <w:i/>
          <w:u w:val="single"/>
          <w:lang w:eastAsia="en-US"/>
        </w:rPr>
        <w:t xml:space="preserve"> </w:t>
      </w:r>
    </w:p>
    <w:p w:rsidR="0061667D" w:rsidRPr="00DF2870" w:rsidRDefault="0061667D" w:rsidP="00DF2870">
      <w:pPr>
        <w:pStyle w:val="a3"/>
        <w:numPr>
          <w:ilvl w:val="0"/>
          <w:numId w:val="8"/>
        </w:numPr>
        <w:autoSpaceDE w:val="0"/>
        <w:autoSpaceDN w:val="0"/>
        <w:adjustRightInd w:val="0"/>
        <w:spacing w:after="0" w:line="240" w:lineRule="auto"/>
        <w:ind w:left="0" w:firstLine="680"/>
        <w:jc w:val="both"/>
        <w:rPr>
          <w:rFonts w:ascii="Times New Roman" w:hAnsi="Times New Roman" w:cs="Times New Roman"/>
          <w:sz w:val="24"/>
          <w:szCs w:val="24"/>
        </w:rPr>
      </w:pPr>
      <w:r w:rsidRPr="00DF2870">
        <w:rPr>
          <w:rFonts w:ascii="Times New Roman" w:hAnsi="Times New Roman" w:cs="Times New Roman"/>
          <w:sz w:val="24"/>
          <w:szCs w:val="24"/>
        </w:rPr>
        <w:t>в нарушение п. 1 ст. 21 Федерального закона от  05.04.2013  № 44-ФЗ «О контрактной системе в сфере закупок товаров, работ, услуг для обеспечения государственных и муниципальных нужд» закупки в 2016 году канцелярских товаров на сумму 10,8 тыс. руб. (3,2 тыс. руб. по Береславскому с/</w:t>
      </w:r>
      <w:proofErr w:type="spellStart"/>
      <w:proofErr w:type="gramStart"/>
      <w:r w:rsidRPr="00DF2870">
        <w:rPr>
          <w:rFonts w:ascii="Times New Roman" w:hAnsi="Times New Roman" w:cs="Times New Roman"/>
          <w:sz w:val="24"/>
          <w:szCs w:val="24"/>
        </w:rPr>
        <w:t>п</w:t>
      </w:r>
      <w:proofErr w:type="spellEnd"/>
      <w:proofErr w:type="gramEnd"/>
      <w:r w:rsidRPr="00DF2870">
        <w:rPr>
          <w:rFonts w:ascii="Times New Roman" w:hAnsi="Times New Roman" w:cs="Times New Roman"/>
          <w:sz w:val="24"/>
          <w:szCs w:val="24"/>
        </w:rPr>
        <w:t xml:space="preserve"> и 7,6 т.р. по </w:t>
      </w:r>
      <w:proofErr w:type="spellStart"/>
      <w:r w:rsidRPr="00DF2870">
        <w:rPr>
          <w:rFonts w:ascii="Times New Roman" w:hAnsi="Times New Roman" w:cs="Times New Roman"/>
          <w:sz w:val="24"/>
          <w:szCs w:val="24"/>
        </w:rPr>
        <w:t>Ляпичевскому</w:t>
      </w:r>
      <w:proofErr w:type="spellEnd"/>
      <w:r w:rsidRPr="00DF2870">
        <w:rPr>
          <w:rFonts w:ascii="Times New Roman" w:hAnsi="Times New Roman" w:cs="Times New Roman"/>
          <w:sz w:val="24"/>
          <w:szCs w:val="24"/>
        </w:rPr>
        <w:t xml:space="preserve"> с/</w:t>
      </w:r>
      <w:proofErr w:type="spellStart"/>
      <w:r w:rsidRPr="00DF2870">
        <w:rPr>
          <w:rFonts w:ascii="Times New Roman" w:hAnsi="Times New Roman" w:cs="Times New Roman"/>
          <w:sz w:val="24"/>
          <w:szCs w:val="24"/>
        </w:rPr>
        <w:t>п</w:t>
      </w:r>
      <w:proofErr w:type="spellEnd"/>
      <w:r w:rsidRPr="00DF2870">
        <w:rPr>
          <w:rFonts w:ascii="Times New Roman" w:hAnsi="Times New Roman" w:cs="Times New Roman"/>
          <w:sz w:val="24"/>
          <w:szCs w:val="24"/>
        </w:rPr>
        <w:t xml:space="preserve"> </w:t>
      </w:r>
      <w:proofErr w:type="spellStart"/>
      <w:r w:rsidRPr="00DF2870">
        <w:rPr>
          <w:rFonts w:ascii="Times New Roman" w:hAnsi="Times New Roman" w:cs="Times New Roman"/>
          <w:sz w:val="24"/>
          <w:szCs w:val="24"/>
        </w:rPr>
        <w:t>Калачевского</w:t>
      </w:r>
      <w:proofErr w:type="spellEnd"/>
      <w:r w:rsidRPr="00DF2870">
        <w:rPr>
          <w:rFonts w:ascii="Times New Roman" w:hAnsi="Times New Roman" w:cs="Times New Roman"/>
          <w:sz w:val="24"/>
          <w:szCs w:val="24"/>
        </w:rPr>
        <w:t xml:space="preserve"> МР) и в 2017 году МФУ </w:t>
      </w:r>
      <w:proofErr w:type="spellStart"/>
      <w:r w:rsidRPr="00DF2870">
        <w:rPr>
          <w:rFonts w:ascii="Times New Roman" w:hAnsi="Times New Roman" w:cs="Times New Roman"/>
          <w:sz w:val="24"/>
          <w:szCs w:val="24"/>
        </w:rPr>
        <w:t>Canon-SNSYS</w:t>
      </w:r>
      <w:proofErr w:type="spellEnd"/>
      <w:r w:rsidRPr="00DF2870">
        <w:rPr>
          <w:rFonts w:ascii="Times New Roman" w:hAnsi="Times New Roman" w:cs="Times New Roman"/>
          <w:sz w:val="24"/>
          <w:szCs w:val="24"/>
        </w:rPr>
        <w:t xml:space="preserve"> MF4018 на сумму 13,8 т.р. (</w:t>
      </w:r>
      <w:proofErr w:type="spellStart"/>
      <w:r w:rsidRPr="00DF2870">
        <w:rPr>
          <w:rFonts w:ascii="Times New Roman" w:hAnsi="Times New Roman" w:cs="Times New Roman"/>
          <w:sz w:val="24"/>
          <w:szCs w:val="24"/>
        </w:rPr>
        <w:t>Ляпичевское</w:t>
      </w:r>
      <w:proofErr w:type="spellEnd"/>
      <w:r w:rsidRPr="00DF2870">
        <w:rPr>
          <w:rFonts w:ascii="Times New Roman" w:hAnsi="Times New Roman" w:cs="Times New Roman"/>
          <w:sz w:val="24"/>
          <w:szCs w:val="24"/>
        </w:rPr>
        <w:t xml:space="preserve"> с/</w:t>
      </w:r>
      <w:proofErr w:type="spellStart"/>
      <w:proofErr w:type="gramStart"/>
      <w:r w:rsidRPr="00DF2870">
        <w:rPr>
          <w:rFonts w:ascii="Times New Roman" w:hAnsi="Times New Roman" w:cs="Times New Roman"/>
          <w:sz w:val="24"/>
          <w:szCs w:val="24"/>
        </w:rPr>
        <w:t>п</w:t>
      </w:r>
      <w:proofErr w:type="spellEnd"/>
      <w:proofErr w:type="gramEnd"/>
      <w:r w:rsidRPr="00DF2870">
        <w:rPr>
          <w:rFonts w:ascii="Times New Roman" w:hAnsi="Times New Roman" w:cs="Times New Roman"/>
          <w:sz w:val="24"/>
          <w:szCs w:val="24"/>
        </w:rPr>
        <w:t xml:space="preserve"> </w:t>
      </w:r>
      <w:proofErr w:type="spellStart"/>
      <w:r w:rsidRPr="00DF2870">
        <w:rPr>
          <w:rFonts w:ascii="Times New Roman" w:hAnsi="Times New Roman" w:cs="Times New Roman"/>
          <w:sz w:val="24"/>
          <w:szCs w:val="24"/>
        </w:rPr>
        <w:t>Калачевского</w:t>
      </w:r>
      <w:proofErr w:type="spellEnd"/>
      <w:r w:rsidRPr="00DF2870">
        <w:rPr>
          <w:rFonts w:ascii="Times New Roman" w:hAnsi="Times New Roman" w:cs="Times New Roman"/>
          <w:sz w:val="24"/>
          <w:szCs w:val="24"/>
        </w:rPr>
        <w:t xml:space="preserve"> МР) в планах-графиках закупок </w:t>
      </w:r>
      <w:r w:rsidR="00F85F56" w:rsidRPr="00DF2870">
        <w:rPr>
          <w:rFonts w:ascii="Times New Roman" w:hAnsi="Times New Roman" w:cs="Times New Roman"/>
          <w:sz w:val="24"/>
          <w:szCs w:val="24"/>
        </w:rPr>
        <w:t xml:space="preserve">администрациями поселений </w:t>
      </w:r>
      <w:r w:rsidRPr="00DF2870">
        <w:rPr>
          <w:rFonts w:ascii="Times New Roman" w:hAnsi="Times New Roman" w:cs="Times New Roman"/>
          <w:sz w:val="24"/>
          <w:szCs w:val="24"/>
        </w:rPr>
        <w:t>не отражены</w:t>
      </w:r>
      <w:r w:rsidR="00F85F56" w:rsidRPr="00DF2870">
        <w:rPr>
          <w:rFonts w:ascii="Times New Roman" w:hAnsi="Times New Roman" w:cs="Times New Roman"/>
          <w:sz w:val="24"/>
          <w:szCs w:val="24"/>
        </w:rPr>
        <w:t>;</w:t>
      </w:r>
    </w:p>
    <w:p w:rsidR="00F85F56" w:rsidRDefault="00F85F56" w:rsidP="00F85F56">
      <w:pPr>
        <w:autoSpaceDE w:val="0"/>
        <w:autoSpaceDN w:val="0"/>
        <w:adjustRightInd w:val="0"/>
        <w:ind w:firstLine="680"/>
        <w:jc w:val="center"/>
        <w:rPr>
          <w:rFonts w:eastAsiaTheme="minorHAnsi"/>
          <w:i/>
          <w:u w:val="single"/>
          <w:lang w:eastAsia="en-US"/>
        </w:rPr>
      </w:pPr>
      <w:r w:rsidRPr="0087417B">
        <w:rPr>
          <w:rFonts w:eastAsiaTheme="minorHAnsi"/>
          <w:i/>
          <w:u w:val="single"/>
          <w:lang w:eastAsia="en-US"/>
        </w:rPr>
        <w:t>ведение бюджетной росписи, соблюдение указаний о применении бюджетной классификации</w:t>
      </w:r>
    </w:p>
    <w:p w:rsidR="00E714BC" w:rsidRDefault="0087757D" w:rsidP="00E714BC">
      <w:pPr>
        <w:pStyle w:val="a3"/>
        <w:numPr>
          <w:ilvl w:val="0"/>
          <w:numId w:val="8"/>
        </w:numPr>
        <w:autoSpaceDE w:val="0"/>
        <w:autoSpaceDN w:val="0"/>
        <w:adjustRightInd w:val="0"/>
        <w:spacing w:after="0" w:line="240" w:lineRule="auto"/>
        <w:ind w:left="0" w:firstLine="680"/>
        <w:jc w:val="both"/>
        <w:rPr>
          <w:rFonts w:ascii="Times New Roman" w:hAnsi="Times New Roman" w:cs="Times New Roman"/>
          <w:sz w:val="24"/>
          <w:szCs w:val="24"/>
        </w:rPr>
      </w:pPr>
      <w:r w:rsidRPr="00E714BC">
        <w:rPr>
          <w:rFonts w:ascii="Times New Roman" w:hAnsi="Times New Roman" w:cs="Times New Roman"/>
          <w:sz w:val="24"/>
          <w:szCs w:val="24"/>
        </w:rPr>
        <w:t xml:space="preserve">в  нарушение ст.217  БК РФ  при изменении объемов бюджетных ассигнований по кодам видов расходов в части расходов на оплату труда и начислений на оплату труда (общая сумма не изменилась) </w:t>
      </w:r>
      <w:proofErr w:type="spellStart"/>
      <w:r w:rsidR="00DA61E8" w:rsidRPr="00E714BC">
        <w:rPr>
          <w:rFonts w:ascii="Times New Roman" w:hAnsi="Times New Roman" w:cs="Times New Roman"/>
          <w:sz w:val="24"/>
          <w:szCs w:val="24"/>
        </w:rPr>
        <w:t>Россошенским</w:t>
      </w:r>
      <w:proofErr w:type="spellEnd"/>
      <w:r w:rsidR="00DA61E8" w:rsidRPr="00E714BC">
        <w:rPr>
          <w:rFonts w:ascii="Times New Roman" w:hAnsi="Times New Roman" w:cs="Times New Roman"/>
          <w:sz w:val="24"/>
          <w:szCs w:val="24"/>
        </w:rPr>
        <w:t xml:space="preserve"> с/</w:t>
      </w:r>
      <w:proofErr w:type="spellStart"/>
      <w:proofErr w:type="gramStart"/>
      <w:r w:rsidR="00DA61E8" w:rsidRPr="00E714BC">
        <w:rPr>
          <w:rFonts w:ascii="Times New Roman" w:hAnsi="Times New Roman" w:cs="Times New Roman"/>
          <w:sz w:val="24"/>
          <w:szCs w:val="24"/>
        </w:rPr>
        <w:t>п</w:t>
      </w:r>
      <w:proofErr w:type="spellEnd"/>
      <w:proofErr w:type="gramEnd"/>
      <w:r w:rsidR="00DA61E8" w:rsidRPr="00E714BC">
        <w:rPr>
          <w:rFonts w:ascii="Times New Roman" w:hAnsi="Times New Roman" w:cs="Times New Roman"/>
          <w:sz w:val="24"/>
          <w:szCs w:val="24"/>
        </w:rPr>
        <w:t xml:space="preserve"> </w:t>
      </w:r>
      <w:proofErr w:type="spellStart"/>
      <w:r w:rsidR="00DA61E8" w:rsidRPr="00E714BC">
        <w:rPr>
          <w:rFonts w:ascii="Times New Roman" w:hAnsi="Times New Roman" w:cs="Times New Roman"/>
          <w:sz w:val="24"/>
          <w:szCs w:val="24"/>
        </w:rPr>
        <w:t>Городищенского</w:t>
      </w:r>
      <w:proofErr w:type="spellEnd"/>
      <w:r w:rsidR="00DA61E8" w:rsidRPr="00E714BC">
        <w:rPr>
          <w:rFonts w:ascii="Times New Roman" w:hAnsi="Times New Roman" w:cs="Times New Roman"/>
          <w:sz w:val="24"/>
          <w:szCs w:val="24"/>
        </w:rPr>
        <w:t xml:space="preserve"> МР </w:t>
      </w:r>
      <w:r w:rsidRPr="00E714BC">
        <w:rPr>
          <w:rFonts w:ascii="Times New Roman" w:hAnsi="Times New Roman" w:cs="Times New Roman"/>
          <w:sz w:val="24"/>
          <w:szCs w:val="24"/>
        </w:rPr>
        <w:t xml:space="preserve">не были внесены изменения в бюджетную роспись. </w:t>
      </w:r>
      <w:proofErr w:type="gramStart"/>
      <w:r w:rsidRPr="00E714BC">
        <w:rPr>
          <w:rFonts w:ascii="Times New Roman" w:hAnsi="Times New Roman" w:cs="Times New Roman"/>
          <w:sz w:val="24"/>
          <w:szCs w:val="24"/>
        </w:rPr>
        <w:t>В результате бюджетные назначениям по кодам видов расходов,  утвержденные сводной бюджетной росписью, не соответствуют бюджетным назначениям Отчета об исполнении бюджета  за 2017 год (ф.0503127): в отчете об исполнении бюджета утвержденные бюджетные назначения  на выплату заработной платы  отражены в размере 155,2 тыс. руб. и начисления на оплату труда  в сумме 47,0 тыс. руб., а в бюджетной росписи - 141,1 тыс. руб</w:t>
      </w:r>
      <w:proofErr w:type="gramEnd"/>
      <w:r w:rsidRPr="00E714BC">
        <w:rPr>
          <w:rFonts w:ascii="Times New Roman" w:hAnsi="Times New Roman" w:cs="Times New Roman"/>
          <w:sz w:val="24"/>
          <w:szCs w:val="24"/>
        </w:rPr>
        <w:t xml:space="preserve">. </w:t>
      </w:r>
      <w:r w:rsidR="00816D03" w:rsidRPr="00E714BC">
        <w:rPr>
          <w:rFonts w:ascii="Times New Roman" w:hAnsi="Times New Roman" w:cs="Times New Roman"/>
          <w:sz w:val="24"/>
          <w:szCs w:val="24"/>
        </w:rPr>
        <w:t>и 61,1 тыс. руб. соответственно;</w:t>
      </w:r>
    </w:p>
    <w:p w:rsidR="0061667D" w:rsidRPr="00C47016" w:rsidRDefault="007C3D92" w:rsidP="00E714BC">
      <w:pPr>
        <w:pStyle w:val="a3"/>
        <w:numPr>
          <w:ilvl w:val="0"/>
          <w:numId w:val="8"/>
        </w:numPr>
        <w:autoSpaceDE w:val="0"/>
        <w:autoSpaceDN w:val="0"/>
        <w:adjustRightInd w:val="0"/>
        <w:spacing w:after="0" w:line="240" w:lineRule="auto"/>
        <w:ind w:left="0" w:firstLine="680"/>
        <w:jc w:val="both"/>
        <w:rPr>
          <w:rFonts w:ascii="Times New Roman" w:hAnsi="Times New Roman" w:cs="Times New Roman"/>
          <w:sz w:val="24"/>
          <w:szCs w:val="24"/>
        </w:rPr>
      </w:pPr>
      <w:r w:rsidRPr="00E714BC">
        <w:rPr>
          <w:rFonts w:ascii="Times New Roman" w:hAnsi="Times New Roman" w:cs="Times New Roman"/>
          <w:sz w:val="24"/>
          <w:szCs w:val="24"/>
        </w:rPr>
        <w:t>в</w:t>
      </w:r>
      <w:r w:rsidR="00A810DB" w:rsidRPr="00E714BC">
        <w:rPr>
          <w:rFonts w:ascii="Times New Roman" w:hAnsi="Times New Roman" w:cs="Times New Roman"/>
          <w:sz w:val="24"/>
          <w:szCs w:val="24"/>
        </w:rPr>
        <w:t xml:space="preserve"> нарушение п. </w:t>
      </w:r>
      <w:r w:rsidR="00A810DB" w:rsidRPr="001F492D">
        <w:rPr>
          <w:rFonts w:ascii="Times New Roman" w:hAnsi="Times New Roman" w:cs="Times New Roman"/>
          <w:sz w:val="24"/>
          <w:szCs w:val="24"/>
        </w:rPr>
        <w:t>4(1).</w:t>
      </w:r>
      <w:r w:rsidR="00F85F56" w:rsidRPr="001F492D">
        <w:rPr>
          <w:rFonts w:ascii="Times New Roman" w:hAnsi="Times New Roman" w:cs="Times New Roman"/>
          <w:sz w:val="24"/>
          <w:szCs w:val="24"/>
        </w:rPr>
        <w:t>2.4(1) и</w:t>
      </w:r>
      <w:r w:rsidR="00F85F56" w:rsidRPr="00E714BC">
        <w:rPr>
          <w:rFonts w:ascii="Times New Roman" w:hAnsi="Times New Roman" w:cs="Times New Roman"/>
          <w:sz w:val="24"/>
          <w:szCs w:val="24"/>
        </w:rPr>
        <w:t xml:space="preserve"> приложения 1</w:t>
      </w:r>
      <w:r w:rsidR="005D7D4C">
        <w:rPr>
          <w:rFonts w:ascii="Times New Roman" w:hAnsi="Times New Roman" w:cs="Times New Roman"/>
          <w:sz w:val="24"/>
          <w:szCs w:val="24"/>
        </w:rPr>
        <w:t>.1</w:t>
      </w:r>
      <w:r w:rsidR="00F85F56" w:rsidRPr="00E714BC">
        <w:rPr>
          <w:rFonts w:ascii="Times New Roman" w:hAnsi="Times New Roman" w:cs="Times New Roman"/>
          <w:sz w:val="24"/>
          <w:szCs w:val="24"/>
        </w:rPr>
        <w:t xml:space="preserve"> </w:t>
      </w:r>
      <w:r w:rsidR="00A810DB" w:rsidRPr="00E714BC">
        <w:rPr>
          <w:rFonts w:ascii="Times New Roman" w:hAnsi="Times New Roman" w:cs="Times New Roman"/>
          <w:sz w:val="24"/>
          <w:szCs w:val="24"/>
        </w:rPr>
        <w:t>Указаний о порядке применения бюджетной классификации РФ</w:t>
      </w:r>
      <w:r w:rsidR="00D83ED6" w:rsidRPr="00E714BC">
        <w:rPr>
          <w:rFonts w:ascii="Times New Roman" w:hAnsi="Times New Roman" w:cs="Times New Roman"/>
          <w:sz w:val="24"/>
          <w:szCs w:val="24"/>
        </w:rPr>
        <w:t xml:space="preserve">, утвержденных </w:t>
      </w:r>
      <w:r w:rsidR="00F85F56" w:rsidRPr="00E714BC">
        <w:rPr>
          <w:rFonts w:ascii="Times New Roman" w:hAnsi="Times New Roman" w:cs="Times New Roman"/>
          <w:sz w:val="24"/>
          <w:szCs w:val="24"/>
        </w:rPr>
        <w:t>приказ</w:t>
      </w:r>
      <w:r w:rsidR="00D83ED6" w:rsidRPr="00E714BC">
        <w:rPr>
          <w:rFonts w:ascii="Times New Roman" w:hAnsi="Times New Roman" w:cs="Times New Roman"/>
          <w:sz w:val="24"/>
          <w:szCs w:val="24"/>
        </w:rPr>
        <w:t>ом</w:t>
      </w:r>
      <w:r w:rsidR="00F85F56" w:rsidRPr="00E714BC">
        <w:rPr>
          <w:rFonts w:ascii="Times New Roman" w:hAnsi="Times New Roman" w:cs="Times New Roman"/>
          <w:sz w:val="24"/>
          <w:szCs w:val="24"/>
        </w:rPr>
        <w:t xml:space="preserve"> Минфина Р</w:t>
      </w:r>
      <w:r w:rsidR="00D83ED6" w:rsidRPr="00E714BC">
        <w:rPr>
          <w:rFonts w:ascii="Times New Roman" w:hAnsi="Times New Roman" w:cs="Times New Roman"/>
          <w:sz w:val="24"/>
          <w:szCs w:val="24"/>
        </w:rPr>
        <w:t>Ф</w:t>
      </w:r>
      <w:r w:rsidR="00F85F56" w:rsidRPr="00E714BC">
        <w:rPr>
          <w:rFonts w:ascii="Times New Roman" w:hAnsi="Times New Roman" w:cs="Times New Roman"/>
          <w:sz w:val="24"/>
          <w:szCs w:val="24"/>
        </w:rPr>
        <w:t xml:space="preserve"> от 01.07.2013</w:t>
      </w:r>
      <w:r w:rsidR="00D83ED6" w:rsidRPr="00E714BC">
        <w:rPr>
          <w:rFonts w:ascii="Times New Roman" w:hAnsi="Times New Roman" w:cs="Times New Roman"/>
          <w:sz w:val="24"/>
          <w:szCs w:val="24"/>
        </w:rPr>
        <w:t xml:space="preserve"> №</w:t>
      </w:r>
      <w:r w:rsidR="00F85F56" w:rsidRPr="00E714BC">
        <w:rPr>
          <w:rFonts w:ascii="Times New Roman" w:hAnsi="Times New Roman" w:cs="Times New Roman"/>
          <w:sz w:val="24"/>
          <w:szCs w:val="24"/>
        </w:rPr>
        <w:t xml:space="preserve"> 65н</w:t>
      </w:r>
      <w:r w:rsidR="00D83ED6" w:rsidRPr="00E714BC">
        <w:rPr>
          <w:rFonts w:ascii="Times New Roman" w:hAnsi="Times New Roman" w:cs="Times New Roman"/>
          <w:sz w:val="24"/>
          <w:szCs w:val="24"/>
        </w:rPr>
        <w:t xml:space="preserve">, </w:t>
      </w:r>
      <w:proofErr w:type="spellStart"/>
      <w:r w:rsidR="00D83ED6" w:rsidRPr="00E714BC">
        <w:rPr>
          <w:rFonts w:ascii="Times New Roman" w:hAnsi="Times New Roman" w:cs="Times New Roman"/>
          <w:sz w:val="24"/>
          <w:szCs w:val="24"/>
        </w:rPr>
        <w:t>Облфином</w:t>
      </w:r>
      <w:proofErr w:type="spellEnd"/>
      <w:r w:rsidR="00F85F56" w:rsidRPr="00E714BC">
        <w:rPr>
          <w:rFonts w:ascii="Times New Roman" w:hAnsi="Times New Roman" w:cs="Times New Roman"/>
          <w:sz w:val="24"/>
          <w:szCs w:val="24"/>
        </w:rPr>
        <w:t xml:space="preserve"> при направлении субвенции на осуществление первичного воинского учета </w:t>
      </w:r>
      <w:proofErr w:type="spellStart"/>
      <w:r w:rsidR="00F85F56" w:rsidRPr="00E714BC">
        <w:rPr>
          <w:rFonts w:ascii="Times New Roman" w:hAnsi="Times New Roman" w:cs="Times New Roman"/>
          <w:sz w:val="24"/>
          <w:szCs w:val="24"/>
        </w:rPr>
        <w:t>Кузьмичевскому</w:t>
      </w:r>
      <w:proofErr w:type="spellEnd"/>
      <w:r w:rsidR="00F85F56" w:rsidRPr="00E714BC">
        <w:rPr>
          <w:rFonts w:ascii="Times New Roman" w:hAnsi="Times New Roman" w:cs="Times New Roman"/>
          <w:sz w:val="24"/>
          <w:szCs w:val="24"/>
        </w:rPr>
        <w:t xml:space="preserve"> с</w:t>
      </w:r>
      <w:r w:rsidR="003323B9" w:rsidRPr="00E714BC">
        <w:rPr>
          <w:rFonts w:ascii="Times New Roman" w:hAnsi="Times New Roman" w:cs="Times New Roman"/>
          <w:sz w:val="24"/>
          <w:szCs w:val="24"/>
        </w:rPr>
        <w:t>/</w:t>
      </w:r>
      <w:proofErr w:type="spellStart"/>
      <w:r w:rsidR="003323B9" w:rsidRPr="00E714BC">
        <w:rPr>
          <w:rFonts w:ascii="Times New Roman" w:hAnsi="Times New Roman" w:cs="Times New Roman"/>
          <w:sz w:val="24"/>
          <w:szCs w:val="24"/>
        </w:rPr>
        <w:t>п</w:t>
      </w:r>
      <w:proofErr w:type="spellEnd"/>
      <w:r w:rsidR="00F85F56" w:rsidRPr="00E714BC">
        <w:rPr>
          <w:rFonts w:ascii="Times New Roman" w:hAnsi="Times New Roman" w:cs="Times New Roman"/>
          <w:sz w:val="24"/>
          <w:szCs w:val="24"/>
        </w:rPr>
        <w:t xml:space="preserve"> </w:t>
      </w:r>
      <w:proofErr w:type="spellStart"/>
      <w:r w:rsidR="00F85F56" w:rsidRPr="00E714BC">
        <w:rPr>
          <w:rFonts w:ascii="Times New Roman" w:hAnsi="Times New Roman" w:cs="Times New Roman"/>
          <w:sz w:val="24"/>
          <w:szCs w:val="24"/>
        </w:rPr>
        <w:t>Городищенского</w:t>
      </w:r>
      <w:proofErr w:type="spellEnd"/>
      <w:r w:rsidR="00F85F56" w:rsidRPr="00E714BC">
        <w:rPr>
          <w:rFonts w:ascii="Times New Roman" w:hAnsi="Times New Roman" w:cs="Times New Roman"/>
          <w:sz w:val="24"/>
          <w:szCs w:val="24"/>
        </w:rPr>
        <w:t xml:space="preserve"> </w:t>
      </w:r>
      <w:r w:rsidR="003323B9" w:rsidRPr="00E714BC">
        <w:rPr>
          <w:rFonts w:ascii="Times New Roman" w:hAnsi="Times New Roman" w:cs="Times New Roman"/>
          <w:sz w:val="24"/>
          <w:szCs w:val="24"/>
        </w:rPr>
        <w:t>МР</w:t>
      </w:r>
      <w:r w:rsidR="00F85F56" w:rsidRPr="00E714BC">
        <w:rPr>
          <w:rFonts w:ascii="Times New Roman" w:hAnsi="Times New Roman" w:cs="Times New Roman"/>
          <w:sz w:val="24"/>
          <w:szCs w:val="24"/>
        </w:rPr>
        <w:t xml:space="preserve"> в п</w:t>
      </w:r>
      <w:r w:rsidR="00D9392E" w:rsidRPr="00E714BC">
        <w:rPr>
          <w:rFonts w:ascii="Times New Roman" w:hAnsi="Times New Roman" w:cs="Times New Roman"/>
          <w:sz w:val="24"/>
          <w:szCs w:val="24"/>
        </w:rPr>
        <w:t>латежном поручении</w:t>
      </w:r>
      <w:r w:rsidR="00F85F56" w:rsidRPr="00E714BC">
        <w:rPr>
          <w:rFonts w:ascii="Times New Roman" w:hAnsi="Times New Roman" w:cs="Times New Roman"/>
          <w:sz w:val="24"/>
          <w:szCs w:val="24"/>
        </w:rPr>
        <w:t xml:space="preserve"> от 06.02.2017  на сумму 50,6 т. р. был указан недействующий КБК 95120203015100000151 (по данному коду поступления учитывались в 2016 году) вместо  95120235118100000151</w:t>
      </w:r>
      <w:r w:rsidR="00C47016" w:rsidRPr="00C47016">
        <w:rPr>
          <w:rFonts w:ascii="Times New Roman" w:hAnsi="Times New Roman" w:cs="Times New Roman"/>
          <w:sz w:val="24"/>
          <w:szCs w:val="24"/>
        </w:rPr>
        <w:t>, что повлияло на своевременность ее расходования по назначению;</w:t>
      </w:r>
      <w:r w:rsidR="00F85F56" w:rsidRPr="00C47016">
        <w:rPr>
          <w:rFonts w:ascii="Times New Roman" w:hAnsi="Times New Roman" w:cs="Times New Roman"/>
          <w:sz w:val="24"/>
          <w:szCs w:val="24"/>
        </w:rPr>
        <w:t xml:space="preserve"> </w:t>
      </w:r>
    </w:p>
    <w:p w:rsidR="008052FB" w:rsidRDefault="00E430B2" w:rsidP="009E6F62">
      <w:pPr>
        <w:autoSpaceDE w:val="0"/>
        <w:autoSpaceDN w:val="0"/>
        <w:adjustRightInd w:val="0"/>
        <w:ind w:firstLine="680"/>
        <w:jc w:val="center"/>
        <w:rPr>
          <w:rFonts w:eastAsiaTheme="minorHAnsi"/>
          <w:i/>
          <w:u w:val="single"/>
          <w:lang w:eastAsia="en-US"/>
        </w:rPr>
      </w:pPr>
      <w:r>
        <w:rPr>
          <w:rFonts w:eastAsiaTheme="minorHAnsi"/>
          <w:i/>
          <w:u w:val="single"/>
          <w:lang w:eastAsia="en-US"/>
        </w:rPr>
        <w:t>с</w:t>
      </w:r>
      <w:r w:rsidR="008052FB">
        <w:rPr>
          <w:rFonts w:eastAsiaTheme="minorHAnsi"/>
          <w:i/>
          <w:u w:val="single"/>
          <w:lang w:eastAsia="en-US"/>
        </w:rPr>
        <w:t>облюдение норм трудового законодательства</w:t>
      </w:r>
    </w:p>
    <w:p w:rsidR="001962FE" w:rsidRPr="00EF29E3" w:rsidRDefault="008052FB" w:rsidP="00EF29E3">
      <w:pPr>
        <w:pStyle w:val="a3"/>
        <w:numPr>
          <w:ilvl w:val="0"/>
          <w:numId w:val="4"/>
        </w:numPr>
        <w:autoSpaceDE w:val="0"/>
        <w:autoSpaceDN w:val="0"/>
        <w:adjustRightInd w:val="0"/>
        <w:spacing w:after="0" w:line="240" w:lineRule="auto"/>
        <w:ind w:left="0" w:firstLine="680"/>
        <w:jc w:val="both"/>
        <w:rPr>
          <w:rFonts w:ascii="Times New Roman" w:hAnsi="Times New Roman" w:cs="Times New Roman"/>
          <w:sz w:val="24"/>
          <w:szCs w:val="24"/>
        </w:rPr>
      </w:pPr>
      <w:proofErr w:type="gramStart"/>
      <w:r w:rsidRPr="00EF29E3">
        <w:rPr>
          <w:rFonts w:ascii="Times New Roman" w:hAnsi="Times New Roman" w:cs="Times New Roman"/>
          <w:sz w:val="24"/>
          <w:szCs w:val="24"/>
        </w:rPr>
        <w:t xml:space="preserve">в нарушение ст. 136 </w:t>
      </w:r>
      <w:r w:rsidR="00C2293E">
        <w:rPr>
          <w:rFonts w:ascii="Times New Roman" w:hAnsi="Times New Roman" w:cs="Times New Roman"/>
          <w:sz w:val="24"/>
          <w:szCs w:val="24"/>
        </w:rPr>
        <w:t>ТК РФ</w:t>
      </w:r>
      <w:r w:rsidRPr="00EF29E3">
        <w:rPr>
          <w:rFonts w:ascii="Times New Roman" w:hAnsi="Times New Roman" w:cs="Times New Roman"/>
          <w:sz w:val="24"/>
          <w:szCs w:val="24"/>
        </w:rPr>
        <w:t xml:space="preserve"> и правил внутреннего трудового распорядка, действующих в муниципальных образованиях Волгоградской области,  в 69 поселениях </w:t>
      </w:r>
      <w:r w:rsidR="0066447B" w:rsidRPr="00EF29E3">
        <w:rPr>
          <w:rFonts w:ascii="Times New Roman" w:hAnsi="Times New Roman" w:cs="Times New Roman"/>
          <w:sz w:val="24"/>
          <w:szCs w:val="24"/>
        </w:rPr>
        <w:t xml:space="preserve">Волгоградской области (из 102 проверенных) </w:t>
      </w:r>
      <w:r w:rsidRPr="00EF29E3">
        <w:rPr>
          <w:rFonts w:ascii="Times New Roman" w:hAnsi="Times New Roman" w:cs="Times New Roman"/>
          <w:sz w:val="24"/>
          <w:szCs w:val="24"/>
        </w:rPr>
        <w:t>выплата заработной платы ВУР задержана в 2016 году от 1 до 75 дней</w:t>
      </w:r>
      <w:r w:rsidR="00593CDF" w:rsidRPr="00EF29E3">
        <w:rPr>
          <w:rFonts w:ascii="Times New Roman" w:hAnsi="Times New Roman" w:cs="Times New Roman"/>
          <w:sz w:val="24"/>
          <w:szCs w:val="24"/>
        </w:rPr>
        <w:t xml:space="preserve">, сумма задержанной заработной платы </w:t>
      </w:r>
      <w:r w:rsidR="00593CDF" w:rsidRPr="00A154F7">
        <w:rPr>
          <w:rFonts w:ascii="Times New Roman" w:hAnsi="Times New Roman" w:cs="Times New Roman"/>
          <w:sz w:val="24"/>
          <w:szCs w:val="24"/>
        </w:rPr>
        <w:t xml:space="preserve">составила </w:t>
      </w:r>
      <w:r w:rsidRPr="00A154F7">
        <w:rPr>
          <w:rFonts w:ascii="Times New Roman" w:hAnsi="Times New Roman" w:cs="Times New Roman"/>
          <w:sz w:val="24"/>
          <w:szCs w:val="24"/>
        </w:rPr>
        <w:t>701,7 тыс</w:t>
      </w:r>
      <w:r w:rsidRPr="00EF29E3">
        <w:rPr>
          <w:rFonts w:ascii="Times New Roman" w:hAnsi="Times New Roman" w:cs="Times New Roman"/>
          <w:sz w:val="24"/>
          <w:szCs w:val="24"/>
        </w:rPr>
        <w:t xml:space="preserve">. руб., в 2017 году </w:t>
      </w:r>
      <w:r w:rsidR="0066447B" w:rsidRPr="00EF29E3">
        <w:rPr>
          <w:rFonts w:ascii="Times New Roman" w:hAnsi="Times New Roman" w:cs="Times New Roman"/>
          <w:sz w:val="24"/>
          <w:szCs w:val="24"/>
        </w:rPr>
        <w:t>-</w:t>
      </w:r>
      <w:r w:rsidR="004D080D" w:rsidRPr="00EF29E3">
        <w:rPr>
          <w:rFonts w:ascii="Times New Roman" w:hAnsi="Times New Roman" w:cs="Times New Roman"/>
          <w:sz w:val="24"/>
          <w:szCs w:val="24"/>
        </w:rPr>
        <w:t xml:space="preserve"> от 1 до 94 дней, сумма задержанной заработной платы - </w:t>
      </w:r>
      <w:r w:rsidRPr="00EF29E3">
        <w:rPr>
          <w:rFonts w:ascii="Times New Roman" w:hAnsi="Times New Roman" w:cs="Times New Roman"/>
          <w:sz w:val="24"/>
          <w:szCs w:val="24"/>
        </w:rPr>
        <w:t>725,3 тыс</w:t>
      </w:r>
      <w:proofErr w:type="gramEnd"/>
      <w:r w:rsidRPr="00EF29E3">
        <w:rPr>
          <w:rFonts w:ascii="Times New Roman" w:hAnsi="Times New Roman" w:cs="Times New Roman"/>
          <w:sz w:val="24"/>
          <w:szCs w:val="24"/>
        </w:rPr>
        <w:t>. руб</w:t>
      </w:r>
      <w:r w:rsidR="008A5B7A">
        <w:rPr>
          <w:rFonts w:ascii="Times New Roman" w:hAnsi="Times New Roman" w:cs="Times New Roman"/>
          <w:sz w:val="24"/>
          <w:szCs w:val="24"/>
        </w:rPr>
        <w:t xml:space="preserve">. </w:t>
      </w:r>
      <w:r w:rsidR="008A5B7A" w:rsidRPr="000230E8">
        <w:rPr>
          <w:rFonts w:ascii="Times New Roman" w:hAnsi="Times New Roman" w:cs="Times New Roman"/>
          <w:sz w:val="24"/>
          <w:szCs w:val="24"/>
        </w:rPr>
        <w:t>(</w:t>
      </w:r>
      <w:r w:rsidR="008A5B7A" w:rsidRPr="000230E8">
        <w:rPr>
          <w:rFonts w:ascii="Times New Roman" w:hAnsi="Times New Roman" w:cs="Times New Roman"/>
          <w:color w:val="365F91" w:themeColor="accent1" w:themeShade="BF"/>
          <w:sz w:val="24"/>
          <w:szCs w:val="24"/>
        </w:rPr>
        <w:t>приложение №</w:t>
      </w:r>
      <w:r w:rsidR="006B7609" w:rsidRPr="000230E8">
        <w:rPr>
          <w:rFonts w:ascii="Times New Roman" w:hAnsi="Times New Roman" w:cs="Times New Roman"/>
          <w:color w:val="365F91" w:themeColor="accent1" w:themeShade="BF"/>
          <w:sz w:val="24"/>
          <w:szCs w:val="24"/>
        </w:rPr>
        <w:t xml:space="preserve"> 4</w:t>
      </w:r>
      <w:r w:rsidR="008A5B7A" w:rsidRPr="000230E8">
        <w:rPr>
          <w:rFonts w:ascii="Times New Roman" w:hAnsi="Times New Roman" w:cs="Times New Roman"/>
          <w:sz w:val="24"/>
          <w:szCs w:val="24"/>
        </w:rPr>
        <w:t>).</w:t>
      </w:r>
      <w:r w:rsidRPr="00EF29E3">
        <w:rPr>
          <w:rFonts w:ascii="Times New Roman" w:hAnsi="Times New Roman" w:cs="Times New Roman"/>
          <w:sz w:val="24"/>
          <w:szCs w:val="24"/>
        </w:rPr>
        <w:t xml:space="preserve"> </w:t>
      </w:r>
    </w:p>
    <w:p w:rsidR="00B76AB0" w:rsidRDefault="00B76AB0" w:rsidP="008052FB">
      <w:pPr>
        <w:autoSpaceDE w:val="0"/>
        <w:autoSpaceDN w:val="0"/>
        <w:adjustRightInd w:val="0"/>
        <w:ind w:firstLine="540"/>
        <w:jc w:val="both"/>
      </w:pPr>
      <w:r>
        <w:t>П</w:t>
      </w:r>
      <w:r w:rsidR="001962FE" w:rsidRPr="001962FE">
        <w:t xml:space="preserve">ричинами нарушений сроков выплаты заработной платы в основном явились: </w:t>
      </w:r>
    </w:p>
    <w:p w:rsidR="00B76AB0" w:rsidRDefault="00B76AB0" w:rsidP="008052FB">
      <w:pPr>
        <w:autoSpaceDE w:val="0"/>
        <w:autoSpaceDN w:val="0"/>
        <w:adjustRightInd w:val="0"/>
        <w:ind w:firstLine="540"/>
        <w:jc w:val="both"/>
      </w:pPr>
      <w:r>
        <w:t xml:space="preserve">- </w:t>
      </w:r>
      <w:r w:rsidR="001962FE" w:rsidRPr="001962FE">
        <w:t>позднее поступление субвен</w:t>
      </w:r>
      <w:r w:rsidR="001962FE">
        <w:t>ц</w:t>
      </w:r>
      <w:r>
        <w:t xml:space="preserve">ии, </w:t>
      </w:r>
      <w:r w:rsidR="001962FE">
        <w:t>выплата з</w:t>
      </w:r>
      <w:r w:rsidR="001962FE" w:rsidRPr="00462E10">
        <w:t>аработн</w:t>
      </w:r>
      <w:r w:rsidR="001962FE">
        <w:t>ой</w:t>
      </w:r>
      <w:r w:rsidR="001962FE" w:rsidRPr="00462E10">
        <w:t xml:space="preserve"> плат</w:t>
      </w:r>
      <w:r w:rsidR="001962FE">
        <w:t>ы</w:t>
      </w:r>
      <w:r w:rsidR="001962FE" w:rsidRPr="00462E10">
        <w:t xml:space="preserve"> </w:t>
      </w:r>
      <w:r w:rsidR="001962FE">
        <w:t xml:space="preserve">за январь (аванс и расчет) задержана в 66 поселениях в 2016 году (от 5 до 84 дней) </w:t>
      </w:r>
      <w:r w:rsidR="001962FE" w:rsidRPr="00A154F7">
        <w:t>на 494,9 тыс.</w:t>
      </w:r>
      <w:r w:rsidR="001962FE">
        <w:t xml:space="preserve"> руб., в 2017 году (от 3 до 109 дней) </w:t>
      </w:r>
      <w:proofErr w:type="gramStart"/>
      <w:r w:rsidR="001962FE">
        <w:t>на</w:t>
      </w:r>
      <w:proofErr w:type="gramEnd"/>
      <w:r w:rsidR="001962FE">
        <w:t xml:space="preserve"> 530,1 тыс. руб</w:t>
      </w:r>
      <w:r>
        <w:t>.;</w:t>
      </w:r>
    </w:p>
    <w:p w:rsidR="00B76AB0" w:rsidRPr="00126ACB" w:rsidRDefault="00B76AB0" w:rsidP="00B76AB0">
      <w:pPr>
        <w:autoSpaceDE w:val="0"/>
        <w:autoSpaceDN w:val="0"/>
        <w:adjustRightInd w:val="0"/>
        <w:ind w:firstLine="540"/>
        <w:jc w:val="both"/>
      </w:pPr>
      <w:proofErr w:type="gramStart"/>
      <w:r>
        <w:lastRenderedPageBreak/>
        <w:t>-</w:t>
      </w:r>
      <w:r w:rsidR="001962FE" w:rsidRPr="001962FE">
        <w:t xml:space="preserve"> поквартальная ее выплата администрациями поселений в результате незнания бухгалтерами поселений норм </w:t>
      </w:r>
      <w:r w:rsidR="00C2293E">
        <w:t>ТК</w:t>
      </w:r>
      <w:r w:rsidR="001962FE" w:rsidRPr="001962FE">
        <w:t xml:space="preserve"> РФ в части периодичности выплаты заработной платы (не реже чем каждые полмесяца в даты, установленные правилами внутреннего трудового распорядка), нахождение бухгалтеров на больничных листах, сбои программного обеспечения и пр.</w:t>
      </w:r>
      <w:r>
        <w:t>, в 11 поселениях (в том числе в 8-ми, в которых была задержка заработной платы из-за позднего поступления субвенции) задержка</w:t>
      </w:r>
      <w:proofErr w:type="gramEnd"/>
      <w:r>
        <w:t xml:space="preserve"> выплат заработной платы (включая отпускные) также произошла в 2016 году </w:t>
      </w:r>
      <w:r w:rsidRPr="00A154F7">
        <w:t>на 206,</w:t>
      </w:r>
      <w:r w:rsidR="00A154F7" w:rsidRPr="00A154F7">
        <w:t>8</w:t>
      </w:r>
      <w:r w:rsidRPr="00A154F7">
        <w:t xml:space="preserve"> тыс.</w:t>
      </w:r>
      <w:r>
        <w:t xml:space="preserve"> руб. и в 2017 </w:t>
      </w:r>
      <w:r w:rsidRPr="00126ACB">
        <w:t>году на 195,2 тыс. руб.;</w:t>
      </w:r>
    </w:p>
    <w:p w:rsidR="008052FB" w:rsidRPr="00126ACB" w:rsidRDefault="003323B9" w:rsidP="006F1D8A">
      <w:pPr>
        <w:pStyle w:val="a3"/>
        <w:numPr>
          <w:ilvl w:val="0"/>
          <w:numId w:val="3"/>
        </w:numPr>
        <w:autoSpaceDE w:val="0"/>
        <w:autoSpaceDN w:val="0"/>
        <w:adjustRightInd w:val="0"/>
        <w:spacing w:after="0" w:line="240" w:lineRule="auto"/>
        <w:ind w:left="0" w:firstLine="680"/>
        <w:jc w:val="both"/>
        <w:rPr>
          <w:rFonts w:ascii="Times New Roman" w:hAnsi="Times New Roman" w:cs="Times New Roman"/>
          <w:sz w:val="24"/>
          <w:szCs w:val="24"/>
        </w:rPr>
      </w:pPr>
      <w:r w:rsidRPr="00126ACB">
        <w:rPr>
          <w:rFonts w:ascii="Times New Roman" w:hAnsi="Times New Roman" w:cs="Times New Roman"/>
          <w:sz w:val="24"/>
          <w:szCs w:val="24"/>
        </w:rPr>
        <w:t>п</w:t>
      </w:r>
      <w:r w:rsidR="008052FB" w:rsidRPr="00126ACB">
        <w:rPr>
          <w:rFonts w:ascii="Times New Roman" w:hAnsi="Times New Roman" w:cs="Times New Roman"/>
          <w:sz w:val="24"/>
          <w:szCs w:val="24"/>
        </w:rPr>
        <w:t>о Купцовскому с</w:t>
      </w:r>
      <w:r w:rsidRPr="00126ACB">
        <w:rPr>
          <w:rFonts w:ascii="Times New Roman" w:hAnsi="Times New Roman" w:cs="Times New Roman"/>
          <w:sz w:val="24"/>
          <w:szCs w:val="24"/>
        </w:rPr>
        <w:t>/</w:t>
      </w:r>
      <w:proofErr w:type="spellStart"/>
      <w:proofErr w:type="gramStart"/>
      <w:r w:rsidRPr="00126ACB">
        <w:rPr>
          <w:rFonts w:ascii="Times New Roman" w:hAnsi="Times New Roman" w:cs="Times New Roman"/>
          <w:sz w:val="24"/>
          <w:szCs w:val="24"/>
        </w:rPr>
        <w:t>п</w:t>
      </w:r>
      <w:proofErr w:type="spellEnd"/>
      <w:proofErr w:type="gramEnd"/>
      <w:r w:rsidRPr="00126ACB">
        <w:rPr>
          <w:rFonts w:ascii="Times New Roman" w:hAnsi="Times New Roman" w:cs="Times New Roman"/>
          <w:sz w:val="24"/>
          <w:szCs w:val="24"/>
        </w:rPr>
        <w:t xml:space="preserve"> </w:t>
      </w:r>
      <w:r w:rsidR="008052FB" w:rsidRPr="00126ACB">
        <w:rPr>
          <w:rFonts w:ascii="Times New Roman" w:hAnsi="Times New Roman" w:cs="Times New Roman"/>
          <w:sz w:val="24"/>
          <w:szCs w:val="24"/>
        </w:rPr>
        <w:t xml:space="preserve">Котовского </w:t>
      </w:r>
      <w:r w:rsidRPr="00126ACB">
        <w:rPr>
          <w:rFonts w:ascii="Times New Roman" w:hAnsi="Times New Roman" w:cs="Times New Roman"/>
          <w:sz w:val="24"/>
          <w:szCs w:val="24"/>
        </w:rPr>
        <w:t>МР</w:t>
      </w:r>
      <w:r w:rsidR="008052FB" w:rsidRPr="00126ACB">
        <w:rPr>
          <w:rFonts w:ascii="Times New Roman" w:hAnsi="Times New Roman" w:cs="Times New Roman"/>
          <w:sz w:val="24"/>
          <w:szCs w:val="24"/>
        </w:rPr>
        <w:t xml:space="preserve"> и по Киреевскому с</w:t>
      </w:r>
      <w:r w:rsidRPr="00126ACB">
        <w:rPr>
          <w:rFonts w:ascii="Times New Roman" w:hAnsi="Times New Roman" w:cs="Times New Roman"/>
          <w:sz w:val="24"/>
          <w:szCs w:val="24"/>
        </w:rPr>
        <w:t>/</w:t>
      </w:r>
      <w:proofErr w:type="spellStart"/>
      <w:r w:rsidRPr="00126ACB">
        <w:rPr>
          <w:rFonts w:ascii="Times New Roman" w:hAnsi="Times New Roman" w:cs="Times New Roman"/>
          <w:sz w:val="24"/>
          <w:szCs w:val="24"/>
        </w:rPr>
        <w:t>п</w:t>
      </w:r>
      <w:proofErr w:type="spellEnd"/>
      <w:r w:rsidR="008052FB" w:rsidRPr="00126ACB">
        <w:rPr>
          <w:rFonts w:ascii="Times New Roman" w:hAnsi="Times New Roman" w:cs="Times New Roman"/>
          <w:sz w:val="24"/>
          <w:szCs w:val="24"/>
        </w:rPr>
        <w:t xml:space="preserve"> Ольховского </w:t>
      </w:r>
      <w:r w:rsidRPr="00126ACB">
        <w:rPr>
          <w:rFonts w:ascii="Times New Roman" w:hAnsi="Times New Roman" w:cs="Times New Roman"/>
          <w:sz w:val="24"/>
          <w:szCs w:val="24"/>
        </w:rPr>
        <w:t xml:space="preserve">МР </w:t>
      </w:r>
      <w:r w:rsidR="008052FB" w:rsidRPr="00126ACB">
        <w:rPr>
          <w:rFonts w:ascii="Times New Roman" w:hAnsi="Times New Roman" w:cs="Times New Roman"/>
          <w:sz w:val="24"/>
          <w:szCs w:val="24"/>
        </w:rPr>
        <w:t xml:space="preserve"> в 2016 году размер средней заработной платы ВУР сложился ниже минимального размера оплаты труда, чем не соблюдена ст. 133 ТК РФ. Нарушение было устранено</w:t>
      </w:r>
      <w:r w:rsidR="00F73A23" w:rsidRPr="00126ACB">
        <w:rPr>
          <w:rFonts w:ascii="Times New Roman" w:hAnsi="Times New Roman" w:cs="Times New Roman"/>
          <w:sz w:val="24"/>
          <w:szCs w:val="24"/>
        </w:rPr>
        <w:t xml:space="preserve"> во второй половине 2016 </w:t>
      </w:r>
      <w:r w:rsidR="00126ACB" w:rsidRPr="00126ACB">
        <w:rPr>
          <w:rFonts w:ascii="Times New Roman" w:hAnsi="Times New Roman" w:cs="Times New Roman"/>
          <w:sz w:val="24"/>
          <w:szCs w:val="24"/>
        </w:rPr>
        <w:t>– 2017 годов</w:t>
      </w:r>
      <w:r w:rsidR="00DB6403" w:rsidRPr="00126ACB">
        <w:rPr>
          <w:rFonts w:ascii="Times New Roman" w:hAnsi="Times New Roman" w:cs="Times New Roman"/>
          <w:sz w:val="24"/>
          <w:szCs w:val="24"/>
        </w:rPr>
        <w:t>;</w:t>
      </w:r>
    </w:p>
    <w:p w:rsidR="0095230C" w:rsidRDefault="0095230C" w:rsidP="006F1D8A">
      <w:pPr>
        <w:pStyle w:val="a3"/>
        <w:numPr>
          <w:ilvl w:val="0"/>
          <w:numId w:val="3"/>
        </w:numPr>
        <w:autoSpaceDE w:val="0"/>
        <w:autoSpaceDN w:val="0"/>
        <w:adjustRightInd w:val="0"/>
        <w:spacing w:after="0" w:line="240" w:lineRule="auto"/>
        <w:ind w:left="0" w:firstLine="680"/>
        <w:jc w:val="both"/>
        <w:rPr>
          <w:rFonts w:ascii="Times New Roman" w:hAnsi="Times New Roman" w:cs="Times New Roman"/>
          <w:sz w:val="24"/>
          <w:szCs w:val="24"/>
        </w:rPr>
      </w:pPr>
      <w:r w:rsidRPr="0095230C">
        <w:rPr>
          <w:rFonts w:ascii="Times New Roman" w:hAnsi="Times New Roman" w:cs="Times New Roman"/>
          <w:sz w:val="24"/>
          <w:szCs w:val="24"/>
        </w:rPr>
        <w:t xml:space="preserve"> </w:t>
      </w:r>
      <w:r>
        <w:rPr>
          <w:rFonts w:ascii="Times New Roman" w:hAnsi="Times New Roman" w:cs="Times New Roman"/>
          <w:sz w:val="24"/>
          <w:szCs w:val="24"/>
        </w:rPr>
        <w:t>в</w:t>
      </w:r>
      <w:r w:rsidRPr="0095230C">
        <w:rPr>
          <w:rFonts w:ascii="Times New Roman" w:hAnsi="Times New Roman" w:cs="Times New Roman"/>
          <w:sz w:val="24"/>
          <w:szCs w:val="24"/>
        </w:rPr>
        <w:t xml:space="preserve"> нарушение локальных нормативных актов, предусматривающих оплату труда ВУР, в 10 поселениях  были произведены в 2016 и 2017 годах  различные выплаты на общую сумму 99,1 тыс. руб. и 118,6 тыс. руб</w:t>
      </w:r>
      <w:r>
        <w:rPr>
          <w:rFonts w:ascii="Times New Roman" w:hAnsi="Times New Roman" w:cs="Times New Roman"/>
          <w:sz w:val="24"/>
          <w:szCs w:val="24"/>
        </w:rPr>
        <w:t>.</w:t>
      </w:r>
      <w:r w:rsidRPr="0095230C">
        <w:rPr>
          <w:rFonts w:ascii="Times New Roman" w:hAnsi="Times New Roman" w:cs="Times New Roman"/>
          <w:sz w:val="24"/>
          <w:szCs w:val="24"/>
        </w:rPr>
        <w:t xml:space="preserve"> соответственно, непредусмотренные нормативными актами или в больших размерах, чем предусмотрено нормативными актами: в </w:t>
      </w:r>
      <w:proofErr w:type="spellStart"/>
      <w:r w:rsidRPr="0095230C">
        <w:rPr>
          <w:rFonts w:ascii="Times New Roman" w:hAnsi="Times New Roman" w:cs="Times New Roman"/>
          <w:sz w:val="24"/>
          <w:szCs w:val="24"/>
        </w:rPr>
        <w:t>Кузьмичевском</w:t>
      </w:r>
      <w:proofErr w:type="spellEnd"/>
      <w:r w:rsidRPr="0095230C">
        <w:rPr>
          <w:rFonts w:ascii="Times New Roman" w:hAnsi="Times New Roman" w:cs="Times New Roman"/>
          <w:sz w:val="24"/>
          <w:szCs w:val="24"/>
        </w:rPr>
        <w:t xml:space="preserve"> с</w:t>
      </w:r>
      <w:r w:rsidR="008C3E66">
        <w:rPr>
          <w:rFonts w:ascii="Times New Roman" w:hAnsi="Times New Roman" w:cs="Times New Roman"/>
          <w:sz w:val="24"/>
          <w:szCs w:val="24"/>
        </w:rPr>
        <w:t>/</w:t>
      </w:r>
      <w:proofErr w:type="spellStart"/>
      <w:proofErr w:type="gramStart"/>
      <w:r w:rsidR="008C3E66">
        <w:rPr>
          <w:rFonts w:ascii="Times New Roman" w:hAnsi="Times New Roman" w:cs="Times New Roman"/>
          <w:sz w:val="24"/>
          <w:szCs w:val="24"/>
        </w:rPr>
        <w:t>п</w:t>
      </w:r>
      <w:proofErr w:type="spellEnd"/>
      <w:proofErr w:type="gramEnd"/>
      <w:r w:rsidR="008C3E66">
        <w:rPr>
          <w:rFonts w:ascii="Times New Roman" w:hAnsi="Times New Roman" w:cs="Times New Roman"/>
          <w:sz w:val="24"/>
          <w:szCs w:val="24"/>
        </w:rPr>
        <w:t xml:space="preserve"> </w:t>
      </w:r>
      <w:proofErr w:type="spellStart"/>
      <w:r w:rsidR="008C3E66">
        <w:rPr>
          <w:rFonts w:ascii="Times New Roman" w:hAnsi="Times New Roman" w:cs="Times New Roman"/>
          <w:sz w:val="24"/>
          <w:szCs w:val="24"/>
        </w:rPr>
        <w:t>Городищенского</w:t>
      </w:r>
      <w:proofErr w:type="spellEnd"/>
      <w:r w:rsidR="008C3E66">
        <w:rPr>
          <w:rFonts w:ascii="Times New Roman" w:hAnsi="Times New Roman" w:cs="Times New Roman"/>
          <w:sz w:val="24"/>
          <w:szCs w:val="24"/>
        </w:rPr>
        <w:t xml:space="preserve"> МР</w:t>
      </w:r>
      <w:r w:rsidRPr="0095230C">
        <w:rPr>
          <w:rFonts w:ascii="Times New Roman" w:hAnsi="Times New Roman" w:cs="Times New Roman"/>
          <w:sz w:val="24"/>
          <w:szCs w:val="24"/>
        </w:rPr>
        <w:t xml:space="preserve"> в 2016-2017 годах ВУР выплачены материальная помощь к отпуску в размере 2-х должностных окладов в сумме 21,4 тыс. руб. (по 10,7 тыс. руб. ежегодно), а также единовременные денежные вознаграждения с превышением 3-х должностных окладов в сумме 8,9 тыс. руб. (2016 г.- 4,8 тыс. руб., 2017 г. - 4,1 тыс. руб.); в </w:t>
      </w:r>
      <w:proofErr w:type="spellStart"/>
      <w:r w:rsidRPr="0095230C">
        <w:rPr>
          <w:rFonts w:ascii="Times New Roman" w:hAnsi="Times New Roman" w:cs="Times New Roman"/>
          <w:sz w:val="24"/>
          <w:szCs w:val="24"/>
        </w:rPr>
        <w:t>Новорогачинском</w:t>
      </w:r>
      <w:proofErr w:type="spellEnd"/>
      <w:r w:rsidRPr="0095230C">
        <w:rPr>
          <w:rFonts w:ascii="Times New Roman" w:hAnsi="Times New Roman" w:cs="Times New Roman"/>
          <w:sz w:val="24"/>
          <w:szCs w:val="24"/>
        </w:rPr>
        <w:t xml:space="preserve"> г</w:t>
      </w:r>
      <w:r w:rsidR="008C3E66">
        <w:rPr>
          <w:rFonts w:ascii="Times New Roman" w:hAnsi="Times New Roman" w:cs="Times New Roman"/>
          <w:sz w:val="24"/>
          <w:szCs w:val="24"/>
        </w:rPr>
        <w:t>/</w:t>
      </w:r>
      <w:proofErr w:type="spellStart"/>
      <w:proofErr w:type="gramStart"/>
      <w:r w:rsidR="008C3E66">
        <w:rPr>
          <w:rFonts w:ascii="Times New Roman" w:hAnsi="Times New Roman" w:cs="Times New Roman"/>
          <w:sz w:val="24"/>
          <w:szCs w:val="24"/>
        </w:rPr>
        <w:t>п</w:t>
      </w:r>
      <w:proofErr w:type="spellEnd"/>
      <w:proofErr w:type="gramEnd"/>
      <w:r w:rsidR="008C3E66">
        <w:rPr>
          <w:rFonts w:ascii="Times New Roman" w:hAnsi="Times New Roman" w:cs="Times New Roman"/>
          <w:sz w:val="24"/>
          <w:szCs w:val="24"/>
        </w:rPr>
        <w:t xml:space="preserve"> </w:t>
      </w:r>
      <w:proofErr w:type="spellStart"/>
      <w:r w:rsidR="008C3E66">
        <w:rPr>
          <w:rFonts w:ascii="Times New Roman" w:hAnsi="Times New Roman" w:cs="Times New Roman"/>
          <w:sz w:val="24"/>
          <w:szCs w:val="24"/>
        </w:rPr>
        <w:t>Городищенского</w:t>
      </w:r>
      <w:proofErr w:type="spellEnd"/>
      <w:r w:rsidR="008C3E66">
        <w:rPr>
          <w:rFonts w:ascii="Times New Roman" w:hAnsi="Times New Roman" w:cs="Times New Roman"/>
          <w:sz w:val="24"/>
          <w:szCs w:val="24"/>
        </w:rPr>
        <w:t xml:space="preserve"> МР</w:t>
      </w:r>
      <w:r w:rsidRPr="0095230C">
        <w:rPr>
          <w:rFonts w:ascii="Times New Roman" w:hAnsi="Times New Roman" w:cs="Times New Roman"/>
          <w:sz w:val="24"/>
          <w:szCs w:val="24"/>
        </w:rPr>
        <w:t xml:space="preserve"> единовременно выплачены денежные вознаграждения по итогам работы за год с превышением 3-х должностных окладов на общую сумму 4,4 тыс. руб. (2016 г. -  1 тыс. руб., 2017 г. - 3,4 тыс. руб.); в Медведицком с</w:t>
      </w:r>
      <w:r w:rsidR="008C3E66">
        <w:rPr>
          <w:rFonts w:ascii="Times New Roman" w:hAnsi="Times New Roman" w:cs="Times New Roman"/>
          <w:sz w:val="24"/>
          <w:szCs w:val="24"/>
        </w:rPr>
        <w:t>/</w:t>
      </w:r>
      <w:proofErr w:type="spellStart"/>
      <w:proofErr w:type="gramStart"/>
      <w:r w:rsidR="008C3E66">
        <w:rPr>
          <w:rFonts w:ascii="Times New Roman" w:hAnsi="Times New Roman" w:cs="Times New Roman"/>
          <w:sz w:val="24"/>
          <w:szCs w:val="24"/>
        </w:rPr>
        <w:t>п</w:t>
      </w:r>
      <w:proofErr w:type="spellEnd"/>
      <w:proofErr w:type="gramEnd"/>
      <w:r w:rsidRPr="0095230C">
        <w:rPr>
          <w:rFonts w:ascii="Times New Roman" w:hAnsi="Times New Roman" w:cs="Times New Roman"/>
          <w:sz w:val="24"/>
          <w:szCs w:val="24"/>
        </w:rPr>
        <w:t xml:space="preserve"> </w:t>
      </w:r>
      <w:proofErr w:type="spellStart"/>
      <w:r w:rsidR="008C3E66">
        <w:rPr>
          <w:rFonts w:ascii="Times New Roman" w:hAnsi="Times New Roman" w:cs="Times New Roman"/>
          <w:sz w:val="24"/>
          <w:szCs w:val="24"/>
        </w:rPr>
        <w:t>Жирновского</w:t>
      </w:r>
      <w:proofErr w:type="spellEnd"/>
      <w:r w:rsidR="008C3E66">
        <w:rPr>
          <w:rFonts w:ascii="Times New Roman" w:hAnsi="Times New Roman" w:cs="Times New Roman"/>
          <w:sz w:val="24"/>
          <w:szCs w:val="24"/>
        </w:rPr>
        <w:t xml:space="preserve"> МР</w:t>
      </w:r>
      <w:r w:rsidRPr="0095230C">
        <w:rPr>
          <w:rFonts w:ascii="Times New Roman" w:hAnsi="Times New Roman" w:cs="Times New Roman"/>
          <w:sz w:val="24"/>
          <w:szCs w:val="24"/>
        </w:rPr>
        <w:t xml:space="preserve">  в сентябре 2016 года выплачен</w:t>
      </w:r>
      <w:r w:rsidR="0017153D">
        <w:rPr>
          <w:rFonts w:ascii="Times New Roman" w:hAnsi="Times New Roman" w:cs="Times New Roman"/>
          <w:sz w:val="24"/>
          <w:szCs w:val="24"/>
        </w:rPr>
        <w:t>о</w:t>
      </w:r>
      <w:r w:rsidRPr="0095230C">
        <w:rPr>
          <w:rFonts w:ascii="Times New Roman" w:hAnsi="Times New Roman" w:cs="Times New Roman"/>
          <w:sz w:val="24"/>
          <w:szCs w:val="24"/>
        </w:rPr>
        <w:t xml:space="preserve"> ежемесячное денежное поощрение в размере 1,3 тыс. руб.; в </w:t>
      </w:r>
      <w:proofErr w:type="spellStart"/>
      <w:r w:rsidRPr="0095230C">
        <w:rPr>
          <w:rFonts w:ascii="Times New Roman" w:hAnsi="Times New Roman" w:cs="Times New Roman"/>
          <w:sz w:val="24"/>
          <w:szCs w:val="24"/>
        </w:rPr>
        <w:t>Царевском</w:t>
      </w:r>
      <w:proofErr w:type="spellEnd"/>
      <w:r w:rsidRPr="0095230C">
        <w:rPr>
          <w:rFonts w:ascii="Times New Roman" w:hAnsi="Times New Roman" w:cs="Times New Roman"/>
          <w:sz w:val="24"/>
          <w:szCs w:val="24"/>
        </w:rPr>
        <w:t xml:space="preserve"> с</w:t>
      </w:r>
      <w:r w:rsidR="008C3E66">
        <w:rPr>
          <w:rFonts w:ascii="Times New Roman" w:hAnsi="Times New Roman" w:cs="Times New Roman"/>
          <w:sz w:val="24"/>
          <w:szCs w:val="24"/>
        </w:rPr>
        <w:t>/</w:t>
      </w:r>
      <w:proofErr w:type="spellStart"/>
      <w:r w:rsidR="008C3E66">
        <w:rPr>
          <w:rFonts w:ascii="Times New Roman" w:hAnsi="Times New Roman" w:cs="Times New Roman"/>
          <w:sz w:val="24"/>
          <w:szCs w:val="24"/>
        </w:rPr>
        <w:t>п</w:t>
      </w:r>
      <w:proofErr w:type="spellEnd"/>
      <w:r w:rsidR="008C3E66">
        <w:rPr>
          <w:rFonts w:ascii="Times New Roman" w:hAnsi="Times New Roman" w:cs="Times New Roman"/>
          <w:sz w:val="24"/>
          <w:szCs w:val="24"/>
        </w:rPr>
        <w:t xml:space="preserve"> Ленинского МР</w:t>
      </w:r>
      <w:r w:rsidRPr="0095230C">
        <w:rPr>
          <w:rFonts w:ascii="Times New Roman" w:hAnsi="Times New Roman" w:cs="Times New Roman"/>
          <w:sz w:val="24"/>
          <w:szCs w:val="24"/>
        </w:rPr>
        <w:t xml:space="preserve"> в 2016 году  выплачена премия по итогам работы за  10 месяцев в сумме 30,0 тыс. руб.; в </w:t>
      </w:r>
      <w:proofErr w:type="spellStart"/>
      <w:r w:rsidRPr="0095230C">
        <w:rPr>
          <w:rFonts w:ascii="Times New Roman" w:hAnsi="Times New Roman" w:cs="Times New Roman"/>
          <w:sz w:val="24"/>
          <w:szCs w:val="24"/>
        </w:rPr>
        <w:t>Солодчинском</w:t>
      </w:r>
      <w:proofErr w:type="spellEnd"/>
      <w:r w:rsidRPr="0095230C">
        <w:rPr>
          <w:rFonts w:ascii="Times New Roman" w:hAnsi="Times New Roman" w:cs="Times New Roman"/>
          <w:sz w:val="24"/>
          <w:szCs w:val="24"/>
        </w:rPr>
        <w:t xml:space="preserve"> с</w:t>
      </w:r>
      <w:r w:rsidR="008C3E66">
        <w:rPr>
          <w:rFonts w:ascii="Times New Roman" w:hAnsi="Times New Roman" w:cs="Times New Roman"/>
          <w:sz w:val="24"/>
          <w:szCs w:val="24"/>
        </w:rPr>
        <w:t>/</w:t>
      </w:r>
      <w:proofErr w:type="spellStart"/>
      <w:r w:rsidR="008C3E66">
        <w:rPr>
          <w:rFonts w:ascii="Times New Roman" w:hAnsi="Times New Roman" w:cs="Times New Roman"/>
          <w:sz w:val="24"/>
          <w:szCs w:val="24"/>
        </w:rPr>
        <w:t>п</w:t>
      </w:r>
      <w:proofErr w:type="spellEnd"/>
      <w:r w:rsidR="008C3E66">
        <w:rPr>
          <w:rFonts w:ascii="Times New Roman" w:hAnsi="Times New Roman" w:cs="Times New Roman"/>
          <w:sz w:val="24"/>
          <w:szCs w:val="24"/>
        </w:rPr>
        <w:t xml:space="preserve"> Ольховского МР</w:t>
      </w:r>
      <w:r w:rsidRPr="0095230C">
        <w:rPr>
          <w:rFonts w:ascii="Times New Roman" w:hAnsi="Times New Roman" w:cs="Times New Roman"/>
          <w:sz w:val="24"/>
          <w:szCs w:val="24"/>
        </w:rPr>
        <w:t xml:space="preserve"> в 2016-2017 гг. выплачена материальна помощь в размере 18,2 тыс. руб. (2016 г. - 9,1 тыс. руб., 2017 г. - 9,1 тыс. руб.), в</w:t>
      </w:r>
      <w:proofErr w:type="gramStart"/>
      <w:r w:rsidRPr="0095230C">
        <w:rPr>
          <w:rFonts w:ascii="Times New Roman" w:hAnsi="Times New Roman" w:cs="Times New Roman"/>
          <w:sz w:val="24"/>
          <w:szCs w:val="24"/>
        </w:rPr>
        <w:t>.О</w:t>
      </w:r>
      <w:proofErr w:type="gramEnd"/>
      <w:r w:rsidRPr="0095230C">
        <w:rPr>
          <w:rFonts w:ascii="Times New Roman" w:hAnsi="Times New Roman" w:cs="Times New Roman"/>
          <w:sz w:val="24"/>
          <w:szCs w:val="24"/>
        </w:rPr>
        <w:t>льховском с</w:t>
      </w:r>
      <w:r w:rsidR="008C3E66">
        <w:rPr>
          <w:rFonts w:ascii="Times New Roman" w:hAnsi="Times New Roman" w:cs="Times New Roman"/>
          <w:sz w:val="24"/>
          <w:szCs w:val="24"/>
        </w:rPr>
        <w:t>/</w:t>
      </w:r>
      <w:proofErr w:type="spellStart"/>
      <w:r w:rsidR="008C3E66">
        <w:rPr>
          <w:rFonts w:ascii="Times New Roman" w:hAnsi="Times New Roman" w:cs="Times New Roman"/>
          <w:sz w:val="24"/>
          <w:szCs w:val="24"/>
        </w:rPr>
        <w:t>п</w:t>
      </w:r>
      <w:proofErr w:type="spellEnd"/>
      <w:r w:rsidR="008C3E66">
        <w:rPr>
          <w:rFonts w:ascii="Times New Roman" w:hAnsi="Times New Roman" w:cs="Times New Roman"/>
          <w:sz w:val="24"/>
          <w:szCs w:val="24"/>
        </w:rPr>
        <w:t xml:space="preserve"> Ольховского МР</w:t>
      </w:r>
      <w:r w:rsidRPr="0095230C">
        <w:rPr>
          <w:rFonts w:ascii="Times New Roman" w:hAnsi="Times New Roman" w:cs="Times New Roman"/>
          <w:sz w:val="24"/>
          <w:szCs w:val="24"/>
        </w:rPr>
        <w:t xml:space="preserve"> в 2017 году произведена выплата единовременного вознаграждения в размере 8,9 тыс. руб.; в </w:t>
      </w:r>
      <w:proofErr w:type="spellStart"/>
      <w:r w:rsidRPr="0095230C">
        <w:rPr>
          <w:rFonts w:ascii="Times New Roman" w:hAnsi="Times New Roman" w:cs="Times New Roman"/>
          <w:sz w:val="24"/>
          <w:szCs w:val="24"/>
        </w:rPr>
        <w:t>Гончаровском</w:t>
      </w:r>
      <w:proofErr w:type="spellEnd"/>
      <w:r w:rsidRPr="0095230C">
        <w:rPr>
          <w:rFonts w:ascii="Times New Roman" w:hAnsi="Times New Roman" w:cs="Times New Roman"/>
          <w:sz w:val="24"/>
          <w:szCs w:val="24"/>
        </w:rPr>
        <w:t xml:space="preserve"> с</w:t>
      </w:r>
      <w:r w:rsidR="008C3E66">
        <w:rPr>
          <w:rFonts w:ascii="Times New Roman" w:hAnsi="Times New Roman" w:cs="Times New Roman"/>
          <w:sz w:val="24"/>
          <w:szCs w:val="24"/>
        </w:rPr>
        <w:t>/</w:t>
      </w:r>
      <w:proofErr w:type="spellStart"/>
      <w:r w:rsidR="008C3E66">
        <w:rPr>
          <w:rFonts w:ascii="Times New Roman" w:hAnsi="Times New Roman" w:cs="Times New Roman"/>
          <w:sz w:val="24"/>
          <w:szCs w:val="24"/>
        </w:rPr>
        <w:t>п</w:t>
      </w:r>
      <w:proofErr w:type="spellEnd"/>
      <w:r w:rsidR="008C3E66">
        <w:rPr>
          <w:rFonts w:ascii="Times New Roman" w:hAnsi="Times New Roman" w:cs="Times New Roman"/>
          <w:sz w:val="24"/>
          <w:szCs w:val="24"/>
        </w:rPr>
        <w:t xml:space="preserve"> </w:t>
      </w:r>
      <w:proofErr w:type="spellStart"/>
      <w:r w:rsidR="008C3E66">
        <w:rPr>
          <w:rFonts w:ascii="Times New Roman" w:hAnsi="Times New Roman" w:cs="Times New Roman"/>
          <w:sz w:val="24"/>
          <w:szCs w:val="24"/>
        </w:rPr>
        <w:t>Палласовского</w:t>
      </w:r>
      <w:proofErr w:type="spellEnd"/>
      <w:r w:rsidR="008C3E66">
        <w:rPr>
          <w:rFonts w:ascii="Times New Roman" w:hAnsi="Times New Roman" w:cs="Times New Roman"/>
          <w:sz w:val="24"/>
          <w:szCs w:val="24"/>
        </w:rPr>
        <w:t xml:space="preserve"> МР</w:t>
      </w:r>
      <w:r w:rsidRPr="0095230C">
        <w:rPr>
          <w:rFonts w:ascii="Times New Roman" w:hAnsi="Times New Roman" w:cs="Times New Roman"/>
          <w:sz w:val="24"/>
          <w:szCs w:val="24"/>
        </w:rPr>
        <w:t xml:space="preserve">  выплачено  единовременное денежное поощрение в 2016 г. - 25,0 тыс. руб., в 2017 г. - 38,2 тыс. руб.; в </w:t>
      </w:r>
      <w:proofErr w:type="spellStart"/>
      <w:r w:rsidRPr="0095230C">
        <w:rPr>
          <w:rFonts w:ascii="Times New Roman" w:hAnsi="Times New Roman" w:cs="Times New Roman"/>
          <w:sz w:val="24"/>
          <w:szCs w:val="24"/>
        </w:rPr>
        <w:t>Эльтонском</w:t>
      </w:r>
      <w:proofErr w:type="spellEnd"/>
      <w:r w:rsidRPr="0095230C">
        <w:rPr>
          <w:rFonts w:ascii="Times New Roman" w:hAnsi="Times New Roman" w:cs="Times New Roman"/>
          <w:sz w:val="24"/>
          <w:szCs w:val="24"/>
        </w:rPr>
        <w:t xml:space="preserve"> с</w:t>
      </w:r>
      <w:r w:rsidR="008C3E66">
        <w:rPr>
          <w:rFonts w:ascii="Times New Roman" w:hAnsi="Times New Roman" w:cs="Times New Roman"/>
          <w:sz w:val="24"/>
          <w:szCs w:val="24"/>
        </w:rPr>
        <w:t>/</w:t>
      </w:r>
      <w:proofErr w:type="spellStart"/>
      <w:r w:rsidR="008C3E66">
        <w:rPr>
          <w:rFonts w:ascii="Times New Roman" w:hAnsi="Times New Roman" w:cs="Times New Roman"/>
          <w:sz w:val="24"/>
          <w:szCs w:val="24"/>
        </w:rPr>
        <w:t>п</w:t>
      </w:r>
      <w:proofErr w:type="spellEnd"/>
      <w:r w:rsidR="008C3E66">
        <w:rPr>
          <w:rFonts w:ascii="Times New Roman" w:hAnsi="Times New Roman" w:cs="Times New Roman"/>
          <w:sz w:val="24"/>
          <w:szCs w:val="24"/>
        </w:rPr>
        <w:t xml:space="preserve"> </w:t>
      </w:r>
      <w:proofErr w:type="spellStart"/>
      <w:r w:rsidR="008C3E66">
        <w:rPr>
          <w:rFonts w:ascii="Times New Roman" w:hAnsi="Times New Roman" w:cs="Times New Roman"/>
          <w:sz w:val="24"/>
          <w:szCs w:val="24"/>
        </w:rPr>
        <w:t>Палласовского</w:t>
      </w:r>
      <w:proofErr w:type="spellEnd"/>
      <w:r w:rsidR="008C3E66">
        <w:rPr>
          <w:rFonts w:ascii="Times New Roman" w:hAnsi="Times New Roman" w:cs="Times New Roman"/>
          <w:sz w:val="24"/>
          <w:szCs w:val="24"/>
        </w:rPr>
        <w:t xml:space="preserve"> МР</w:t>
      </w:r>
      <w:r w:rsidRPr="0095230C">
        <w:rPr>
          <w:rFonts w:ascii="Times New Roman" w:hAnsi="Times New Roman" w:cs="Times New Roman"/>
          <w:sz w:val="24"/>
          <w:szCs w:val="24"/>
        </w:rPr>
        <w:t xml:space="preserve"> выплачены  единовременное денежное поощрение за выполнение </w:t>
      </w:r>
      <w:proofErr w:type="gramStart"/>
      <w:r w:rsidRPr="0095230C">
        <w:rPr>
          <w:rFonts w:ascii="Times New Roman" w:hAnsi="Times New Roman" w:cs="Times New Roman"/>
          <w:sz w:val="24"/>
          <w:szCs w:val="24"/>
        </w:rPr>
        <w:t>служебных заданий особой важности и сложности в 2016 г. в сумме 20,0 тыс. руб. вместо предусмотренных 17,3 тыс. руб. (сумма переплаты составила 2,7 тыс. руб.), в 2017 г. - в размере 20 тыс. руб., с 01.07.2017 ежемесячная надбавка ВУР выплачивалась в размере 42,2% вместо установленных 40% (сумма переплаты за июль-декабрь составила 0,5 тыс. руб.);</w:t>
      </w:r>
      <w:proofErr w:type="gramEnd"/>
      <w:r w:rsidRPr="0095230C">
        <w:rPr>
          <w:rFonts w:ascii="Times New Roman" w:hAnsi="Times New Roman" w:cs="Times New Roman"/>
          <w:sz w:val="24"/>
          <w:szCs w:val="24"/>
        </w:rPr>
        <w:t xml:space="preserve"> в </w:t>
      </w:r>
      <w:proofErr w:type="spellStart"/>
      <w:r w:rsidRPr="0095230C">
        <w:rPr>
          <w:rFonts w:ascii="Times New Roman" w:hAnsi="Times New Roman" w:cs="Times New Roman"/>
          <w:sz w:val="24"/>
          <w:szCs w:val="24"/>
        </w:rPr>
        <w:t>Большечапурниковском</w:t>
      </w:r>
      <w:proofErr w:type="spellEnd"/>
      <w:r w:rsidRPr="0095230C">
        <w:rPr>
          <w:rFonts w:ascii="Times New Roman" w:hAnsi="Times New Roman" w:cs="Times New Roman"/>
          <w:sz w:val="24"/>
          <w:szCs w:val="24"/>
        </w:rPr>
        <w:t xml:space="preserve"> с</w:t>
      </w:r>
      <w:r w:rsidR="008C3E66">
        <w:rPr>
          <w:rFonts w:ascii="Times New Roman" w:hAnsi="Times New Roman" w:cs="Times New Roman"/>
          <w:sz w:val="24"/>
          <w:szCs w:val="24"/>
        </w:rPr>
        <w:t>/</w:t>
      </w:r>
      <w:proofErr w:type="spellStart"/>
      <w:proofErr w:type="gramStart"/>
      <w:r w:rsidR="008C3E66">
        <w:rPr>
          <w:rFonts w:ascii="Times New Roman" w:hAnsi="Times New Roman" w:cs="Times New Roman"/>
          <w:sz w:val="24"/>
          <w:szCs w:val="24"/>
        </w:rPr>
        <w:t>п</w:t>
      </w:r>
      <w:proofErr w:type="spellEnd"/>
      <w:proofErr w:type="gramEnd"/>
      <w:r w:rsidR="008C3E66">
        <w:rPr>
          <w:rFonts w:ascii="Times New Roman" w:hAnsi="Times New Roman" w:cs="Times New Roman"/>
          <w:sz w:val="24"/>
          <w:szCs w:val="24"/>
        </w:rPr>
        <w:t xml:space="preserve"> </w:t>
      </w:r>
      <w:proofErr w:type="spellStart"/>
      <w:r w:rsidR="008C3E66">
        <w:rPr>
          <w:rFonts w:ascii="Times New Roman" w:hAnsi="Times New Roman" w:cs="Times New Roman"/>
          <w:sz w:val="24"/>
          <w:szCs w:val="24"/>
        </w:rPr>
        <w:t>Светлоярского</w:t>
      </w:r>
      <w:proofErr w:type="spellEnd"/>
      <w:r w:rsidR="008C3E66">
        <w:rPr>
          <w:rFonts w:ascii="Times New Roman" w:hAnsi="Times New Roman" w:cs="Times New Roman"/>
          <w:sz w:val="24"/>
          <w:szCs w:val="24"/>
        </w:rPr>
        <w:t xml:space="preserve"> МР</w:t>
      </w:r>
      <w:r w:rsidRPr="0095230C">
        <w:rPr>
          <w:rFonts w:ascii="Times New Roman" w:hAnsi="Times New Roman" w:cs="Times New Roman"/>
          <w:sz w:val="24"/>
          <w:szCs w:val="24"/>
        </w:rPr>
        <w:t xml:space="preserve"> надбавка за выслугу лет выплачена в большем объеме,  переплата составила в 2016 г. - 3,2 тыс. руб., в 2017 г. - 0,3 тыс. руб., а также выплачена стимулирующая надбавка в размере 30%, переплата составила в 2016 г. - 5,7 тыс. руб., в 2017 г. - 17,1 тыс. руб.; в Кировском с</w:t>
      </w:r>
      <w:r w:rsidR="008C3E66">
        <w:rPr>
          <w:rFonts w:ascii="Times New Roman" w:hAnsi="Times New Roman" w:cs="Times New Roman"/>
          <w:sz w:val="24"/>
          <w:szCs w:val="24"/>
        </w:rPr>
        <w:t>/</w:t>
      </w:r>
      <w:proofErr w:type="spellStart"/>
      <w:r w:rsidR="008C3E66">
        <w:rPr>
          <w:rFonts w:ascii="Times New Roman" w:hAnsi="Times New Roman" w:cs="Times New Roman"/>
          <w:sz w:val="24"/>
          <w:szCs w:val="24"/>
        </w:rPr>
        <w:t>п</w:t>
      </w:r>
      <w:proofErr w:type="spellEnd"/>
      <w:r w:rsidR="008C3E66">
        <w:rPr>
          <w:rFonts w:ascii="Times New Roman" w:hAnsi="Times New Roman" w:cs="Times New Roman"/>
          <w:sz w:val="24"/>
          <w:szCs w:val="24"/>
        </w:rPr>
        <w:t xml:space="preserve"> </w:t>
      </w:r>
      <w:proofErr w:type="spellStart"/>
      <w:r w:rsidR="008C3E66">
        <w:rPr>
          <w:rFonts w:ascii="Times New Roman" w:hAnsi="Times New Roman" w:cs="Times New Roman"/>
          <w:sz w:val="24"/>
          <w:szCs w:val="24"/>
        </w:rPr>
        <w:t>Светлоярского</w:t>
      </w:r>
      <w:proofErr w:type="spellEnd"/>
      <w:r w:rsidR="008C3E66">
        <w:rPr>
          <w:rFonts w:ascii="Times New Roman" w:hAnsi="Times New Roman" w:cs="Times New Roman"/>
          <w:sz w:val="24"/>
          <w:szCs w:val="24"/>
        </w:rPr>
        <w:t xml:space="preserve"> МР</w:t>
      </w:r>
      <w:r w:rsidRPr="0095230C">
        <w:rPr>
          <w:rFonts w:ascii="Times New Roman" w:hAnsi="Times New Roman" w:cs="Times New Roman"/>
          <w:sz w:val="24"/>
          <w:szCs w:val="24"/>
        </w:rPr>
        <w:t xml:space="preserve"> осуществлялась стимулирующая выплата за сложность и напряженность в размере 65% от должностного оклада (в 2016 г.  в размере 5,6 тыс. руб., в 2017 г. - 6,3 тыс. руб.)</w:t>
      </w:r>
      <w:r w:rsidR="008C3E66">
        <w:rPr>
          <w:rFonts w:ascii="Times New Roman" w:hAnsi="Times New Roman" w:cs="Times New Roman"/>
          <w:sz w:val="24"/>
          <w:szCs w:val="24"/>
        </w:rPr>
        <w:t>;</w:t>
      </w:r>
    </w:p>
    <w:p w:rsidR="00B01ECA" w:rsidRDefault="00B01ECA" w:rsidP="00384663">
      <w:pPr>
        <w:pStyle w:val="a3"/>
        <w:numPr>
          <w:ilvl w:val="0"/>
          <w:numId w:val="3"/>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в</w:t>
      </w:r>
      <w:r w:rsidRPr="00B01ECA">
        <w:rPr>
          <w:rFonts w:ascii="Times New Roman" w:hAnsi="Times New Roman" w:cs="Times New Roman"/>
          <w:sz w:val="24"/>
          <w:szCs w:val="24"/>
        </w:rPr>
        <w:t xml:space="preserve"> нарушение положений об оплате труда ВУР в трех поселениях надбавка за выслугу лет не была выплачена или выплачена не в</w:t>
      </w:r>
      <w:r>
        <w:rPr>
          <w:rFonts w:ascii="Times New Roman" w:hAnsi="Times New Roman" w:cs="Times New Roman"/>
          <w:sz w:val="24"/>
          <w:szCs w:val="24"/>
        </w:rPr>
        <w:t xml:space="preserve"> </w:t>
      </w:r>
      <w:r w:rsidRPr="00B01ECA">
        <w:rPr>
          <w:rFonts w:ascii="Times New Roman" w:hAnsi="Times New Roman" w:cs="Times New Roman"/>
          <w:sz w:val="24"/>
          <w:szCs w:val="24"/>
        </w:rPr>
        <w:t>полном объеме, недоплата за 2016</w:t>
      </w:r>
      <w:r w:rsidR="00384663">
        <w:rPr>
          <w:rFonts w:ascii="Times New Roman" w:hAnsi="Times New Roman" w:cs="Times New Roman"/>
          <w:sz w:val="24"/>
          <w:szCs w:val="24"/>
        </w:rPr>
        <w:t xml:space="preserve"> и 2017 гг.</w:t>
      </w:r>
      <w:r w:rsidRPr="00B01ECA">
        <w:rPr>
          <w:rFonts w:ascii="Times New Roman" w:hAnsi="Times New Roman" w:cs="Times New Roman"/>
          <w:sz w:val="24"/>
          <w:szCs w:val="24"/>
        </w:rPr>
        <w:t xml:space="preserve"> составила </w:t>
      </w:r>
      <w:r w:rsidR="00384663">
        <w:rPr>
          <w:rFonts w:ascii="Times New Roman" w:hAnsi="Times New Roman" w:cs="Times New Roman"/>
          <w:sz w:val="24"/>
          <w:szCs w:val="24"/>
        </w:rPr>
        <w:t xml:space="preserve">соответственно </w:t>
      </w:r>
      <w:r w:rsidRPr="00B01ECA">
        <w:rPr>
          <w:rFonts w:ascii="Times New Roman" w:hAnsi="Times New Roman" w:cs="Times New Roman"/>
          <w:sz w:val="24"/>
          <w:szCs w:val="24"/>
        </w:rPr>
        <w:t>7,9 тыс. руб.</w:t>
      </w:r>
      <w:r w:rsidR="00384663">
        <w:rPr>
          <w:rFonts w:ascii="Times New Roman" w:hAnsi="Times New Roman" w:cs="Times New Roman"/>
          <w:sz w:val="24"/>
          <w:szCs w:val="24"/>
        </w:rPr>
        <w:t xml:space="preserve"> и</w:t>
      </w:r>
      <w:r w:rsidRPr="00B01ECA">
        <w:rPr>
          <w:rFonts w:ascii="Times New Roman" w:hAnsi="Times New Roman" w:cs="Times New Roman"/>
          <w:sz w:val="24"/>
          <w:szCs w:val="24"/>
        </w:rPr>
        <w:t xml:space="preserve"> 6,5 тыс. руб. (в г</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sidRPr="00B01ECA">
        <w:rPr>
          <w:rFonts w:ascii="Times New Roman" w:hAnsi="Times New Roman" w:cs="Times New Roman"/>
          <w:sz w:val="24"/>
          <w:szCs w:val="24"/>
        </w:rPr>
        <w:t xml:space="preserve"> р.п. Даниловка </w:t>
      </w:r>
      <w:r w:rsidR="0046222C" w:rsidRPr="00B01ECA">
        <w:rPr>
          <w:rFonts w:ascii="Times New Roman" w:hAnsi="Times New Roman" w:cs="Times New Roman"/>
          <w:sz w:val="24"/>
          <w:szCs w:val="24"/>
        </w:rPr>
        <w:t xml:space="preserve">Даниловского </w:t>
      </w:r>
      <w:r w:rsidR="0046222C">
        <w:rPr>
          <w:rFonts w:ascii="Times New Roman" w:hAnsi="Times New Roman" w:cs="Times New Roman"/>
          <w:sz w:val="24"/>
          <w:szCs w:val="24"/>
        </w:rPr>
        <w:t>МР</w:t>
      </w:r>
      <w:r w:rsidR="0046222C" w:rsidRPr="00B01ECA">
        <w:rPr>
          <w:rFonts w:ascii="Times New Roman" w:hAnsi="Times New Roman" w:cs="Times New Roman"/>
          <w:sz w:val="24"/>
          <w:szCs w:val="24"/>
        </w:rPr>
        <w:t xml:space="preserve"> </w:t>
      </w:r>
      <w:r w:rsidRPr="00B01ECA">
        <w:rPr>
          <w:rFonts w:ascii="Times New Roman" w:hAnsi="Times New Roman" w:cs="Times New Roman"/>
          <w:sz w:val="24"/>
          <w:szCs w:val="24"/>
        </w:rPr>
        <w:t>недоплата за 2016</w:t>
      </w:r>
      <w:r w:rsidR="0046222C">
        <w:rPr>
          <w:rFonts w:ascii="Times New Roman" w:hAnsi="Times New Roman" w:cs="Times New Roman"/>
          <w:sz w:val="24"/>
          <w:szCs w:val="24"/>
        </w:rPr>
        <w:t xml:space="preserve"> и 2017 г</w:t>
      </w:r>
      <w:r w:rsidR="00384663">
        <w:rPr>
          <w:rFonts w:ascii="Times New Roman" w:hAnsi="Times New Roman" w:cs="Times New Roman"/>
          <w:sz w:val="24"/>
          <w:szCs w:val="24"/>
        </w:rPr>
        <w:t>г</w:t>
      </w:r>
      <w:r w:rsidR="0046222C">
        <w:rPr>
          <w:rFonts w:ascii="Times New Roman" w:hAnsi="Times New Roman" w:cs="Times New Roman"/>
          <w:sz w:val="24"/>
          <w:szCs w:val="24"/>
        </w:rPr>
        <w:t xml:space="preserve">. </w:t>
      </w:r>
      <w:r w:rsidR="00BF2596">
        <w:rPr>
          <w:rFonts w:ascii="Times New Roman" w:hAnsi="Times New Roman" w:cs="Times New Roman"/>
          <w:sz w:val="24"/>
          <w:szCs w:val="24"/>
        </w:rPr>
        <w:t>с</w:t>
      </w:r>
      <w:r w:rsidR="0046222C">
        <w:rPr>
          <w:rFonts w:ascii="Times New Roman" w:hAnsi="Times New Roman" w:cs="Times New Roman"/>
          <w:sz w:val="24"/>
          <w:szCs w:val="24"/>
        </w:rPr>
        <w:t>о</w:t>
      </w:r>
      <w:r w:rsidR="00200E8A">
        <w:rPr>
          <w:rFonts w:ascii="Times New Roman" w:hAnsi="Times New Roman" w:cs="Times New Roman"/>
          <w:sz w:val="24"/>
          <w:szCs w:val="24"/>
        </w:rPr>
        <w:t>о</w:t>
      </w:r>
      <w:r w:rsidR="0046222C">
        <w:rPr>
          <w:rFonts w:ascii="Times New Roman" w:hAnsi="Times New Roman" w:cs="Times New Roman"/>
          <w:sz w:val="24"/>
          <w:szCs w:val="24"/>
        </w:rPr>
        <w:t xml:space="preserve">тветственно </w:t>
      </w:r>
      <w:r w:rsidRPr="00B01ECA">
        <w:rPr>
          <w:rFonts w:ascii="Times New Roman" w:hAnsi="Times New Roman" w:cs="Times New Roman"/>
          <w:sz w:val="24"/>
          <w:szCs w:val="24"/>
        </w:rPr>
        <w:t xml:space="preserve"> 1,2 тыс. руб.</w:t>
      </w:r>
      <w:r w:rsidR="0046222C">
        <w:rPr>
          <w:rFonts w:ascii="Times New Roman" w:hAnsi="Times New Roman" w:cs="Times New Roman"/>
          <w:sz w:val="24"/>
          <w:szCs w:val="24"/>
        </w:rPr>
        <w:t xml:space="preserve"> и</w:t>
      </w:r>
      <w:r w:rsidRPr="00B01ECA">
        <w:rPr>
          <w:rFonts w:ascii="Times New Roman" w:hAnsi="Times New Roman" w:cs="Times New Roman"/>
          <w:sz w:val="24"/>
          <w:szCs w:val="24"/>
        </w:rPr>
        <w:t xml:space="preserve"> 0,3 тыс. руб., в </w:t>
      </w:r>
      <w:proofErr w:type="spellStart"/>
      <w:r w:rsidRPr="00B01ECA">
        <w:rPr>
          <w:rFonts w:ascii="Times New Roman" w:hAnsi="Times New Roman" w:cs="Times New Roman"/>
          <w:sz w:val="24"/>
          <w:szCs w:val="24"/>
        </w:rPr>
        <w:t>Гончаровском</w:t>
      </w:r>
      <w:proofErr w:type="spellEnd"/>
      <w:r w:rsidRPr="00B01ECA">
        <w:rPr>
          <w:rFonts w:ascii="Times New Roman" w:hAnsi="Times New Roman" w:cs="Times New Roman"/>
          <w:sz w:val="24"/>
          <w:szCs w:val="24"/>
        </w:rPr>
        <w:t xml:space="preserve"> с</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sidRPr="00B01ECA">
        <w:rPr>
          <w:rFonts w:ascii="Times New Roman" w:hAnsi="Times New Roman" w:cs="Times New Roman"/>
          <w:sz w:val="24"/>
          <w:szCs w:val="24"/>
        </w:rPr>
        <w:t xml:space="preserve"> </w:t>
      </w:r>
      <w:proofErr w:type="spellStart"/>
      <w:r w:rsidR="0046222C" w:rsidRPr="00B01ECA">
        <w:rPr>
          <w:rFonts w:ascii="Times New Roman" w:hAnsi="Times New Roman" w:cs="Times New Roman"/>
          <w:sz w:val="24"/>
          <w:szCs w:val="24"/>
        </w:rPr>
        <w:t>Палласовского</w:t>
      </w:r>
      <w:proofErr w:type="spellEnd"/>
      <w:r w:rsidR="0046222C" w:rsidRPr="00B01ECA">
        <w:rPr>
          <w:rFonts w:ascii="Times New Roman" w:hAnsi="Times New Roman" w:cs="Times New Roman"/>
          <w:sz w:val="24"/>
          <w:szCs w:val="24"/>
        </w:rPr>
        <w:t xml:space="preserve"> </w:t>
      </w:r>
      <w:r w:rsidR="0046222C">
        <w:rPr>
          <w:rFonts w:ascii="Times New Roman" w:hAnsi="Times New Roman" w:cs="Times New Roman"/>
          <w:sz w:val="24"/>
          <w:szCs w:val="24"/>
        </w:rPr>
        <w:t>МР</w:t>
      </w:r>
      <w:r w:rsidR="0046222C" w:rsidRPr="00B01ECA">
        <w:rPr>
          <w:rFonts w:ascii="Times New Roman" w:hAnsi="Times New Roman" w:cs="Times New Roman"/>
          <w:sz w:val="24"/>
          <w:szCs w:val="24"/>
        </w:rPr>
        <w:t xml:space="preserve"> </w:t>
      </w:r>
      <w:r w:rsidRPr="00B01ECA">
        <w:rPr>
          <w:rFonts w:ascii="Times New Roman" w:hAnsi="Times New Roman" w:cs="Times New Roman"/>
          <w:sz w:val="24"/>
          <w:szCs w:val="24"/>
        </w:rPr>
        <w:t>за 2016 г</w:t>
      </w:r>
      <w:r w:rsidR="00384663">
        <w:rPr>
          <w:rFonts w:ascii="Times New Roman" w:hAnsi="Times New Roman" w:cs="Times New Roman"/>
          <w:sz w:val="24"/>
          <w:szCs w:val="24"/>
        </w:rPr>
        <w:t xml:space="preserve">. </w:t>
      </w:r>
      <w:r w:rsidRPr="00384663">
        <w:rPr>
          <w:rFonts w:ascii="Times New Roman" w:hAnsi="Times New Roman" w:cs="Times New Roman"/>
          <w:sz w:val="24"/>
          <w:szCs w:val="24"/>
        </w:rPr>
        <w:t xml:space="preserve">- 6,4 тыс. руб., в </w:t>
      </w:r>
      <w:proofErr w:type="spellStart"/>
      <w:r w:rsidRPr="00384663">
        <w:rPr>
          <w:rFonts w:ascii="Times New Roman" w:hAnsi="Times New Roman" w:cs="Times New Roman"/>
          <w:sz w:val="24"/>
          <w:szCs w:val="24"/>
        </w:rPr>
        <w:t>Глазуновском</w:t>
      </w:r>
      <w:proofErr w:type="spellEnd"/>
      <w:r w:rsidRPr="00384663">
        <w:rPr>
          <w:rFonts w:ascii="Times New Roman" w:hAnsi="Times New Roman" w:cs="Times New Roman"/>
          <w:sz w:val="24"/>
          <w:szCs w:val="24"/>
        </w:rPr>
        <w:t xml:space="preserve"> с/</w:t>
      </w:r>
      <w:proofErr w:type="spellStart"/>
      <w:r w:rsidRPr="00384663">
        <w:rPr>
          <w:rFonts w:ascii="Times New Roman" w:hAnsi="Times New Roman" w:cs="Times New Roman"/>
          <w:sz w:val="24"/>
          <w:szCs w:val="24"/>
        </w:rPr>
        <w:t>п</w:t>
      </w:r>
      <w:proofErr w:type="spellEnd"/>
      <w:r w:rsidRPr="00384663">
        <w:rPr>
          <w:rFonts w:ascii="Times New Roman" w:hAnsi="Times New Roman" w:cs="Times New Roman"/>
          <w:sz w:val="24"/>
          <w:szCs w:val="24"/>
        </w:rPr>
        <w:t xml:space="preserve"> </w:t>
      </w:r>
      <w:proofErr w:type="spellStart"/>
      <w:r w:rsidR="0046222C" w:rsidRPr="00384663">
        <w:rPr>
          <w:rFonts w:ascii="Times New Roman" w:hAnsi="Times New Roman" w:cs="Times New Roman"/>
          <w:sz w:val="24"/>
          <w:szCs w:val="24"/>
        </w:rPr>
        <w:t>Кумылженского</w:t>
      </w:r>
      <w:proofErr w:type="spellEnd"/>
      <w:r w:rsidR="0046222C" w:rsidRPr="00384663">
        <w:rPr>
          <w:rFonts w:ascii="Times New Roman" w:hAnsi="Times New Roman" w:cs="Times New Roman"/>
          <w:sz w:val="24"/>
          <w:szCs w:val="24"/>
        </w:rPr>
        <w:t xml:space="preserve"> МР </w:t>
      </w:r>
      <w:r w:rsidRPr="00384663">
        <w:rPr>
          <w:rFonts w:ascii="Times New Roman" w:hAnsi="Times New Roman" w:cs="Times New Roman"/>
          <w:sz w:val="24"/>
          <w:szCs w:val="24"/>
        </w:rPr>
        <w:t>за 9 мес. 2017 г. не выплачена надбавка в размере 5 тыс. руб.</w:t>
      </w:r>
      <w:r w:rsidR="00BF2596">
        <w:rPr>
          <w:rFonts w:ascii="Times New Roman" w:hAnsi="Times New Roman" w:cs="Times New Roman"/>
          <w:sz w:val="24"/>
          <w:szCs w:val="24"/>
        </w:rPr>
        <w:t>)</w:t>
      </w:r>
      <w:r w:rsidR="007F06FE">
        <w:rPr>
          <w:rFonts w:ascii="Times New Roman" w:hAnsi="Times New Roman" w:cs="Times New Roman"/>
          <w:sz w:val="24"/>
          <w:szCs w:val="24"/>
        </w:rPr>
        <w:t xml:space="preserve">, а также в </w:t>
      </w:r>
      <w:proofErr w:type="spellStart"/>
      <w:r w:rsidR="007F06FE">
        <w:rPr>
          <w:rFonts w:ascii="Times New Roman" w:hAnsi="Times New Roman" w:cs="Times New Roman"/>
          <w:sz w:val="24"/>
          <w:szCs w:val="24"/>
        </w:rPr>
        <w:t>Эльтонском</w:t>
      </w:r>
      <w:proofErr w:type="spellEnd"/>
      <w:r w:rsidR="007F06FE">
        <w:rPr>
          <w:rFonts w:ascii="Times New Roman" w:hAnsi="Times New Roman" w:cs="Times New Roman"/>
          <w:sz w:val="24"/>
          <w:szCs w:val="24"/>
        </w:rPr>
        <w:t xml:space="preserve"> с/</w:t>
      </w:r>
      <w:proofErr w:type="spellStart"/>
      <w:r w:rsidR="007F06FE">
        <w:rPr>
          <w:rFonts w:ascii="Times New Roman" w:hAnsi="Times New Roman" w:cs="Times New Roman"/>
          <w:sz w:val="24"/>
          <w:szCs w:val="24"/>
        </w:rPr>
        <w:t>п</w:t>
      </w:r>
      <w:proofErr w:type="spellEnd"/>
      <w:r w:rsidR="007F06FE">
        <w:rPr>
          <w:rFonts w:ascii="Times New Roman" w:hAnsi="Times New Roman" w:cs="Times New Roman"/>
          <w:sz w:val="24"/>
          <w:szCs w:val="24"/>
        </w:rPr>
        <w:t xml:space="preserve"> </w:t>
      </w:r>
      <w:proofErr w:type="spellStart"/>
      <w:r w:rsidR="007F06FE">
        <w:rPr>
          <w:rFonts w:ascii="Times New Roman" w:hAnsi="Times New Roman" w:cs="Times New Roman"/>
          <w:sz w:val="24"/>
          <w:szCs w:val="24"/>
        </w:rPr>
        <w:t>Палласовского</w:t>
      </w:r>
      <w:proofErr w:type="spellEnd"/>
      <w:r w:rsidR="007F06FE">
        <w:rPr>
          <w:rFonts w:ascii="Times New Roman" w:hAnsi="Times New Roman" w:cs="Times New Roman"/>
          <w:sz w:val="24"/>
          <w:szCs w:val="24"/>
        </w:rPr>
        <w:t xml:space="preserve"> МР</w:t>
      </w:r>
      <w:r w:rsidR="0057183B">
        <w:rPr>
          <w:rFonts w:ascii="Times New Roman" w:hAnsi="Times New Roman" w:cs="Times New Roman"/>
          <w:sz w:val="24"/>
          <w:szCs w:val="24"/>
        </w:rPr>
        <w:t xml:space="preserve"> в 2016 году</w:t>
      </w:r>
      <w:r w:rsidR="007F06FE" w:rsidRPr="007F06FE">
        <w:rPr>
          <w:rFonts w:ascii="Times New Roman" w:hAnsi="Times New Roman" w:cs="Times New Roman"/>
          <w:sz w:val="24"/>
          <w:szCs w:val="24"/>
        </w:rPr>
        <w:t xml:space="preserve"> </w:t>
      </w:r>
      <w:r w:rsidR="007F06FE" w:rsidRPr="008C3E66">
        <w:rPr>
          <w:rFonts w:ascii="Times New Roman" w:hAnsi="Times New Roman" w:cs="Times New Roman"/>
          <w:sz w:val="24"/>
          <w:szCs w:val="24"/>
        </w:rPr>
        <w:t>ежемесячная надбавка за особые условия муниципальной службы начислялась ВУР в размере 40% вместо 50%, сумма недоплаты составила 3,5 тыс. руб</w:t>
      </w:r>
      <w:r w:rsidR="007F06FE">
        <w:rPr>
          <w:rFonts w:ascii="Times New Roman" w:hAnsi="Times New Roman" w:cs="Times New Roman"/>
          <w:sz w:val="24"/>
          <w:szCs w:val="24"/>
        </w:rPr>
        <w:t>.</w:t>
      </w:r>
      <w:r w:rsidRPr="00384663">
        <w:rPr>
          <w:rFonts w:ascii="Times New Roman" w:hAnsi="Times New Roman" w:cs="Times New Roman"/>
          <w:sz w:val="24"/>
          <w:szCs w:val="24"/>
        </w:rPr>
        <w:t>;</w:t>
      </w:r>
    </w:p>
    <w:p w:rsidR="00A2324F" w:rsidRDefault="00A2324F" w:rsidP="00384663">
      <w:pPr>
        <w:pStyle w:val="a3"/>
        <w:numPr>
          <w:ilvl w:val="0"/>
          <w:numId w:val="3"/>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в</w:t>
      </w:r>
      <w:r w:rsidRPr="00A2324F">
        <w:rPr>
          <w:rFonts w:ascii="Times New Roman" w:hAnsi="Times New Roman" w:cs="Times New Roman"/>
          <w:sz w:val="24"/>
          <w:szCs w:val="24"/>
        </w:rPr>
        <w:t xml:space="preserve"> нарушение ст. 135 ТК РФ в четырех поселениях</w:t>
      </w:r>
      <w:r w:rsidRPr="00A2324F">
        <w:t xml:space="preserve"> </w:t>
      </w:r>
      <w:r>
        <w:t>(</w:t>
      </w:r>
      <w:r w:rsidRPr="00A2324F">
        <w:rPr>
          <w:rFonts w:ascii="Times New Roman" w:hAnsi="Times New Roman" w:cs="Times New Roman"/>
          <w:sz w:val="24"/>
          <w:szCs w:val="24"/>
        </w:rPr>
        <w:t>Поповское с</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sidRPr="00A2324F">
        <w:rPr>
          <w:rFonts w:ascii="Times New Roman" w:hAnsi="Times New Roman" w:cs="Times New Roman"/>
          <w:sz w:val="24"/>
          <w:szCs w:val="24"/>
        </w:rPr>
        <w:t xml:space="preserve"> Котовского </w:t>
      </w:r>
      <w:r>
        <w:rPr>
          <w:rFonts w:ascii="Times New Roman" w:hAnsi="Times New Roman" w:cs="Times New Roman"/>
          <w:sz w:val="24"/>
          <w:szCs w:val="24"/>
        </w:rPr>
        <w:t>МР</w:t>
      </w:r>
      <w:r w:rsidRPr="00A2324F">
        <w:rPr>
          <w:rFonts w:ascii="Times New Roman" w:hAnsi="Times New Roman" w:cs="Times New Roman"/>
          <w:sz w:val="24"/>
          <w:szCs w:val="24"/>
        </w:rPr>
        <w:t xml:space="preserve">, </w:t>
      </w:r>
      <w:proofErr w:type="spellStart"/>
      <w:r w:rsidRPr="00A2324F">
        <w:rPr>
          <w:rFonts w:ascii="Times New Roman" w:hAnsi="Times New Roman" w:cs="Times New Roman"/>
          <w:sz w:val="24"/>
          <w:szCs w:val="24"/>
        </w:rPr>
        <w:t>Большечапурниковское</w:t>
      </w:r>
      <w:proofErr w:type="spellEnd"/>
      <w:r w:rsidRPr="00A2324F">
        <w:rPr>
          <w:rFonts w:ascii="Times New Roman" w:hAnsi="Times New Roman" w:cs="Times New Roman"/>
          <w:sz w:val="24"/>
          <w:szCs w:val="24"/>
        </w:rPr>
        <w:t xml:space="preserve">, Кировское и </w:t>
      </w:r>
      <w:proofErr w:type="spellStart"/>
      <w:r w:rsidRPr="00A2324F">
        <w:rPr>
          <w:rFonts w:ascii="Times New Roman" w:hAnsi="Times New Roman" w:cs="Times New Roman"/>
          <w:sz w:val="24"/>
          <w:szCs w:val="24"/>
        </w:rPr>
        <w:t>Червленовское</w:t>
      </w:r>
      <w:proofErr w:type="spellEnd"/>
      <w:r w:rsidRPr="00A2324F">
        <w:rPr>
          <w:rFonts w:ascii="Times New Roman" w:hAnsi="Times New Roman" w:cs="Times New Roman"/>
          <w:sz w:val="24"/>
          <w:szCs w:val="24"/>
        </w:rPr>
        <w:t xml:space="preserve"> с</w:t>
      </w:r>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sidRPr="00A2324F">
        <w:rPr>
          <w:rFonts w:ascii="Times New Roman" w:hAnsi="Times New Roman" w:cs="Times New Roman"/>
          <w:sz w:val="24"/>
          <w:szCs w:val="24"/>
        </w:rPr>
        <w:t xml:space="preserve"> </w:t>
      </w:r>
      <w:proofErr w:type="spellStart"/>
      <w:r w:rsidRPr="00A2324F">
        <w:rPr>
          <w:rFonts w:ascii="Times New Roman" w:hAnsi="Times New Roman" w:cs="Times New Roman"/>
          <w:sz w:val="24"/>
          <w:szCs w:val="24"/>
        </w:rPr>
        <w:t>Светлоярского</w:t>
      </w:r>
      <w:proofErr w:type="spellEnd"/>
      <w:r w:rsidRPr="00A2324F">
        <w:rPr>
          <w:rFonts w:ascii="Times New Roman" w:hAnsi="Times New Roman" w:cs="Times New Roman"/>
          <w:sz w:val="24"/>
          <w:szCs w:val="24"/>
        </w:rPr>
        <w:t xml:space="preserve"> </w:t>
      </w:r>
      <w:r>
        <w:rPr>
          <w:rFonts w:ascii="Times New Roman" w:hAnsi="Times New Roman" w:cs="Times New Roman"/>
          <w:sz w:val="24"/>
          <w:szCs w:val="24"/>
        </w:rPr>
        <w:t>МР)</w:t>
      </w:r>
      <w:r w:rsidRPr="00A2324F">
        <w:rPr>
          <w:rFonts w:ascii="Times New Roman" w:hAnsi="Times New Roman" w:cs="Times New Roman"/>
          <w:sz w:val="24"/>
          <w:szCs w:val="24"/>
        </w:rPr>
        <w:t xml:space="preserve"> в систем</w:t>
      </w:r>
      <w:r>
        <w:rPr>
          <w:rFonts w:ascii="Times New Roman" w:hAnsi="Times New Roman" w:cs="Times New Roman"/>
          <w:sz w:val="24"/>
          <w:szCs w:val="24"/>
        </w:rPr>
        <w:t>у оплаты труда ВУР, установленн</w:t>
      </w:r>
      <w:r w:rsidRPr="00A2324F">
        <w:rPr>
          <w:rFonts w:ascii="Times New Roman" w:hAnsi="Times New Roman" w:cs="Times New Roman"/>
          <w:sz w:val="24"/>
          <w:szCs w:val="24"/>
        </w:rPr>
        <w:t xml:space="preserve">ую положениями об оплате труда работника военно-учетного стола, не включены размеры должностного оклада, доплат и надбавок стимулирующего характера. Кроме того, в </w:t>
      </w:r>
      <w:proofErr w:type="spellStart"/>
      <w:r w:rsidRPr="00A2324F">
        <w:rPr>
          <w:rFonts w:ascii="Times New Roman" w:hAnsi="Times New Roman" w:cs="Times New Roman"/>
          <w:sz w:val="24"/>
          <w:szCs w:val="24"/>
        </w:rPr>
        <w:t>Попковском</w:t>
      </w:r>
      <w:proofErr w:type="spellEnd"/>
      <w:r w:rsidRPr="00A2324F">
        <w:rPr>
          <w:rFonts w:ascii="Times New Roman" w:hAnsi="Times New Roman" w:cs="Times New Roman"/>
          <w:sz w:val="24"/>
          <w:szCs w:val="24"/>
        </w:rPr>
        <w:t xml:space="preserve"> с</w:t>
      </w:r>
      <w:r w:rsidR="00CD1258">
        <w:rPr>
          <w:rFonts w:ascii="Times New Roman" w:hAnsi="Times New Roman" w:cs="Times New Roman"/>
          <w:sz w:val="24"/>
          <w:szCs w:val="24"/>
        </w:rPr>
        <w:t>/</w:t>
      </w:r>
      <w:proofErr w:type="spellStart"/>
      <w:proofErr w:type="gramStart"/>
      <w:r w:rsidR="00CD1258">
        <w:rPr>
          <w:rFonts w:ascii="Times New Roman" w:hAnsi="Times New Roman" w:cs="Times New Roman"/>
          <w:sz w:val="24"/>
          <w:szCs w:val="24"/>
        </w:rPr>
        <w:t>п</w:t>
      </w:r>
      <w:proofErr w:type="spellEnd"/>
      <w:proofErr w:type="gramEnd"/>
      <w:r w:rsidRPr="00A2324F">
        <w:rPr>
          <w:rFonts w:ascii="Times New Roman" w:hAnsi="Times New Roman" w:cs="Times New Roman"/>
          <w:sz w:val="24"/>
          <w:szCs w:val="24"/>
        </w:rPr>
        <w:t xml:space="preserve"> перечень стимулирующих </w:t>
      </w:r>
      <w:r w:rsidRPr="00A2324F">
        <w:rPr>
          <w:rFonts w:ascii="Times New Roman" w:hAnsi="Times New Roman" w:cs="Times New Roman"/>
          <w:sz w:val="24"/>
          <w:szCs w:val="24"/>
        </w:rPr>
        <w:lastRenderedPageBreak/>
        <w:t>надбавок, предусмотренный штатным расписанием 2017 года, не соответс</w:t>
      </w:r>
      <w:r w:rsidR="00863BCF">
        <w:rPr>
          <w:rFonts w:ascii="Times New Roman" w:hAnsi="Times New Roman" w:cs="Times New Roman"/>
          <w:sz w:val="24"/>
          <w:szCs w:val="24"/>
        </w:rPr>
        <w:t>твует положению об оплате труда;</w:t>
      </w:r>
    </w:p>
    <w:p w:rsidR="00863BCF" w:rsidRDefault="00863BCF" w:rsidP="00384663">
      <w:pPr>
        <w:pStyle w:val="a3"/>
        <w:numPr>
          <w:ilvl w:val="0"/>
          <w:numId w:val="3"/>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в</w:t>
      </w:r>
      <w:r w:rsidRPr="00863BCF">
        <w:rPr>
          <w:rFonts w:ascii="Times New Roman" w:hAnsi="Times New Roman" w:cs="Times New Roman"/>
          <w:sz w:val="24"/>
          <w:szCs w:val="24"/>
        </w:rPr>
        <w:t xml:space="preserve"> нарушение ст. 135 ТК РФ Положение об оплате труда ВУР администрацией </w:t>
      </w:r>
      <w:proofErr w:type="spellStart"/>
      <w:r w:rsidRPr="00863BCF">
        <w:rPr>
          <w:rFonts w:ascii="Times New Roman" w:hAnsi="Times New Roman" w:cs="Times New Roman"/>
          <w:sz w:val="24"/>
          <w:szCs w:val="24"/>
        </w:rPr>
        <w:t>Пичужинского</w:t>
      </w:r>
      <w:proofErr w:type="spellEnd"/>
      <w:r w:rsidRPr="00863BCF">
        <w:rPr>
          <w:rFonts w:ascii="Times New Roman" w:hAnsi="Times New Roman" w:cs="Times New Roman"/>
          <w:sz w:val="24"/>
          <w:szCs w:val="24"/>
        </w:rPr>
        <w:t xml:space="preserve"> с</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Дубовского МР</w:t>
      </w:r>
      <w:r w:rsidRPr="00863BCF">
        <w:rPr>
          <w:rFonts w:ascii="Times New Roman" w:hAnsi="Times New Roman" w:cs="Times New Roman"/>
          <w:sz w:val="24"/>
          <w:szCs w:val="24"/>
        </w:rPr>
        <w:t xml:space="preserve"> не утверждалось и отсутствовало общее положение об оплат</w:t>
      </w:r>
      <w:r>
        <w:rPr>
          <w:rFonts w:ascii="Times New Roman" w:hAnsi="Times New Roman" w:cs="Times New Roman"/>
          <w:sz w:val="24"/>
          <w:szCs w:val="24"/>
        </w:rPr>
        <w:t>е труда администрации поселения;</w:t>
      </w:r>
    </w:p>
    <w:p w:rsidR="00E430B2" w:rsidRPr="0080435A" w:rsidRDefault="00E430B2" w:rsidP="00E430B2">
      <w:pPr>
        <w:jc w:val="center"/>
        <w:rPr>
          <w:i/>
          <w:u w:val="single"/>
        </w:rPr>
      </w:pPr>
      <w:r w:rsidRPr="0080435A">
        <w:rPr>
          <w:i/>
          <w:u w:val="single"/>
        </w:rPr>
        <w:t>соблюдение норм налогового законодательства</w:t>
      </w:r>
    </w:p>
    <w:p w:rsidR="00352EDE" w:rsidRPr="0080435A" w:rsidRDefault="00DE0A80" w:rsidP="00976E4B">
      <w:pPr>
        <w:pStyle w:val="a3"/>
        <w:numPr>
          <w:ilvl w:val="0"/>
          <w:numId w:val="9"/>
        </w:numPr>
        <w:autoSpaceDE w:val="0"/>
        <w:autoSpaceDN w:val="0"/>
        <w:adjustRightInd w:val="0"/>
        <w:spacing w:after="0" w:line="240" w:lineRule="auto"/>
        <w:ind w:left="0" w:firstLine="680"/>
        <w:jc w:val="both"/>
        <w:rPr>
          <w:rFonts w:ascii="Times New Roman" w:hAnsi="Times New Roman" w:cs="Times New Roman"/>
          <w:sz w:val="24"/>
          <w:szCs w:val="24"/>
        </w:rPr>
      </w:pPr>
      <w:r w:rsidRPr="0080435A">
        <w:rPr>
          <w:rFonts w:ascii="Times New Roman" w:hAnsi="Times New Roman" w:cs="Times New Roman"/>
          <w:sz w:val="24"/>
          <w:szCs w:val="24"/>
        </w:rPr>
        <w:t xml:space="preserve">в нарушение п.6 ст.226 и п.1 ст. 431 Налогового Кодекса РФ администрация </w:t>
      </w:r>
      <w:proofErr w:type="spellStart"/>
      <w:r w:rsidRPr="0080435A">
        <w:rPr>
          <w:rFonts w:ascii="Times New Roman" w:hAnsi="Times New Roman" w:cs="Times New Roman"/>
          <w:sz w:val="24"/>
          <w:szCs w:val="24"/>
        </w:rPr>
        <w:t>Добринского</w:t>
      </w:r>
      <w:proofErr w:type="spellEnd"/>
      <w:r w:rsidRPr="0080435A">
        <w:rPr>
          <w:rFonts w:ascii="Times New Roman" w:hAnsi="Times New Roman" w:cs="Times New Roman"/>
          <w:sz w:val="24"/>
          <w:szCs w:val="24"/>
        </w:rPr>
        <w:t xml:space="preserve"> с/</w:t>
      </w:r>
      <w:proofErr w:type="spellStart"/>
      <w:proofErr w:type="gramStart"/>
      <w:r w:rsidRPr="0080435A">
        <w:rPr>
          <w:rFonts w:ascii="Times New Roman" w:hAnsi="Times New Roman" w:cs="Times New Roman"/>
          <w:sz w:val="24"/>
          <w:szCs w:val="24"/>
        </w:rPr>
        <w:t>п</w:t>
      </w:r>
      <w:proofErr w:type="spellEnd"/>
      <w:proofErr w:type="gramEnd"/>
      <w:r w:rsidRPr="0080435A">
        <w:rPr>
          <w:rFonts w:ascii="Times New Roman" w:hAnsi="Times New Roman" w:cs="Times New Roman"/>
          <w:sz w:val="24"/>
          <w:szCs w:val="24"/>
        </w:rPr>
        <w:t xml:space="preserve"> Урюпинского МР в 2017 году несвоевременно перечисляла в бюджет налог на доходы физических лиц </w:t>
      </w:r>
      <w:r w:rsidR="0080435A" w:rsidRPr="0080435A">
        <w:rPr>
          <w:rFonts w:ascii="Times New Roman" w:hAnsi="Times New Roman" w:cs="Times New Roman"/>
          <w:sz w:val="24"/>
          <w:szCs w:val="24"/>
        </w:rPr>
        <w:t xml:space="preserve">(далее – НДФЛ) </w:t>
      </w:r>
      <w:r w:rsidRPr="0080435A">
        <w:rPr>
          <w:rFonts w:ascii="Times New Roman" w:hAnsi="Times New Roman" w:cs="Times New Roman"/>
          <w:sz w:val="24"/>
          <w:szCs w:val="24"/>
        </w:rPr>
        <w:t>и  страховые взносы  (при своевременно выплаченной ВУР заработной плате).</w:t>
      </w:r>
      <w:r w:rsidR="00976E4B" w:rsidRPr="0080435A">
        <w:t xml:space="preserve"> </w:t>
      </w:r>
      <w:r w:rsidR="00976E4B" w:rsidRPr="0080435A">
        <w:rPr>
          <w:rFonts w:ascii="Times New Roman" w:hAnsi="Times New Roman" w:cs="Times New Roman"/>
          <w:sz w:val="24"/>
          <w:szCs w:val="24"/>
        </w:rPr>
        <w:t xml:space="preserve">Общая сумма задолженности составила </w:t>
      </w:r>
      <w:r w:rsidR="0080435A" w:rsidRPr="0080435A">
        <w:rPr>
          <w:rFonts w:ascii="Times New Roman" w:hAnsi="Times New Roman" w:cs="Times New Roman"/>
          <w:sz w:val="24"/>
          <w:szCs w:val="24"/>
        </w:rPr>
        <w:t xml:space="preserve">11,1 тыс. руб. по НДФЛ и </w:t>
      </w:r>
      <w:r w:rsidR="00976E4B" w:rsidRPr="0080435A">
        <w:rPr>
          <w:rFonts w:ascii="Times New Roman" w:hAnsi="Times New Roman" w:cs="Times New Roman"/>
          <w:sz w:val="24"/>
          <w:szCs w:val="24"/>
        </w:rPr>
        <w:t xml:space="preserve">25,5 тыс. руб. </w:t>
      </w:r>
      <w:r w:rsidR="0080435A" w:rsidRPr="0080435A">
        <w:rPr>
          <w:rFonts w:ascii="Times New Roman" w:hAnsi="Times New Roman" w:cs="Times New Roman"/>
          <w:sz w:val="24"/>
          <w:szCs w:val="24"/>
        </w:rPr>
        <w:t xml:space="preserve">по страховым взносам </w:t>
      </w:r>
      <w:r w:rsidR="00976E4B" w:rsidRPr="0080435A">
        <w:rPr>
          <w:rFonts w:ascii="Times New Roman" w:hAnsi="Times New Roman" w:cs="Times New Roman"/>
          <w:sz w:val="24"/>
          <w:szCs w:val="24"/>
        </w:rPr>
        <w:t>с</w:t>
      </w:r>
      <w:r w:rsidR="0080435A" w:rsidRPr="0080435A">
        <w:rPr>
          <w:rFonts w:ascii="Times New Roman" w:hAnsi="Times New Roman" w:cs="Times New Roman"/>
          <w:sz w:val="24"/>
          <w:szCs w:val="24"/>
        </w:rPr>
        <w:t xml:space="preserve"> задержкой уплаты </w:t>
      </w:r>
      <w:r w:rsidR="00976E4B" w:rsidRPr="0080435A">
        <w:rPr>
          <w:rFonts w:ascii="Times New Roman" w:hAnsi="Times New Roman" w:cs="Times New Roman"/>
          <w:sz w:val="24"/>
          <w:szCs w:val="24"/>
        </w:rPr>
        <w:t>от 24 до 90 дней.</w:t>
      </w:r>
    </w:p>
    <w:p w:rsidR="00DE0A80" w:rsidRPr="0080435A" w:rsidRDefault="0017153D" w:rsidP="00EB5746">
      <w:pPr>
        <w:autoSpaceDE w:val="0"/>
        <w:autoSpaceDN w:val="0"/>
        <w:adjustRightInd w:val="0"/>
        <w:ind w:firstLine="680"/>
        <w:jc w:val="center"/>
        <w:rPr>
          <w:rFonts w:eastAsiaTheme="minorHAnsi"/>
          <w:i/>
          <w:u w:val="single"/>
          <w:lang w:eastAsia="en-US"/>
        </w:rPr>
      </w:pPr>
      <w:r>
        <w:rPr>
          <w:rFonts w:eastAsiaTheme="minorHAnsi"/>
          <w:i/>
          <w:u w:val="single"/>
          <w:lang w:eastAsia="en-US"/>
        </w:rPr>
        <w:t xml:space="preserve">неэффективность </w:t>
      </w:r>
      <w:r w:rsidR="00EB5746" w:rsidRPr="0080435A">
        <w:rPr>
          <w:rFonts w:eastAsiaTheme="minorHAnsi"/>
          <w:i/>
          <w:u w:val="single"/>
          <w:lang w:eastAsia="en-US"/>
        </w:rPr>
        <w:t xml:space="preserve"> произведенных расходов</w:t>
      </w:r>
    </w:p>
    <w:p w:rsidR="00D8335E" w:rsidRDefault="00A43EE9" w:rsidP="00A43EE9">
      <w:pPr>
        <w:ind w:firstLine="680"/>
        <w:jc w:val="both"/>
      </w:pPr>
      <w:r w:rsidRPr="0080435A">
        <w:t>- Медведицким с/</w:t>
      </w:r>
      <w:proofErr w:type="spellStart"/>
      <w:proofErr w:type="gramStart"/>
      <w:r w:rsidRPr="0080435A">
        <w:t>п</w:t>
      </w:r>
      <w:proofErr w:type="spellEnd"/>
      <w:proofErr w:type="gramEnd"/>
      <w:r w:rsidRPr="0080435A">
        <w:t xml:space="preserve"> </w:t>
      </w:r>
      <w:proofErr w:type="spellStart"/>
      <w:r w:rsidRPr="0080435A">
        <w:t>Жирновского</w:t>
      </w:r>
      <w:proofErr w:type="spellEnd"/>
      <w:r w:rsidRPr="0080435A">
        <w:t xml:space="preserve"> МР </w:t>
      </w:r>
      <w:r w:rsidR="002F33B8" w:rsidRPr="0080435A">
        <w:t xml:space="preserve">в 2016 году </w:t>
      </w:r>
      <w:r w:rsidRPr="0080435A">
        <w:t>произведена оплата услуг связи</w:t>
      </w:r>
      <w:r w:rsidRPr="00A43EE9">
        <w:t xml:space="preserve"> Интернет в размере 1,1 тыс. руб.  по использованию переносного устройства USB-модема, принадлежащего ВУР</w:t>
      </w:r>
      <w:r w:rsidR="0017153D">
        <w:t xml:space="preserve"> на праве собственности</w:t>
      </w:r>
      <w:r w:rsidRPr="00A43EE9">
        <w:t>, что является неэффект</w:t>
      </w:r>
      <w:r>
        <w:t>ивными расходами (ст. 34 БК РФ);</w:t>
      </w:r>
    </w:p>
    <w:p w:rsidR="00A43EE9" w:rsidRPr="00A43EE9" w:rsidRDefault="00D8335E" w:rsidP="00A43EE9">
      <w:pPr>
        <w:ind w:firstLine="680"/>
        <w:jc w:val="both"/>
      </w:pPr>
      <w:r>
        <w:t>-</w:t>
      </w:r>
      <w:r w:rsidR="00A43EE9" w:rsidRPr="00A43EE9">
        <w:t xml:space="preserve"> </w:t>
      </w:r>
      <w:r w:rsidRPr="00D8335E">
        <w:t>Купцовским с</w:t>
      </w:r>
      <w:r>
        <w:t>/</w:t>
      </w:r>
      <w:proofErr w:type="spellStart"/>
      <w:proofErr w:type="gramStart"/>
      <w:r>
        <w:t>п</w:t>
      </w:r>
      <w:proofErr w:type="spellEnd"/>
      <w:proofErr w:type="gramEnd"/>
      <w:r w:rsidRPr="00D8335E">
        <w:t xml:space="preserve"> </w:t>
      </w:r>
      <w:r>
        <w:t xml:space="preserve">Котовского МР </w:t>
      </w:r>
      <w:r w:rsidRPr="00D8335E">
        <w:t>приобретена в 2017 году тепловая пушка стоимостью 5,5 тыс. руб. (при наличии электрообогревателя, приобретенного в предыдущем г</w:t>
      </w:r>
      <w:r w:rsidR="00866481">
        <w:t>о</w:t>
      </w:r>
      <w:r w:rsidRPr="00D8335E">
        <w:t>ду</w:t>
      </w:r>
      <w:r w:rsidR="002469E7">
        <w:t>,</w:t>
      </w:r>
      <w:r w:rsidRPr="00D8335E">
        <w:t xml:space="preserve"> и находящегося в исправности), чем не соблюдена ст. 34 БК РФ, устанавливающая принцип эффективности </w:t>
      </w:r>
      <w:r>
        <w:t>использования бюджетных средств;</w:t>
      </w:r>
      <w:r w:rsidRPr="00D8335E">
        <w:t xml:space="preserve"> </w:t>
      </w:r>
      <w:r w:rsidR="00A43EE9" w:rsidRPr="00A43EE9">
        <w:t xml:space="preserve">                                                              </w:t>
      </w:r>
    </w:p>
    <w:p w:rsidR="00DE0A80" w:rsidRDefault="00D8335E" w:rsidP="00DE0A80">
      <w:pPr>
        <w:autoSpaceDE w:val="0"/>
        <w:autoSpaceDN w:val="0"/>
        <w:adjustRightInd w:val="0"/>
        <w:ind w:firstLine="680"/>
        <w:jc w:val="both"/>
        <w:rPr>
          <w:rFonts w:eastAsiaTheme="minorHAnsi"/>
          <w:lang w:eastAsia="en-US"/>
        </w:rPr>
      </w:pPr>
      <w:r>
        <w:rPr>
          <w:rFonts w:eastAsiaTheme="minorHAnsi"/>
          <w:lang w:eastAsia="en-US"/>
        </w:rPr>
        <w:t xml:space="preserve">- </w:t>
      </w:r>
      <w:proofErr w:type="spellStart"/>
      <w:r w:rsidRPr="00D8335E">
        <w:rPr>
          <w:rFonts w:eastAsiaTheme="minorHAnsi"/>
          <w:lang w:eastAsia="en-US"/>
        </w:rPr>
        <w:t>Эльтонским</w:t>
      </w:r>
      <w:proofErr w:type="spellEnd"/>
      <w:r w:rsidRPr="00D8335E">
        <w:rPr>
          <w:rFonts w:eastAsiaTheme="minorHAnsi"/>
          <w:lang w:eastAsia="en-US"/>
        </w:rPr>
        <w:t xml:space="preserve"> с</w:t>
      </w:r>
      <w:r>
        <w:rPr>
          <w:rFonts w:eastAsiaTheme="minorHAnsi"/>
          <w:lang w:eastAsia="en-US"/>
        </w:rPr>
        <w:t>/</w:t>
      </w:r>
      <w:proofErr w:type="spellStart"/>
      <w:proofErr w:type="gramStart"/>
      <w:r>
        <w:rPr>
          <w:rFonts w:eastAsiaTheme="minorHAnsi"/>
          <w:lang w:eastAsia="en-US"/>
        </w:rPr>
        <w:t>п</w:t>
      </w:r>
      <w:proofErr w:type="spellEnd"/>
      <w:proofErr w:type="gramEnd"/>
      <w:r>
        <w:rPr>
          <w:rFonts w:eastAsiaTheme="minorHAnsi"/>
          <w:lang w:eastAsia="en-US"/>
        </w:rPr>
        <w:t xml:space="preserve"> </w:t>
      </w:r>
      <w:proofErr w:type="spellStart"/>
      <w:r>
        <w:rPr>
          <w:rFonts w:eastAsiaTheme="minorHAnsi"/>
          <w:lang w:eastAsia="en-US"/>
        </w:rPr>
        <w:t>Палласовского</w:t>
      </w:r>
      <w:proofErr w:type="spellEnd"/>
      <w:r>
        <w:rPr>
          <w:rFonts w:eastAsiaTheme="minorHAnsi"/>
          <w:lang w:eastAsia="en-US"/>
        </w:rPr>
        <w:t xml:space="preserve"> МР</w:t>
      </w:r>
      <w:r w:rsidRPr="00D8335E">
        <w:rPr>
          <w:rFonts w:eastAsiaTheme="minorHAnsi"/>
          <w:lang w:eastAsia="en-US"/>
        </w:rPr>
        <w:t xml:space="preserve">  </w:t>
      </w:r>
      <w:bookmarkStart w:id="4" w:name="OLE_LINK5"/>
      <w:bookmarkStart w:id="5" w:name="OLE_LINK6"/>
      <w:r w:rsidRPr="00D8335E">
        <w:rPr>
          <w:rFonts w:eastAsiaTheme="minorHAnsi"/>
          <w:lang w:eastAsia="en-US"/>
        </w:rPr>
        <w:t>осуществлены изли</w:t>
      </w:r>
      <w:r>
        <w:rPr>
          <w:rFonts w:eastAsiaTheme="minorHAnsi"/>
          <w:lang w:eastAsia="en-US"/>
        </w:rPr>
        <w:t>ш</w:t>
      </w:r>
      <w:r w:rsidRPr="00D8335E">
        <w:rPr>
          <w:rFonts w:eastAsiaTheme="minorHAnsi"/>
          <w:lang w:eastAsia="en-US"/>
        </w:rPr>
        <w:t>ние расходы в 2017 году на заправку 5-ти картриджей в размере 1,75 тыс. руб. (всего были осуществлены расходы по заправке 10 картриджей, при этом исходя из среднестатистического расхода офисной бумаги на 1 сотрудника юридической и бухгалтерской службы, опубликованного Всероссийским центром изучения общественного мнения, на ВУР потребовалась бы заправка порядка 5 картриджей) и на оплату услуг связи в 2016 году на 4,8 тыс. руб. и в 2017 году на 2,7 тыс. руб. (исходя из ко</w:t>
      </w:r>
      <w:r>
        <w:rPr>
          <w:rFonts w:eastAsiaTheme="minorHAnsi"/>
          <w:lang w:eastAsia="en-US"/>
        </w:rPr>
        <w:t>л</w:t>
      </w:r>
      <w:r w:rsidRPr="00D8335E">
        <w:rPr>
          <w:rFonts w:eastAsiaTheme="minorHAnsi"/>
          <w:lang w:eastAsia="en-US"/>
        </w:rPr>
        <w:t>ичества абонентских номеров и количества работников администрации поселения),</w:t>
      </w:r>
      <w:bookmarkEnd w:id="4"/>
      <w:bookmarkEnd w:id="5"/>
      <w:r w:rsidRPr="00D8335E">
        <w:rPr>
          <w:rFonts w:eastAsiaTheme="minorHAnsi"/>
          <w:lang w:eastAsia="en-US"/>
        </w:rPr>
        <w:t xml:space="preserve"> чем не соблюдена ст</w:t>
      </w:r>
      <w:r>
        <w:rPr>
          <w:rFonts w:eastAsiaTheme="minorHAnsi"/>
          <w:lang w:eastAsia="en-US"/>
        </w:rPr>
        <w:t>.</w:t>
      </w:r>
      <w:r w:rsidRPr="00D8335E">
        <w:rPr>
          <w:rFonts w:eastAsiaTheme="minorHAnsi"/>
          <w:lang w:eastAsia="en-US"/>
        </w:rPr>
        <w:t xml:space="preserve"> 34 БК РФ</w:t>
      </w:r>
      <w:r>
        <w:rPr>
          <w:rFonts w:eastAsiaTheme="minorHAnsi"/>
          <w:lang w:eastAsia="en-US"/>
        </w:rPr>
        <w:t>;</w:t>
      </w:r>
    </w:p>
    <w:p w:rsidR="00D8335E" w:rsidRDefault="00D8335E" w:rsidP="00DE0A80">
      <w:pPr>
        <w:autoSpaceDE w:val="0"/>
        <w:autoSpaceDN w:val="0"/>
        <w:adjustRightInd w:val="0"/>
        <w:ind w:firstLine="680"/>
        <w:jc w:val="both"/>
        <w:rPr>
          <w:rFonts w:eastAsiaTheme="minorHAnsi"/>
          <w:lang w:eastAsia="en-US"/>
        </w:rPr>
      </w:pPr>
      <w:r>
        <w:rPr>
          <w:rFonts w:eastAsiaTheme="minorHAnsi"/>
          <w:lang w:eastAsia="en-US"/>
        </w:rPr>
        <w:t xml:space="preserve">- </w:t>
      </w:r>
      <w:proofErr w:type="spellStart"/>
      <w:r w:rsidRPr="00D8335E">
        <w:rPr>
          <w:rFonts w:eastAsiaTheme="minorHAnsi"/>
          <w:lang w:eastAsia="en-US"/>
        </w:rPr>
        <w:t>Червленовским</w:t>
      </w:r>
      <w:proofErr w:type="spellEnd"/>
      <w:r w:rsidRPr="00D8335E">
        <w:rPr>
          <w:rFonts w:eastAsiaTheme="minorHAnsi"/>
          <w:lang w:eastAsia="en-US"/>
        </w:rPr>
        <w:t xml:space="preserve"> с</w:t>
      </w:r>
      <w:r>
        <w:rPr>
          <w:rFonts w:eastAsiaTheme="minorHAnsi"/>
          <w:lang w:eastAsia="en-US"/>
        </w:rPr>
        <w:t>/</w:t>
      </w:r>
      <w:proofErr w:type="spellStart"/>
      <w:proofErr w:type="gramStart"/>
      <w:r>
        <w:rPr>
          <w:rFonts w:eastAsiaTheme="minorHAnsi"/>
          <w:lang w:eastAsia="en-US"/>
        </w:rPr>
        <w:t>п</w:t>
      </w:r>
      <w:proofErr w:type="spellEnd"/>
      <w:proofErr w:type="gramEnd"/>
      <w:r>
        <w:rPr>
          <w:rFonts w:eastAsiaTheme="minorHAnsi"/>
          <w:lang w:eastAsia="en-US"/>
        </w:rPr>
        <w:t xml:space="preserve"> </w:t>
      </w:r>
      <w:proofErr w:type="spellStart"/>
      <w:r>
        <w:rPr>
          <w:rFonts w:eastAsiaTheme="minorHAnsi"/>
          <w:lang w:eastAsia="en-US"/>
        </w:rPr>
        <w:t>Светлоярского</w:t>
      </w:r>
      <w:proofErr w:type="spellEnd"/>
      <w:r>
        <w:rPr>
          <w:rFonts w:eastAsiaTheme="minorHAnsi"/>
          <w:lang w:eastAsia="en-US"/>
        </w:rPr>
        <w:t xml:space="preserve"> МР </w:t>
      </w:r>
      <w:r w:rsidRPr="00D8335E">
        <w:rPr>
          <w:rFonts w:eastAsiaTheme="minorHAnsi"/>
          <w:lang w:eastAsia="en-US"/>
        </w:rPr>
        <w:t xml:space="preserve">в 2016 году осуществлены расходы на приобретение комплекта цветных чернил EPSON для XP-103/403 и ключевого носителя </w:t>
      </w:r>
      <w:proofErr w:type="spellStart"/>
      <w:r w:rsidRPr="00D8335E">
        <w:rPr>
          <w:rFonts w:eastAsiaTheme="minorHAnsi"/>
          <w:lang w:eastAsia="en-US"/>
        </w:rPr>
        <w:t>Rutoken</w:t>
      </w:r>
      <w:proofErr w:type="spellEnd"/>
      <w:r w:rsidRPr="00D8335E">
        <w:rPr>
          <w:rFonts w:eastAsiaTheme="minorHAnsi"/>
          <w:lang w:eastAsia="en-US"/>
        </w:rPr>
        <w:t xml:space="preserve"> в размере 1,9 тыс. руб. (комплект чернил не использовался и был списан, ключевой носитель не используется в деятельности ВУР), чем не соблюдена ст</w:t>
      </w:r>
      <w:r w:rsidR="00D751FA">
        <w:rPr>
          <w:rFonts w:eastAsiaTheme="minorHAnsi"/>
          <w:lang w:eastAsia="en-US"/>
        </w:rPr>
        <w:t>.</w:t>
      </w:r>
      <w:r w:rsidRPr="00D8335E">
        <w:rPr>
          <w:rFonts w:eastAsiaTheme="minorHAnsi"/>
          <w:lang w:eastAsia="en-US"/>
        </w:rPr>
        <w:t xml:space="preserve"> 34 БК РФ.</w:t>
      </w:r>
    </w:p>
    <w:p w:rsidR="00504272" w:rsidRDefault="00504272" w:rsidP="00DE0A80">
      <w:pPr>
        <w:autoSpaceDE w:val="0"/>
        <w:autoSpaceDN w:val="0"/>
        <w:adjustRightInd w:val="0"/>
        <w:ind w:firstLine="680"/>
        <w:jc w:val="both"/>
        <w:rPr>
          <w:rFonts w:eastAsiaTheme="minorHAnsi"/>
          <w:lang w:eastAsia="en-US"/>
        </w:rPr>
      </w:pPr>
      <w:r>
        <w:rPr>
          <w:rFonts w:eastAsiaTheme="minorHAnsi"/>
          <w:lang w:eastAsia="en-US"/>
        </w:rPr>
        <w:t>По результатам выявленных нарушений в адрес глав администраций поселений направлены представления, письма об устранении выявленных нарушений и недостатков.</w:t>
      </w:r>
    </w:p>
    <w:p w:rsidR="002F33B8" w:rsidRDefault="002F33B8" w:rsidP="00DE0A80">
      <w:pPr>
        <w:autoSpaceDE w:val="0"/>
        <w:autoSpaceDN w:val="0"/>
        <w:adjustRightInd w:val="0"/>
        <w:ind w:firstLine="680"/>
        <w:jc w:val="both"/>
        <w:rPr>
          <w:rFonts w:eastAsiaTheme="minorHAnsi"/>
          <w:lang w:eastAsia="en-US"/>
        </w:rPr>
      </w:pPr>
    </w:p>
    <w:p w:rsidR="009E6F62" w:rsidRPr="005C5DF0" w:rsidRDefault="001D4E27" w:rsidP="005C5DF0">
      <w:pPr>
        <w:autoSpaceDE w:val="0"/>
        <w:autoSpaceDN w:val="0"/>
        <w:adjustRightInd w:val="0"/>
        <w:ind w:firstLine="680"/>
        <w:jc w:val="center"/>
        <w:rPr>
          <w:rFonts w:eastAsiaTheme="minorHAnsi"/>
          <w:b/>
          <w:u w:val="single"/>
          <w:lang w:eastAsia="en-US"/>
        </w:rPr>
      </w:pPr>
      <w:proofErr w:type="gramStart"/>
      <w:r>
        <w:rPr>
          <w:rFonts w:eastAsiaTheme="minorHAnsi"/>
          <w:b/>
          <w:lang w:eastAsia="en-US"/>
        </w:rPr>
        <w:t>Контроль</w:t>
      </w:r>
      <w:r w:rsidR="003C2333">
        <w:rPr>
          <w:rFonts w:eastAsiaTheme="minorHAnsi"/>
          <w:b/>
          <w:lang w:eastAsia="en-US"/>
        </w:rPr>
        <w:t xml:space="preserve"> за</w:t>
      </w:r>
      <w:proofErr w:type="gramEnd"/>
      <w:r w:rsidR="003C2333">
        <w:rPr>
          <w:rFonts w:eastAsiaTheme="minorHAnsi"/>
          <w:b/>
          <w:lang w:eastAsia="en-US"/>
        </w:rPr>
        <w:t xml:space="preserve"> осуществлением расходов</w:t>
      </w:r>
      <w:r w:rsidR="005C5DF0" w:rsidRPr="005C5DF0">
        <w:rPr>
          <w:rFonts w:eastAsiaTheme="minorHAnsi"/>
          <w:b/>
          <w:lang w:eastAsia="en-US"/>
        </w:rPr>
        <w:t>, связанных с осуществлением полномочий по первичному воинскому учету на территориях, где отсутствуют военные комиссариаты</w:t>
      </w:r>
    </w:p>
    <w:p w:rsidR="00161FAF" w:rsidRDefault="00161FAF" w:rsidP="001D4E27">
      <w:pPr>
        <w:autoSpaceDE w:val="0"/>
        <w:autoSpaceDN w:val="0"/>
        <w:adjustRightInd w:val="0"/>
        <w:ind w:firstLine="680"/>
        <w:jc w:val="both"/>
        <w:rPr>
          <w:rFonts w:eastAsiaTheme="minorHAnsi"/>
          <w:lang w:eastAsia="en-US"/>
        </w:rPr>
      </w:pPr>
      <w:r w:rsidRPr="00F661C4">
        <w:rPr>
          <w:rFonts w:eastAsiaTheme="minorHAnsi"/>
          <w:lang w:eastAsia="en-US"/>
        </w:rPr>
        <w:t xml:space="preserve">Постановлением </w:t>
      </w:r>
      <w:r w:rsidR="00263CF1">
        <w:rPr>
          <w:rFonts w:eastAsiaTheme="minorHAnsi"/>
          <w:lang w:eastAsia="en-US"/>
        </w:rPr>
        <w:t xml:space="preserve">Правительства РФ </w:t>
      </w:r>
      <w:r w:rsidRPr="00F661C4">
        <w:rPr>
          <w:rFonts w:eastAsiaTheme="minorHAnsi"/>
          <w:lang w:eastAsia="en-US"/>
        </w:rPr>
        <w:t xml:space="preserve">№ 258 определено, что </w:t>
      </w:r>
      <w:proofErr w:type="gramStart"/>
      <w:r w:rsidRPr="00F661C4">
        <w:rPr>
          <w:rFonts w:eastAsiaTheme="minorHAnsi"/>
          <w:lang w:eastAsia="en-US"/>
        </w:rPr>
        <w:t>контроль за</w:t>
      </w:r>
      <w:proofErr w:type="gramEnd"/>
      <w:r w:rsidRPr="00F661C4">
        <w:rPr>
          <w:rFonts w:eastAsiaTheme="minorHAnsi"/>
          <w:lang w:eastAsia="en-US"/>
        </w:rPr>
        <w:t xml:space="preserve"> осуществлением расходов местных бюджетов, связанных с осуществлением полномочий по первичному воинскому учету на территориях, где отсутствуют военные комиссариаты, источником финансового обеспечения которых являются субвенции, возлагается на уполномоченные органы субъектов РФ, Федеральную службу финансово-бюджетного надзора и Министерство обороны Р</w:t>
      </w:r>
      <w:r w:rsidR="002906A0">
        <w:rPr>
          <w:rFonts w:eastAsiaTheme="minorHAnsi"/>
          <w:lang w:eastAsia="en-US"/>
        </w:rPr>
        <w:t>Ф.</w:t>
      </w:r>
    </w:p>
    <w:p w:rsidR="00E51146" w:rsidRDefault="00E51146" w:rsidP="001D4E27">
      <w:pPr>
        <w:autoSpaceDE w:val="0"/>
        <w:autoSpaceDN w:val="0"/>
        <w:adjustRightInd w:val="0"/>
        <w:ind w:firstLine="680"/>
        <w:jc w:val="both"/>
        <w:rPr>
          <w:rFonts w:eastAsiaTheme="minorHAnsi"/>
          <w:lang w:eastAsia="en-US"/>
        </w:rPr>
      </w:pPr>
      <w:r w:rsidRPr="00E51146">
        <w:rPr>
          <w:rFonts w:eastAsiaTheme="minorHAnsi"/>
          <w:lang w:eastAsia="en-US"/>
        </w:rPr>
        <w:t>Управлением Федерального казначейства по Волгоградской области сообщено, что контрольные мероприятия по вопросу использования субвенций на осуществление полномочий по первичному воинскому учету в 2016-2017 годах не проводились</w:t>
      </w:r>
      <w:r>
        <w:rPr>
          <w:rFonts w:eastAsiaTheme="minorHAnsi"/>
          <w:lang w:eastAsia="en-US"/>
        </w:rPr>
        <w:t>.</w:t>
      </w:r>
    </w:p>
    <w:p w:rsidR="009E6F62" w:rsidRDefault="009E6F62" w:rsidP="001D4E27">
      <w:pPr>
        <w:ind w:firstLine="680"/>
        <w:jc w:val="both"/>
      </w:pPr>
      <w:r w:rsidRPr="0094666D">
        <w:t>Отделами военного комиссариата Волгоградской области провод</w:t>
      </w:r>
      <w:r w:rsidR="0063341E">
        <w:t xml:space="preserve">ились </w:t>
      </w:r>
      <w:r w:rsidRPr="0094666D">
        <w:t>проверки осуществлен</w:t>
      </w:r>
      <w:r w:rsidR="00DF2DA5">
        <w:t xml:space="preserve">ия первичного воинского учета, </w:t>
      </w:r>
      <w:r w:rsidRPr="0094666D">
        <w:t>по результатам которых</w:t>
      </w:r>
      <w:r w:rsidR="0063341E">
        <w:t xml:space="preserve"> в основном</w:t>
      </w:r>
      <w:r w:rsidRPr="0094666D">
        <w:t xml:space="preserve"> </w:t>
      </w:r>
      <w:r w:rsidR="0063341E">
        <w:t xml:space="preserve">были установлены </w:t>
      </w:r>
      <w:r w:rsidRPr="0094666D">
        <w:t>недостатки по ведению документов первичного воинского учета</w:t>
      </w:r>
      <w:r w:rsidR="00DF2DA5">
        <w:t>. Ф</w:t>
      </w:r>
      <w:r w:rsidR="00DF2DA5" w:rsidRPr="00DF2DA5">
        <w:t>актов нецелевого использования бюджетных средств и нарушений условий предоставления (расходования) субвенций не установлено.</w:t>
      </w:r>
    </w:p>
    <w:p w:rsidR="006E64E3" w:rsidRDefault="006E64E3" w:rsidP="001D4E27">
      <w:pPr>
        <w:autoSpaceDE w:val="0"/>
        <w:autoSpaceDN w:val="0"/>
        <w:adjustRightInd w:val="0"/>
        <w:ind w:firstLine="680"/>
        <w:jc w:val="both"/>
      </w:pPr>
      <w:proofErr w:type="spellStart"/>
      <w:r w:rsidRPr="006E64E3">
        <w:rPr>
          <w:rFonts w:eastAsiaTheme="minorHAnsi"/>
          <w:lang w:eastAsia="en-US"/>
        </w:rPr>
        <w:t>Облфином</w:t>
      </w:r>
      <w:proofErr w:type="spellEnd"/>
      <w:r w:rsidRPr="006E64E3">
        <w:t xml:space="preserve"> </w:t>
      </w:r>
      <w:r w:rsidR="002906A0">
        <w:t xml:space="preserve">в 2016 году </w:t>
      </w:r>
      <w:r w:rsidRPr="006E64E3">
        <w:t xml:space="preserve">проведена 1 внеплановая проверка </w:t>
      </w:r>
      <w:proofErr w:type="spellStart"/>
      <w:r w:rsidRPr="006E64E3">
        <w:t>Ерзовского</w:t>
      </w:r>
      <w:proofErr w:type="spellEnd"/>
      <w:r w:rsidRPr="006E64E3">
        <w:t xml:space="preserve"> </w:t>
      </w:r>
      <w:r w:rsidR="00D73BF6">
        <w:t>г</w:t>
      </w:r>
      <w:r w:rsidR="001D4E27">
        <w:t>/</w:t>
      </w:r>
      <w:proofErr w:type="spellStart"/>
      <w:proofErr w:type="gramStart"/>
      <w:r w:rsidR="001D4E27">
        <w:t>п</w:t>
      </w:r>
      <w:proofErr w:type="spellEnd"/>
      <w:proofErr w:type="gramEnd"/>
      <w:r w:rsidRPr="006E64E3">
        <w:t xml:space="preserve"> </w:t>
      </w:r>
      <w:proofErr w:type="spellStart"/>
      <w:r w:rsidRPr="006E64E3">
        <w:t>Городищенского</w:t>
      </w:r>
      <w:proofErr w:type="spellEnd"/>
      <w:r w:rsidRPr="006E64E3">
        <w:t xml:space="preserve"> </w:t>
      </w:r>
      <w:r w:rsidR="001D4E27">
        <w:t>МР</w:t>
      </w:r>
      <w:r w:rsidR="00D73BF6">
        <w:t xml:space="preserve"> на основании</w:t>
      </w:r>
      <w:r w:rsidRPr="006E64E3">
        <w:t xml:space="preserve"> </w:t>
      </w:r>
      <w:r w:rsidR="00534353" w:rsidRPr="00534353">
        <w:t xml:space="preserve">письма ФКУ </w:t>
      </w:r>
      <w:r w:rsidR="00534353">
        <w:t>«</w:t>
      </w:r>
      <w:r w:rsidR="00534353" w:rsidRPr="00534353">
        <w:t>Военный комиссариат Волгоградской области</w:t>
      </w:r>
      <w:r w:rsidR="00534353">
        <w:t>»</w:t>
      </w:r>
      <w:r w:rsidRPr="006E64E3">
        <w:t xml:space="preserve"> от 09.06.2016</w:t>
      </w:r>
      <w:r w:rsidR="00D73BF6">
        <w:t xml:space="preserve"> (по обращению ВУР указанного поселения</w:t>
      </w:r>
      <w:r w:rsidR="00534353" w:rsidRPr="00534353">
        <w:t xml:space="preserve"> </w:t>
      </w:r>
      <w:r w:rsidR="00440BA2">
        <w:t xml:space="preserve">по вопросу </w:t>
      </w:r>
      <w:proofErr w:type="spellStart"/>
      <w:r w:rsidR="00534353" w:rsidRPr="00534353">
        <w:lastRenderedPageBreak/>
        <w:t>несвоевревременно</w:t>
      </w:r>
      <w:r w:rsidR="00440BA2">
        <w:t>го</w:t>
      </w:r>
      <w:proofErr w:type="spellEnd"/>
      <w:r w:rsidR="00534353" w:rsidRPr="00534353">
        <w:t xml:space="preserve"> и неполно</w:t>
      </w:r>
      <w:r w:rsidR="00440BA2">
        <w:t>го</w:t>
      </w:r>
      <w:r w:rsidR="00534353" w:rsidRPr="00534353">
        <w:t xml:space="preserve"> поступлени</w:t>
      </w:r>
      <w:r w:rsidR="00440BA2">
        <w:t>я</w:t>
      </w:r>
      <w:r w:rsidR="00534353" w:rsidRPr="00534353">
        <w:t xml:space="preserve"> субвенции из федерального бюджета и задержк</w:t>
      </w:r>
      <w:r w:rsidR="00440BA2">
        <w:t>и</w:t>
      </w:r>
      <w:r w:rsidR="00534353" w:rsidRPr="00534353">
        <w:t xml:space="preserve"> выплаты заработной платы</w:t>
      </w:r>
      <w:r w:rsidR="00D73BF6">
        <w:t>), пр</w:t>
      </w:r>
      <w:r w:rsidRPr="006E64E3">
        <w:t>оверкой нарушений</w:t>
      </w:r>
      <w:r w:rsidR="003208B6">
        <w:t xml:space="preserve"> в действиях администрации поселения </w:t>
      </w:r>
      <w:r w:rsidRPr="006E64E3">
        <w:t xml:space="preserve"> не установлено.</w:t>
      </w:r>
    </w:p>
    <w:p w:rsidR="006E64E3" w:rsidRDefault="006E64E3" w:rsidP="001D4E27">
      <w:pPr>
        <w:ind w:firstLine="680"/>
        <w:jc w:val="both"/>
      </w:pPr>
      <w:r w:rsidRPr="006E64E3">
        <w:t>По пояснени</w:t>
      </w:r>
      <w:r w:rsidR="00440BA2">
        <w:t xml:space="preserve">ю сотрудников </w:t>
      </w:r>
      <w:proofErr w:type="spellStart"/>
      <w:r w:rsidR="00440BA2">
        <w:t>Облфина</w:t>
      </w:r>
      <w:proofErr w:type="spellEnd"/>
      <w:r w:rsidRPr="006E64E3">
        <w:t xml:space="preserve"> проверки расходования субвенций на осуществление воинского учета в анализируемом периоде не планировались в связи ограниченным количеством ревизионного состава, </w:t>
      </w:r>
      <w:r w:rsidR="002906A0">
        <w:t xml:space="preserve">а также </w:t>
      </w:r>
      <w:r w:rsidRPr="006E64E3">
        <w:t>незначительн</w:t>
      </w:r>
      <w:r w:rsidR="002906A0">
        <w:t>ым</w:t>
      </w:r>
      <w:r w:rsidRPr="006E64E3">
        <w:t xml:space="preserve"> объем</w:t>
      </w:r>
      <w:r w:rsidR="002906A0">
        <w:t>ом</w:t>
      </w:r>
      <w:r w:rsidRPr="006E64E3">
        <w:t xml:space="preserve"> финансирования по конкретным поселениям.</w:t>
      </w:r>
    </w:p>
    <w:p w:rsidR="003B3C55" w:rsidRPr="006E64E3" w:rsidRDefault="003B3C55" w:rsidP="001D4E27">
      <w:pPr>
        <w:ind w:firstLine="680"/>
        <w:jc w:val="both"/>
      </w:pPr>
      <w:r>
        <w:t xml:space="preserve">Таким образом, </w:t>
      </w:r>
      <w:proofErr w:type="gramStart"/>
      <w:r>
        <w:t>контроль за</w:t>
      </w:r>
      <w:proofErr w:type="gramEnd"/>
      <w:r>
        <w:t xml:space="preserve"> расходованием средств субвенции со стороны </w:t>
      </w:r>
      <w:r w:rsidR="00581857">
        <w:t xml:space="preserve">территориального органа Федерального </w:t>
      </w:r>
      <w:r w:rsidR="00581857" w:rsidRPr="00581857">
        <w:t xml:space="preserve">казначейства и </w:t>
      </w:r>
      <w:r w:rsidRPr="00581857">
        <w:t>финансов</w:t>
      </w:r>
      <w:r w:rsidR="003C2333" w:rsidRPr="00581857">
        <w:t>ого органа Волгоградской области</w:t>
      </w:r>
      <w:r w:rsidRPr="00581857">
        <w:t xml:space="preserve"> в проверяемый период не осуществлял</w:t>
      </w:r>
      <w:r w:rsidR="003C2333" w:rsidRPr="00581857">
        <w:t>ся</w:t>
      </w:r>
      <w:r w:rsidRPr="00581857">
        <w:t>.</w:t>
      </w:r>
      <w:r>
        <w:t xml:space="preserve"> </w:t>
      </w:r>
    </w:p>
    <w:p w:rsidR="00DF2DA5" w:rsidRDefault="00DF2DA5" w:rsidP="00161FAF">
      <w:pPr>
        <w:autoSpaceDE w:val="0"/>
        <w:autoSpaceDN w:val="0"/>
        <w:adjustRightInd w:val="0"/>
        <w:ind w:firstLine="680"/>
        <w:jc w:val="both"/>
        <w:rPr>
          <w:rFonts w:eastAsiaTheme="minorHAnsi"/>
          <w:lang w:eastAsia="en-US"/>
        </w:rPr>
      </w:pPr>
    </w:p>
    <w:p w:rsidR="001D4E27" w:rsidRPr="00EB5CE9" w:rsidRDefault="00EB5CE9" w:rsidP="00161FAF">
      <w:pPr>
        <w:jc w:val="center"/>
        <w:rPr>
          <w:b/>
        </w:rPr>
      </w:pPr>
      <w:r w:rsidRPr="00EB5CE9">
        <w:rPr>
          <w:b/>
        </w:rPr>
        <w:t>ВЫВОДЫ</w:t>
      </w:r>
    </w:p>
    <w:p w:rsidR="00777FFE" w:rsidRPr="00C05DCD" w:rsidRDefault="00777FFE" w:rsidP="00777FFE">
      <w:pPr>
        <w:pStyle w:val="a3"/>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 ходе экспертно-аналитического мероприятия КСП и КСО муниципальных образований </w:t>
      </w:r>
      <w:r w:rsidR="000E69D8">
        <w:rPr>
          <w:rFonts w:ascii="Times New Roman" w:hAnsi="Times New Roman" w:cs="Times New Roman"/>
          <w:sz w:val="24"/>
          <w:szCs w:val="24"/>
        </w:rPr>
        <w:t xml:space="preserve">проверены </w:t>
      </w:r>
      <w:proofErr w:type="spellStart"/>
      <w:r w:rsidR="000E69D8">
        <w:rPr>
          <w:rFonts w:ascii="Times New Roman" w:hAnsi="Times New Roman" w:cs="Times New Roman"/>
          <w:sz w:val="24"/>
          <w:szCs w:val="24"/>
        </w:rPr>
        <w:t>Облфин</w:t>
      </w:r>
      <w:proofErr w:type="spellEnd"/>
      <w:r w:rsidR="000E69D8">
        <w:rPr>
          <w:rFonts w:ascii="Times New Roman" w:hAnsi="Times New Roman" w:cs="Times New Roman"/>
          <w:sz w:val="24"/>
          <w:szCs w:val="24"/>
        </w:rPr>
        <w:t xml:space="preserve"> и </w:t>
      </w:r>
      <w:r w:rsidR="000E69D8" w:rsidRPr="00ED13F1">
        <w:rPr>
          <w:rFonts w:ascii="Times New Roman" w:hAnsi="Times New Roman" w:cs="Times New Roman"/>
          <w:sz w:val="24"/>
          <w:szCs w:val="24"/>
        </w:rPr>
        <w:t xml:space="preserve">102 </w:t>
      </w:r>
      <w:r w:rsidR="000E69D8">
        <w:rPr>
          <w:rFonts w:ascii="Times New Roman" w:hAnsi="Times New Roman" w:cs="Times New Roman"/>
          <w:sz w:val="24"/>
          <w:szCs w:val="24"/>
        </w:rPr>
        <w:t>городски</w:t>
      </w:r>
      <w:r w:rsidR="004705A9">
        <w:rPr>
          <w:rFonts w:ascii="Times New Roman" w:hAnsi="Times New Roman" w:cs="Times New Roman"/>
          <w:sz w:val="24"/>
          <w:szCs w:val="24"/>
        </w:rPr>
        <w:t>х</w:t>
      </w:r>
      <w:r w:rsidR="000E69D8">
        <w:rPr>
          <w:rFonts w:ascii="Times New Roman" w:hAnsi="Times New Roman" w:cs="Times New Roman"/>
          <w:sz w:val="24"/>
          <w:szCs w:val="24"/>
        </w:rPr>
        <w:t xml:space="preserve"> и сельски</w:t>
      </w:r>
      <w:r w:rsidR="004705A9">
        <w:rPr>
          <w:rFonts w:ascii="Times New Roman" w:hAnsi="Times New Roman" w:cs="Times New Roman"/>
          <w:sz w:val="24"/>
          <w:szCs w:val="24"/>
        </w:rPr>
        <w:t>х</w:t>
      </w:r>
      <w:r w:rsidR="000E69D8">
        <w:rPr>
          <w:rFonts w:ascii="Times New Roman" w:hAnsi="Times New Roman" w:cs="Times New Roman"/>
          <w:sz w:val="24"/>
          <w:szCs w:val="24"/>
        </w:rPr>
        <w:t xml:space="preserve"> </w:t>
      </w:r>
      <w:r w:rsidR="000E69D8" w:rsidRPr="00ED13F1">
        <w:rPr>
          <w:rFonts w:ascii="Times New Roman" w:hAnsi="Times New Roman" w:cs="Times New Roman"/>
          <w:sz w:val="24"/>
          <w:szCs w:val="24"/>
        </w:rPr>
        <w:t>поселени</w:t>
      </w:r>
      <w:r w:rsidR="004705A9">
        <w:rPr>
          <w:rFonts w:ascii="Times New Roman" w:hAnsi="Times New Roman" w:cs="Times New Roman"/>
          <w:sz w:val="24"/>
          <w:szCs w:val="24"/>
        </w:rPr>
        <w:t>й</w:t>
      </w:r>
      <w:r w:rsidR="000E69D8" w:rsidRPr="00ED13F1">
        <w:rPr>
          <w:rFonts w:ascii="Times New Roman" w:hAnsi="Times New Roman" w:cs="Times New Roman"/>
          <w:sz w:val="24"/>
          <w:szCs w:val="24"/>
        </w:rPr>
        <w:t xml:space="preserve"> муниципальных районов Волгоградской области</w:t>
      </w:r>
      <w:r w:rsidR="000E69D8">
        <w:rPr>
          <w:rFonts w:ascii="Times New Roman" w:hAnsi="Times New Roman" w:cs="Times New Roman"/>
          <w:sz w:val="24"/>
          <w:szCs w:val="24"/>
        </w:rPr>
        <w:t xml:space="preserve"> (</w:t>
      </w:r>
      <w:r w:rsidR="000E69D8" w:rsidRPr="00ED13F1">
        <w:rPr>
          <w:rFonts w:ascii="Times New Roman" w:hAnsi="Times New Roman" w:cs="Times New Roman"/>
          <w:sz w:val="24"/>
          <w:szCs w:val="24"/>
        </w:rPr>
        <w:t xml:space="preserve">из которых 9 поселений проверены КСП, 93 поселения </w:t>
      </w:r>
      <w:r w:rsidR="000E69D8">
        <w:rPr>
          <w:rFonts w:ascii="Times New Roman" w:hAnsi="Times New Roman" w:cs="Times New Roman"/>
          <w:sz w:val="24"/>
          <w:szCs w:val="24"/>
        </w:rPr>
        <w:t xml:space="preserve">- </w:t>
      </w:r>
      <w:r w:rsidR="000E69D8" w:rsidRPr="00ED13F1">
        <w:rPr>
          <w:rFonts w:ascii="Times New Roman" w:hAnsi="Times New Roman" w:cs="Times New Roman"/>
          <w:sz w:val="24"/>
          <w:szCs w:val="24"/>
        </w:rPr>
        <w:t>КСО муниципальных образований</w:t>
      </w:r>
      <w:r w:rsidR="000E69D8">
        <w:rPr>
          <w:rFonts w:ascii="Times New Roman" w:hAnsi="Times New Roman" w:cs="Times New Roman"/>
          <w:sz w:val="24"/>
          <w:szCs w:val="24"/>
        </w:rPr>
        <w:t>), что составляет 2</w:t>
      </w:r>
      <w:r>
        <w:rPr>
          <w:rFonts w:ascii="Times New Roman" w:hAnsi="Times New Roman" w:cs="Times New Roman"/>
          <w:sz w:val="24"/>
          <w:szCs w:val="24"/>
        </w:rPr>
        <w:t>4% от общего количества поселений, являющихся получателями субвенций (в 2016 и 2017 годах соответственно 424 и 425 поселений</w:t>
      </w:r>
      <w:r w:rsidRPr="00C05DCD">
        <w:rPr>
          <w:rFonts w:ascii="Times New Roman" w:hAnsi="Times New Roman" w:cs="Times New Roman"/>
          <w:sz w:val="24"/>
          <w:szCs w:val="24"/>
        </w:rPr>
        <w:t>).</w:t>
      </w:r>
      <w:proofErr w:type="gramEnd"/>
    </w:p>
    <w:p w:rsidR="00925F5D" w:rsidRDefault="00925F5D" w:rsidP="00925F5D">
      <w:pPr>
        <w:ind w:firstLine="708"/>
        <w:jc w:val="both"/>
      </w:pPr>
      <w:r>
        <w:t xml:space="preserve">2. </w:t>
      </w:r>
      <w:proofErr w:type="gramStart"/>
      <w:r>
        <w:t xml:space="preserve">Законами об областном бюджете на 2016, 2017 и 2018 годы предусмотрена субвенция </w:t>
      </w:r>
      <w:r w:rsidRPr="00CE4E00">
        <w:t>на осуществление полномочий</w:t>
      </w:r>
      <w:r>
        <w:rPr>
          <w:b/>
        </w:rPr>
        <w:t xml:space="preserve"> </w:t>
      </w:r>
      <w:r w:rsidRPr="00CE4E00">
        <w:t>по первичному воинскому учету на территориях, где отсутствуют военные комиссариаты</w:t>
      </w:r>
      <w:r>
        <w:t>, в размере 37,6 млн. руб., 38,2 млн. руб. и 41,8 млн. руб. соответственно, которая в полном объеме перечислена в бюджеты городских и сельских поселений Волгоградской области.</w:t>
      </w:r>
      <w:proofErr w:type="gramEnd"/>
    </w:p>
    <w:p w:rsidR="00925F5D" w:rsidRPr="004705A9" w:rsidRDefault="00925F5D" w:rsidP="004705A9">
      <w:pPr>
        <w:ind w:firstLine="708"/>
        <w:jc w:val="both"/>
      </w:pPr>
      <w:r>
        <w:t xml:space="preserve">3. За 2016 - 2017 годы поступившие </w:t>
      </w:r>
      <w:r w:rsidR="00E45EA5">
        <w:t xml:space="preserve">поселениям региона средства субвенции использованы </w:t>
      </w:r>
      <w:r w:rsidR="004705A9">
        <w:t xml:space="preserve">практически в полном объеме </w:t>
      </w:r>
      <w:r>
        <w:t>(исполнение составило 99,5% и 99,2% соответственно).</w:t>
      </w:r>
      <w:r w:rsidRPr="003635C8">
        <w:t xml:space="preserve"> </w:t>
      </w:r>
      <w:r w:rsidRPr="004705A9">
        <w:t xml:space="preserve">На 01.01.2017 и 01.01.2018 неиспользованные остатки средств субвенции составили соответственно 193,5 тыс. руб. </w:t>
      </w:r>
      <w:r w:rsidR="004705A9" w:rsidRPr="004705A9">
        <w:t xml:space="preserve">(по 20 поселениям) </w:t>
      </w:r>
      <w:r w:rsidRPr="004705A9">
        <w:t>и 296,1 тыс. руб.</w:t>
      </w:r>
      <w:r w:rsidR="004705A9" w:rsidRPr="004705A9">
        <w:t xml:space="preserve"> (по 15 поселениям)</w:t>
      </w:r>
      <w:r w:rsidRPr="004705A9">
        <w:t>, которые были возвращены в федеральный бюджет.</w:t>
      </w:r>
      <w:r w:rsidR="004705A9" w:rsidRPr="004705A9">
        <w:t xml:space="preserve"> Остатки </w:t>
      </w:r>
      <w:r w:rsidRPr="004705A9">
        <w:t>сложились в связи с экономией средств субвенции, а т</w:t>
      </w:r>
      <w:r w:rsidR="004705A9" w:rsidRPr="004705A9">
        <w:t xml:space="preserve">акже отсутствием потребности в них </w:t>
      </w:r>
      <w:r w:rsidRPr="004705A9">
        <w:t>(по пояснению глав поселений). Вместе с тем</w:t>
      </w:r>
      <w:r w:rsidR="008A0C65" w:rsidRPr="004705A9">
        <w:t xml:space="preserve"> по результатам мероприятия установлено, что </w:t>
      </w:r>
      <w:r w:rsidRPr="004705A9">
        <w:t>неизрасходованные средства субвенции могли быть направлены на оплату коммунальных и транспортных услуг, услуг связи, которые по большинству поселений осуществлялись за счет средств местного бюджета</w:t>
      </w:r>
      <w:r w:rsidR="001217DA" w:rsidRPr="004705A9">
        <w:t>.</w:t>
      </w:r>
    </w:p>
    <w:p w:rsidR="004A2C06" w:rsidRDefault="00955406" w:rsidP="00925F5D">
      <w:pPr>
        <w:shd w:val="clear" w:color="auto" w:fill="FFFFFF"/>
        <w:ind w:firstLine="680"/>
        <w:jc w:val="both"/>
      </w:pPr>
      <w:r>
        <w:t>4. Н</w:t>
      </w:r>
      <w:r w:rsidRPr="001A509C">
        <w:t>аибольший объем  средств субвенции  напра</w:t>
      </w:r>
      <w:r w:rsidR="00640A79">
        <w:t>влен на оплату труда и страховых</w:t>
      </w:r>
      <w:r w:rsidRPr="001A509C">
        <w:t xml:space="preserve"> взнос</w:t>
      </w:r>
      <w:r w:rsidR="00640A79">
        <w:t>ов: в 2016 году – 33,8 млн. руб. (</w:t>
      </w:r>
      <w:r>
        <w:t>90,3%</w:t>
      </w:r>
      <w:r w:rsidR="00640A79">
        <w:t>)</w:t>
      </w:r>
      <w:r>
        <w:t>, в 2017 году – 35,0 млн. руб.</w:t>
      </w:r>
      <w:r w:rsidR="00640A79">
        <w:t xml:space="preserve"> (</w:t>
      </w:r>
      <w:r>
        <w:t>92,3%)</w:t>
      </w:r>
      <w:r w:rsidR="00640A79">
        <w:t>.</w:t>
      </w:r>
    </w:p>
    <w:p w:rsidR="00F82A7A" w:rsidRDefault="004A2C06" w:rsidP="004A2C06">
      <w:pPr>
        <w:autoSpaceDE w:val="0"/>
        <w:autoSpaceDN w:val="0"/>
        <w:adjustRightInd w:val="0"/>
        <w:ind w:firstLine="680"/>
        <w:jc w:val="both"/>
      </w:pPr>
      <w:r>
        <w:t xml:space="preserve">По проверенным поселениям </w:t>
      </w:r>
      <w:r w:rsidRPr="006A4A76">
        <w:t>средняя месячная заработная плата освобожденного сотрудника ВУР на полной ставке варьировала в 2016 году от 8,3 тыс. руб. до 15,3 тыс. руб., в 2017 году от 9,5 тыс. руб. до  13,3 тыс. руб</w:t>
      </w:r>
      <w:r>
        <w:t>лей.</w:t>
      </w:r>
      <w:r w:rsidRPr="00A52868">
        <w:t xml:space="preserve"> </w:t>
      </w:r>
      <w:r>
        <w:t xml:space="preserve">Практически во всех </w:t>
      </w:r>
      <w:r w:rsidR="00F82A7A">
        <w:t xml:space="preserve">проверенных </w:t>
      </w:r>
      <w:r>
        <w:t xml:space="preserve">поселениях </w:t>
      </w:r>
      <w:r w:rsidR="00F82A7A">
        <w:t xml:space="preserve">(за исключением двух) </w:t>
      </w:r>
      <w:r>
        <w:t>средняя заработная плата</w:t>
      </w:r>
      <w:r w:rsidR="00F82A7A">
        <w:t xml:space="preserve"> сложилась выше </w:t>
      </w:r>
      <w:r>
        <w:t>МРОТ</w:t>
      </w:r>
      <w:r w:rsidR="00F82A7A">
        <w:t>.</w:t>
      </w:r>
    </w:p>
    <w:p w:rsidR="004A2C06" w:rsidRDefault="004A2C06" w:rsidP="004A2C06">
      <w:pPr>
        <w:autoSpaceDE w:val="0"/>
        <w:autoSpaceDN w:val="0"/>
        <w:adjustRightInd w:val="0"/>
        <w:ind w:firstLine="680"/>
        <w:jc w:val="both"/>
      </w:pPr>
      <w:r>
        <w:t>В сравнении со средней заработной платой по региону, состав</w:t>
      </w:r>
      <w:r w:rsidR="00013390">
        <w:t>ивш</w:t>
      </w:r>
      <w:r>
        <w:t xml:space="preserve">ей в 2016 </w:t>
      </w:r>
      <w:r w:rsidR="00013390">
        <w:t>и 2017 годах соответственно</w:t>
      </w:r>
      <w:r>
        <w:t xml:space="preserve"> 25,7 тыс. руб. и 27,9 тыс. руб., средняя заработная плата ВУР существенно ниже (в 2 раза и более). </w:t>
      </w:r>
    </w:p>
    <w:p w:rsidR="00DA07DD" w:rsidRDefault="00DA07DD" w:rsidP="00525F15">
      <w:pPr>
        <w:shd w:val="clear" w:color="auto" w:fill="FFFFFF"/>
        <w:ind w:firstLine="680"/>
        <w:jc w:val="both"/>
      </w:pPr>
      <w:r>
        <w:t>5. Практически во всех поселениях Волгоградской области</w:t>
      </w:r>
      <w:r w:rsidRPr="00A52868">
        <w:t xml:space="preserve"> </w:t>
      </w:r>
      <w:r>
        <w:t>решения об использовании средств местного бюджета в 2016-2017 годах не принимались</w:t>
      </w:r>
      <w:r w:rsidR="007E5F15">
        <w:t xml:space="preserve"> (за исключением </w:t>
      </w:r>
      <w:r w:rsidR="007E5F15" w:rsidRPr="00D21A0C">
        <w:t>Политотдельско</w:t>
      </w:r>
      <w:r w:rsidR="007E5F15">
        <w:t>го</w:t>
      </w:r>
      <w:r w:rsidR="007E5F15" w:rsidRPr="00D21A0C">
        <w:t xml:space="preserve"> с</w:t>
      </w:r>
      <w:r w:rsidR="007E5F15">
        <w:t>/</w:t>
      </w:r>
      <w:proofErr w:type="spellStart"/>
      <w:proofErr w:type="gramStart"/>
      <w:r w:rsidR="007E5F15">
        <w:t>п</w:t>
      </w:r>
      <w:proofErr w:type="spellEnd"/>
      <w:proofErr w:type="gramEnd"/>
      <w:r w:rsidR="007E5F15" w:rsidRPr="00D21A0C">
        <w:t xml:space="preserve"> Николаевского </w:t>
      </w:r>
      <w:r w:rsidR="007E5F15">
        <w:t>МР в связи с недостатком средств субвенции)</w:t>
      </w:r>
      <w:r>
        <w:t>. Вместе с тем проверками установлено, что средства местного бюджета на исполнение гос</w:t>
      </w:r>
      <w:r w:rsidR="007E5F15">
        <w:t xml:space="preserve">ударственного </w:t>
      </w:r>
      <w:r>
        <w:t xml:space="preserve">полномочия  фактически направлялись. </w:t>
      </w:r>
      <w:proofErr w:type="gramStart"/>
      <w:r w:rsidR="001217DA">
        <w:t>В 2016 году в</w:t>
      </w:r>
      <w:r w:rsidRPr="00B00896">
        <w:rPr>
          <w:color w:val="000000"/>
        </w:rPr>
        <w:t xml:space="preserve"> 75 поселениях из 102 проверенных (73,5%)  и </w:t>
      </w:r>
      <w:r w:rsidR="001217DA">
        <w:rPr>
          <w:color w:val="000000"/>
        </w:rPr>
        <w:t xml:space="preserve">в 2017 году в </w:t>
      </w:r>
      <w:r w:rsidRPr="00B00896">
        <w:rPr>
          <w:color w:val="000000"/>
        </w:rPr>
        <w:t xml:space="preserve">77 поселениях (75,5%) расходы на содержание ВУР в части услуг связи, коммунальных услуг, </w:t>
      </w:r>
      <w:r>
        <w:rPr>
          <w:color w:val="000000"/>
        </w:rPr>
        <w:t xml:space="preserve">транспортных услуг, </w:t>
      </w:r>
      <w:r w:rsidRPr="00B00896">
        <w:rPr>
          <w:color w:val="000000"/>
        </w:rPr>
        <w:t>обслуживания офисной техники осуществлялись за счет средств местного бюджета в связи с тем, что рабочее место ВУР располагается в здании администрации</w:t>
      </w:r>
      <w:r>
        <w:rPr>
          <w:color w:val="000000"/>
        </w:rPr>
        <w:t>, а</w:t>
      </w:r>
      <w:r w:rsidRPr="00B00896">
        <w:rPr>
          <w:color w:val="000000"/>
        </w:rPr>
        <w:t xml:space="preserve"> раздельный учет указанных расходов администрациями </w:t>
      </w:r>
      <w:r w:rsidRPr="00AF1D5F">
        <w:t>не ведется.</w:t>
      </w:r>
      <w:proofErr w:type="gramEnd"/>
      <w:r w:rsidRPr="00AF1D5F">
        <w:t xml:space="preserve"> </w:t>
      </w:r>
      <w:r w:rsidR="00525F15">
        <w:t>С учетом этого</w:t>
      </w:r>
      <w:r w:rsidR="00525F15" w:rsidRPr="00525F15">
        <w:t xml:space="preserve"> </w:t>
      </w:r>
      <w:r w:rsidR="00525F15" w:rsidRPr="003C22DF">
        <w:t>можно сделать вывод</w:t>
      </w:r>
      <w:r w:rsidR="00525F15">
        <w:t xml:space="preserve"> о недостаточности</w:t>
      </w:r>
      <w:r w:rsidR="00525F15" w:rsidRPr="003C22DF">
        <w:t xml:space="preserve"> объема субвенции для финансового обеспечения расходных обязательств муниципальных образований, возникших при выполнении государственных полномочий.</w:t>
      </w:r>
      <w:r w:rsidR="00525F15">
        <w:t xml:space="preserve"> </w:t>
      </w:r>
    </w:p>
    <w:p w:rsidR="008A0C65" w:rsidRDefault="001217DA" w:rsidP="001217DA">
      <w:pPr>
        <w:autoSpaceDE w:val="0"/>
        <w:autoSpaceDN w:val="0"/>
        <w:adjustRightInd w:val="0"/>
        <w:ind w:firstLine="680"/>
        <w:jc w:val="both"/>
      </w:pPr>
      <w:r>
        <w:lastRenderedPageBreak/>
        <w:t>6.</w:t>
      </w:r>
      <w:r w:rsidR="008A0C65">
        <w:t xml:space="preserve"> </w:t>
      </w:r>
      <w:proofErr w:type="gramStart"/>
      <w:r w:rsidR="008A0C65">
        <w:t>Общее количество ВУР, учтенных</w:t>
      </w:r>
      <w:r w:rsidR="008A0C65" w:rsidRPr="00A93CF2">
        <w:t xml:space="preserve"> при распределении субвенций </w:t>
      </w:r>
      <w:r w:rsidR="008A0C65">
        <w:t xml:space="preserve">Волгоградской области, составило: на 2016 год – 435 ед. (в т.ч. на освобожденной основе – 94 ед., работающих по совместительству – 341 ед.), на 2017 год – 438 ед. (в т.ч. освобожденных – 94 ед., по совместительству – 344 ед.). </w:t>
      </w:r>
      <w:proofErr w:type="gramEnd"/>
    </w:p>
    <w:p w:rsidR="00E478F5" w:rsidRDefault="00E478F5" w:rsidP="00E478F5">
      <w:pPr>
        <w:ind w:firstLine="708"/>
        <w:jc w:val="both"/>
        <w:rPr>
          <w:rFonts w:eastAsiaTheme="minorHAnsi"/>
          <w:lang w:eastAsia="en-US"/>
        </w:rPr>
      </w:pPr>
      <w:r>
        <w:t>В</w:t>
      </w:r>
      <w:r>
        <w:rPr>
          <w:rFonts w:eastAsiaTheme="minorHAnsi"/>
          <w:lang w:eastAsia="en-US"/>
        </w:rPr>
        <w:t xml:space="preserve"> наибольшем количестве поселений ВУР осуществляют свою деятельность на 0,2 и 0,3 ставках: в 2016 году – в 283 поселениях (66,7% от общего количества поселений), в 2017 году – в 290 (68,3%), в 2018 году – </w:t>
      </w:r>
      <w:proofErr w:type="gramStart"/>
      <w:r>
        <w:rPr>
          <w:rFonts w:eastAsiaTheme="minorHAnsi"/>
          <w:lang w:eastAsia="en-US"/>
        </w:rPr>
        <w:t>в</w:t>
      </w:r>
      <w:proofErr w:type="gramEnd"/>
      <w:r>
        <w:rPr>
          <w:rFonts w:eastAsiaTheme="minorHAnsi"/>
          <w:lang w:eastAsia="en-US"/>
        </w:rPr>
        <w:t xml:space="preserve"> 302 (71,1%).</w:t>
      </w:r>
    </w:p>
    <w:p w:rsidR="008A0C65" w:rsidRPr="009F2165" w:rsidRDefault="008A0C65" w:rsidP="009F2165">
      <w:pPr>
        <w:ind w:firstLine="708"/>
        <w:jc w:val="both"/>
      </w:pPr>
      <w:r>
        <w:t xml:space="preserve">Для распределения субвенции на 2018 год </w:t>
      </w:r>
      <w:proofErr w:type="spellStart"/>
      <w:r>
        <w:t>Облвоенкоматом</w:t>
      </w:r>
      <w:proofErr w:type="spellEnd"/>
      <w:r>
        <w:t xml:space="preserve"> в августе 2017 года предоставлены данные о численности ВУР в количестве 438 ед. (в т.ч. 91 ед. на освобожденной основе и 347 ед., </w:t>
      </w:r>
      <w:proofErr w:type="gramStart"/>
      <w:r>
        <w:t>работающих</w:t>
      </w:r>
      <w:proofErr w:type="gramEnd"/>
      <w:r>
        <w:t xml:space="preserve"> по совместительству). В исходных данных  Минобороны РФ учтено 438 ед.</w:t>
      </w:r>
      <w:r w:rsidR="00264C9A">
        <w:t>, но</w:t>
      </w:r>
      <w:r>
        <w:t xml:space="preserve"> 94 ед. на освобожденной основе и 344 ед., </w:t>
      </w:r>
      <w:r w:rsidRPr="009F2165">
        <w:t>работающих по совместительству</w:t>
      </w:r>
      <w:r w:rsidR="00264C9A" w:rsidRPr="009F2165">
        <w:t>.</w:t>
      </w:r>
      <w:r w:rsidRPr="009F2165">
        <w:t xml:space="preserve"> </w:t>
      </w:r>
      <w:proofErr w:type="spellStart"/>
      <w:r w:rsidRPr="009F2165">
        <w:t>Облвоенкомат</w:t>
      </w:r>
      <w:proofErr w:type="spellEnd"/>
      <w:r w:rsidRPr="009F2165">
        <w:t xml:space="preserve"> объяснить причины расхождения данных на 3 ед.  не может.</w:t>
      </w:r>
    </w:p>
    <w:p w:rsidR="00D47EFC" w:rsidRPr="00E45EA5" w:rsidRDefault="009F2165" w:rsidP="009F2165">
      <w:pPr>
        <w:jc w:val="both"/>
        <w:rPr>
          <w:rFonts w:eastAsiaTheme="minorHAnsi"/>
          <w:lang w:eastAsia="en-US"/>
        </w:rPr>
      </w:pPr>
      <w:r w:rsidRPr="009F2165">
        <w:tab/>
        <w:t xml:space="preserve">7. </w:t>
      </w:r>
      <w:r w:rsidR="00D47EFC" w:rsidRPr="009F2165">
        <w:rPr>
          <w:rFonts w:eastAsiaTheme="minorHAnsi"/>
          <w:lang w:eastAsia="en-US"/>
        </w:rPr>
        <w:t>По результатам мероприятия выявлены недостатки нормативно-правового регулирования порядка</w:t>
      </w:r>
      <w:r w:rsidR="00D47EFC">
        <w:rPr>
          <w:rFonts w:eastAsiaTheme="minorHAnsi"/>
          <w:lang w:eastAsia="en-US"/>
        </w:rPr>
        <w:t xml:space="preserve"> распределения и использования субвенций</w:t>
      </w:r>
      <w:r w:rsidR="00572B56">
        <w:rPr>
          <w:rFonts w:eastAsiaTheme="minorHAnsi"/>
          <w:lang w:eastAsia="en-US"/>
        </w:rPr>
        <w:t xml:space="preserve"> на федеральном, </w:t>
      </w:r>
      <w:r w:rsidR="00572B56" w:rsidRPr="00E45EA5">
        <w:rPr>
          <w:rFonts w:eastAsiaTheme="minorHAnsi"/>
          <w:lang w:eastAsia="en-US"/>
        </w:rPr>
        <w:t>региональном и местном уровнях:</w:t>
      </w:r>
    </w:p>
    <w:p w:rsidR="00602157" w:rsidRPr="00E45EA5" w:rsidRDefault="00D47EFC" w:rsidP="00E45EA5">
      <w:pPr>
        <w:pStyle w:val="a3"/>
        <w:numPr>
          <w:ilvl w:val="0"/>
          <w:numId w:val="9"/>
        </w:numPr>
        <w:shd w:val="clear" w:color="auto" w:fill="FFFFFF"/>
        <w:autoSpaceDE w:val="0"/>
        <w:autoSpaceDN w:val="0"/>
        <w:adjustRightInd w:val="0"/>
        <w:spacing w:after="0" w:line="240" w:lineRule="auto"/>
        <w:ind w:left="0" w:firstLine="680"/>
        <w:jc w:val="both"/>
        <w:rPr>
          <w:rFonts w:ascii="Times New Roman" w:hAnsi="Times New Roman" w:cs="Times New Roman"/>
          <w:sz w:val="24"/>
          <w:szCs w:val="24"/>
        </w:rPr>
      </w:pPr>
      <w:r w:rsidRPr="00013390">
        <w:rPr>
          <w:rFonts w:ascii="Times New Roman" w:hAnsi="Times New Roman" w:cs="Times New Roman"/>
          <w:sz w:val="24"/>
          <w:szCs w:val="24"/>
          <w:u w:val="single"/>
        </w:rPr>
        <w:t>на федеральном уровне</w:t>
      </w:r>
      <w:r w:rsidR="00602157" w:rsidRPr="00E45EA5">
        <w:rPr>
          <w:rFonts w:ascii="Times New Roman" w:hAnsi="Times New Roman" w:cs="Times New Roman"/>
          <w:sz w:val="24"/>
          <w:szCs w:val="24"/>
        </w:rPr>
        <w:t>:</w:t>
      </w:r>
    </w:p>
    <w:p w:rsidR="00602157" w:rsidRPr="00E45EA5" w:rsidRDefault="00572B56" w:rsidP="00E45EA5">
      <w:pPr>
        <w:shd w:val="clear" w:color="auto" w:fill="FFFFFF"/>
        <w:autoSpaceDE w:val="0"/>
        <w:autoSpaceDN w:val="0"/>
        <w:adjustRightInd w:val="0"/>
        <w:ind w:firstLine="680"/>
        <w:jc w:val="both"/>
      </w:pPr>
      <w:r w:rsidRPr="00E45EA5">
        <w:t xml:space="preserve"> -</w:t>
      </w:r>
      <w:r w:rsidRPr="00E45EA5">
        <w:rPr>
          <w:rFonts w:eastAsiaTheme="minorHAnsi"/>
          <w:lang w:eastAsia="en-US"/>
        </w:rPr>
        <w:t xml:space="preserve"> </w:t>
      </w:r>
      <w:r w:rsidR="00D47EFC" w:rsidRPr="00E45EA5">
        <w:t>в части даты определения</w:t>
      </w:r>
      <w:r w:rsidR="009F2165" w:rsidRPr="009F2165">
        <w:t xml:space="preserve"> </w:t>
      </w:r>
      <w:r w:rsidR="009F2165" w:rsidRPr="00E45EA5">
        <w:t>сос</w:t>
      </w:r>
      <w:r w:rsidR="009F2165">
        <w:t>тоящих на воинском учете в ОМСУ</w:t>
      </w:r>
      <w:r w:rsidR="00D47EFC" w:rsidRPr="00E45EA5">
        <w:t xml:space="preserve"> количества граждан, </w:t>
      </w:r>
      <w:proofErr w:type="gramStart"/>
      <w:r w:rsidR="00D47EFC" w:rsidRPr="00E45EA5">
        <w:t>исходя из которого производится</w:t>
      </w:r>
      <w:proofErr w:type="gramEnd"/>
      <w:r w:rsidR="00D47EFC" w:rsidRPr="00E45EA5">
        <w:t xml:space="preserve"> распределение субвенции</w:t>
      </w:r>
      <w:r w:rsidRPr="00E45EA5">
        <w:t xml:space="preserve">; </w:t>
      </w:r>
    </w:p>
    <w:p w:rsidR="00602157" w:rsidRPr="00E45EA5" w:rsidRDefault="00602157" w:rsidP="00E45EA5">
      <w:pPr>
        <w:shd w:val="clear" w:color="auto" w:fill="FFFFFF"/>
        <w:autoSpaceDE w:val="0"/>
        <w:autoSpaceDN w:val="0"/>
        <w:adjustRightInd w:val="0"/>
        <w:ind w:firstLine="680"/>
        <w:jc w:val="both"/>
      </w:pPr>
      <w:r w:rsidRPr="00E45EA5">
        <w:t xml:space="preserve">- </w:t>
      </w:r>
      <w:r w:rsidR="00572B56" w:rsidRPr="00E45EA5">
        <w:t xml:space="preserve">отсутствие  нормативно установленного порядка нормирования затрат на содержание ВУР ОМСУ, в т.ч. порядка определения заработной платы ВУР; </w:t>
      </w:r>
    </w:p>
    <w:p w:rsidR="00572B56" w:rsidRPr="00E45EA5" w:rsidRDefault="00602157" w:rsidP="00E45EA5">
      <w:pPr>
        <w:shd w:val="clear" w:color="auto" w:fill="FFFFFF"/>
        <w:autoSpaceDE w:val="0"/>
        <w:autoSpaceDN w:val="0"/>
        <w:adjustRightInd w:val="0"/>
        <w:ind w:firstLine="680"/>
        <w:jc w:val="both"/>
      </w:pPr>
      <w:r w:rsidRPr="00E45EA5">
        <w:t xml:space="preserve">- </w:t>
      </w:r>
      <w:r w:rsidR="00572B56" w:rsidRPr="00E45EA5">
        <w:t>отсутствие порядка расчета</w:t>
      </w:r>
      <w:r w:rsidR="00572B56" w:rsidRPr="00E45EA5">
        <w:rPr>
          <w:color w:val="000000"/>
        </w:rPr>
        <w:t xml:space="preserve"> коэффициента среднемесячной заработной платы, используемого Министерством обороны РФ для расчета расходов на оплату труда ВУР при </w:t>
      </w:r>
      <w:r w:rsidR="009F2165">
        <w:rPr>
          <w:color w:val="000000"/>
        </w:rPr>
        <w:t xml:space="preserve">подсчете </w:t>
      </w:r>
      <w:r w:rsidR="00572B56" w:rsidRPr="00E45EA5">
        <w:rPr>
          <w:color w:val="000000"/>
        </w:rPr>
        <w:t>объема субвенции по субъектам РФ;</w:t>
      </w:r>
    </w:p>
    <w:p w:rsidR="00D47EFC" w:rsidRPr="00E45EA5" w:rsidRDefault="00602157" w:rsidP="00E45EA5">
      <w:pPr>
        <w:shd w:val="clear" w:color="auto" w:fill="FFFFFF"/>
        <w:autoSpaceDE w:val="0"/>
        <w:autoSpaceDN w:val="0"/>
        <w:adjustRightInd w:val="0"/>
        <w:ind w:firstLine="680"/>
        <w:jc w:val="both"/>
      </w:pPr>
      <w:r w:rsidRPr="00E45EA5">
        <w:t xml:space="preserve">- </w:t>
      </w:r>
      <w:r w:rsidR="00D47EFC" w:rsidRPr="00E45EA5">
        <w:t>Федеральная методика не содержит отдельных расходов, непосредственно связанных с деятельностью ВУР</w:t>
      </w:r>
      <w:r w:rsidR="00A52B1D">
        <w:t>;</w:t>
      </w:r>
      <w:r w:rsidR="00D47EFC" w:rsidRPr="00E45EA5">
        <w:t xml:space="preserve">   </w:t>
      </w:r>
    </w:p>
    <w:p w:rsidR="00D47EFC" w:rsidRPr="00E45EA5" w:rsidRDefault="00D47EFC" w:rsidP="00E45EA5">
      <w:pPr>
        <w:pStyle w:val="a3"/>
        <w:numPr>
          <w:ilvl w:val="0"/>
          <w:numId w:val="9"/>
        </w:numPr>
        <w:shd w:val="clear" w:color="auto" w:fill="FFFFFF"/>
        <w:spacing w:after="0" w:line="240" w:lineRule="auto"/>
        <w:ind w:left="0" w:firstLine="680"/>
        <w:jc w:val="both"/>
        <w:rPr>
          <w:rFonts w:ascii="Times New Roman" w:hAnsi="Times New Roman" w:cs="Times New Roman"/>
          <w:sz w:val="24"/>
          <w:szCs w:val="24"/>
        </w:rPr>
      </w:pPr>
      <w:r w:rsidRPr="00013390">
        <w:rPr>
          <w:rFonts w:ascii="Times New Roman" w:hAnsi="Times New Roman" w:cs="Times New Roman"/>
          <w:sz w:val="24"/>
          <w:szCs w:val="24"/>
          <w:u w:val="single"/>
        </w:rPr>
        <w:t>на региональном уровне</w:t>
      </w:r>
      <w:r w:rsidR="00602157" w:rsidRPr="00E45EA5">
        <w:rPr>
          <w:rFonts w:ascii="Times New Roman" w:hAnsi="Times New Roman" w:cs="Times New Roman"/>
          <w:sz w:val="24"/>
          <w:szCs w:val="24"/>
        </w:rPr>
        <w:t>:</w:t>
      </w:r>
    </w:p>
    <w:p w:rsidR="00CE25D3" w:rsidRPr="00E45EA5" w:rsidRDefault="00B736E9" w:rsidP="00E45EA5">
      <w:pPr>
        <w:shd w:val="clear" w:color="auto" w:fill="FFFFFF"/>
        <w:ind w:firstLine="680"/>
        <w:jc w:val="both"/>
      </w:pPr>
      <w:r w:rsidRPr="0029189B">
        <w:t xml:space="preserve">- </w:t>
      </w:r>
      <w:r w:rsidR="00D47EFC" w:rsidRPr="0029189B">
        <w:t xml:space="preserve"> </w:t>
      </w:r>
      <w:r w:rsidR="00B362AC" w:rsidRPr="0029189B">
        <w:t xml:space="preserve">отсутствие документа, содержащего систематизированные рекомендации для </w:t>
      </w:r>
      <w:r w:rsidR="0029189B">
        <w:t>ОМСУ</w:t>
      </w:r>
      <w:r w:rsidR="00B362AC" w:rsidRPr="0029189B">
        <w:t xml:space="preserve"> по установлению </w:t>
      </w:r>
      <w:r w:rsidR="00B362AC" w:rsidRPr="0029189B">
        <w:rPr>
          <w:color w:val="000000"/>
        </w:rPr>
        <w:t>единых подходов</w:t>
      </w:r>
      <w:r w:rsidR="00B362AC" w:rsidRPr="0029189B">
        <w:t xml:space="preserve"> к определению размера расходов на содержание ВУР (по их видам) на территории региона</w:t>
      </w:r>
      <w:r w:rsidR="0029189B">
        <w:t>;</w:t>
      </w:r>
    </w:p>
    <w:p w:rsidR="00D47EFC" w:rsidRPr="00E45EA5" w:rsidRDefault="00D47EFC" w:rsidP="00E45EA5">
      <w:pPr>
        <w:pStyle w:val="a3"/>
        <w:numPr>
          <w:ilvl w:val="0"/>
          <w:numId w:val="9"/>
        </w:numPr>
        <w:shd w:val="clear" w:color="auto" w:fill="FFFFFF"/>
        <w:spacing w:after="0" w:line="240" w:lineRule="auto"/>
        <w:ind w:left="0" w:firstLine="680"/>
        <w:jc w:val="both"/>
        <w:rPr>
          <w:rFonts w:ascii="Times New Roman" w:hAnsi="Times New Roman" w:cs="Times New Roman"/>
          <w:sz w:val="24"/>
          <w:szCs w:val="24"/>
        </w:rPr>
      </w:pPr>
      <w:r w:rsidRPr="00013390">
        <w:rPr>
          <w:rFonts w:ascii="Times New Roman" w:hAnsi="Times New Roman" w:cs="Times New Roman"/>
          <w:sz w:val="24"/>
          <w:szCs w:val="24"/>
          <w:u w:val="single"/>
        </w:rPr>
        <w:t>на местном уровне</w:t>
      </w:r>
      <w:r w:rsidR="00B736E9" w:rsidRPr="00E45EA5">
        <w:rPr>
          <w:rFonts w:ascii="Times New Roman" w:hAnsi="Times New Roman" w:cs="Times New Roman"/>
          <w:sz w:val="24"/>
          <w:szCs w:val="24"/>
        </w:rPr>
        <w:t>:</w:t>
      </w:r>
    </w:p>
    <w:p w:rsidR="00B736E9" w:rsidRPr="00E45EA5" w:rsidRDefault="00B736E9" w:rsidP="00E45EA5">
      <w:pPr>
        <w:shd w:val="clear" w:color="auto" w:fill="FFFFFF"/>
        <w:ind w:firstLine="680"/>
        <w:jc w:val="both"/>
      </w:pPr>
      <w:r w:rsidRPr="00E45EA5">
        <w:t xml:space="preserve"> - отсутствие утвержденных норм затрат на содержание ВУР ОМСУ по проверенным поселениям;</w:t>
      </w:r>
    </w:p>
    <w:p w:rsidR="00D47EFC" w:rsidRPr="00B736E9" w:rsidRDefault="00B736E9" w:rsidP="00E45EA5">
      <w:pPr>
        <w:shd w:val="clear" w:color="auto" w:fill="FFFFFF"/>
        <w:ind w:firstLine="680"/>
        <w:jc w:val="both"/>
      </w:pPr>
      <w:r w:rsidRPr="00E45EA5">
        <w:t xml:space="preserve"> - </w:t>
      </w:r>
      <w:r w:rsidR="00D47EFC" w:rsidRPr="00E45EA5">
        <w:t>непринят</w:t>
      </w:r>
      <w:r w:rsidRPr="00E45EA5">
        <w:t xml:space="preserve">ие </w:t>
      </w:r>
      <w:r w:rsidR="00D47EFC" w:rsidRPr="00E45EA5">
        <w:t xml:space="preserve"> нормативн</w:t>
      </w:r>
      <w:r w:rsidRPr="00E45EA5">
        <w:t>ого</w:t>
      </w:r>
      <w:r w:rsidR="00D47EFC" w:rsidRPr="00E45EA5">
        <w:t xml:space="preserve"> правово</w:t>
      </w:r>
      <w:r w:rsidRPr="00E45EA5">
        <w:t>го</w:t>
      </w:r>
      <w:r w:rsidR="00D47EFC" w:rsidRPr="00E45EA5">
        <w:t xml:space="preserve"> акт</w:t>
      </w:r>
      <w:r w:rsidRPr="00E45EA5">
        <w:t xml:space="preserve">а </w:t>
      </w:r>
      <w:r w:rsidR="00D47EFC" w:rsidRPr="00E45EA5">
        <w:t>по расходным обязательствам поселения при осуществлении ОМСУ переданных государственных полномочий</w:t>
      </w:r>
      <w:r w:rsidR="00D47EFC" w:rsidRPr="00B736E9">
        <w:t xml:space="preserve"> по первичному воинскому учету в 37 поселениях из 102 проверенных (36,3%)</w:t>
      </w:r>
      <w:r>
        <w:t>.</w:t>
      </w:r>
      <w:r w:rsidR="00D47EFC" w:rsidRPr="00B736E9">
        <w:t xml:space="preserve"> </w:t>
      </w:r>
    </w:p>
    <w:p w:rsidR="00052FCF" w:rsidRDefault="009F2165" w:rsidP="009F2165">
      <w:pPr>
        <w:shd w:val="clear" w:color="auto" w:fill="FFFFFF"/>
        <w:ind w:firstLine="680"/>
        <w:jc w:val="both"/>
      </w:pPr>
      <w:r>
        <w:t xml:space="preserve">8. </w:t>
      </w:r>
      <w:r w:rsidR="00052FCF" w:rsidRPr="00365815">
        <w:t>По результатам проведенного мероприятия КСП и КСО муниципальных образований выявлены следующие нарушения:</w:t>
      </w:r>
    </w:p>
    <w:p w:rsidR="00052FCF" w:rsidRPr="004E5ABC" w:rsidRDefault="004E5ABC" w:rsidP="00A32385">
      <w:pPr>
        <w:autoSpaceDE w:val="0"/>
        <w:autoSpaceDN w:val="0"/>
        <w:adjustRightInd w:val="0"/>
        <w:ind w:firstLine="709"/>
        <w:jc w:val="both"/>
      </w:pPr>
      <w:r w:rsidRPr="004E5ABC">
        <w:t xml:space="preserve">- </w:t>
      </w:r>
      <w:r w:rsidR="00052FCF" w:rsidRPr="004E5ABC">
        <w:t>нецелевое использование бюджетных сре</w:t>
      </w:r>
      <w:proofErr w:type="gramStart"/>
      <w:r w:rsidR="00052FCF" w:rsidRPr="004E5ABC">
        <w:t>дств</w:t>
      </w:r>
      <w:r>
        <w:t xml:space="preserve"> тр</w:t>
      </w:r>
      <w:proofErr w:type="gramEnd"/>
      <w:r>
        <w:t xml:space="preserve">емя поселениями </w:t>
      </w:r>
      <w:r w:rsidR="009F2165">
        <w:t xml:space="preserve">в 2016-2017 годах </w:t>
      </w:r>
      <w:r>
        <w:t>на общую сумму 23,3 тыс. руб</w:t>
      </w:r>
      <w:r w:rsidR="009F2165">
        <w:t>лей</w:t>
      </w:r>
      <w:r>
        <w:t xml:space="preserve">. </w:t>
      </w:r>
      <w:r w:rsidR="00A32385">
        <w:t>Н</w:t>
      </w:r>
      <w:r>
        <w:t>а момент окончания проведения мероприятия составлены 3 протокола об административной ответственности, применены меры бюджетного принуждения по бесспорно</w:t>
      </w:r>
      <w:r w:rsidR="009F2165">
        <w:t>му</w:t>
      </w:r>
      <w:r>
        <w:t xml:space="preserve"> взыскани</w:t>
      </w:r>
      <w:r w:rsidR="009F2165">
        <w:t>ю</w:t>
      </w:r>
      <w:r>
        <w:t xml:space="preserve"> средств с </w:t>
      </w:r>
      <w:r w:rsidR="00013390">
        <w:t xml:space="preserve">местных </w:t>
      </w:r>
      <w:r>
        <w:t xml:space="preserve">бюджетов </w:t>
      </w:r>
      <w:r w:rsidR="00013390">
        <w:t xml:space="preserve">на сумму 10,7 тыс. руб. в отношении </w:t>
      </w:r>
      <w:r>
        <w:t xml:space="preserve">2- </w:t>
      </w:r>
      <w:proofErr w:type="spellStart"/>
      <w:r>
        <w:t>х</w:t>
      </w:r>
      <w:proofErr w:type="spellEnd"/>
      <w:r>
        <w:t xml:space="preserve"> поселений,  по одному поселению КСП направлено в </w:t>
      </w:r>
      <w:proofErr w:type="spellStart"/>
      <w:r>
        <w:t>Облфин</w:t>
      </w:r>
      <w:proofErr w:type="spellEnd"/>
      <w:r>
        <w:t xml:space="preserve">  </w:t>
      </w:r>
      <w:r w:rsidRPr="00C361B2">
        <w:t>18.09.2018</w:t>
      </w:r>
      <w:r w:rsidR="00A32385">
        <w:t xml:space="preserve"> уведомление о применении бюджетных мер принуждения</w:t>
      </w:r>
      <w:r w:rsidR="005E5324">
        <w:t>;</w:t>
      </w:r>
    </w:p>
    <w:p w:rsidR="00D25F98" w:rsidRDefault="00D25F98" w:rsidP="00D25F98">
      <w:pPr>
        <w:autoSpaceDE w:val="0"/>
        <w:autoSpaceDN w:val="0"/>
        <w:adjustRightInd w:val="0"/>
        <w:ind w:firstLine="709"/>
        <w:jc w:val="both"/>
      </w:pPr>
      <w:r w:rsidRPr="00D25F98">
        <w:t>- несоблюдение</w:t>
      </w:r>
      <w:r w:rsidR="009F2165">
        <w:t xml:space="preserve"> </w:t>
      </w:r>
      <w:proofErr w:type="spellStart"/>
      <w:r w:rsidR="009F2165">
        <w:t>Облфином</w:t>
      </w:r>
      <w:proofErr w:type="spellEnd"/>
      <w:r w:rsidRPr="00D25F98">
        <w:t xml:space="preserve">  </w:t>
      </w:r>
      <w:r w:rsidR="00052FCF" w:rsidRPr="00D25F98">
        <w:t xml:space="preserve">правил предоставления </w:t>
      </w:r>
      <w:r>
        <w:t xml:space="preserve">в 2016 году </w:t>
      </w:r>
      <w:r w:rsidR="00052FCF" w:rsidRPr="00D25F98">
        <w:t>субвенций</w:t>
      </w:r>
      <w:r w:rsidRPr="00D25F98">
        <w:t xml:space="preserve"> в </w:t>
      </w:r>
      <w:r w:rsidR="009F2165">
        <w:t xml:space="preserve">отношении </w:t>
      </w:r>
      <w:proofErr w:type="spellStart"/>
      <w:r w:rsidRPr="00EC73B7">
        <w:t>Светлоярско</w:t>
      </w:r>
      <w:r>
        <w:t>го</w:t>
      </w:r>
      <w:proofErr w:type="spellEnd"/>
      <w:r>
        <w:t xml:space="preserve"> </w:t>
      </w:r>
      <w:r w:rsidRPr="00EC73B7">
        <w:t>г/</w:t>
      </w:r>
      <w:proofErr w:type="spellStart"/>
      <w:proofErr w:type="gramStart"/>
      <w:r w:rsidRPr="00EC73B7">
        <w:t>п</w:t>
      </w:r>
      <w:proofErr w:type="spellEnd"/>
      <w:proofErr w:type="gramEnd"/>
      <w:r>
        <w:t xml:space="preserve"> </w:t>
      </w:r>
      <w:proofErr w:type="spellStart"/>
      <w:r w:rsidRPr="00EC73B7">
        <w:t>Светлоярского</w:t>
      </w:r>
      <w:proofErr w:type="spellEnd"/>
      <w:r w:rsidRPr="00EC73B7">
        <w:t xml:space="preserve"> МР</w:t>
      </w:r>
      <w:r>
        <w:t xml:space="preserve"> (с</w:t>
      </w:r>
      <w:r w:rsidR="00052FCF" w:rsidRPr="00EC73B7">
        <w:t>убвенция рассчитана на 3 освобожденных работника вместо 2-х</w:t>
      </w:r>
      <w:r>
        <w:t>,</w:t>
      </w:r>
      <w:r w:rsidRPr="00D25F98">
        <w:t xml:space="preserve"> </w:t>
      </w:r>
      <w:r w:rsidRPr="00EC73B7">
        <w:t xml:space="preserve">превышение </w:t>
      </w:r>
      <w:r w:rsidR="009F2165">
        <w:t xml:space="preserve">объема субвенции </w:t>
      </w:r>
      <w:r w:rsidRPr="00EC73B7">
        <w:t>составило 197,6 т</w:t>
      </w:r>
      <w:r>
        <w:t>ыс. руб.);</w:t>
      </w:r>
    </w:p>
    <w:p w:rsidR="00A26599" w:rsidRDefault="007328C5" w:rsidP="00A26599">
      <w:pPr>
        <w:autoSpaceDE w:val="0"/>
        <w:autoSpaceDN w:val="0"/>
        <w:adjustRightInd w:val="0"/>
        <w:ind w:firstLine="680"/>
        <w:jc w:val="both"/>
        <w:rPr>
          <w:rFonts w:eastAsiaTheme="minorHAnsi"/>
          <w:lang w:eastAsia="en-US"/>
        </w:rPr>
      </w:pPr>
      <w:r w:rsidRPr="007328C5">
        <w:rPr>
          <w:rFonts w:eastAsiaTheme="minorHAnsi"/>
          <w:lang w:eastAsia="en-US"/>
        </w:rPr>
        <w:t xml:space="preserve">- неправильное </w:t>
      </w:r>
      <w:r w:rsidR="00052FCF" w:rsidRPr="007328C5">
        <w:rPr>
          <w:rFonts w:eastAsiaTheme="minorHAnsi"/>
          <w:lang w:eastAsia="en-US"/>
        </w:rPr>
        <w:t>ведение бюджетного учета</w:t>
      </w:r>
      <w:r w:rsidRPr="007328C5">
        <w:rPr>
          <w:rFonts w:eastAsiaTheme="minorHAnsi"/>
          <w:lang w:eastAsia="en-US"/>
        </w:rPr>
        <w:t xml:space="preserve"> в 2-х поселениях в части своевременности отражения операции по поступлению средств субвенции и отражения в балансе </w:t>
      </w:r>
      <w:r w:rsidRPr="007328C5">
        <w:t>приобретенного имущества на сумму 1,9 тыс. руб.;</w:t>
      </w:r>
      <w:r w:rsidRPr="007328C5">
        <w:rPr>
          <w:rFonts w:eastAsiaTheme="minorHAnsi"/>
          <w:lang w:eastAsia="en-US"/>
        </w:rPr>
        <w:t xml:space="preserve"> </w:t>
      </w:r>
    </w:p>
    <w:p w:rsidR="00A26599" w:rsidRPr="00C14EE6" w:rsidRDefault="00A26599" w:rsidP="00A26599">
      <w:pPr>
        <w:autoSpaceDE w:val="0"/>
        <w:autoSpaceDN w:val="0"/>
        <w:adjustRightInd w:val="0"/>
        <w:ind w:firstLine="680"/>
        <w:jc w:val="both"/>
      </w:pPr>
      <w:r>
        <w:rPr>
          <w:rFonts w:eastAsiaTheme="minorHAnsi"/>
          <w:lang w:eastAsia="en-US"/>
        </w:rPr>
        <w:t xml:space="preserve">- </w:t>
      </w:r>
      <w:r w:rsidR="00B32A2F" w:rsidRPr="00C14EE6">
        <w:rPr>
          <w:rFonts w:eastAsiaTheme="minorHAnsi"/>
          <w:lang w:eastAsia="en-US"/>
        </w:rPr>
        <w:t xml:space="preserve">неправильное </w:t>
      </w:r>
      <w:r w:rsidR="00052FCF" w:rsidRPr="00C14EE6">
        <w:rPr>
          <w:rFonts w:eastAsiaTheme="minorHAnsi"/>
          <w:lang w:eastAsia="en-US"/>
        </w:rPr>
        <w:t xml:space="preserve"> заполнени</w:t>
      </w:r>
      <w:r w:rsidRPr="00C14EE6">
        <w:t>е Сведений</w:t>
      </w:r>
      <w:r w:rsidR="00B32A2F" w:rsidRPr="00C14EE6">
        <w:t xml:space="preserve"> по дебиторской и кредиторской задолженности (ф. 0503169)  за 2017 год </w:t>
      </w:r>
      <w:r w:rsidRPr="00C14EE6">
        <w:t xml:space="preserve">одним поселением, что привело к искажению строки бюджетной отчетности более чем на 10% и соответственно административному правонарушению по ст. 15.11 </w:t>
      </w:r>
      <w:proofErr w:type="spellStart"/>
      <w:r w:rsidRPr="00C14EE6">
        <w:t>КоАП</w:t>
      </w:r>
      <w:proofErr w:type="spellEnd"/>
      <w:r w:rsidRPr="00C14EE6">
        <w:t xml:space="preserve"> РФ</w:t>
      </w:r>
      <w:r w:rsidR="00C47016">
        <w:t xml:space="preserve"> (наложен штраф в размере 5 тыс. руб.)</w:t>
      </w:r>
      <w:r w:rsidRPr="00C14EE6">
        <w:t>;</w:t>
      </w:r>
    </w:p>
    <w:p w:rsidR="00A26599" w:rsidRPr="00C14EE6" w:rsidRDefault="00A26599" w:rsidP="00A26599">
      <w:pPr>
        <w:autoSpaceDE w:val="0"/>
        <w:autoSpaceDN w:val="0"/>
        <w:adjustRightInd w:val="0"/>
        <w:ind w:firstLine="680"/>
        <w:jc w:val="both"/>
      </w:pPr>
      <w:r w:rsidRPr="00C14EE6">
        <w:lastRenderedPageBreak/>
        <w:t xml:space="preserve">- неправильное составление </w:t>
      </w:r>
      <w:r w:rsidR="004129DD">
        <w:t xml:space="preserve">в 2016-2017 годах </w:t>
      </w:r>
      <w:r w:rsidRPr="00C14EE6">
        <w:t xml:space="preserve">одним поселением отчета о расходовании субвенции (приказ </w:t>
      </w:r>
      <w:r w:rsidR="00052FCF" w:rsidRPr="00C14EE6">
        <w:t>Минфина России № 90н</w:t>
      </w:r>
      <w:r w:rsidRPr="00C14EE6">
        <w:t>), а также нарушение сроков представления указанного отчета другим поселением;</w:t>
      </w:r>
    </w:p>
    <w:p w:rsidR="00C14EE6" w:rsidRDefault="00A26599" w:rsidP="00C14EE6">
      <w:pPr>
        <w:autoSpaceDE w:val="0"/>
        <w:autoSpaceDN w:val="0"/>
        <w:adjustRightInd w:val="0"/>
        <w:ind w:firstLine="680"/>
        <w:jc w:val="both"/>
      </w:pPr>
      <w:r w:rsidRPr="00C14EE6">
        <w:t xml:space="preserve">- несоблюдение требований </w:t>
      </w:r>
      <w:r w:rsidR="00052FCF" w:rsidRPr="00C14EE6">
        <w:rPr>
          <w:rFonts w:eastAsiaTheme="minorHAnsi"/>
        </w:rPr>
        <w:t xml:space="preserve">законодательства о контрактной системе при осуществлении закупок товаров, работ и услуг для нужд </w:t>
      </w:r>
      <w:r w:rsidRPr="00C14EE6">
        <w:rPr>
          <w:rFonts w:eastAsiaTheme="minorHAnsi"/>
        </w:rPr>
        <w:t xml:space="preserve">ВУР в части не отражения </w:t>
      </w:r>
      <w:r w:rsidR="00C14EE6" w:rsidRPr="00C14EE6">
        <w:t xml:space="preserve">администрациями двух поселений </w:t>
      </w:r>
      <w:r w:rsidRPr="00C14EE6">
        <w:rPr>
          <w:rFonts w:eastAsiaTheme="minorHAnsi"/>
        </w:rPr>
        <w:t>закупок</w:t>
      </w:r>
      <w:r w:rsidR="00C47016">
        <w:rPr>
          <w:rFonts w:eastAsiaTheme="minorHAnsi"/>
        </w:rPr>
        <w:t xml:space="preserve"> на 24,6 тыс. руб. </w:t>
      </w:r>
      <w:r w:rsidR="00C14EE6" w:rsidRPr="00C14EE6">
        <w:t>в планах-графиках закупок</w:t>
      </w:r>
      <w:r w:rsidR="004129DD">
        <w:t xml:space="preserve"> 2016-2017 годов</w:t>
      </w:r>
      <w:r w:rsidR="00C14EE6" w:rsidRPr="00C14EE6">
        <w:t>;</w:t>
      </w:r>
    </w:p>
    <w:p w:rsidR="004129DD" w:rsidRDefault="004129DD" w:rsidP="00C14EE6">
      <w:pPr>
        <w:autoSpaceDE w:val="0"/>
        <w:autoSpaceDN w:val="0"/>
        <w:adjustRightInd w:val="0"/>
        <w:ind w:firstLine="680"/>
        <w:jc w:val="both"/>
      </w:pPr>
      <w:r>
        <w:t>- неправильное ведение бюджетной росписи по кодам видам расходов одним поселением</w:t>
      </w:r>
      <w:r w:rsidR="00C47016">
        <w:t>, в результате данные бюджетной росписи не соответствовали бюджетным назначениям Отчета об исполнении бюджета за 2017 год</w:t>
      </w:r>
      <w:r>
        <w:t>;</w:t>
      </w:r>
    </w:p>
    <w:p w:rsidR="004129DD" w:rsidRDefault="004129DD" w:rsidP="00C14EE6">
      <w:pPr>
        <w:autoSpaceDE w:val="0"/>
        <w:autoSpaceDN w:val="0"/>
        <w:adjustRightInd w:val="0"/>
        <w:ind w:firstLine="680"/>
        <w:jc w:val="both"/>
      </w:pPr>
      <w:r>
        <w:t xml:space="preserve">- неверное указание </w:t>
      </w:r>
      <w:r w:rsidR="00C47016">
        <w:t xml:space="preserve">в 2017 году </w:t>
      </w:r>
      <w:proofErr w:type="spellStart"/>
      <w:r>
        <w:t>Облфином</w:t>
      </w:r>
      <w:proofErr w:type="spellEnd"/>
      <w:r>
        <w:t xml:space="preserve"> КБК в платежном поручении на перечисление субвенции </w:t>
      </w:r>
      <w:r w:rsidR="00C47016">
        <w:t xml:space="preserve">в размере 50,6 тыс. руб. </w:t>
      </w:r>
      <w:r>
        <w:t>одному поселению</w:t>
      </w:r>
      <w:r w:rsidR="00DC218F">
        <w:t>,</w:t>
      </w:r>
      <w:r w:rsidR="00DC218F" w:rsidRPr="00DC218F">
        <w:t xml:space="preserve"> </w:t>
      </w:r>
      <w:r w:rsidR="00DC218F">
        <w:t>что повлияло на своевременность ее расходования по назначению</w:t>
      </w:r>
      <w:r>
        <w:t>;</w:t>
      </w:r>
    </w:p>
    <w:p w:rsidR="0072354D" w:rsidRDefault="0072354D" w:rsidP="0072354D">
      <w:pPr>
        <w:autoSpaceDE w:val="0"/>
        <w:autoSpaceDN w:val="0"/>
        <w:adjustRightInd w:val="0"/>
        <w:ind w:firstLine="680"/>
        <w:jc w:val="both"/>
      </w:pPr>
      <w:proofErr w:type="gramStart"/>
      <w:r>
        <w:t xml:space="preserve">- задержка выплаты заработной платы </w:t>
      </w:r>
      <w:r w:rsidR="00052FCF" w:rsidRPr="00EF29E3">
        <w:t>в 69 поселениях Волгоградской области (из 102 проверенных)</w:t>
      </w:r>
      <w:r>
        <w:t xml:space="preserve">: </w:t>
      </w:r>
      <w:r w:rsidR="00052FCF" w:rsidRPr="00EF29E3">
        <w:t xml:space="preserve">в 2016 году </w:t>
      </w:r>
      <w:r w:rsidR="00FE6340">
        <w:t xml:space="preserve">задержка составила </w:t>
      </w:r>
      <w:r w:rsidR="00052FCF" w:rsidRPr="00EF29E3">
        <w:t xml:space="preserve">от 1 до 75 дней, сумма задержанной заработной платы </w:t>
      </w:r>
      <w:r w:rsidR="00FE6340">
        <w:t>-</w:t>
      </w:r>
      <w:r w:rsidR="00052FCF" w:rsidRPr="00A154F7">
        <w:t xml:space="preserve"> 701,7 тыс</w:t>
      </w:r>
      <w:r w:rsidR="00052FCF" w:rsidRPr="00EF29E3">
        <w:t>. руб., в 2017 году - от 1 до 94 дней, сумма задержанной заработной платы - 725,3 тыс. руб</w:t>
      </w:r>
      <w:r w:rsidR="00052FCF">
        <w:t>.</w:t>
      </w:r>
      <w:r>
        <w:t>;</w:t>
      </w:r>
      <w:proofErr w:type="gramEnd"/>
    </w:p>
    <w:p w:rsidR="0072354D" w:rsidRDefault="0072354D" w:rsidP="0072354D">
      <w:pPr>
        <w:autoSpaceDE w:val="0"/>
        <w:autoSpaceDN w:val="0"/>
        <w:adjustRightInd w:val="0"/>
        <w:ind w:firstLine="680"/>
        <w:jc w:val="both"/>
      </w:pPr>
      <w:r>
        <w:t>- выплата в 2016 году заработной платы ВУР в двух поселениях ниже МРОТ;</w:t>
      </w:r>
    </w:p>
    <w:p w:rsidR="00C4766B" w:rsidRDefault="00C4766B" w:rsidP="00C4766B">
      <w:pPr>
        <w:autoSpaceDE w:val="0"/>
        <w:autoSpaceDN w:val="0"/>
        <w:adjustRightInd w:val="0"/>
        <w:ind w:firstLine="680"/>
        <w:jc w:val="both"/>
      </w:pPr>
      <w:r>
        <w:t xml:space="preserve">- осуществление выплат, непредусмотренных </w:t>
      </w:r>
      <w:r w:rsidR="00052FCF" w:rsidRPr="0095230C">
        <w:t>локальны</w:t>
      </w:r>
      <w:r>
        <w:t>ми</w:t>
      </w:r>
      <w:r w:rsidR="00052FCF" w:rsidRPr="0095230C">
        <w:t xml:space="preserve"> нормативны</w:t>
      </w:r>
      <w:r>
        <w:t>ми</w:t>
      </w:r>
      <w:r w:rsidR="00052FCF" w:rsidRPr="0095230C">
        <w:t xml:space="preserve"> акт</w:t>
      </w:r>
      <w:r>
        <w:t>ами</w:t>
      </w:r>
      <w:r w:rsidR="00052FCF" w:rsidRPr="0095230C">
        <w:t xml:space="preserve">, </w:t>
      </w:r>
      <w:r w:rsidR="00DC218F">
        <w:t xml:space="preserve">определяющими </w:t>
      </w:r>
      <w:r w:rsidR="00052FCF" w:rsidRPr="0095230C">
        <w:t>оплату труда ВУР</w:t>
      </w:r>
      <w:r>
        <w:t>, или в больших размерах, чем предусмотрено локальными нормативными актами:</w:t>
      </w:r>
      <w:r w:rsidR="00052FCF" w:rsidRPr="0095230C">
        <w:t xml:space="preserve"> в 10 поселениях  в 2016 и 2017</w:t>
      </w:r>
      <w:r w:rsidR="0058650E">
        <w:t xml:space="preserve"> годах</w:t>
      </w:r>
      <w:r w:rsidR="00052FCF" w:rsidRPr="0095230C">
        <w:t xml:space="preserve"> на общую сумму </w:t>
      </w:r>
      <w:r w:rsidR="0058650E">
        <w:t>217,7 тыс. руб.</w:t>
      </w:r>
      <w:r>
        <w:t>;</w:t>
      </w:r>
    </w:p>
    <w:p w:rsidR="0058650E" w:rsidRPr="00DC218F" w:rsidRDefault="00C4766B" w:rsidP="00B644DD">
      <w:pPr>
        <w:pStyle w:val="a3"/>
        <w:autoSpaceDE w:val="0"/>
        <w:autoSpaceDN w:val="0"/>
        <w:adjustRightInd w:val="0"/>
        <w:spacing w:after="0" w:line="240" w:lineRule="auto"/>
        <w:ind w:left="0" w:firstLine="680"/>
        <w:jc w:val="both"/>
        <w:rPr>
          <w:rFonts w:ascii="Times New Roman" w:hAnsi="Times New Roman" w:cs="Times New Roman"/>
          <w:sz w:val="24"/>
          <w:szCs w:val="24"/>
        </w:rPr>
      </w:pPr>
      <w:r w:rsidRPr="00FE6340">
        <w:rPr>
          <w:rFonts w:ascii="Times New Roman" w:hAnsi="Times New Roman" w:cs="Times New Roman"/>
          <w:sz w:val="24"/>
          <w:szCs w:val="24"/>
        </w:rPr>
        <w:t xml:space="preserve">- </w:t>
      </w:r>
      <w:r w:rsidR="0058650E" w:rsidRPr="00FE6340">
        <w:rPr>
          <w:rFonts w:ascii="Times New Roman" w:hAnsi="Times New Roman" w:cs="Times New Roman"/>
          <w:sz w:val="24"/>
          <w:szCs w:val="24"/>
        </w:rPr>
        <w:t>неосуществление выплаты</w:t>
      </w:r>
      <w:r w:rsidRPr="00FE6340">
        <w:rPr>
          <w:rFonts w:ascii="Times New Roman" w:hAnsi="Times New Roman" w:cs="Times New Roman"/>
          <w:sz w:val="24"/>
          <w:szCs w:val="24"/>
        </w:rPr>
        <w:t xml:space="preserve"> или выплата не в полном объеме надбавки за выслугу лет</w:t>
      </w:r>
      <w:r w:rsidR="00B644DD">
        <w:rPr>
          <w:rFonts w:ascii="Times New Roman" w:hAnsi="Times New Roman" w:cs="Times New Roman"/>
          <w:sz w:val="24"/>
          <w:szCs w:val="24"/>
        </w:rPr>
        <w:t xml:space="preserve"> </w:t>
      </w:r>
      <w:r w:rsidR="0058650E" w:rsidRPr="00FE6340">
        <w:rPr>
          <w:rFonts w:ascii="Times New Roman" w:hAnsi="Times New Roman" w:cs="Times New Roman"/>
          <w:sz w:val="24"/>
          <w:szCs w:val="24"/>
        </w:rPr>
        <w:t>в трех поселениях: недоплата за 2016 и 2017 годы составила 14,4 тыс. руб.</w:t>
      </w:r>
      <w:r w:rsidR="00143056">
        <w:rPr>
          <w:rFonts w:ascii="Times New Roman" w:hAnsi="Times New Roman" w:cs="Times New Roman"/>
          <w:sz w:val="24"/>
          <w:szCs w:val="24"/>
        </w:rPr>
        <w:t xml:space="preserve">, а также недоплата </w:t>
      </w:r>
      <w:r w:rsidR="00143056" w:rsidRPr="00DC218F">
        <w:rPr>
          <w:rFonts w:ascii="Times New Roman" w:hAnsi="Times New Roman" w:cs="Times New Roman"/>
          <w:sz w:val="24"/>
          <w:szCs w:val="24"/>
        </w:rPr>
        <w:t xml:space="preserve">ежемесячной надбавки за особые условия муниципальной службы </w:t>
      </w:r>
      <w:r w:rsidR="00DC218F" w:rsidRPr="00DC218F">
        <w:rPr>
          <w:rFonts w:ascii="Times New Roman" w:hAnsi="Times New Roman" w:cs="Times New Roman"/>
          <w:sz w:val="24"/>
          <w:szCs w:val="24"/>
        </w:rPr>
        <w:t>в размере 3,5 тыс. руб. в одном поселении</w:t>
      </w:r>
      <w:r w:rsidR="0058650E" w:rsidRPr="00DC218F">
        <w:rPr>
          <w:rFonts w:ascii="Times New Roman" w:hAnsi="Times New Roman" w:cs="Times New Roman"/>
          <w:sz w:val="24"/>
          <w:szCs w:val="24"/>
        </w:rPr>
        <w:t>;</w:t>
      </w:r>
    </w:p>
    <w:p w:rsidR="00B222E0" w:rsidRDefault="00B222E0" w:rsidP="00B222E0">
      <w:pPr>
        <w:autoSpaceDE w:val="0"/>
        <w:autoSpaceDN w:val="0"/>
        <w:adjustRightInd w:val="0"/>
        <w:ind w:firstLine="680"/>
        <w:jc w:val="both"/>
      </w:pPr>
      <w:r w:rsidRPr="00DC218F">
        <w:t xml:space="preserve">- </w:t>
      </w:r>
      <w:proofErr w:type="spellStart"/>
      <w:r w:rsidR="0058650E" w:rsidRPr="00DC218F">
        <w:t>невключен</w:t>
      </w:r>
      <w:r w:rsidRPr="00DC218F">
        <w:t>ие</w:t>
      </w:r>
      <w:proofErr w:type="spellEnd"/>
      <w:r w:rsidRPr="00DC218F">
        <w:t xml:space="preserve"> в четырех</w:t>
      </w:r>
      <w:r w:rsidRPr="00FE6340">
        <w:t xml:space="preserve"> поселениях </w:t>
      </w:r>
      <w:r w:rsidR="0058650E" w:rsidRPr="00FE6340">
        <w:t>размер</w:t>
      </w:r>
      <w:r w:rsidRPr="00FE6340">
        <w:t>ов</w:t>
      </w:r>
      <w:r w:rsidR="0058650E" w:rsidRPr="00FE6340">
        <w:t xml:space="preserve"> должностного оклада</w:t>
      </w:r>
      <w:r w:rsidR="0058650E" w:rsidRPr="00B222E0">
        <w:t>, доплат и надбавок стимулирующего характера</w:t>
      </w:r>
      <w:r>
        <w:t xml:space="preserve"> </w:t>
      </w:r>
      <w:r w:rsidR="00052FCF" w:rsidRPr="0058650E">
        <w:t>в систему оплаты труда ВУР, установленную положениями об оплате труда</w:t>
      </w:r>
      <w:r>
        <w:t>;</w:t>
      </w:r>
    </w:p>
    <w:p w:rsidR="00B222E0" w:rsidRDefault="00B222E0" w:rsidP="00B222E0">
      <w:pPr>
        <w:autoSpaceDE w:val="0"/>
        <w:autoSpaceDN w:val="0"/>
        <w:adjustRightInd w:val="0"/>
        <w:ind w:firstLine="680"/>
        <w:jc w:val="both"/>
      </w:pPr>
      <w:r>
        <w:t xml:space="preserve">- отсутствие в одном поселении локального нормативного акта, предусматривающего оплату труда ВУР; </w:t>
      </w:r>
    </w:p>
    <w:p w:rsidR="004129DD" w:rsidRDefault="004129DD" w:rsidP="002609B1">
      <w:pPr>
        <w:autoSpaceDE w:val="0"/>
        <w:autoSpaceDN w:val="0"/>
        <w:adjustRightInd w:val="0"/>
        <w:ind w:firstLine="680"/>
        <w:jc w:val="both"/>
      </w:pPr>
      <w:r>
        <w:t xml:space="preserve">- несвоевременное </w:t>
      </w:r>
      <w:r w:rsidRPr="0080435A">
        <w:t>перечисл</w:t>
      </w:r>
      <w:r>
        <w:t xml:space="preserve">ение </w:t>
      </w:r>
      <w:r w:rsidRPr="0080435A">
        <w:t xml:space="preserve">в бюджет </w:t>
      </w:r>
      <w:r>
        <w:t xml:space="preserve">НДФЛ </w:t>
      </w:r>
      <w:r w:rsidRPr="0080435A">
        <w:t>и  страховы</w:t>
      </w:r>
      <w:r>
        <w:t>х</w:t>
      </w:r>
      <w:r w:rsidRPr="0080435A">
        <w:t xml:space="preserve"> взнос</w:t>
      </w:r>
      <w:r>
        <w:t>ов одним поселением (о</w:t>
      </w:r>
      <w:r w:rsidRPr="0080435A">
        <w:t xml:space="preserve">бщая сумма задолженности составила </w:t>
      </w:r>
      <w:r>
        <w:t xml:space="preserve">36,6 тыс. руб. </w:t>
      </w:r>
      <w:r w:rsidRPr="0080435A">
        <w:t xml:space="preserve">с задержкой уплаты </w:t>
      </w:r>
      <w:r>
        <w:t xml:space="preserve">в 2017 году </w:t>
      </w:r>
      <w:r w:rsidRPr="0080435A">
        <w:t>от 24 до 90 дней</w:t>
      </w:r>
      <w:r>
        <w:t>)</w:t>
      </w:r>
      <w:r w:rsidR="00DC218F">
        <w:t>;</w:t>
      </w:r>
    </w:p>
    <w:p w:rsidR="004129DD" w:rsidRDefault="004129DD" w:rsidP="002609B1">
      <w:pPr>
        <w:autoSpaceDE w:val="0"/>
        <w:autoSpaceDN w:val="0"/>
        <w:adjustRightInd w:val="0"/>
        <w:ind w:firstLine="708"/>
        <w:jc w:val="both"/>
      </w:pPr>
      <w:r>
        <w:t xml:space="preserve">- неэффективные расходы </w:t>
      </w:r>
      <w:r w:rsidR="00DC218F">
        <w:t>в 2016 -2017 годах</w:t>
      </w:r>
      <w:r w:rsidR="00DC218F" w:rsidRPr="004129DD">
        <w:t xml:space="preserve"> </w:t>
      </w:r>
      <w:r w:rsidRPr="004129DD">
        <w:t xml:space="preserve">на общую сумму </w:t>
      </w:r>
      <w:r>
        <w:t>17,75</w:t>
      </w:r>
      <w:r w:rsidR="00DC218F">
        <w:t xml:space="preserve"> тыс. рублей</w:t>
      </w:r>
      <w:r>
        <w:t>.</w:t>
      </w:r>
    </w:p>
    <w:p w:rsidR="00191099" w:rsidRDefault="00A52B1D" w:rsidP="00A50B74">
      <w:pPr>
        <w:autoSpaceDE w:val="0"/>
        <w:autoSpaceDN w:val="0"/>
        <w:adjustRightInd w:val="0"/>
        <w:ind w:firstLine="680"/>
        <w:jc w:val="both"/>
      </w:pPr>
      <w:r>
        <w:rPr>
          <w:rFonts w:eastAsiaTheme="minorHAnsi"/>
          <w:lang w:eastAsia="en-US"/>
        </w:rPr>
        <w:t xml:space="preserve">9. </w:t>
      </w:r>
      <w:r w:rsidR="00102596">
        <w:t>В связи с незначительным объемами субвенции п</w:t>
      </w:r>
      <w:r w:rsidR="00191099">
        <w:t xml:space="preserve">роведение </w:t>
      </w:r>
      <w:r w:rsidR="00102596">
        <w:t xml:space="preserve">проверок </w:t>
      </w:r>
      <w:r w:rsidR="00191099" w:rsidRPr="006E64E3">
        <w:t>расходования</w:t>
      </w:r>
      <w:r w:rsidR="00191099">
        <w:t xml:space="preserve"> средств </w:t>
      </w:r>
      <w:r w:rsidR="00191099" w:rsidRPr="006E64E3">
        <w:t>субвенций на осуществление воинского учета в анализируемом периоде</w:t>
      </w:r>
      <w:r w:rsidR="00191099" w:rsidRPr="00191099">
        <w:rPr>
          <w:rFonts w:eastAsiaTheme="minorHAnsi"/>
          <w:lang w:eastAsia="en-US"/>
        </w:rPr>
        <w:t xml:space="preserve"> </w:t>
      </w:r>
      <w:r w:rsidR="00191099" w:rsidRPr="00E51146">
        <w:rPr>
          <w:rFonts w:eastAsiaTheme="minorHAnsi"/>
          <w:lang w:eastAsia="en-US"/>
        </w:rPr>
        <w:t>Управлением Федерального казначейства по Волгоградской области</w:t>
      </w:r>
      <w:r w:rsidR="00191099">
        <w:rPr>
          <w:rFonts w:eastAsiaTheme="minorHAnsi"/>
          <w:lang w:eastAsia="en-US"/>
        </w:rPr>
        <w:t xml:space="preserve"> и </w:t>
      </w:r>
      <w:proofErr w:type="spellStart"/>
      <w:r w:rsidR="00191099">
        <w:rPr>
          <w:rFonts w:eastAsiaTheme="minorHAnsi"/>
          <w:lang w:eastAsia="en-US"/>
        </w:rPr>
        <w:t>Облфином</w:t>
      </w:r>
      <w:proofErr w:type="spellEnd"/>
      <w:r w:rsidR="00191099" w:rsidRPr="006E64E3">
        <w:t xml:space="preserve"> не </w:t>
      </w:r>
      <w:r w:rsidR="00191099">
        <w:t xml:space="preserve">планировалось и не осуществлялось (за исключением проведенной </w:t>
      </w:r>
      <w:proofErr w:type="spellStart"/>
      <w:r w:rsidR="00191099" w:rsidRPr="006E64E3">
        <w:rPr>
          <w:rFonts w:eastAsiaTheme="minorHAnsi"/>
          <w:lang w:eastAsia="en-US"/>
        </w:rPr>
        <w:t>Облфином</w:t>
      </w:r>
      <w:proofErr w:type="spellEnd"/>
      <w:r w:rsidR="00191099" w:rsidRPr="006E64E3">
        <w:t xml:space="preserve"> </w:t>
      </w:r>
      <w:r w:rsidR="00191099">
        <w:t>в 2016 году одной</w:t>
      </w:r>
      <w:r w:rsidR="00191099" w:rsidRPr="006E64E3">
        <w:t xml:space="preserve"> внепланов</w:t>
      </w:r>
      <w:r w:rsidR="00191099">
        <w:t>ой</w:t>
      </w:r>
      <w:r w:rsidR="00191099" w:rsidRPr="006E64E3">
        <w:t xml:space="preserve"> проверк</w:t>
      </w:r>
      <w:r w:rsidR="00191099">
        <w:t>и</w:t>
      </w:r>
      <w:r w:rsidR="00191099" w:rsidRPr="006E64E3">
        <w:t xml:space="preserve"> </w:t>
      </w:r>
      <w:proofErr w:type="spellStart"/>
      <w:r w:rsidR="00191099" w:rsidRPr="006E64E3">
        <w:t>Ерзовского</w:t>
      </w:r>
      <w:proofErr w:type="spellEnd"/>
      <w:r w:rsidR="00191099" w:rsidRPr="006E64E3">
        <w:t xml:space="preserve"> </w:t>
      </w:r>
      <w:r w:rsidR="00191099">
        <w:t>г/</w:t>
      </w:r>
      <w:proofErr w:type="spellStart"/>
      <w:proofErr w:type="gramStart"/>
      <w:r w:rsidR="00191099">
        <w:t>п</w:t>
      </w:r>
      <w:proofErr w:type="spellEnd"/>
      <w:proofErr w:type="gramEnd"/>
      <w:r w:rsidR="00191099" w:rsidRPr="006E64E3">
        <w:t xml:space="preserve"> </w:t>
      </w:r>
      <w:proofErr w:type="spellStart"/>
      <w:r w:rsidR="00191099" w:rsidRPr="006E64E3">
        <w:t>Городищенского</w:t>
      </w:r>
      <w:proofErr w:type="spellEnd"/>
      <w:r w:rsidR="00191099" w:rsidRPr="006E64E3">
        <w:t xml:space="preserve"> </w:t>
      </w:r>
      <w:r w:rsidR="00191099">
        <w:t xml:space="preserve">МР по обращению </w:t>
      </w:r>
      <w:proofErr w:type="spellStart"/>
      <w:r w:rsidR="00191099">
        <w:t>Облвоенкомата</w:t>
      </w:r>
      <w:proofErr w:type="spellEnd"/>
      <w:r w:rsidR="00191099">
        <w:t>).</w:t>
      </w:r>
    </w:p>
    <w:p w:rsidR="00191099" w:rsidRDefault="00A50B74" w:rsidP="00102596">
      <w:pPr>
        <w:ind w:firstLine="680"/>
        <w:jc w:val="both"/>
      </w:pPr>
      <w:proofErr w:type="spellStart"/>
      <w:r>
        <w:t>Облвоенкоматом</w:t>
      </w:r>
      <w:proofErr w:type="spellEnd"/>
      <w:r w:rsidRPr="0094666D">
        <w:t xml:space="preserve"> </w:t>
      </w:r>
      <w:r>
        <w:t xml:space="preserve">проверки </w:t>
      </w:r>
      <w:r w:rsidRPr="0094666D">
        <w:t>провод</w:t>
      </w:r>
      <w:r>
        <w:t xml:space="preserve">ились, но фактов </w:t>
      </w:r>
      <w:r w:rsidRPr="00DF2DA5">
        <w:t xml:space="preserve">нецелевого использования бюджетных средств и нарушений условий предоставления (расходования) субвенций не </w:t>
      </w:r>
      <w:r>
        <w:t xml:space="preserve">было </w:t>
      </w:r>
      <w:r w:rsidRPr="00DF2DA5">
        <w:t>установлено</w:t>
      </w:r>
      <w:r>
        <w:t>.</w:t>
      </w:r>
    </w:p>
    <w:p w:rsidR="00A50B74" w:rsidRDefault="00A50B74" w:rsidP="00102596">
      <w:pPr>
        <w:ind w:firstLine="680"/>
        <w:jc w:val="both"/>
      </w:pPr>
    </w:p>
    <w:p w:rsidR="00327C12" w:rsidRDefault="000230E8" w:rsidP="000230E8">
      <w:pPr>
        <w:ind w:firstLine="680"/>
        <w:jc w:val="center"/>
        <w:rPr>
          <w:b/>
        </w:rPr>
      </w:pPr>
      <w:r>
        <w:rPr>
          <w:b/>
        </w:rPr>
        <w:t>ПРЕДЛОЖЕНИЯ</w:t>
      </w:r>
    </w:p>
    <w:p w:rsidR="00733FCF" w:rsidRPr="00557366" w:rsidRDefault="00557366" w:rsidP="00557366">
      <w:pPr>
        <w:ind w:firstLine="680"/>
        <w:jc w:val="both"/>
        <w:rPr>
          <w:b/>
        </w:rPr>
      </w:pPr>
      <w:r w:rsidRPr="00557366">
        <w:t xml:space="preserve">1. </w:t>
      </w:r>
      <w:r w:rsidRPr="00557366">
        <w:rPr>
          <w:i/>
        </w:rPr>
        <w:t xml:space="preserve">Счетной палате </w:t>
      </w:r>
      <w:r>
        <w:rPr>
          <w:i/>
        </w:rPr>
        <w:t xml:space="preserve">Российской Федерации </w:t>
      </w:r>
      <w:r w:rsidR="00083C3C" w:rsidRPr="00A12B9F">
        <w:t>в части совершенствования нормативно</w:t>
      </w:r>
      <w:r w:rsidR="00013390">
        <w:t xml:space="preserve">-правового </w:t>
      </w:r>
      <w:r w:rsidR="00083C3C" w:rsidRPr="00A12B9F">
        <w:t>регулирования порядка распределения и использования субвенций на осуществление полномочий по первичному воинскому учету на территориях, где отсутствуют военные комиссариаты</w:t>
      </w:r>
      <w:r w:rsidR="00083C3C">
        <w:t xml:space="preserve"> </w:t>
      </w:r>
      <w:r w:rsidR="00607F4B">
        <w:t>на федеральном уровне</w:t>
      </w:r>
      <w:r w:rsidR="00602036" w:rsidRPr="00083C3C">
        <w:t>:</w:t>
      </w:r>
      <w:r w:rsidR="00733FCF" w:rsidRPr="00327C12">
        <w:t xml:space="preserve"> </w:t>
      </w:r>
    </w:p>
    <w:p w:rsidR="00083C3C" w:rsidRDefault="00AB01B2" w:rsidP="00083C3C">
      <w:pPr>
        <w:pStyle w:val="a3"/>
        <w:numPr>
          <w:ilvl w:val="1"/>
          <w:numId w:val="13"/>
        </w:numPr>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Инициировать внесение</w:t>
      </w:r>
      <w:r w:rsidR="00733FCF" w:rsidRPr="00083C3C">
        <w:rPr>
          <w:rFonts w:ascii="Times New Roman" w:hAnsi="Times New Roman" w:cs="Times New Roman"/>
          <w:sz w:val="24"/>
          <w:szCs w:val="24"/>
        </w:rPr>
        <w:t xml:space="preserve"> изменени</w:t>
      </w:r>
      <w:r>
        <w:rPr>
          <w:rFonts w:ascii="Times New Roman" w:hAnsi="Times New Roman" w:cs="Times New Roman"/>
          <w:sz w:val="24"/>
          <w:szCs w:val="24"/>
        </w:rPr>
        <w:t>й</w:t>
      </w:r>
      <w:r w:rsidR="00733FCF" w:rsidRPr="00083C3C">
        <w:rPr>
          <w:rFonts w:ascii="Times New Roman" w:hAnsi="Times New Roman" w:cs="Times New Roman"/>
          <w:sz w:val="24"/>
          <w:szCs w:val="24"/>
        </w:rPr>
        <w:t xml:space="preserve"> в п.13 </w:t>
      </w:r>
      <w:r w:rsidR="009E4809">
        <w:rPr>
          <w:rFonts w:ascii="Times New Roman" w:hAnsi="Times New Roman" w:cs="Times New Roman"/>
          <w:sz w:val="24"/>
          <w:szCs w:val="24"/>
        </w:rPr>
        <w:t>П</w:t>
      </w:r>
      <w:r w:rsidR="00733FCF" w:rsidRPr="00083C3C">
        <w:rPr>
          <w:rFonts w:ascii="Times New Roman" w:hAnsi="Times New Roman" w:cs="Times New Roman"/>
          <w:sz w:val="24"/>
          <w:szCs w:val="24"/>
        </w:rPr>
        <w:t>остановления Правительства РФ № 719,  предусмотрев более позднюю дату определения количества граждан, состоящих на воинском учете в органах местного самоуправления (например, по состоянию на 1 июля текущего года, исходя из данных отчетности</w:t>
      </w:r>
      <w:r w:rsidR="00453748">
        <w:rPr>
          <w:rFonts w:ascii="Times New Roman" w:hAnsi="Times New Roman" w:cs="Times New Roman"/>
          <w:sz w:val="24"/>
          <w:szCs w:val="24"/>
        </w:rPr>
        <w:t xml:space="preserve"> по приказу Минфина России № 90н</w:t>
      </w:r>
      <w:r w:rsidR="00733FCF" w:rsidRPr="00083C3C">
        <w:rPr>
          <w:rFonts w:ascii="Times New Roman" w:hAnsi="Times New Roman" w:cs="Times New Roman"/>
          <w:sz w:val="24"/>
          <w:szCs w:val="24"/>
        </w:rPr>
        <w:t>).</w:t>
      </w:r>
    </w:p>
    <w:p w:rsidR="00274BB9" w:rsidRDefault="00274BB9" w:rsidP="00083C3C">
      <w:pPr>
        <w:pStyle w:val="a3"/>
        <w:numPr>
          <w:ilvl w:val="1"/>
          <w:numId w:val="13"/>
        </w:numPr>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Рекомендовать</w:t>
      </w:r>
      <w:r w:rsidR="00D17EAB">
        <w:rPr>
          <w:rFonts w:ascii="Times New Roman" w:hAnsi="Times New Roman" w:cs="Times New Roman"/>
          <w:sz w:val="24"/>
          <w:szCs w:val="24"/>
        </w:rPr>
        <w:t xml:space="preserve"> Министерству обороны РФ</w:t>
      </w:r>
      <w:r>
        <w:rPr>
          <w:rFonts w:ascii="Times New Roman" w:hAnsi="Times New Roman" w:cs="Times New Roman"/>
          <w:sz w:val="24"/>
          <w:szCs w:val="24"/>
        </w:rPr>
        <w:t>:</w:t>
      </w:r>
    </w:p>
    <w:p w:rsidR="00083C3C" w:rsidRDefault="00274BB9" w:rsidP="00274BB9">
      <w:pPr>
        <w:ind w:firstLine="680"/>
        <w:jc w:val="both"/>
      </w:pPr>
      <w:r w:rsidRPr="00274BB9">
        <w:lastRenderedPageBreak/>
        <w:t xml:space="preserve">- </w:t>
      </w:r>
      <w:r w:rsidR="00D17EAB" w:rsidRPr="00274BB9">
        <w:t xml:space="preserve"> </w:t>
      </w:r>
      <w:r>
        <w:t>н</w:t>
      </w:r>
      <w:r w:rsidR="00D2647E" w:rsidRPr="00274BB9">
        <w:t>ормативно урегулировать порядок расчета коэффициента среднемесячной заработной платы при определении расходов на оплату труда ВУР в исходных данных, используемых Министерством обороны РФ для расчета субвенц</w:t>
      </w:r>
      <w:r w:rsidR="00F320AB" w:rsidRPr="00274BB9">
        <w:t>ии на очередной финансовый год</w:t>
      </w:r>
      <w:r>
        <w:t>;</w:t>
      </w:r>
    </w:p>
    <w:p w:rsidR="00274BB9" w:rsidRDefault="00274BB9" w:rsidP="00274BB9">
      <w:pPr>
        <w:ind w:firstLine="680"/>
        <w:jc w:val="both"/>
      </w:pPr>
      <w:r>
        <w:t>- о</w:t>
      </w:r>
      <w:r w:rsidR="00F320AB" w:rsidRPr="00083C3C">
        <w:t xml:space="preserve">пределить порядок нормирования затрат на содержание ВУР. </w:t>
      </w:r>
      <w:proofErr w:type="gramStart"/>
      <w:r w:rsidR="00F320AB" w:rsidRPr="00083C3C">
        <w:t>При этом с учетом того, что в поселениях ситуация с потребностью в материальных расходах, оргтехнике и т.д. различна</w:t>
      </w:r>
      <w:r w:rsidR="009E4809">
        <w:t>,</w:t>
      </w:r>
      <w:r w:rsidR="00F320AB" w:rsidRPr="00083C3C">
        <w:t xml:space="preserve"> считаем целесообразным установить предельное значение соотношения между расходами на оплату труда ВУР (включая соответствующие начисления на фонд оплаты труда) и на материально-техническое обеспечение ВУР (оплата аренды помещений, услуг связи, транспортных и коммунальных услуг, командировочных расходов, расходов на материальное обеспечение)</w:t>
      </w:r>
      <w:r>
        <w:t>;</w:t>
      </w:r>
      <w:proofErr w:type="gramEnd"/>
    </w:p>
    <w:p w:rsidR="00F320AB" w:rsidRPr="00083C3C" w:rsidRDefault="00274BB9" w:rsidP="00274BB9">
      <w:pPr>
        <w:ind w:firstLine="680"/>
        <w:jc w:val="both"/>
      </w:pPr>
      <w:r>
        <w:t>- в</w:t>
      </w:r>
      <w:r w:rsidR="00F320AB" w:rsidRPr="00083C3C">
        <w:t xml:space="preserve"> целях единообразного применения </w:t>
      </w:r>
      <w:r w:rsidR="00654FF6" w:rsidRPr="00083C3C">
        <w:t>Федеральной м</w:t>
      </w:r>
      <w:r w:rsidR="00F320AB" w:rsidRPr="00083C3C">
        <w:t>етодики дополнить ее расходами, непосредственно связанными с деятельностью ВУР: оплат</w:t>
      </w:r>
      <w:r w:rsidR="00654FF6" w:rsidRPr="00083C3C">
        <w:t>а</w:t>
      </w:r>
      <w:r w:rsidR="00F320AB" w:rsidRPr="00083C3C">
        <w:t xml:space="preserve"> услуг банка по обслуживанию специального карточного счета ВУР; </w:t>
      </w:r>
      <w:r w:rsidR="00654FF6" w:rsidRPr="00083C3C">
        <w:t xml:space="preserve">оплата услуг </w:t>
      </w:r>
      <w:r w:rsidR="009E4809">
        <w:t xml:space="preserve">по </w:t>
      </w:r>
      <w:r w:rsidR="00F320AB" w:rsidRPr="00083C3C">
        <w:t>прохождению ВУР диспансеризации</w:t>
      </w:r>
      <w:r w:rsidR="00654FF6" w:rsidRPr="00083C3C">
        <w:t xml:space="preserve">; </w:t>
      </w:r>
      <w:r w:rsidR="00F320AB" w:rsidRPr="00083C3C">
        <w:t xml:space="preserve">ежемесячные компенсационные выплаты находящимся в отпуске по уходу за ребенком до достижения им возраста 3 лет;   </w:t>
      </w:r>
      <w:r w:rsidR="00654FF6" w:rsidRPr="00083C3C">
        <w:t>оплата н</w:t>
      </w:r>
      <w:r w:rsidR="00F320AB" w:rsidRPr="00083C3C">
        <w:t xml:space="preserve">алога имущество организаций  в части имущества, используемого ВУР;  </w:t>
      </w:r>
      <w:r w:rsidR="00654FF6" w:rsidRPr="00083C3C">
        <w:t xml:space="preserve">расходы </w:t>
      </w:r>
      <w:r w:rsidR="00F320AB" w:rsidRPr="00083C3C">
        <w:t xml:space="preserve">по приобретению и обслуживанию программного продукта для организации учета военнообязанных граждан.  </w:t>
      </w:r>
      <w:r w:rsidR="0017091E" w:rsidRPr="00083C3C">
        <w:t>Кроме того, конкретизировать, какое имущество относится к инвентарю.</w:t>
      </w:r>
      <w:r w:rsidR="00F320AB" w:rsidRPr="00083C3C">
        <w:t xml:space="preserve">           </w:t>
      </w:r>
    </w:p>
    <w:p w:rsidR="00F42674" w:rsidRPr="00274BB9" w:rsidRDefault="00F42674" w:rsidP="00274BB9">
      <w:pPr>
        <w:pStyle w:val="a3"/>
        <w:numPr>
          <w:ilvl w:val="0"/>
          <w:numId w:val="13"/>
        </w:numPr>
        <w:autoSpaceDE w:val="0"/>
        <w:autoSpaceDN w:val="0"/>
        <w:adjustRightInd w:val="0"/>
        <w:spacing w:after="0" w:line="240" w:lineRule="auto"/>
        <w:ind w:left="0" w:firstLine="680"/>
        <w:jc w:val="both"/>
        <w:rPr>
          <w:rFonts w:ascii="Times New Roman" w:hAnsi="Times New Roman" w:cs="Times New Roman"/>
          <w:sz w:val="24"/>
          <w:szCs w:val="24"/>
        </w:rPr>
      </w:pPr>
      <w:proofErr w:type="spellStart"/>
      <w:proofErr w:type="gramStart"/>
      <w:r w:rsidRPr="00274BB9">
        <w:rPr>
          <w:rFonts w:ascii="Times New Roman" w:hAnsi="Times New Roman" w:cs="Times New Roman"/>
          <w:i/>
          <w:sz w:val="24"/>
          <w:szCs w:val="24"/>
        </w:rPr>
        <w:t>Облфину</w:t>
      </w:r>
      <w:proofErr w:type="spellEnd"/>
      <w:r w:rsidRPr="00274BB9">
        <w:rPr>
          <w:rFonts w:ascii="Times New Roman" w:hAnsi="Times New Roman" w:cs="Times New Roman"/>
          <w:sz w:val="24"/>
          <w:szCs w:val="24"/>
        </w:rPr>
        <w:t xml:space="preserve"> в целях единообразного</w:t>
      </w:r>
      <w:r w:rsidRPr="00274BB9">
        <w:rPr>
          <w:rFonts w:ascii="Times New Roman" w:hAnsi="Times New Roman" w:cs="Times New Roman"/>
          <w:b/>
          <w:i/>
          <w:sz w:val="24"/>
          <w:szCs w:val="24"/>
        </w:rPr>
        <w:t xml:space="preserve"> </w:t>
      </w:r>
      <w:r w:rsidRPr="00274BB9">
        <w:rPr>
          <w:rFonts w:ascii="Times New Roman" w:hAnsi="Times New Roman" w:cs="Times New Roman"/>
          <w:sz w:val="24"/>
          <w:szCs w:val="24"/>
        </w:rPr>
        <w:t xml:space="preserve">подхода </w:t>
      </w:r>
      <w:r w:rsidR="005E4902" w:rsidRPr="00274BB9">
        <w:rPr>
          <w:rFonts w:ascii="Times New Roman" w:hAnsi="Times New Roman" w:cs="Times New Roman"/>
          <w:sz w:val="24"/>
          <w:szCs w:val="24"/>
        </w:rPr>
        <w:t xml:space="preserve">на территории Волгоградской области </w:t>
      </w:r>
      <w:r w:rsidRPr="00274BB9">
        <w:rPr>
          <w:rFonts w:ascii="Times New Roman" w:hAnsi="Times New Roman" w:cs="Times New Roman"/>
          <w:sz w:val="24"/>
          <w:szCs w:val="24"/>
        </w:rPr>
        <w:t xml:space="preserve">к использованию средств субвенции на осуществление полномочий по первичному воинскому учету на территориях, где отсутствуют военные комиссариаты, совместно с </w:t>
      </w:r>
      <w:proofErr w:type="spellStart"/>
      <w:r w:rsidRPr="00274BB9">
        <w:rPr>
          <w:rFonts w:ascii="Times New Roman" w:hAnsi="Times New Roman" w:cs="Times New Roman"/>
          <w:sz w:val="24"/>
          <w:szCs w:val="24"/>
        </w:rPr>
        <w:t>Облвоенкоматом</w:t>
      </w:r>
      <w:proofErr w:type="spellEnd"/>
      <w:r w:rsidRPr="00274BB9">
        <w:rPr>
          <w:rFonts w:ascii="Times New Roman" w:hAnsi="Times New Roman" w:cs="Times New Roman"/>
          <w:sz w:val="24"/>
          <w:szCs w:val="24"/>
        </w:rPr>
        <w:t xml:space="preserve"> разработать методические рекомендации для органов местного самоуправления по установлению </w:t>
      </w:r>
      <w:r w:rsidRPr="00274BB9">
        <w:rPr>
          <w:rFonts w:ascii="Times New Roman" w:hAnsi="Times New Roman" w:cs="Times New Roman"/>
          <w:color w:val="000000"/>
          <w:sz w:val="24"/>
          <w:szCs w:val="24"/>
        </w:rPr>
        <w:t>единых подходов</w:t>
      </w:r>
      <w:r w:rsidRPr="00274BB9">
        <w:rPr>
          <w:rFonts w:ascii="Times New Roman" w:hAnsi="Times New Roman" w:cs="Times New Roman"/>
          <w:sz w:val="24"/>
          <w:szCs w:val="24"/>
        </w:rPr>
        <w:t xml:space="preserve"> к определению размера расходов на содержание ВУР (по их видам), в которых целесообразно отразить порядок определения заработной платы ВУР, ведения</w:t>
      </w:r>
      <w:proofErr w:type="gramEnd"/>
      <w:r w:rsidRPr="00274BB9">
        <w:rPr>
          <w:rFonts w:ascii="Times New Roman" w:hAnsi="Times New Roman" w:cs="Times New Roman"/>
          <w:sz w:val="24"/>
          <w:szCs w:val="24"/>
        </w:rPr>
        <w:t xml:space="preserve"> раздельного учета расходов на оплату коммунальных услуг, услуг связи и др. за счет средств местного бюджета и средств субвенции, а также предусмотреть предельное значение  соотношения между расходами на оплату труда ВУР (включая соответствующие начисления на фонд оплаты труда) и на материально-техническое обеспечение ВУР.</w:t>
      </w:r>
    </w:p>
    <w:p w:rsidR="006B4211" w:rsidRPr="00557366" w:rsidRDefault="006B4211" w:rsidP="00274BB9">
      <w:pPr>
        <w:autoSpaceDE w:val="0"/>
        <w:autoSpaceDN w:val="0"/>
        <w:adjustRightInd w:val="0"/>
        <w:ind w:firstLine="680"/>
        <w:jc w:val="both"/>
      </w:pPr>
    </w:p>
    <w:p w:rsidR="0017091E" w:rsidRPr="00327C12" w:rsidRDefault="0017091E" w:rsidP="00327C12">
      <w:pPr>
        <w:pStyle w:val="a3"/>
        <w:autoSpaceDE w:val="0"/>
        <w:autoSpaceDN w:val="0"/>
        <w:adjustRightInd w:val="0"/>
        <w:spacing w:after="0" w:line="240" w:lineRule="auto"/>
        <w:ind w:left="0" w:firstLine="680"/>
        <w:jc w:val="both"/>
        <w:rPr>
          <w:rFonts w:ascii="Times New Roman" w:hAnsi="Times New Roman" w:cs="Times New Roman"/>
          <w:sz w:val="24"/>
          <w:szCs w:val="24"/>
        </w:rPr>
      </w:pPr>
    </w:p>
    <w:p w:rsidR="00B23D2C" w:rsidRDefault="00B23D2C" w:rsidP="00932EAD">
      <w:pPr>
        <w:pStyle w:val="a3"/>
        <w:autoSpaceDE w:val="0"/>
        <w:autoSpaceDN w:val="0"/>
        <w:adjustRightInd w:val="0"/>
        <w:ind w:left="851"/>
        <w:jc w:val="both"/>
        <w:rPr>
          <w:rFonts w:ascii="Times New Roman" w:hAnsi="Times New Roman" w:cs="Times New Roman"/>
          <w:b/>
          <w:i/>
          <w:sz w:val="24"/>
          <w:szCs w:val="24"/>
        </w:rPr>
      </w:pPr>
    </w:p>
    <w:p w:rsidR="001D4E27" w:rsidRDefault="00932EAD" w:rsidP="00CA67AA">
      <w:pPr>
        <w:pStyle w:val="a3"/>
        <w:autoSpaceDE w:val="0"/>
        <w:autoSpaceDN w:val="0"/>
        <w:adjustRightInd w:val="0"/>
        <w:ind w:left="851"/>
        <w:jc w:val="both"/>
        <w:rPr>
          <w:b/>
          <w:highlight w:val="lightGray"/>
        </w:rPr>
      </w:pPr>
      <w:r w:rsidRPr="00932EAD">
        <w:rPr>
          <w:rFonts w:ascii="Times New Roman" w:hAnsi="Times New Roman" w:cs="Times New Roman"/>
          <w:b/>
          <w:i/>
          <w:sz w:val="24"/>
          <w:szCs w:val="24"/>
        </w:rPr>
        <w:t xml:space="preserve">Аудитор </w:t>
      </w:r>
      <w:r w:rsidRPr="00932EAD">
        <w:rPr>
          <w:rFonts w:ascii="Times New Roman" w:hAnsi="Times New Roman" w:cs="Times New Roman"/>
          <w:b/>
          <w:i/>
          <w:sz w:val="24"/>
          <w:szCs w:val="24"/>
        </w:rPr>
        <w:tab/>
      </w:r>
      <w:r w:rsidRPr="00932EAD">
        <w:rPr>
          <w:rFonts w:ascii="Times New Roman" w:hAnsi="Times New Roman" w:cs="Times New Roman"/>
          <w:b/>
          <w:i/>
          <w:sz w:val="24"/>
          <w:szCs w:val="24"/>
        </w:rPr>
        <w:tab/>
      </w:r>
      <w:r w:rsidRPr="00932EAD">
        <w:rPr>
          <w:rFonts w:ascii="Times New Roman" w:hAnsi="Times New Roman" w:cs="Times New Roman"/>
          <w:b/>
          <w:i/>
          <w:sz w:val="24"/>
          <w:szCs w:val="24"/>
        </w:rPr>
        <w:tab/>
      </w:r>
      <w:r w:rsidRPr="00932EAD">
        <w:rPr>
          <w:rFonts w:ascii="Times New Roman" w:hAnsi="Times New Roman" w:cs="Times New Roman"/>
          <w:b/>
          <w:i/>
          <w:sz w:val="24"/>
          <w:szCs w:val="24"/>
        </w:rPr>
        <w:tab/>
      </w:r>
      <w:r w:rsidRPr="00932EAD">
        <w:rPr>
          <w:rFonts w:ascii="Times New Roman" w:hAnsi="Times New Roman" w:cs="Times New Roman"/>
          <w:b/>
          <w:i/>
          <w:sz w:val="24"/>
          <w:szCs w:val="24"/>
        </w:rPr>
        <w:tab/>
      </w:r>
      <w:r w:rsidRPr="00932EAD">
        <w:rPr>
          <w:rFonts w:ascii="Times New Roman" w:hAnsi="Times New Roman" w:cs="Times New Roman"/>
          <w:b/>
          <w:i/>
          <w:sz w:val="24"/>
          <w:szCs w:val="24"/>
        </w:rPr>
        <w:tab/>
      </w:r>
      <w:r w:rsidRPr="00932EAD">
        <w:rPr>
          <w:rFonts w:ascii="Times New Roman" w:hAnsi="Times New Roman" w:cs="Times New Roman"/>
          <w:b/>
          <w:i/>
          <w:sz w:val="24"/>
          <w:szCs w:val="24"/>
        </w:rPr>
        <w:tab/>
      </w:r>
      <w:r w:rsidRPr="00932EAD">
        <w:rPr>
          <w:rFonts w:ascii="Times New Roman" w:hAnsi="Times New Roman" w:cs="Times New Roman"/>
          <w:b/>
          <w:i/>
          <w:sz w:val="24"/>
          <w:szCs w:val="24"/>
        </w:rPr>
        <w:tab/>
        <w:t xml:space="preserve">Н.Л. </w:t>
      </w:r>
      <w:proofErr w:type="spellStart"/>
      <w:r w:rsidRPr="00932EAD">
        <w:rPr>
          <w:rFonts w:ascii="Times New Roman" w:hAnsi="Times New Roman" w:cs="Times New Roman"/>
          <w:b/>
          <w:i/>
          <w:sz w:val="24"/>
          <w:szCs w:val="24"/>
        </w:rPr>
        <w:t>Ноздрюхина</w:t>
      </w:r>
      <w:proofErr w:type="spellEnd"/>
    </w:p>
    <w:p w:rsidR="001D4E27" w:rsidRDefault="001D4E27" w:rsidP="00161FAF">
      <w:pPr>
        <w:jc w:val="center"/>
        <w:rPr>
          <w:b/>
          <w:highlight w:val="lightGray"/>
        </w:rPr>
      </w:pPr>
    </w:p>
    <w:p w:rsidR="001D4E27" w:rsidRDefault="001D4E27" w:rsidP="00161FAF">
      <w:pPr>
        <w:jc w:val="center"/>
        <w:rPr>
          <w:b/>
          <w:highlight w:val="lightGray"/>
        </w:rPr>
      </w:pPr>
    </w:p>
    <w:p w:rsidR="00161FAF" w:rsidRDefault="00161FAF"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A53952" w:rsidRDefault="00A53952" w:rsidP="00161FAF">
      <w:pPr>
        <w:ind w:firstLine="709"/>
        <w:jc w:val="both"/>
      </w:pPr>
    </w:p>
    <w:p w:rsidR="004B00C0" w:rsidRDefault="004B00C0" w:rsidP="009439EB">
      <w:pPr>
        <w:autoSpaceDE w:val="0"/>
        <w:autoSpaceDN w:val="0"/>
        <w:adjustRightInd w:val="0"/>
        <w:ind w:firstLine="709"/>
        <w:jc w:val="both"/>
        <w:rPr>
          <w:color w:val="76923C" w:themeColor="accent3" w:themeShade="BF"/>
        </w:rPr>
      </w:pPr>
    </w:p>
    <w:p w:rsidR="004B00C0" w:rsidRDefault="004B00C0" w:rsidP="009439EB">
      <w:pPr>
        <w:autoSpaceDE w:val="0"/>
        <w:autoSpaceDN w:val="0"/>
        <w:adjustRightInd w:val="0"/>
        <w:ind w:firstLine="709"/>
        <w:jc w:val="both"/>
        <w:rPr>
          <w:color w:val="76923C" w:themeColor="accent3" w:themeShade="BF"/>
        </w:rPr>
      </w:pPr>
    </w:p>
    <w:p w:rsidR="004B00C0" w:rsidRDefault="004B00C0" w:rsidP="009439EB">
      <w:pPr>
        <w:autoSpaceDE w:val="0"/>
        <w:autoSpaceDN w:val="0"/>
        <w:adjustRightInd w:val="0"/>
        <w:ind w:firstLine="709"/>
        <w:jc w:val="both"/>
        <w:rPr>
          <w:color w:val="76923C" w:themeColor="accent3" w:themeShade="BF"/>
        </w:rPr>
      </w:pPr>
    </w:p>
    <w:p w:rsidR="004B00C0" w:rsidRDefault="004B00C0" w:rsidP="009439EB">
      <w:pPr>
        <w:autoSpaceDE w:val="0"/>
        <w:autoSpaceDN w:val="0"/>
        <w:adjustRightInd w:val="0"/>
        <w:ind w:firstLine="709"/>
        <w:jc w:val="both"/>
        <w:rPr>
          <w:color w:val="76923C" w:themeColor="accent3" w:themeShade="BF"/>
        </w:rPr>
      </w:pPr>
    </w:p>
    <w:p w:rsidR="004B00C0" w:rsidRDefault="004B00C0" w:rsidP="009439EB">
      <w:pPr>
        <w:autoSpaceDE w:val="0"/>
        <w:autoSpaceDN w:val="0"/>
        <w:adjustRightInd w:val="0"/>
        <w:ind w:firstLine="709"/>
        <w:jc w:val="both"/>
        <w:rPr>
          <w:color w:val="76923C" w:themeColor="accent3" w:themeShade="BF"/>
        </w:rPr>
      </w:pPr>
    </w:p>
    <w:sectPr w:rsidR="004B00C0" w:rsidSect="00B05171">
      <w:headerReference w:type="default" r:id="rId17"/>
      <w:pgSz w:w="11906" w:h="16838"/>
      <w:pgMar w:top="567" w:right="851" w:bottom="567" w:left="141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B4" w:rsidRDefault="008C2DB4" w:rsidP="00365815">
      <w:r>
        <w:separator/>
      </w:r>
    </w:p>
  </w:endnote>
  <w:endnote w:type="continuationSeparator" w:id="0">
    <w:p w:rsidR="008C2DB4" w:rsidRDefault="008C2DB4" w:rsidP="00365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B4" w:rsidRDefault="008C2DB4" w:rsidP="00365815">
      <w:r>
        <w:separator/>
      </w:r>
    </w:p>
  </w:footnote>
  <w:footnote w:type="continuationSeparator" w:id="0">
    <w:p w:rsidR="008C2DB4" w:rsidRDefault="008C2DB4" w:rsidP="00365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2919"/>
      <w:docPartObj>
        <w:docPartGallery w:val="Page Numbers (Top of Page)"/>
        <w:docPartUnique/>
      </w:docPartObj>
    </w:sdtPr>
    <w:sdtContent>
      <w:p w:rsidR="008C2DB4" w:rsidRDefault="00C52804">
        <w:pPr>
          <w:pStyle w:val="a9"/>
          <w:jc w:val="center"/>
        </w:pPr>
        <w:r w:rsidRPr="00365815">
          <w:rPr>
            <w:sz w:val="22"/>
            <w:szCs w:val="22"/>
          </w:rPr>
          <w:fldChar w:fldCharType="begin"/>
        </w:r>
        <w:r w:rsidR="008C2DB4" w:rsidRPr="00365815">
          <w:rPr>
            <w:sz w:val="22"/>
            <w:szCs w:val="22"/>
          </w:rPr>
          <w:instrText xml:space="preserve"> PAGE   \* MERGEFORMAT </w:instrText>
        </w:r>
        <w:r w:rsidRPr="00365815">
          <w:rPr>
            <w:sz w:val="22"/>
            <w:szCs w:val="22"/>
          </w:rPr>
          <w:fldChar w:fldCharType="separate"/>
        </w:r>
        <w:r w:rsidR="00ED1D22">
          <w:rPr>
            <w:noProof/>
            <w:sz w:val="22"/>
            <w:szCs w:val="22"/>
          </w:rPr>
          <w:t>2</w:t>
        </w:r>
        <w:r w:rsidRPr="00365815">
          <w:rPr>
            <w:sz w:val="22"/>
            <w:szCs w:val="22"/>
          </w:rPr>
          <w:fldChar w:fldCharType="end"/>
        </w:r>
      </w:p>
    </w:sdtContent>
  </w:sdt>
  <w:p w:rsidR="008C2DB4" w:rsidRDefault="008C2DB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D85"/>
    <w:multiLevelType w:val="hybridMultilevel"/>
    <w:tmpl w:val="DFF2FEF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EC82FD9"/>
    <w:multiLevelType w:val="hybridMultilevel"/>
    <w:tmpl w:val="6AF239D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1A571F52"/>
    <w:multiLevelType w:val="hybridMultilevel"/>
    <w:tmpl w:val="8CF04A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05D78"/>
    <w:multiLevelType w:val="hybridMultilevel"/>
    <w:tmpl w:val="2640C38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25875AE8"/>
    <w:multiLevelType w:val="multilevel"/>
    <w:tmpl w:val="7AA23940"/>
    <w:lvl w:ilvl="0">
      <w:start w:val="1"/>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nsid w:val="28ED3FAF"/>
    <w:multiLevelType w:val="hybridMultilevel"/>
    <w:tmpl w:val="A2F41B5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33E04D76"/>
    <w:multiLevelType w:val="hybridMultilevel"/>
    <w:tmpl w:val="41B63D6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3E520A10"/>
    <w:multiLevelType w:val="hybridMultilevel"/>
    <w:tmpl w:val="6250F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E733A3"/>
    <w:multiLevelType w:val="multilevel"/>
    <w:tmpl w:val="72D2584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nsid w:val="5F5C08FA"/>
    <w:multiLevelType w:val="hybridMultilevel"/>
    <w:tmpl w:val="1A0A45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8402312"/>
    <w:multiLevelType w:val="hybridMultilevel"/>
    <w:tmpl w:val="152CA20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6C5411DF"/>
    <w:multiLevelType w:val="hybridMultilevel"/>
    <w:tmpl w:val="F82C320A"/>
    <w:lvl w:ilvl="0" w:tplc="4440D24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464917"/>
    <w:multiLevelType w:val="hybridMultilevel"/>
    <w:tmpl w:val="5BC283F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7A7E092E"/>
    <w:multiLevelType w:val="hybridMultilevel"/>
    <w:tmpl w:val="DA00D42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3"/>
  </w:num>
  <w:num w:numId="2">
    <w:abstractNumId w:val="1"/>
  </w:num>
  <w:num w:numId="3">
    <w:abstractNumId w:val="13"/>
  </w:num>
  <w:num w:numId="4">
    <w:abstractNumId w:val="9"/>
  </w:num>
  <w:num w:numId="5">
    <w:abstractNumId w:val="2"/>
  </w:num>
  <w:num w:numId="6">
    <w:abstractNumId w:val="6"/>
  </w:num>
  <w:num w:numId="7">
    <w:abstractNumId w:val="12"/>
  </w:num>
  <w:num w:numId="8">
    <w:abstractNumId w:val="0"/>
  </w:num>
  <w:num w:numId="9">
    <w:abstractNumId w:val="10"/>
  </w:num>
  <w:num w:numId="10">
    <w:abstractNumId w:val="7"/>
  </w:num>
  <w:num w:numId="11">
    <w:abstractNumId w:val="5"/>
  </w:num>
  <w:num w:numId="12">
    <w:abstractNumId w:val="11"/>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439EB"/>
    <w:rsid w:val="000009FB"/>
    <w:rsid w:val="000020E5"/>
    <w:rsid w:val="00010970"/>
    <w:rsid w:val="000111B6"/>
    <w:rsid w:val="00011B3F"/>
    <w:rsid w:val="00013390"/>
    <w:rsid w:val="000230E8"/>
    <w:rsid w:val="0003228E"/>
    <w:rsid w:val="0005229F"/>
    <w:rsid w:val="00052FCF"/>
    <w:rsid w:val="00055400"/>
    <w:rsid w:val="00062503"/>
    <w:rsid w:val="00067795"/>
    <w:rsid w:val="0007321B"/>
    <w:rsid w:val="00073926"/>
    <w:rsid w:val="000740F0"/>
    <w:rsid w:val="00081F8F"/>
    <w:rsid w:val="00083C3C"/>
    <w:rsid w:val="000A31AA"/>
    <w:rsid w:val="000A3FCB"/>
    <w:rsid w:val="000B00ED"/>
    <w:rsid w:val="000B2396"/>
    <w:rsid w:val="000B23C2"/>
    <w:rsid w:val="000C04C9"/>
    <w:rsid w:val="000C585B"/>
    <w:rsid w:val="000D09D2"/>
    <w:rsid w:val="000D4A70"/>
    <w:rsid w:val="000D6EE0"/>
    <w:rsid w:val="000D7414"/>
    <w:rsid w:val="000E3110"/>
    <w:rsid w:val="000E69D8"/>
    <w:rsid w:val="000F19B5"/>
    <w:rsid w:val="000F53AE"/>
    <w:rsid w:val="00102596"/>
    <w:rsid w:val="001025CF"/>
    <w:rsid w:val="00114FCE"/>
    <w:rsid w:val="001217DA"/>
    <w:rsid w:val="00124365"/>
    <w:rsid w:val="00124925"/>
    <w:rsid w:val="0012659B"/>
    <w:rsid w:val="00126ACB"/>
    <w:rsid w:val="001278CA"/>
    <w:rsid w:val="00134D82"/>
    <w:rsid w:val="00135999"/>
    <w:rsid w:val="00135C44"/>
    <w:rsid w:val="001365D6"/>
    <w:rsid w:val="00136FE0"/>
    <w:rsid w:val="00142D4E"/>
    <w:rsid w:val="00143056"/>
    <w:rsid w:val="001437DC"/>
    <w:rsid w:val="001545E7"/>
    <w:rsid w:val="00161FAF"/>
    <w:rsid w:val="0017091E"/>
    <w:rsid w:val="00170C1D"/>
    <w:rsid w:val="0017153D"/>
    <w:rsid w:val="001740DA"/>
    <w:rsid w:val="00186BD9"/>
    <w:rsid w:val="00191099"/>
    <w:rsid w:val="00193FDF"/>
    <w:rsid w:val="001962FE"/>
    <w:rsid w:val="001A0034"/>
    <w:rsid w:val="001A4928"/>
    <w:rsid w:val="001A509C"/>
    <w:rsid w:val="001A63E1"/>
    <w:rsid w:val="001C322E"/>
    <w:rsid w:val="001C6CC4"/>
    <w:rsid w:val="001C6EF7"/>
    <w:rsid w:val="001D4E27"/>
    <w:rsid w:val="001D6C22"/>
    <w:rsid w:val="001E081C"/>
    <w:rsid w:val="001E4C1B"/>
    <w:rsid w:val="001E5870"/>
    <w:rsid w:val="001E6652"/>
    <w:rsid w:val="001E7FBA"/>
    <w:rsid w:val="001F492D"/>
    <w:rsid w:val="001F606D"/>
    <w:rsid w:val="001F66FF"/>
    <w:rsid w:val="00200E8A"/>
    <w:rsid w:val="0020503B"/>
    <w:rsid w:val="00214D87"/>
    <w:rsid w:val="002204E5"/>
    <w:rsid w:val="00231167"/>
    <w:rsid w:val="002352CF"/>
    <w:rsid w:val="00237EC5"/>
    <w:rsid w:val="002450DA"/>
    <w:rsid w:val="00245A9F"/>
    <w:rsid w:val="002462EE"/>
    <w:rsid w:val="002469E7"/>
    <w:rsid w:val="00246B37"/>
    <w:rsid w:val="00253DB7"/>
    <w:rsid w:val="002609B1"/>
    <w:rsid w:val="00263CF1"/>
    <w:rsid w:val="00264072"/>
    <w:rsid w:val="00264C9A"/>
    <w:rsid w:val="00267214"/>
    <w:rsid w:val="00274BB9"/>
    <w:rsid w:val="00284BE7"/>
    <w:rsid w:val="00285447"/>
    <w:rsid w:val="00286D4A"/>
    <w:rsid w:val="002906A0"/>
    <w:rsid w:val="0029189B"/>
    <w:rsid w:val="0029537F"/>
    <w:rsid w:val="00296B27"/>
    <w:rsid w:val="002A1BF9"/>
    <w:rsid w:val="002B6B89"/>
    <w:rsid w:val="002C2F9F"/>
    <w:rsid w:val="002D1263"/>
    <w:rsid w:val="002D5EA9"/>
    <w:rsid w:val="002E2516"/>
    <w:rsid w:val="002E59DD"/>
    <w:rsid w:val="002F2AB0"/>
    <w:rsid w:val="002F33B8"/>
    <w:rsid w:val="003030DE"/>
    <w:rsid w:val="00307911"/>
    <w:rsid w:val="00313827"/>
    <w:rsid w:val="003208B6"/>
    <w:rsid w:val="00323F71"/>
    <w:rsid w:val="003240F1"/>
    <w:rsid w:val="00326782"/>
    <w:rsid w:val="00327C12"/>
    <w:rsid w:val="003323B9"/>
    <w:rsid w:val="00334402"/>
    <w:rsid w:val="00335640"/>
    <w:rsid w:val="003417F6"/>
    <w:rsid w:val="0034589D"/>
    <w:rsid w:val="00352EDE"/>
    <w:rsid w:val="003648FA"/>
    <w:rsid w:val="00365815"/>
    <w:rsid w:val="0037158D"/>
    <w:rsid w:val="003719B0"/>
    <w:rsid w:val="00373910"/>
    <w:rsid w:val="00384663"/>
    <w:rsid w:val="00392454"/>
    <w:rsid w:val="003A42E8"/>
    <w:rsid w:val="003A4730"/>
    <w:rsid w:val="003A52A7"/>
    <w:rsid w:val="003A74AA"/>
    <w:rsid w:val="003B3C55"/>
    <w:rsid w:val="003C22DF"/>
    <w:rsid w:val="003C2333"/>
    <w:rsid w:val="003C36A1"/>
    <w:rsid w:val="003C4591"/>
    <w:rsid w:val="003C5733"/>
    <w:rsid w:val="003D5844"/>
    <w:rsid w:val="003E1158"/>
    <w:rsid w:val="003E2F03"/>
    <w:rsid w:val="003F01C4"/>
    <w:rsid w:val="003F3B27"/>
    <w:rsid w:val="00410F35"/>
    <w:rsid w:val="004129DD"/>
    <w:rsid w:val="004168E9"/>
    <w:rsid w:val="00420444"/>
    <w:rsid w:val="00424B08"/>
    <w:rsid w:val="00431C57"/>
    <w:rsid w:val="00434654"/>
    <w:rsid w:val="00434664"/>
    <w:rsid w:val="004372C3"/>
    <w:rsid w:val="00440BA2"/>
    <w:rsid w:val="0044263A"/>
    <w:rsid w:val="00453748"/>
    <w:rsid w:val="00455A0C"/>
    <w:rsid w:val="00457B0D"/>
    <w:rsid w:val="00460980"/>
    <w:rsid w:val="00461349"/>
    <w:rsid w:val="004621D9"/>
    <w:rsid w:val="0046222C"/>
    <w:rsid w:val="00466299"/>
    <w:rsid w:val="004705A9"/>
    <w:rsid w:val="0047061C"/>
    <w:rsid w:val="00474077"/>
    <w:rsid w:val="00482C1A"/>
    <w:rsid w:val="00492D8B"/>
    <w:rsid w:val="00495DFD"/>
    <w:rsid w:val="004A2AD3"/>
    <w:rsid w:val="004A2C06"/>
    <w:rsid w:val="004B00C0"/>
    <w:rsid w:val="004B1429"/>
    <w:rsid w:val="004C41E9"/>
    <w:rsid w:val="004C4912"/>
    <w:rsid w:val="004C5721"/>
    <w:rsid w:val="004D080D"/>
    <w:rsid w:val="004D37B7"/>
    <w:rsid w:val="004E4EC4"/>
    <w:rsid w:val="004E5ABC"/>
    <w:rsid w:val="004F5651"/>
    <w:rsid w:val="004F5E99"/>
    <w:rsid w:val="00504272"/>
    <w:rsid w:val="00510697"/>
    <w:rsid w:val="00525F15"/>
    <w:rsid w:val="00534353"/>
    <w:rsid w:val="0053479C"/>
    <w:rsid w:val="005424D5"/>
    <w:rsid w:val="00542C9D"/>
    <w:rsid w:val="00557366"/>
    <w:rsid w:val="005612F2"/>
    <w:rsid w:val="0057183B"/>
    <w:rsid w:val="00572B56"/>
    <w:rsid w:val="005777A8"/>
    <w:rsid w:val="00580418"/>
    <w:rsid w:val="00581857"/>
    <w:rsid w:val="0058277F"/>
    <w:rsid w:val="0058650E"/>
    <w:rsid w:val="00592402"/>
    <w:rsid w:val="00593CDF"/>
    <w:rsid w:val="00595979"/>
    <w:rsid w:val="00595AEE"/>
    <w:rsid w:val="005A404B"/>
    <w:rsid w:val="005A4896"/>
    <w:rsid w:val="005A51A2"/>
    <w:rsid w:val="005C5DF0"/>
    <w:rsid w:val="005D267C"/>
    <w:rsid w:val="005D72DE"/>
    <w:rsid w:val="005D7D4C"/>
    <w:rsid w:val="005D7E3C"/>
    <w:rsid w:val="005E4902"/>
    <w:rsid w:val="005E5324"/>
    <w:rsid w:val="005F6D17"/>
    <w:rsid w:val="00602036"/>
    <w:rsid w:val="00602157"/>
    <w:rsid w:val="00605A7A"/>
    <w:rsid w:val="00605E80"/>
    <w:rsid w:val="00607F4B"/>
    <w:rsid w:val="0061667D"/>
    <w:rsid w:val="0063341E"/>
    <w:rsid w:val="00633CEB"/>
    <w:rsid w:val="00640A79"/>
    <w:rsid w:val="00640DC0"/>
    <w:rsid w:val="00643F53"/>
    <w:rsid w:val="00651077"/>
    <w:rsid w:val="00654FF6"/>
    <w:rsid w:val="0066447B"/>
    <w:rsid w:val="00664992"/>
    <w:rsid w:val="0066693E"/>
    <w:rsid w:val="00681229"/>
    <w:rsid w:val="00682C91"/>
    <w:rsid w:val="006845A0"/>
    <w:rsid w:val="00685DFC"/>
    <w:rsid w:val="00697339"/>
    <w:rsid w:val="006A07F6"/>
    <w:rsid w:val="006A1EB3"/>
    <w:rsid w:val="006A33DB"/>
    <w:rsid w:val="006A3CD8"/>
    <w:rsid w:val="006A4A76"/>
    <w:rsid w:val="006A778B"/>
    <w:rsid w:val="006B4211"/>
    <w:rsid w:val="006B7609"/>
    <w:rsid w:val="006C4471"/>
    <w:rsid w:val="006C466E"/>
    <w:rsid w:val="006C538A"/>
    <w:rsid w:val="006D07C8"/>
    <w:rsid w:val="006E4904"/>
    <w:rsid w:val="006E64E3"/>
    <w:rsid w:val="006F1D8A"/>
    <w:rsid w:val="006F6F5C"/>
    <w:rsid w:val="006F7CDF"/>
    <w:rsid w:val="00710C6B"/>
    <w:rsid w:val="0072119B"/>
    <w:rsid w:val="00721ADD"/>
    <w:rsid w:val="0072354D"/>
    <w:rsid w:val="0072363A"/>
    <w:rsid w:val="007328C5"/>
    <w:rsid w:val="00733FCF"/>
    <w:rsid w:val="00736E7C"/>
    <w:rsid w:val="00742685"/>
    <w:rsid w:val="00747171"/>
    <w:rsid w:val="0074768E"/>
    <w:rsid w:val="007502A6"/>
    <w:rsid w:val="007547AF"/>
    <w:rsid w:val="00754D13"/>
    <w:rsid w:val="00763F1D"/>
    <w:rsid w:val="00770736"/>
    <w:rsid w:val="00773CB4"/>
    <w:rsid w:val="00777FFE"/>
    <w:rsid w:val="00786882"/>
    <w:rsid w:val="007912F0"/>
    <w:rsid w:val="007A09A0"/>
    <w:rsid w:val="007A1C8E"/>
    <w:rsid w:val="007B0F58"/>
    <w:rsid w:val="007B7B17"/>
    <w:rsid w:val="007C1B16"/>
    <w:rsid w:val="007C3D92"/>
    <w:rsid w:val="007D160A"/>
    <w:rsid w:val="007D172C"/>
    <w:rsid w:val="007E5F15"/>
    <w:rsid w:val="007F04AB"/>
    <w:rsid w:val="007F06FE"/>
    <w:rsid w:val="007F1E09"/>
    <w:rsid w:val="00801AA5"/>
    <w:rsid w:val="0080435A"/>
    <w:rsid w:val="008052FB"/>
    <w:rsid w:val="00815FD5"/>
    <w:rsid w:val="008162A7"/>
    <w:rsid w:val="00816D03"/>
    <w:rsid w:val="008230B8"/>
    <w:rsid w:val="0082606E"/>
    <w:rsid w:val="00832C79"/>
    <w:rsid w:val="00844AB8"/>
    <w:rsid w:val="00845EFA"/>
    <w:rsid w:val="008473B5"/>
    <w:rsid w:val="00857B90"/>
    <w:rsid w:val="00863BCF"/>
    <w:rsid w:val="00866481"/>
    <w:rsid w:val="008703C9"/>
    <w:rsid w:val="0087417B"/>
    <w:rsid w:val="0087757D"/>
    <w:rsid w:val="00880B14"/>
    <w:rsid w:val="00881CA7"/>
    <w:rsid w:val="008930C8"/>
    <w:rsid w:val="00893D87"/>
    <w:rsid w:val="008A0C65"/>
    <w:rsid w:val="008A3D0E"/>
    <w:rsid w:val="008A45CB"/>
    <w:rsid w:val="008A5A21"/>
    <w:rsid w:val="008A5B7A"/>
    <w:rsid w:val="008B7E2C"/>
    <w:rsid w:val="008C2DB4"/>
    <w:rsid w:val="008C3E66"/>
    <w:rsid w:val="008C757F"/>
    <w:rsid w:val="008D2653"/>
    <w:rsid w:val="008E634D"/>
    <w:rsid w:val="00900A6D"/>
    <w:rsid w:val="00903421"/>
    <w:rsid w:val="00903582"/>
    <w:rsid w:val="00913E09"/>
    <w:rsid w:val="00914715"/>
    <w:rsid w:val="00920DA1"/>
    <w:rsid w:val="00925C10"/>
    <w:rsid w:val="00925F5D"/>
    <w:rsid w:val="00932EAD"/>
    <w:rsid w:val="00936BAC"/>
    <w:rsid w:val="009439EB"/>
    <w:rsid w:val="009472C1"/>
    <w:rsid w:val="00947D33"/>
    <w:rsid w:val="0095230C"/>
    <w:rsid w:val="00955406"/>
    <w:rsid w:val="00957D9C"/>
    <w:rsid w:val="009714DC"/>
    <w:rsid w:val="00973A1A"/>
    <w:rsid w:val="00973D9D"/>
    <w:rsid w:val="00976E4B"/>
    <w:rsid w:val="009850B0"/>
    <w:rsid w:val="009A1B1D"/>
    <w:rsid w:val="009A35E8"/>
    <w:rsid w:val="009A5F27"/>
    <w:rsid w:val="009B0DC6"/>
    <w:rsid w:val="009B3AEA"/>
    <w:rsid w:val="009C0B56"/>
    <w:rsid w:val="009C11DF"/>
    <w:rsid w:val="009C1D7F"/>
    <w:rsid w:val="009C2DF7"/>
    <w:rsid w:val="009C3D1D"/>
    <w:rsid w:val="009D4DE0"/>
    <w:rsid w:val="009E3FE4"/>
    <w:rsid w:val="009E4809"/>
    <w:rsid w:val="009E6F62"/>
    <w:rsid w:val="009E7630"/>
    <w:rsid w:val="009F2165"/>
    <w:rsid w:val="009F4B2B"/>
    <w:rsid w:val="00A0238E"/>
    <w:rsid w:val="00A12B9F"/>
    <w:rsid w:val="00A154F7"/>
    <w:rsid w:val="00A202B3"/>
    <w:rsid w:val="00A2324F"/>
    <w:rsid w:val="00A257CD"/>
    <w:rsid w:val="00A262C4"/>
    <w:rsid w:val="00A26599"/>
    <w:rsid w:val="00A307F9"/>
    <w:rsid w:val="00A3167C"/>
    <w:rsid w:val="00A31D8B"/>
    <w:rsid w:val="00A32385"/>
    <w:rsid w:val="00A40270"/>
    <w:rsid w:val="00A43C12"/>
    <w:rsid w:val="00A43EE9"/>
    <w:rsid w:val="00A44FB7"/>
    <w:rsid w:val="00A50B74"/>
    <w:rsid w:val="00A52B1D"/>
    <w:rsid w:val="00A53952"/>
    <w:rsid w:val="00A53EC0"/>
    <w:rsid w:val="00A60640"/>
    <w:rsid w:val="00A62E8A"/>
    <w:rsid w:val="00A70747"/>
    <w:rsid w:val="00A810DB"/>
    <w:rsid w:val="00A81C6C"/>
    <w:rsid w:val="00A8211C"/>
    <w:rsid w:val="00A84505"/>
    <w:rsid w:val="00AA3471"/>
    <w:rsid w:val="00AB01B2"/>
    <w:rsid w:val="00AB0411"/>
    <w:rsid w:val="00AB73F7"/>
    <w:rsid w:val="00AC35AD"/>
    <w:rsid w:val="00AC5E70"/>
    <w:rsid w:val="00AE1F1C"/>
    <w:rsid w:val="00AE4AA6"/>
    <w:rsid w:val="00AF0207"/>
    <w:rsid w:val="00AF1D5F"/>
    <w:rsid w:val="00AF1DE9"/>
    <w:rsid w:val="00B00896"/>
    <w:rsid w:val="00B01ECA"/>
    <w:rsid w:val="00B05171"/>
    <w:rsid w:val="00B054D5"/>
    <w:rsid w:val="00B168A5"/>
    <w:rsid w:val="00B222E0"/>
    <w:rsid w:val="00B23D2C"/>
    <w:rsid w:val="00B31DA4"/>
    <w:rsid w:val="00B3290F"/>
    <w:rsid w:val="00B32A2F"/>
    <w:rsid w:val="00B33C9A"/>
    <w:rsid w:val="00B35F9B"/>
    <w:rsid w:val="00B362AC"/>
    <w:rsid w:val="00B4203F"/>
    <w:rsid w:val="00B42128"/>
    <w:rsid w:val="00B5383E"/>
    <w:rsid w:val="00B61838"/>
    <w:rsid w:val="00B64087"/>
    <w:rsid w:val="00B644DD"/>
    <w:rsid w:val="00B66503"/>
    <w:rsid w:val="00B736E9"/>
    <w:rsid w:val="00B76AB0"/>
    <w:rsid w:val="00B85D6C"/>
    <w:rsid w:val="00B869B4"/>
    <w:rsid w:val="00B90FCD"/>
    <w:rsid w:val="00B95596"/>
    <w:rsid w:val="00BA3AC2"/>
    <w:rsid w:val="00BC28DF"/>
    <w:rsid w:val="00BD1576"/>
    <w:rsid w:val="00BD7872"/>
    <w:rsid w:val="00BE2731"/>
    <w:rsid w:val="00BF2596"/>
    <w:rsid w:val="00BF52AD"/>
    <w:rsid w:val="00BF6566"/>
    <w:rsid w:val="00C056BB"/>
    <w:rsid w:val="00C05DCD"/>
    <w:rsid w:val="00C118BF"/>
    <w:rsid w:val="00C14EE6"/>
    <w:rsid w:val="00C2293E"/>
    <w:rsid w:val="00C2332F"/>
    <w:rsid w:val="00C25047"/>
    <w:rsid w:val="00C306F6"/>
    <w:rsid w:val="00C361B2"/>
    <w:rsid w:val="00C4700E"/>
    <w:rsid w:val="00C47016"/>
    <w:rsid w:val="00C4726C"/>
    <w:rsid w:val="00C4766B"/>
    <w:rsid w:val="00C50AB2"/>
    <w:rsid w:val="00C52804"/>
    <w:rsid w:val="00C610E9"/>
    <w:rsid w:val="00C70A62"/>
    <w:rsid w:val="00C752D5"/>
    <w:rsid w:val="00C85264"/>
    <w:rsid w:val="00C86307"/>
    <w:rsid w:val="00C97F9C"/>
    <w:rsid w:val="00CA1F6C"/>
    <w:rsid w:val="00CA535A"/>
    <w:rsid w:val="00CA67AA"/>
    <w:rsid w:val="00CA721F"/>
    <w:rsid w:val="00CB0F38"/>
    <w:rsid w:val="00CC4C38"/>
    <w:rsid w:val="00CD1258"/>
    <w:rsid w:val="00CD3201"/>
    <w:rsid w:val="00CD329F"/>
    <w:rsid w:val="00CD4ABB"/>
    <w:rsid w:val="00CD6526"/>
    <w:rsid w:val="00CE188B"/>
    <w:rsid w:val="00CE25D3"/>
    <w:rsid w:val="00CE5508"/>
    <w:rsid w:val="00CE63E8"/>
    <w:rsid w:val="00CF116F"/>
    <w:rsid w:val="00D03088"/>
    <w:rsid w:val="00D03719"/>
    <w:rsid w:val="00D078A8"/>
    <w:rsid w:val="00D16303"/>
    <w:rsid w:val="00D17EAB"/>
    <w:rsid w:val="00D21A0C"/>
    <w:rsid w:val="00D2292D"/>
    <w:rsid w:val="00D242DA"/>
    <w:rsid w:val="00D25F98"/>
    <w:rsid w:val="00D2647E"/>
    <w:rsid w:val="00D3476D"/>
    <w:rsid w:val="00D34E37"/>
    <w:rsid w:val="00D4226F"/>
    <w:rsid w:val="00D47EFC"/>
    <w:rsid w:val="00D51F6C"/>
    <w:rsid w:val="00D52368"/>
    <w:rsid w:val="00D55CDC"/>
    <w:rsid w:val="00D73BF6"/>
    <w:rsid w:val="00D73C4A"/>
    <w:rsid w:val="00D751FA"/>
    <w:rsid w:val="00D80740"/>
    <w:rsid w:val="00D8335E"/>
    <w:rsid w:val="00D83ED6"/>
    <w:rsid w:val="00D91180"/>
    <w:rsid w:val="00D91C5C"/>
    <w:rsid w:val="00D9392E"/>
    <w:rsid w:val="00D97A25"/>
    <w:rsid w:val="00DA07DD"/>
    <w:rsid w:val="00DA28EC"/>
    <w:rsid w:val="00DA61E8"/>
    <w:rsid w:val="00DB0252"/>
    <w:rsid w:val="00DB28A7"/>
    <w:rsid w:val="00DB6403"/>
    <w:rsid w:val="00DB6A93"/>
    <w:rsid w:val="00DC17E4"/>
    <w:rsid w:val="00DC218F"/>
    <w:rsid w:val="00DD018A"/>
    <w:rsid w:val="00DD0836"/>
    <w:rsid w:val="00DD1D96"/>
    <w:rsid w:val="00DE0A80"/>
    <w:rsid w:val="00DE4D6F"/>
    <w:rsid w:val="00DF2870"/>
    <w:rsid w:val="00DF2DA5"/>
    <w:rsid w:val="00DF627E"/>
    <w:rsid w:val="00DF646D"/>
    <w:rsid w:val="00E06A10"/>
    <w:rsid w:val="00E071CE"/>
    <w:rsid w:val="00E1169A"/>
    <w:rsid w:val="00E124C4"/>
    <w:rsid w:val="00E16700"/>
    <w:rsid w:val="00E16A59"/>
    <w:rsid w:val="00E26EDF"/>
    <w:rsid w:val="00E3009B"/>
    <w:rsid w:val="00E430B2"/>
    <w:rsid w:val="00E43D84"/>
    <w:rsid w:val="00E45EA5"/>
    <w:rsid w:val="00E478F5"/>
    <w:rsid w:val="00E478F9"/>
    <w:rsid w:val="00E51146"/>
    <w:rsid w:val="00E51D78"/>
    <w:rsid w:val="00E523C9"/>
    <w:rsid w:val="00E66066"/>
    <w:rsid w:val="00E66D9A"/>
    <w:rsid w:val="00E714BC"/>
    <w:rsid w:val="00E869D5"/>
    <w:rsid w:val="00E960F4"/>
    <w:rsid w:val="00E976D2"/>
    <w:rsid w:val="00EB2F9A"/>
    <w:rsid w:val="00EB5746"/>
    <w:rsid w:val="00EB5CE9"/>
    <w:rsid w:val="00EB5FC4"/>
    <w:rsid w:val="00EC3FF8"/>
    <w:rsid w:val="00EC73B7"/>
    <w:rsid w:val="00EC788D"/>
    <w:rsid w:val="00ED13F1"/>
    <w:rsid w:val="00ED1D22"/>
    <w:rsid w:val="00EE559A"/>
    <w:rsid w:val="00EE7AC3"/>
    <w:rsid w:val="00EE7F09"/>
    <w:rsid w:val="00EF29E3"/>
    <w:rsid w:val="00F0063A"/>
    <w:rsid w:val="00F06DA2"/>
    <w:rsid w:val="00F10D84"/>
    <w:rsid w:val="00F24D20"/>
    <w:rsid w:val="00F24E60"/>
    <w:rsid w:val="00F27577"/>
    <w:rsid w:val="00F320AB"/>
    <w:rsid w:val="00F35A0C"/>
    <w:rsid w:val="00F42674"/>
    <w:rsid w:val="00F44277"/>
    <w:rsid w:val="00F51E50"/>
    <w:rsid w:val="00F65949"/>
    <w:rsid w:val="00F661C4"/>
    <w:rsid w:val="00F73A23"/>
    <w:rsid w:val="00F77EA2"/>
    <w:rsid w:val="00F82A7A"/>
    <w:rsid w:val="00F843E8"/>
    <w:rsid w:val="00F847EE"/>
    <w:rsid w:val="00F85F56"/>
    <w:rsid w:val="00F860F1"/>
    <w:rsid w:val="00F863D6"/>
    <w:rsid w:val="00F94D92"/>
    <w:rsid w:val="00F95B1F"/>
    <w:rsid w:val="00FA2515"/>
    <w:rsid w:val="00FA429E"/>
    <w:rsid w:val="00FD3A40"/>
    <w:rsid w:val="00FE6340"/>
    <w:rsid w:val="00FE7C64"/>
    <w:rsid w:val="00FF0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7171"/>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439EB"/>
    <w:pPr>
      <w:spacing w:after="120"/>
      <w:ind w:left="283"/>
    </w:pPr>
    <w:rPr>
      <w:sz w:val="16"/>
      <w:szCs w:val="16"/>
    </w:rPr>
  </w:style>
  <w:style w:type="character" w:customStyle="1" w:styleId="30">
    <w:name w:val="Основной текст с отступом 3 Знак"/>
    <w:basedOn w:val="a0"/>
    <w:link w:val="3"/>
    <w:rsid w:val="009439EB"/>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747171"/>
    <w:rPr>
      <w:rFonts w:ascii="Arial" w:eastAsia="Times New Roman" w:hAnsi="Arial" w:cs="Times New Roman"/>
      <w:b/>
      <w:bCs/>
      <w:color w:val="000080"/>
      <w:sz w:val="24"/>
      <w:szCs w:val="24"/>
      <w:lang w:eastAsia="ru-RU"/>
    </w:rPr>
  </w:style>
  <w:style w:type="paragraph" w:styleId="a3">
    <w:name w:val="List Paragraph"/>
    <w:basedOn w:val="a"/>
    <w:uiPriority w:val="99"/>
    <w:qFormat/>
    <w:rsid w:val="0074717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52368"/>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Indent"/>
    <w:basedOn w:val="a"/>
    <w:link w:val="a5"/>
    <w:rsid w:val="00EE7F09"/>
    <w:pPr>
      <w:spacing w:after="120"/>
      <w:ind w:left="283"/>
    </w:pPr>
    <w:rPr>
      <w:rFonts w:eastAsia="Calibri"/>
    </w:rPr>
  </w:style>
  <w:style w:type="character" w:customStyle="1" w:styleId="a5">
    <w:name w:val="Основной текст с отступом Знак"/>
    <w:basedOn w:val="a0"/>
    <w:link w:val="a4"/>
    <w:rsid w:val="00EE7F09"/>
    <w:rPr>
      <w:rFonts w:ascii="Times New Roman" w:eastAsia="Calibri" w:hAnsi="Times New Roman" w:cs="Times New Roman"/>
      <w:sz w:val="24"/>
      <w:szCs w:val="24"/>
      <w:lang w:eastAsia="ru-RU"/>
    </w:rPr>
  </w:style>
  <w:style w:type="table" w:styleId="a6">
    <w:name w:val="Table Grid"/>
    <w:basedOn w:val="a1"/>
    <w:rsid w:val="00D73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F65949"/>
    <w:rPr>
      <w:rFonts w:ascii="Tahoma" w:hAnsi="Tahoma" w:cs="Tahoma"/>
      <w:sz w:val="16"/>
      <w:szCs w:val="16"/>
    </w:rPr>
  </w:style>
  <w:style w:type="character" w:customStyle="1" w:styleId="a8">
    <w:name w:val="Текст выноски Знак"/>
    <w:basedOn w:val="a0"/>
    <w:link w:val="a7"/>
    <w:uiPriority w:val="99"/>
    <w:semiHidden/>
    <w:rsid w:val="00F65949"/>
    <w:rPr>
      <w:rFonts w:ascii="Tahoma" w:eastAsia="Times New Roman" w:hAnsi="Tahoma" w:cs="Tahoma"/>
      <w:sz w:val="16"/>
      <w:szCs w:val="16"/>
      <w:lang w:eastAsia="ru-RU"/>
    </w:rPr>
  </w:style>
  <w:style w:type="paragraph" w:styleId="a9">
    <w:name w:val="header"/>
    <w:basedOn w:val="a"/>
    <w:link w:val="aa"/>
    <w:uiPriority w:val="99"/>
    <w:unhideWhenUsed/>
    <w:rsid w:val="00365815"/>
    <w:pPr>
      <w:tabs>
        <w:tab w:val="center" w:pos="4677"/>
        <w:tab w:val="right" w:pos="9355"/>
      </w:tabs>
    </w:pPr>
  </w:style>
  <w:style w:type="character" w:customStyle="1" w:styleId="aa">
    <w:name w:val="Верхний колонтитул Знак"/>
    <w:basedOn w:val="a0"/>
    <w:link w:val="a9"/>
    <w:uiPriority w:val="99"/>
    <w:rsid w:val="00365815"/>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365815"/>
    <w:pPr>
      <w:tabs>
        <w:tab w:val="center" w:pos="4677"/>
        <w:tab w:val="right" w:pos="9355"/>
      </w:tabs>
    </w:pPr>
  </w:style>
  <w:style w:type="character" w:customStyle="1" w:styleId="ac">
    <w:name w:val="Нижний колонтитул Знак"/>
    <w:basedOn w:val="a0"/>
    <w:link w:val="ab"/>
    <w:uiPriority w:val="99"/>
    <w:semiHidden/>
    <w:rsid w:val="003658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76190">
      <w:bodyDiv w:val="1"/>
      <w:marLeft w:val="0"/>
      <w:marRight w:val="0"/>
      <w:marTop w:val="0"/>
      <w:marBottom w:val="0"/>
      <w:divBdr>
        <w:top w:val="none" w:sz="0" w:space="0" w:color="auto"/>
        <w:left w:val="none" w:sz="0" w:space="0" w:color="auto"/>
        <w:bottom w:val="none" w:sz="0" w:space="0" w:color="auto"/>
        <w:right w:val="none" w:sz="0" w:space="0" w:color="auto"/>
      </w:divBdr>
    </w:div>
    <w:div w:id="41907400">
      <w:bodyDiv w:val="1"/>
      <w:marLeft w:val="0"/>
      <w:marRight w:val="0"/>
      <w:marTop w:val="0"/>
      <w:marBottom w:val="0"/>
      <w:divBdr>
        <w:top w:val="none" w:sz="0" w:space="0" w:color="auto"/>
        <w:left w:val="none" w:sz="0" w:space="0" w:color="auto"/>
        <w:bottom w:val="none" w:sz="0" w:space="0" w:color="auto"/>
        <w:right w:val="none" w:sz="0" w:space="0" w:color="auto"/>
      </w:divBdr>
    </w:div>
    <w:div w:id="55127073">
      <w:bodyDiv w:val="1"/>
      <w:marLeft w:val="0"/>
      <w:marRight w:val="0"/>
      <w:marTop w:val="0"/>
      <w:marBottom w:val="0"/>
      <w:divBdr>
        <w:top w:val="none" w:sz="0" w:space="0" w:color="auto"/>
        <w:left w:val="none" w:sz="0" w:space="0" w:color="auto"/>
        <w:bottom w:val="none" w:sz="0" w:space="0" w:color="auto"/>
        <w:right w:val="none" w:sz="0" w:space="0" w:color="auto"/>
      </w:divBdr>
    </w:div>
    <w:div w:id="93290411">
      <w:bodyDiv w:val="1"/>
      <w:marLeft w:val="0"/>
      <w:marRight w:val="0"/>
      <w:marTop w:val="0"/>
      <w:marBottom w:val="0"/>
      <w:divBdr>
        <w:top w:val="none" w:sz="0" w:space="0" w:color="auto"/>
        <w:left w:val="none" w:sz="0" w:space="0" w:color="auto"/>
        <w:bottom w:val="none" w:sz="0" w:space="0" w:color="auto"/>
        <w:right w:val="none" w:sz="0" w:space="0" w:color="auto"/>
      </w:divBdr>
    </w:div>
    <w:div w:id="189992545">
      <w:bodyDiv w:val="1"/>
      <w:marLeft w:val="0"/>
      <w:marRight w:val="0"/>
      <w:marTop w:val="0"/>
      <w:marBottom w:val="0"/>
      <w:divBdr>
        <w:top w:val="none" w:sz="0" w:space="0" w:color="auto"/>
        <w:left w:val="none" w:sz="0" w:space="0" w:color="auto"/>
        <w:bottom w:val="none" w:sz="0" w:space="0" w:color="auto"/>
        <w:right w:val="none" w:sz="0" w:space="0" w:color="auto"/>
      </w:divBdr>
    </w:div>
    <w:div w:id="217980098">
      <w:bodyDiv w:val="1"/>
      <w:marLeft w:val="0"/>
      <w:marRight w:val="0"/>
      <w:marTop w:val="0"/>
      <w:marBottom w:val="0"/>
      <w:divBdr>
        <w:top w:val="none" w:sz="0" w:space="0" w:color="auto"/>
        <w:left w:val="none" w:sz="0" w:space="0" w:color="auto"/>
        <w:bottom w:val="none" w:sz="0" w:space="0" w:color="auto"/>
        <w:right w:val="none" w:sz="0" w:space="0" w:color="auto"/>
      </w:divBdr>
    </w:div>
    <w:div w:id="326831119">
      <w:bodyDiv w:val="1"/>
      <w:marLeft w:val="0"/>
      <w:marRight w:val="0"/>
      <w:marTop w:val="0"/>
      <w:marBottom w:val="0"/>
      <w:divBdr>
        <w:top w:val="none" w:sz="0" w:space="0" w:color="auto"/>
        <w:left w:val="none" w:sz="0" w:space="0" w:color="auto"/>
        <w:bottom w:val="none" w:sz="0" w:space="0" w:color="auto"/>
        <w:right w:val="none" w:sz="0" w:space="0" w:color="auto"/>
      </w:divBdr>
    </w:div>
    <w:div w:id="498542479">
      <w:bodyDiv w:val="1"/>
      <w:marLeft w:val="0"/>
      <w:marRight w:val="0"/>
      <w:marTop w:val="0"/>
      <w:marBottom w:val="0"/>
      <w:divBdr>
        <w:top w:val="none" w:sz="0" w:space="0" w:color="auto"/>
        <w:left w:val="none" w:sz="0" w:space="0" w:color="auto"/>
        <w:bottom w:val="none" w:sz="0" w:space="0" w:color="auto"/>
        <w:right w:val="none" w:sz="0" w:space="0" w:color="auto"/>
      </w:divBdr>
    </w:div>
    <w:div w:id="526333551">
      <w:bodyDiv w:val="1"/>
      <w:marLeft w:val="0"/>
      <w:marRight w:val="0"/>
      <w:marTop w:val="0"/>
      <w:marBottom w:val="0"/>
      <w:divBdr>
        <w:top w:val="none" w:sz="0" w:space="0" w:color="auto"/>
        <w:left w:val="none" w:sz="0" w:space="0" w:color="auto"/>
        <w:bottom w:val="none" w:sz="0" w:space="0" w:color="auto"/>
        <w:right w:val="none" w:sz="0" w:space="0" w:color="auto"/>
      </w:divBdr>
    </w:div>
    <w:div w:id="629553485">
      <w:bodyDiv w:val="1"/>
      <w:marLeft w:val="0"/>
      <w:marRight w:val="0"/>
      <w:marTop w:val="0"/>
      <w:marBottom w:val="0"/>
      <w:divBdr>
        <w:top w:val="none" w:sz="0" w:space="0" w:color="auto"/>
        <w:left w:val="none" w:sz="0" w:space="0" w:color="auto"/>
        <w:bottom w:val="none" w:sz="0" w:space="0" w:color="auto"/>
        <w:right w:val="none" w:sz="0" w:space="0" w:color="auto"/>
      </w:divBdr>
    </w:div>
    <w:div w:id="644817918">
      <w:bodyDiv w:val="1"/>
      <w:marLeft w:val="0"/>
      <w:marRight w:val="0"/>
      <w:marTop w:val="0"/>
      <w:marBottom w:val="0"/>
      <w:divBdr>
        <w:top w:val="none" w:sz="0" w:space="0" w:color="auto"/>
        <w:left w:val="none" w:sz="0" w:space="0" w:color="auto"/>
        <w:bottom w:val="none" w:sz="0" w:space="0" w:color="auto"/>
        <w:right w:val="none" w:sz="0" w:space="0" w:color="auto"/>
      </w:divBdr>
    </w:div>
    <w:div w:id="716201218">
      <w:bodyDiv w:val="1"/>
      <w:marLeft w:val="0"/>
      <w:marRight w:val="0"/>
      <w:marTop w:val="0"/>
      <w:marBottom w:val="0"/>
      <w:divBdr>
        <w:top w:val="none" w:sz="0" w:space="0" w:color="auto"/>
        <w:left w:val="none" w:sz="0" w:space="0" w:color="auto"/>
        <w:bottom w:val="none" w:sz="0" w:space="0" w:color="auto"/>
        <w:right w:val="none" w:sz="0" w:space="0" w:color="auto"/>
      </w:divBdr>
    </w:div>
    <w:div w:id="782841192">
      <w:bodyDiv w:val="1"/>
      <w:marLeft w:val="0"/>
      <w:marRight w:val="0"/>
      <w:marTop w:val="0"/>
      <w:marBottom w:val="0"/>
      <w:divBdr>
        <w:top w:val="none" w:sz="0" w:space="0" w:color="auto"/>
        <w:left w:val="none" w:sz="0" w:space="0" w:color="auto"/>
        <w:bottom w:val="none" w:sz="0" w:space="0" w:color="auto"/>
        <w:right w:val="none" w:sz="0" w:space="0" w:color="auto"/>
      </w:divBdr>
    </w:div>
    <w:div w:id="904030382">
      <w:bodyDiv w:val="1"/>
      <w:marLeft w:val="0"/>
      <w:marRight w:val="0"/>
      <w:marTop w:val="0"/>
      <w:marBottom w:val="0"/>
      <w:divBdr>
        <w:top w:val="none" w:sz="0" w:space="0" w:color="auto"/>
        <w:left w:val="none" w:sz="0" w:space="0" w:color="auto"/>
        <w:bottom w:val="none" w:sz="0" w:space="0" w:color="auto"/>
        <w:right w:val="none" w:sz="0" w:space="0" w:color="auto"/>
      </w:divBdr>
    </w:div>
    <w:div w:id="1047921369">
      <w:bodyDiv w:val="1"/>
      <w:marLeft w:val="0"/>
      <w:marRight w:val="0"/>
      <w:marTop w:val="0"/>
      <w:marBottom w:val="0"/>
      <w:divBdr>
        <w:top w:val="none" w:sz="0" w:space="0" w:color="auto"/>
        <w:left w:val="none" w:sz="0" w:space="0" w:color="auto"/>
        <w:bottom w:val="none" w:sz="0" w:space="0" w:color="auto"/>
        <w:right w:val="none" w:sz="0" w:space="0" w:color="auto"/>
      </w:divBdr>
    </w:div>
    <w:div w:id="1061489975">
      <w:bodyDiv w:val="1"/>
      <w:marLeft w:val="0"/>
      <w:marRight w:val="0"/>
      <w:marTop w:val="0"/>
      <w:marBottom w:val="0"/>
      <w:divBdr>
        <w:top w:val="none" w:sz="0" w:space="0" w:color="auto"/>
        <w:left w:val="none" w:sz="0" w:space="0" w:color="auto"/>
        <w:bottom w:val="none" w:sz="0" w:space="0" w:color="auto"/>
        <w:right w:val="none" w:sz="0" w:space="0" w:color="auto"/>
      </w:divBdr>
    </w:div>
    <w:div w:id="1151025136">
      <w:bodyDiv w:val="1"/>
      <w:marLeft w:val="0"/>
      <w:marRight w:val="0"/>
      <w:marTop w:val="0"/>
      <w:marBottom w:val="0"/>
      <w:divBdr>
        <w:top w:val="none" w:sz="0" w:space="0" w:color="auto"/>
        <w:left w:val="none" w:sz="0" w:space="0" w:color="auto"/>
        <w:bottom w:val="none" w:sz="0" w:space="0" w:color="auto"/>
        <w:right w:val="none" w:sz="0" w:space="0" w:color="auto"/>
      </w:divBdr>
    </w:div>
    <w:div w:id="1394699366">
      <w:bodyDiv w:val="1"/>
      <w:marLeft w:val="0"/>
      <w:marRight w:val="0"/>
      <w:marTop w:val="0"/>
      <w:marBottom w:val="0"/>
      <w:divBdr>
        <w:top w:val="none" w:sz="0" w:space="0" w:color="auto"/>
        <w:left w:val="none" w:sz="0" w:space="0" w:color="auto"/>
        <w:bottom w:val="none" w:sz="0" w:space="0" w:color="auto"/>
        <w:right w:val="none" w:sz="0" w:space="0" w:color="auto"/>
      </w:divBdr>
    </w:div>
    <w:div w:id="1511876099">
      <w:bodyDiv w:val="1"/>
      <w:marLeft w:val="0"/>
      <w:marRight w:val="0"/>
      <w:marTop w:val="0"/>
      <w:marBottom w:val="0"/>
      <w:divBdr>
        <w:top w:val="none" w:sz="0" w:space="0" w:color="auto"/>
        <w:left w:val="none" w:sz="0" w:space="0" w:color="auto"/>
        <w:bottom w:val="none" w:sz="0" w:space="0" w:color="auto"/>
        <w:right w:val="none" w:sz="0" w:space="0" w:color="auto"/>
      </w:divBdr>
    </w:div>
    <w:div w:id="19360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B092873B1BF4593D3CBDE99B5F1A2A1AC5E4989B77CEA4F7B34EFD81D1E7D6F0BED51AFvD0DL"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37205ABE5CD006DDD7388511B2E647663BF1A7E8512FBE480341D6240C5861BD1ED37BB3E04E9A2E0306D9I9z2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B6A261EFB82827C6CAC848ADE93EAAE13D6C77A96CC6C534425126462F1C722F2BBB515D9864106C9D081t2M8M"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consultantplus://offline/ref=8C6349DBB58C01EB487235143A1C3C7F59DEDB44BBF97F589E14979BB64E8B63B95AB17295CEAD4EF8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B8B092873B1BF4593D3CBDE99B5F1A2A1AC5E4989B77CEA4F7B34EFD81D1E7D6F0BED50ABD0v509L"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1074;&#1086;&#1080;&#1085;&#1089;&#1082;&#1080;&#1081;%20&#1091;&#1095;&#1077;&#1090;\&#1043;&#1088;&#1072;&#1092;&#1080;&#1082;&#1080;\&#1043;&#1088;&#1072;&#1092;&#1080;&#1082;&#1080;\&#1043;&#1088;&#1072;&#1092;&#1080;&#1082;&#1080;%20&#1074;&#1086;&#1077;&#1085;&#1082;&#1086;&#10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74;&#1086;&#1080;&#1085;&#1089;&#1082;&#1080;&#1081;%20&#1091;&#1095;&#1077;&#1090;\&#1043;&#1088;&#1072;&#1092;&#1080;&#1082;&#1080;\&#1043;&#1088;&#1072;&#1092;&#1080;&#1082;&#1080;\&#1043;&#1088;&#1072;&#1092;&#1080;&#1082;&#1080;%20&#1074;&#1086;&#1077;&#1085;&#1082;&#1086;&#10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10.30.4\&#1076;&#1086;&#1082;&#1091;&#1084;&#1077;&#1085;&#1090;&#1099;\2018\&#1052;&#1086;&#1083;&#1076;&#1086;&#1074;&#1072;&#1085;&#1086;&#1074;\Tablicy_po_rezul'tatam_redaction_01\&#1058;&#1072;&#1073;&#1083;&#1080;&#1094;&#1072;%20&#8470;%2011%20&#1075;&#1088;&#1072;&#1092;&#1080;&#10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10.30.171\&#1086;&#1073;&#1084;&#1077;&#1085;\&#1047;&#1072;&#1073;&#1088;&#1086;&#1076;&#1072;\2018\&#1042;&#1054;&#1048;&#1053;&#1057;&#1050;&#1048;&#1049;%20&#1059;&#1063;&#1045;&#1058;\&#1043;&#1088;&#1072;&#1092;&#1080;&#1082;&#1080;\&#1043;&#1088;&#1072;&#1074;&#1080;&#1082;%20&#1087;&#1086;%20&#1089;&#1090;&#1072;&#1074;&#1082;&#1072;&#1084;%20&#1042;&#1059;&#1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itchFamily="18" charset="0"/>
                <a:cs typeface="Times New Roman" pitchFamily="18" charset="0"/>
              </a:defRPr>
            </a:pPr>
            <a:r>
              <a:rPr lang="en-US" sz="1100"/>
              <a:t>2016</a:t>
            </a:r>
            <a:r>
              <a:rPr lang="ru-RU" sz="1100"/>
              <a:t> год</a:t>
            </a:r>
            <a:endParaRPr lang="en-US" sz="1100"/>
          </a:p>
        </c:rich>
      </c:tx>
      <c:layout>
        <c:manualLayout>
          <c:xMode val="edge"/>
          <c:yMode val="edge"/>
          <c:x val="0.1971939229995994"/>
          <c:y val="3.2964123612867956E-2"/>
        </c:manualLayout>
      </c:layout>
    </c:title>
    <c:view3D>
      <c:rotX val="30"/>
      <c:perspective val="30"/>
    </c:view3D>
    <c:plotArea>
      <c:layout/>
      <c:pie3DChart>
        <c:varyColors val="1"/>
        <c:ser>
          <c:idx val="0"/>
          <c:order val="0"/>
          <c:tx>
            <c:strRef>
              <c:f>Лист1!$C$50</c:f>
              <c:strCache>
                <c:ptCount val="1"/>
                <c:pt idx="0">
                  <c:v>2016</c:v>
                </c:pt>
              </c:strCache>
            </c:strRef>
          </c:tx>
          <c:spPr>
            <a:solidFill>
              <a:srgbClr val="FFFF00"/>
            </a:solidFill>
          </c:spPr>
          <c:explosion val="25"/>
          <c:dPt>
            <c:idx val="0"/>
            <c:spPr>
              <a:solidFill>
                <a:schemeClr val="accent2">
                  <a:lumMod val="60000"/>
                  <a:lumOff val="40000"/>
                </a:schemeClr>
              </a:solidFill>
            </c:spPr>
          </c:dPt>
          <c:dPt>
            <c:idx val="1"/>
            <c:spPr>
              <a:solidFill>
                <a:srgbClr val="FFFF00"/>
              </a:solidFill>
              <a:ln>
                <a:solidFill>
                  <a:srgbClr val="FFFF00"/>
                </a:solidFill>
              </a:ln>
            </c:spPr>
          </c:dPt>
          <c:dPt>
            <c:idx val="2"/>
            <c:spPr>
              <a:solidFill>
                <a:schemeClr val="tx2">
                  <a:lumMod val="75000"/>
                </a:schemeClr>
              </a:solidFill>
            </c:spPr>
          </c:dPt>
          <c:dLbls>
            <c:dLbl>
              <c:idx val="0"/>
              <c:layout>
                <c:manualLayout>
                  <c:x val="-9.1950281492154493E-2"/>
                  <c:y val="-3.9144326612352655E-2"/>
                </c:manualLayout>
              </c:layout>
              <c:tx>
                <c:rich>
                  <a:bodyPr/>
                  <a:lstStyle/>
                  <a:p>
                    <a:r>
                      <a:rPr lang="en-US">
                        <a:latin typeface="Times New Roman" pitchFamily="18" charset="0"/>
                        <a:cs typeface="Times New Roman" pitchFamily="18" charset="0"/>
                      </a:rPr>
                      <a:t>1,3</a:t>
                    </a:r>
                    <a:r>
                      <a:rPr lang="ru-RU">
                        <a:latin typeface="Times New Roman" pitchFamily="18" charset="0"/>
                        <a:cs typeface="Times New Roman" pitchFamily="18" charset="0"/>
                      </a:rPr>
                      <a:t> %</a:t>
                    </a:r>
                    <a:endParaRPr lang="en-US">
                      <a:latin typeface="Times New Roman" pitchFamily="18" charset="0"/>
                      <a:cs typeface="Times New Roman" pitchFamily="18" charset="0"/>
                    </a:endParaRPr>
                  </a:p>
                </c:rich>
              </c:tx>
              <c:showVal val="1"/>
            </c:dLbl>
            <c:dLbl>
              <c:idx val="1"/>
              <c:layout>
                <c:manualLayout>
                  <c:x val="4.475435877350329E-2"/>
                  <c:y val="-5.2702198352373997E-2"/>
                </c:manualLayout>
              </c:layout>
              <c:tx>
                <c:rich>
                  <a:bodyPr/>
                  <a:lstStyle/>
                  <a:p>
                    <a:r>
                      <a:rPr lang="en-US"/>
                      <a:t>8,4</a:t>
                    </a:r>
                    <a:r>
                      <a:rPr lang="ru-RU"/>
                      <a:t>%</a:t>
                    </a:r>
                    <a:endParaRPr lang="en-US"/>
                  </a:p>
                </c:rich>
              </c:tx>
              <c:showVal val="1"/>
            </c:dLbl>
            <c:dLbl>
              <c:idx val="2"/>
              <c:layout>
                <c:manualLayout>
                  <c:x val="9.7716376362045748E-2"/>
                  <c:y val="-0.17504180864470889"/>
                </c:manualLayout>
              </c:layout>
              <c:tx>
                <c:rich>
                  <a:bodyPr/>
                  <a:lstStyle/>
                  <a:p>
                    <a:r>
                      <a:rPr lang="en-US"/>
                      <a:t>90,3</a:t>
                    </a:r>
                    <a:r>
                      <a:rPr lang="ru-RU"/>
                      <a:t> %</a:t>
                    </a:r>
                    <a:endParaRPr lang="en-US"/>
                  </a:p>
                </c:rich>
              </c:tx>
              <c:showVal val="1"/>
            </c:dLbl>
            <c:numFmt formatCode="@" sourceLinked="0"/>
            <c:spPr>
              <a:solidFill>
                <a:schemeClr val="bg1"/>
              </a:solidFill>
            </c:spPr>
            <c:txPr>
              <a:bodyPr/>
              <a:lstStyle/>
              <a:p>
                <a:pPr>
                  <a:defRPr b="1">
                    <a:latin typeface="Times New Roman" pitchFamily="18" charset="0"/>
                    <a:cs typeface="Times New Roman" pitchFamily="18" charset="0"/>
                  </a:defRPr>
                </a:pPr>
                <a:endParaRPr lang="ru-RU"/>
              </a:p>
            </c:txPr>
            <c:showVal val="1"/>
            <c:showLeaderLines val="1"/>
          </c:dLbls>
          <c:cat>
            <c:strRef>
              <c:f>Лист1!$B$51:$B$53</c:f>
              <c:strCache>
                <c:ptCount val="3"/>
                <c:pt idx="0">
                  <c:v>Оплата услуг (коммунальные услуги, аренда помещений, транспортные услуги, командировочные расходы)</c:v>
                </c:pt>
                <c:pt idx="1">
                  <c:v>Материально-техническое обеспечение</c:v>
                </c:pt>
                <c:pt idx="2">
                  <c:v>Расходы на оплату труда</c:v>
                </c:pt>
              </c:strCache>
            </c:strRef>
          </c:cat>
          <c:val>
            <c:numRef>
              <c:f>Лист1!$C$51:$C$53</c:f>
              <c:numCache>
                <c:formatCode>General</c:formatCode>
                <c:ptCount val="3"/>
                <c:pt idx="0">
                  <c:v>1.3</c:v>
                </c:pt>
                <c:pt idx="1">
                  <c:v>8.4</c:v>
                </c:pt>
                <c:pt idx="2">
                  <c:v>90.3</c:v>
                </c:pt>
              </c:numCache>
            </c:numRef>
          </c:val>
        </c:ser>
        <c:dLbls>
          <c:showVal val="1"/>
        </c:dLbls>
      </c:pie3DChart>
    </c:plotArea>
    <c:legend>
      <c:legendPos val="r"/>
      <c:layout>
        <c:manualLayout>
          <c:xMode val="edge"/>
          <c:yMode val="edge"/>
          <c:x val="0.54527632955228356"/>
          <c:y val="5.6161003355246132E-2"/>
          <c:w val="0.43530610347670801"/>
          <c:h val="0.9438389966447559"/>
        </c:manualLayout>
      </c:layout>
      <c:spPr>
        <a:solidFill>
          <a:schemeClr val="accent3">
            <a:lumMod val="20000"/>
            <a:lumOff val="80000"/>
          </a:schemeClr>
        </a:solidFill>
      </c:spPr>
      <c:txPr>
        <a:bodyPr/>
        <a:lstStyle/>
        <a:p>
          <a:pPr>
            <a:defRPr sz="800" b="1">
              <a:latin typeface="Times New Roman" pitchFamily="18" charset="0"/>
              <a:cs typeface="Times New Roman" pitchFamily="18" charset="0"/>
            </a:defRPr>
          </a:pPr>
          <a:endParaRPr lang="ru-RU"/>
        </a:p>
      </c:txPr>
    </c:legend>
    <c:plotVisOnly val="1"/>
  </c:chart>
  <c:spPr>
    <a:solidFill>
      <a:srgbClr val="F79646">
        <a:lumMod val="20000"/>
        <a:lumOff val="80000"/>
      </a:srgbClr>
    </a:solidFill>
    <a:ln>
      <a:solidFill>
        <a:srgbClr val="FFFF00"/>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itchFamily="18" charset="0"/>
                <a:cs typeface="Times New Roman" pitchFamily="18" charset="0"/>
              </a:defRPr>
            </a:pPr>
            <a:r>
              <a:rPr lang="en-US" sz="1100"/>
              <a:t>2017</a:t>
            </a:r>
            <a:r>
              <a:rPr lang="ru-RU" sz="1100"/>
              <a:t> год</a:t>
            </a:r>
            <a:endParaRPr lang="en-US" sz="1100"/>
          </a:p>
        </c:rich>
      </c:tx>
      <c:layout>
        <c:manualLayout>
          <c:xMode val="edge"/>
          <c:yMode val="edge"/>
          <c:x val="0.18829706640905974"/>
          <c:y val="3.2964123612867949E-2"/>
        </c:manualLayout>
      </c:layout>
    </c:title>
    <c:view3D>
      <c:rotX val="30"/>
      <c:perspective val="30"/>
    </c:view3D>
    <c:plotArea>
      <c:layout>
        <c:manualLayout>
          <c:layoutTarget val="inner"/>
          <c:xMode val="edge"/>
          <c:yMode val="edge"/>
          <c:x val="3.9272923194144146E-2"/>
          <c:y val="0.16413940723753123"/>
          <c:w val="0.50301440878351777"/>
          <c:h val="0.72313105344379836"/>
        </c:manualLayout>
      </c:layout>
      <c:pie3DChart>
        <c:varyColors val="1"/>
        <c:ser>
          <c:idx val="0"/>
          <c:order val="0"/>
          <c:tx>
            <c:strRef>
              <c:f>Лист1!$F$50</c:f>
              <c:strCache>
                <c:ptCount val="1"/>
                <c:pt idx="0">
                  <c:v>2017</c:v>
                </c:pt>
              </c:strCache>
            </c:strRef>
          </c:tx>
          <c:explosion val="25"/>
          <c:dPt>
            <c:idx val="0"/>
            <c:spPr>
              <a:solidFill>
                <a:schemeClr val="accent2">
                  <a:lumMod val="40000"/>
                  <a:lumOff val="60000"/>
                </a:schemeClr>
              </a:solidFill>
            </c:spPr>
          </c:dPt>
          <c:dPt>
            <c:idx val="1"/>
            <c:spPr>
              <a:solidFill>
                <a:srgbClr val="FFFF00"/>
              </a:solidFill>
            </c:spPr>
          </c:dPt>
          <c:dPt>
            <c:idx val="2"/>
            <c:spPr>
              <a:solidFill>
                <a:srgbClr val="1F497D">
                  <a:lumMod val="75000"/>
                </a:srgbClr>
              </a:solidFill>
            </c:spPr>
          </c:dPt>
          <c:dLbls>
            <c:dLbl>
              <c:idx val="0"/>
              <c:layout>
                <c:manualLayout>
                  <c:x val="-9.2901386185543347E-2"/>
                  <c:y val="-2.5201620678750307E-2"/>
                </c:manualLayout>
              </c:layout>
              <c:tx>
                <c:rich>
                  <a:bodyPr/>
                  <a:lstStyle/>
                  <a:p>
                    <a:r>
                      <a:rPr lang="en-US" sz="1000" b="1">
                        <a:latin typeface="Times New Roman" pitchFamily="18" charset="0"/>
                        <a:cs typeface="Times New Roman" pitchFamily="18" charset="0"/>
                      </a:rPr>
                      <a:t>1</a:t>
                    </a:r>
                    <a:r>
                      <a:rPr lang="en-US" sz="1000"/>
                      <a:t>,1</a:t>
                    </a:r>
                    <a:r>
                      <a:rPr lang="ru-RU" sz="1000"/>
                      <a:t>%</a:t>
                    </a:r>
                    <a:endParaRPr lang="en-US" sz="1000"/>
                  </a:p>
                </c:rich>
              </c:tx>
              <c:dLblPos val="bestFit"/>
              <c:showVal val="1"/>
            </c:dLbl>
            <c:dLbl>
              <c:idx val="1"/>
              <c:layout>
                <c:manualLayout>
                  <c:x val="5.8540887268355456E-2"/>
                  <c:y val="-5.5803667353152481E-2"/>
                </c:manualLayout>
              </c:layout>
              <c:tx>
                <c:rich>
                  <a:bodyPr/>
                  <a:lstStyle/>
                  <a:p>
                    <a:r>
                      <a:rPr lang="en-US" sz="1000" b="1">
                        <a:latin typeface="Times New Roman" pitchFamily="18" charset="0"/>
                        <a:cs typeface="Times New Roman" pitchFamily="18" charset="0"/>
                      </a:rPr>
                      <a:t>6</a:t>
                    </a:r>
                    <a:r>
                      <a:rPr lang="en-US"/>
                      <a:t>,6</a:t>
                    </a:r>
                    <a:r>
                      <a:rPr lang="ru-RU"/>
                      <a:t>%</a:t>
                    </a:r>
                    <a:endParaRPr lang="en-US"/>
                  </a:p>
                </c:rich>
              </c:tx>
              <c:dLblPos val="bestFit"/>
              <c:showVal val="1"/>
            </c:dLbl>
            <c:dLbl>
              <c:idx val="2"/>
              <c:layout>
                <c:manualLayout>
                  <c:x val="9.7852958102860765E-2"/>
                  <c:y val="-0.16542149953019708"/>
                </c:manualLayout>
              </c:layout>
              <c:tx>
                <c:rich>
                  <a:bodyPr/>
                  <a:lstStyle/>
                  <a:p>
                    <a:r>
                      <a:rPr lang="en-US" sz="1000" b="1">
                        <a:latin typeface="Times New Roman" pitchFamily="18" charset="0"/>
                        <a:cs typeface="Times New Roman" pitchFamily="18" charset="0"/>
                      </a:rPr>
                      <a:t>9</a:t>
                    </a:r>
                    <a:r>
                      <a:rPr lang="en-US"/>
                      <a:t>2,3</a:t>
                    </a:r>
                    <a:r>
                      <a:rPr lang="ru-RU"/>
                      <a:t>%</a:t>
                    </a:r>
                    <a:endParaRPr lang="en-US"/>
                  </a:p>
                </c:rich>
              </c:tx>
              <c:dLblPos val="bestFit"/>
              <c:showVal val="1"/>
            </c:dLbl>
            <c:delete val="1"/>
            <c:spPr>
              <a:solidFill>
                <a:schemeClr val="bg1"/>
              </a:solidFill>
            </c:spPr>
            <c:txPr>
              <a:bodyPr/>
              <a:lstStyle/>
              <a:p>
                <a:pPr>
                  <a:defRPr sz="1000" b="1">
                    <a:latin typeface="Times New Roman" pitchFamily="18" charset="0"/>
                    <a:cs typeface="Times New Roman" pitchFamily="18" charset="0"/>
                  </a:defRPr>
                </a:pPr>
                <a:endParaRPr lang="ru-RU"/>
              </a:p>
            </c:txPr>
          </c:dLbls>
          <c:cat>
            <c:strRef>
              <c:f>Лист1!$E$51:$E$53</c:f>
              <c:strCache>
                <c:ptCount val="3"/>
                <c:pt idx="0">
                  <c:v>Оплата услуг (коммунальные услуги, аренда помещений, транспортные услуги)</c:v>
                </c:pt>
                <c:pt idx="1">
                  <c:v>Материально-техническое обеспечение</c:v>
                </c:pt>
                <c:pt idx="2">
                  <c:v>Расходы на оплату труда</c:v>
                </c:pt>
              </c:strCache>
            </c:strRef>
          </c:cat>
          <c:val>
            <c:numRef>
              <c:f>Лист1!$F$51:$F$53</c:f>
              <c:numCache>
                <c:formatCode>General</c:formatCode>
                <c:ptCount val="3"/>
                <c:pt idx="0">
                  <c:v>1.1000000000000001</c:v>
                </c:pt>
                <c:pt idx="1">
                  <c:v>6.6</c:v>
                </c:pt>
                <c:pt idx="2">
                  <c:v>92.3</c:v>
                </c:pt>
              </c:numCache>
            </c:numRef>
          </c:val>
        </c:ser>
        <c:dLbls>
          <c:showVal val="1"/>
        </c:dLbls>
      </c:pie3DChart>
    </c:plotArea>
    <c:legend>
      <c:legendPos val="r"/>
      <c:layout>
        <c:manualLayout>
          <c:xMode val="edge"/>
          <c:yMode val="edge"/>
          <c:x val="0.53393129732179201"/>
          <c:y val="9.0502958119124205E-2"/>
          <c:w val="0.44454403292088085"/>
          <c:h val="0.89589652899025762"/>
        </c:manualLayout>
      </c:layout>
      <c:spPr>
        <a:solidFill>
          <a:srgbClr val="9BBB59">
            <a:lumMod val="20000"/>
            <a:lumOff val="80000"/>
          </a:srgbClr>
        </a:solidFill>
      </c:spPr>
      <c:txPr>
        <a:bodyPr/>
        <a:lstStyle/>
        <a:p>
          <a:pPr>
            <a:defRPr sz="800" b="1">
              <a:latin typeface="Times New Roman" pitchFamily="18" charset="0"/>
              <a:cs typeface="Times New Roman" pitchFamily="18" charset="0"/>
            </a:defRPr>
          </a:pPr>
          <a:endParaRPr lang="ru-RU"/>
        </a:p>
      </c:txPr>
    </c:legend>
    <c:plotVisOnly val="1"/>
  </c:chart>
  <c:spPr>
    <a:solidFill>
      <a:schemeClr val="accent6">
        <a:lumMod val="20000"/>
        <a:lumOff val="80000"/>
      </a:schemeClr>
    </a:solidFill>
    <a:ln>
      <a:solidFill>
        <a:srgbClr val="FFFF00"/>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Лист2!$D$2</c:f>
              <c:strCache>
                <c:ptCount val="1"/>
                <c:pt idx="0">
                  <c:v>Аренда помещений</c:v>
                </c:pt>
              </c:strCache>
            </c:strRef>
          </c:tx>
          <c:dLbls>
            <c:dLbl>
              <c:idx val="0"/>
              <c:layout/>
              <c:tx>
                <c:rich>
                  <a:bodyPr/>
                  <a:lstStyle/>
                  <a:p>
                    <a:r>
                      <a:rPr lang="en-US" baseline="0">
                        <a:latin typeface="Times New Roman" pitchFamily="18" charset="0"/>
                      </a:rPr>
                      <a:t>2</a:t>
                    </a:r>
                    <a:endParaRPr lang="ru-RU" baseline="0">
                      <a:latin typeface="Times New Roman" pitchFamily="18" charset="0"/>
                    </a:endParaRPr>
                  </a:p>
                  <a:p>
                    <a:r>
                      <a:rPr lang="ru-RU" baseline="0">
                        <a:latin typeface="Times New Roman" pitchFamily="18" charset="0"/>
                      </a:rPr>
                      <a:t> (12,4)</a:t>
                    </a:r>
                    <a:endParaRPr lang="en-US"/>
                  </a:p>
                </c:rich>
              </c:tx>
              <c:showVal val="1"/>
            </c:dLbl>
            <c:dLbl>
              <c:idx val="1"/>
              <c:layout/>
              <c:tx>
                <c:rich>
                  <a:bodyPr/>
                  <a:lstStyle/>
                  <a:p>
                    <a:r>
                      <a:rPr lang="en-US" baseline="0">
                        <a:latin typeface="Times New Roman" pitchFamily="18" charset="0"/>
                      </a:rPr>
                      <a:t>1</a:t>
                    </a:r>
                    <a:endParaRPr lang="ru-RU" baseline="0">
                      <a:latin typeface="Times New Roman" pitchFamily="18" charset="0"/>
                    </a:endParaRPr>
                  </a:p>
                  <a:p>
                    <a:r>
                      <a:rPr lang="ru-RU" baseline="0">
                        <a:latin typeface="Times New Roman" pitchFamily="18" charset="0"/>
                      </a:rPr>
                      <a:t>(1,8)</a:t>
                    </a:r>
                    <a:endParaRPr lang="en-US"/>
                  </a:p>
                </c:rich>
              </c:tx>
              <c:showVal val="1"/>
            </c:dLbl>
            <c:txPr>
              <a:bodyPr/>
              <a:lstStyle/>
              <a:p>
                <a:pPr>
                  <a:defRPr baseline="0">
                    <a:latin typeface="Times New Roman" pitchFamily="18" charset="0"/>
                  </a:defRPr>
                </a:pPr>
                <a:endParaRPr lang="ru-RU"/>
              </a:p>
            </c:txPr>
            <c:showVal val="1"/>
          </c:dLbls>
          <c:cat>
            <c:strRef>
              <c:f>Лист2!$A$4:$A$5</c:f>
              <c:strCache>
                <c:ptCount val="2"/>
                <c:pt idx="0">
                  <c:v>2016 год</c:v>
                </c:pt>
                <c:pt idx="1">
                  <c:v>2017 год</c:v>
                </c:pt>
              </c:strCache>
            </c:strRef>
          </c:cat>
          <c:val>
            <c:numRef>
              <c:f>Лист2!$E$4:$E$5</c:f>
              <c:numCache>
                <c:formatCode>#,##0.0</c:formatCode>
                <c:ptCount val="2"/>
                <c:pt idx="0">
                  <c:v>2</c:v>
                </c:pt>
                <c:pt idx="1">
                  <c:v>1</c:v>
                </c:pt>
              </c:numCache>
            </c:numRef>
          </c:val>
        </c:ser>
        <c:ser>
          <c:idx val="1"/>
          <c:order val="1"/>
          <c:tx>
            <c:strRef>
              <c:f>Лист2!$F$2</c:f>
              <c:strCache>
                <c:ptCount val="1"/>
                <c:pt idx="0">
                  <c:v>Услуги связи</c:v>
                </c:pt>
              </c:strCache>
            </c:strRef>
          </c:tx>
          <c:dLbls>
            <c:dLbl>
              <c:idx val="0"/>
              <c:layout/>
              <c:tx>
                <c:rich>
                  <a:bodyPr/>
                  <a:lstStyle/>
                  <a:p>
                    <a:r>
                      <a:rPr lang="en-US" baseline="0">
                        <a:latin typeface="Times New Roman" pitchFamily="18" charset="0"/>
                      </a:rPr>
                      <a:t>4</a:t>
                    </a:r>
                    <a:r>
                      <a:rPr lang="en-US"/>
                      <a:t>8</a:t>
                    </a:r>
                    <a:endParaRPr lang="ru-RU"/>
                  </a:p>
                  <a:p>
                    <a:r>
                      <a:rPr lang="ru-RU"/>
                      <a:t>(230,4)</a:t>
                    </a:r>
                  </a:p>
                </c:rich>
              </c:tx>
              <c:showVal val="1"/>
            </c:dLbl>
            <c:dLbl>
              <c:idx val="1"/>
              <c:layout/>
              <c:tx>
                <c:rich>
                  <a:bodyPr/>
                  <a:lstStyle/>
                  <a:p>
                    <a:r>
                      <a:rPr lang="en-US" baseline="0">
                        <a:latin typeface="Times New Roman" pitchFamily="18" charset="0"/>
                      </a:rPr>
                      <a:t>4</a:t>
                    </a:r>
                    <a:r>
                      <a:rPr lang="en-US"/>
                      <a:t>3</a:t>
                    </a:r>
                    <a:endParaRPr lang="ru-RU"/>
                  </a:p>
                  <a:p>
                    <a:r>
                      <a:rPr lang="ru-RU"/>
                      <a:t>(195,0)</a:t>
                    </a:r>
                    <a:endParaRPr lang="en-US"/>
                  </a:p>
                </c:rich>
              </c:tx>
              <c:showVal val="1"/>
            </c:dLbl>
            <c:txPr>
              <a:bodyPr/>
              <a:lstStyle/>
              <a:p>
                <a:pPr>
                  <a:defRPr baseline="0">
                    <a:latin typeface="Times New Roman" pitchFamily="18" charset="0"/>
                  </a:defRPr>
                </a:pPr>
                <a:endParaRPr lang="ru-RU"/>
              </a:p>
            </c:txPr>
            <c:showVal val="1"/>
          </c:dLbls>
          <c:val>
            <c:numRef>
              <c:f>Лист2!$G$4:$G$5</c:f>
              <c:numCache>
                <c:formatCode>#,##0.0</c:formatCode>
                <c:ptCount val="2"/>
                <c:pt idx="0">
                  <c:v>48</c:v>
                </c:pt>
                <c:pt idx="1">
                  <c:v>43</c:v>
                </c:pt>
              </c:numCache>
            </c:numRef>
          </c:val>
        </c:ser>
        <c:ser>
          <c:idx val="2"/>
          <c:order val="2"/>
          <c:tx>
            <c:strRef>
              <c:f>Лист2!$H$2</c:f>
              <c:strCache>
                <c:ptCount val="1"/>
                <c:pt idx="0">
                  <c:v>Оплата транспортных услуг</c:v>
                </c:pt>
              </c:strCache>
            </c:strRef>
          </c:tx>
          <c:dLbls>
            <c:dLbl>
              <c:idx val="0"/>
              <c:layout/>
              <c:tx>
                <c:rich>
                  <a:bodyPr/>
                  <a:lstStyle/>
                  <a:p>
                    <a:r>
                      <a:rPr lang="en-US" baseline="0">
                        <a:latin typeface="Times New Roman" pitchFamily="18" charset="0"/>
                      </a:rPr>
                      <a:t>1</a:t>
                    </a:r>
                    <a:r>
                      <a:rPr lang="ru-RU"/>
                      <a:t>8 </a:t>
                    </a:r>
                  </a:p>
                  <a:p>
                    <a:r>
                      <a:rPr lang="ru-RU"/>
                      <a:t>(63,6)</a:t>
                    </a:r>
                    <a:endParaRPr lang="en-US"/>
                  </a:p>
                </c:rich>
              </c:tx>
              <c:showVal val="1"/>
            </c:dLbl>
            <c:dLbl>
              <c:idx val="1"/>
              <c:layout/>
              <c:tx>
                <c:rich>
                  <a:bodyPr/>
                  <a:lstStyle/>
                  <a:p>
                    <a:r>
                      <a:rPr lang="en-US" baseline="0">
                        <a:latin typeface="Times New Roman" pitchFamily="18" charset="0"/>
                      </a:rPr>
                      <a:t>2</a:t>
                    </a:r>
                    <a:r>
                      <a:rPr lang="en-US"/>
                      <a:t>0</a:t>
                    </a:r>
                    <a:endParaRPr lang="ru-RU"/>
                  </a:p>
                  <a:p>
                    <a:r>
                      <a:rPr lang="ru-RU"/>
                      <a:t>(67,5)</a:t>
                    </a:r>
                    <a:endParaRPr lang="en-US"/>
                  </a:p>
                </c:rich>
              </c:tx>
              <c:showVal val="1"/>
            </c:dLbl>
            <c:txPr>
              <a:bodyPr/>
              <a:lstStyle/>
              <a:p>
                <a:pPr>
                  <a:defRPr baseline="0">
                    <a:latin typeface="Times New Roman" pitchFamily="18" charset="0"/>
                  </a:defRPr>
                </a:pPr>
                <a:endParaRPr lang="ru-RU"/>
              </a:p>
            </c:txPr>
            <c:showVal val="1"/>
          </c:dLbls>
          <c:val>
            <c:numRef>
              <c:f>Лист2!$I$4:$I$5</c:f>
              <c:numCache>
                <c:formatCode>#,##0.0</c:formatCode>
                <c:ptCount val="2"/>
                <c:pt idx="0">
                  <c:v>18</c:v>
                </c:pt>
                <c:pt idx="1">
                  <c:v>20</c:v>
                </c:pt>
              </c:numCache>
            </c:numRef>
          </c:val>
        </c:ser>
        <c:ser>
          <c:idx val="3"/>
          <c:order val="3"/>
          <c:tx>
            <c:strRef>
              <c:f>Лист2!$J$2</c:f>
              <c:strCache>
                <c:ptCount val="1"/>
                <c:pt idx="0">
                  <c:v>Командировочные расходы</c:v>
                </c:pt>
              </c:strCache>
            </c:strRef>
          </c:tx>
          <c:dLbls>
            <c:dLbl>
              <c:idx val="0"/>
              <c:layout/>
              <c:tx>
                <c:rich>
                  <a:bodyPr/>
                  <a:lstStyle/>
                  <a:p>
                    <a:r>
                      <a:rPr lang="en-US" baseline="0">
                        <a:latin typeface="Times New Roman" pitchFamily="18" charset="0"/>
                      </a:rPr>
                      <a:t>2</a:t>
                    </a:r>
                    <a:r>
                      <a:rPr lang="ru-RU" baseline="0">
                        <a:latin typeface="Times New Roman" pitchFamily="18" charset="0"/>
                      </a:rPr>
                      <a:t> </a:t>
                    </a:r>
                  </a:p>
                  <a:p>
                    <a:r>
                      <a:rPr lang="ru-RU" baseline="0">
                        <a:latin typeface="Times New Roman" pitchFamily="18" charset="0"/>
                      </a:rPr>
                      <a:t>(12,9)</a:t>
                    </a:r>
                    <a:endParaRPr lang="en-US"/>
                  </a:p>
                </c:rich>
              </c:tx>
              <c:showVal val="1"/>
            </c:dLbl>
            <c:dLbl>
              <c:idx val="1"/>
              <c:layout/>
              <c:tx>
                <c:rich>
                  <a:bodyPr/>
                  <a:lstStyle/>
                  <a:p>
                    <a:r>
                      <a:rPr lang="en-US" baseline="0">
                        <a:latin typeface="Times New Roman" pitchFamily="18" charset="0"/>
                      </a:rPr>
                      <a:t>0</a:t>
                    </a:r>
                    <a:endParaRPr lang="en-US"/>
                  </a:p>
                </c:rich>
              </c:tx>
              <c:showVal val="1"/>
            </c:dLbl>
            <c:txPr>
              <a:bodyPr/>
              <a:lstStyle/>
              <a:p>
                <a:pPr>
                  <a:defRPr baseline="0">
                    <a:latin typeface="Times New Roman" pitchFamily="18" charset="0"/>
                  </a:defRPr>
                </a:pPr>
                <a:endParaRPr lang="ru-RU"/>
              </a:p>
            </c:txPr>
            <c:showVal val="1"/>
          </c:dLbls>
          <c:val>
            <c:numRef>
              <c:f>Лист2!$K$4:$K$5</c:f>
              <c:numCache>
                <c:formatCode>#,##0.0</c:formatCode>
                <c:ptCount val="2"/>
                <c:pt idx="0">
                  <c:v>2</c:v>
                </c:pt>
                <c:pt idx="1">
                  <c:v>0</c:v>
                </c:pt>
              </c:numCache>
            </c:numRef>
          </c:val>
        </c:ser>
        <c:ser>
          <c:idx val="4"/>
          <c:order val="4"/>
          <c:tx>
            <c:strRef>
              <c:f>Лист2!$L$2</c:f>
              <c:strCache>
                <c:ptCount val="1"/>
                <c:pt idx="0">
                  <c:v>Оплата коммунальных услуг</c:v>
                </c:pt>
              </c:strCache>
            </c:strRef>
          </c:tx>
          <c:dLbls>
            <c:dLbl>
              <c:idx val="0"/>
              <c:layout/>
              <c:tx>
                <c:rich>
                  <a:bodyPr/>
                  <a:lstStyle/>
                  <a:p>
                    <a:r>
                      <a:rPr lang="en-US" baseline="0">
                        <a:latin typeface="Times New Roman" pitchFamily="18" charset="0"/>
                      </a:rPr>
                      <a:t>2</a:t>
                    </a:r>
                    <a:r>
                      <a:rPr lang="en-US"/>
                      <a:t>0</a:t>
                    </a:r>
                    <a:endParaRPr lang="ru-RU"/>
                  </a:p>
                  <a:p>
                    <a:r>
                      <a:rPr lang="ru-RU"/>
                      <a:t>(191,9)</a:t>
                    </a:r>
                    <a:endParaRPr lang="en-US"/>
                  </a:p>
                </c:rich>
              </c:tx>
              <c:showVal val="1"/>
            </c:dLbl>
            <c:dLbl>
              <c:idx val="1"/>
              <c:layout/>
              <c:tx>
                <c:rich>
                  <a:bodyPr/>
                  <a:lstStyle/>
                  <a:p>
                    <a:r>
                      <a:rPr lang="en-US" baseline="0">
                        <a:latin typeface="Times New Roman" pitchFamily="18" charset="0"/>
                      </a:rPr>
                      <a:t>1</a:t>
                    </a:r>
                    <a:r>
                      <a:rPr lang="en-US"/>
                      <a:t>5</a:t>
                    </a:r>
                    <a:endParaRPr lang="ru-RU"/>
                  </a:p>
                  <a:p>
                    <a:r>
                      <a:rPr lang="ru-RU"/>
                      <a:t>(141,6)</a:t>
                    </a:r>
                  </a:p>
                </c:rich>
              </c:tx>
              <c:showVal val="1"/>
            </c:dLbl>
            <c:txPr>
              <a:bodyPr/>
              <a:lstStyle/>
              <a:p>
                <a:pPr>
                  <a:defRPr baseline="0">
                    <a:latin typeface="Times New Roman" pitchFamily="18" charset="0"/>
                  </a:defRPr>
                </a:pPr>
                <a:endParaRPr lang="ru-RU"/>
              </a:p>
            </c:txPr>
            <c:showVal val="1"/>
          </c:dLbls>
          <c:val>
            <c:numRef>
              <c:f>Лист2!$M$4:$M$5</c:f>
              <c:numCache>
                <c:formatCode>#,##0.0</c:formatCode>
                <c:ptCount val="2"/>
                <c:pt idx="0">
                  <c:v>20</c:v>
                </c:pt>
                <c:pt idx="1">
                  <c:v>15</c:v>
                </c:pt>
              </c:numCache>
            </c:numRef>
          </c:val>
        </c:ser>
        <c:ser>
          <c:idx val="5"/>
          <c:order val="5"/>
          <c:tx>
            <c:strRef>
              <c:f>Лист2!$N$2</c:f>
              <c:strCache>
                <c:ptCount val="1"/>
                <c:pt idx="0">
                  <c:v>Обеспечение нефинансовыми активами</c:v>
                </c:pt>
              </c:strCache>
            </c:strRef>
          </c:tx>
          <c:dLbls>
            <c:dLbl>
              <c:idx val="0"/>
              <c:layout/>
              <c:tx>
                <c:rich>
                  <a:bodyPr/>
                  <a:lstStyle/>
                  <a:p>
                    <a:r>
                      <a:rPr lang="en-US" baseline="0">
                        <a:latin typeface="Times New Roman" pitchFamily="18" charset="0"/>
                      </a:rPr>
                      <a:t>3</a:t>
                    </a:r>
                    <a:r>
                      <a:rPr lang="en-US"/>
                      <a:t>18</a:t>
                    </a:r>
                    <a:endParaRPr lang="ru-RU"/>
                  </a:p>
                  <a:p>
                    <a:r>
                      <a:rPr lang="ru-RU"/>
                      <a:t>(3 120,6)</a:t>
                    </a:r>
                    <a:endParaRPr lang="en-US"/>
                  </a:p>
                </c:rich>
              </c:tx>
              <c:showVal val="1"/>
            </c:dLbl>
            <c:dLbl>
              <c:idx val="1"/>
              <c:layout/>
              <c:tx>
                <c:rich>
                  <a:bodyPr/>
                  <a:lstStyle/>
                  <a:p>
                    <a:r>
                      <a:rPr lang="en-US" baseline="0">
                        <a:latin typeface="Times New Roman" pitchFamily="18" charset="0"/>
                      </a:rPr>
                      <a:t>3</a:t>
                    </a:r>
                    <a:r>
                      <a:rPr lang="en-US"/>
                      <a:t>15</a:t>
                    </a:r>
                    <a:endParaRPr lang="ru-RU"/>
                  </a:p>
                  <a:p>
                    <a:r>
                      <a:rPr lang="ru-RU"/>
                      <a:t>(2 492,5)</a:t>
                    </a:r>
                    <a:endParaRPr lang="en-US"/>
                  </a:p>
                </c:rich>
              </c:tx>
              <c:showVal val="1"/>
            </c:dLbl>
            <c:txPr>
              <a:bodyPr/>
              <a:lstStyle/>
              <a:p>
                <a:pPr>
                  <a:defRPr baseline="0">
                    <a:latin typeface="Times New Roman" pitchFamily="18" charset="0"/>
                  </a:defRPr>
                </a:pPr>
                <a:endParaRPr lang="ru-RU"/>
              </a:p>
            </c:txPr>
            <c:showVal val="1"/>
          </c:dLbls>
          <c:val>
            <c:numRef>
              <c:f>Лист2!$O$4:$O$5</c:f>
              <c:numCache>
                <c:formatCode>#,##0.0</c:formatCode>
                <c:ptCount val="2"/>
                <c:pt idx="0">
                  <c:v>318</c:v>
                </c:pt>
                <c:pt idx="1">
                  <c:v>315</c:v>
                </c:pt>
              </c:numCache>
            </c:numRef>
          </c:val>
        </c:ser>
        <c:axId val="108539904"/>
        <c:axId val="108541440"/>
      </c:barChart>
      <c:catAx>
        <c:axId val="108539904"/>
        <c:scaling>
          <c:orientation val="minMax"/>
        </c:scaling>
        <c:axPos val="b"/>
        <c:majorGridlines/>
        <c:minorGridlines/>
        <c:tickLblPos val="nextTo"/>
        <c:txPr>
          <a:bodyPr/>
          <a:lstStyle/>
          <a:p>
            <a:pPr>
              <a:defRPr b="1" baseline="0">
                <a:latin typeface="Times New Roman" pitchFamily="18" charset="0"/>
              </a:defRPr>
            </a:pPr>
            <a:endParaRPr lang="ru-RU"/>
          </a:p>
        </c:txPr>
        <c:crossAx val="108541440"/>
        <c:crosses val="autoZero"/>
        <c:auto val="1"/>
        <c:lblAlgn val="ctr"/>
        <c:lblOffset val="100"/>
      </c:catAx>
      <c:valAx>
        <c:axId val="108541440"/>
        <c:scaling>
          <c:orientation val="minMax"/>
        </c:scaling>
        <c:axPos val="l"/>
        <c:majorGridlines/>
        <c:numFmt formatCode="#,##0" sourceLinked="0"/>
        <c:tickLblPos val="nextTo"/>
        <c:txPr>
          <a:bodyPr/>
          <a:lstStyle/>
          <a:p>
            <a:pPr>
              <a:defRPr baseline="0">
                <a:latin typeface="Times New Roman" pitchFamily="18" charset="0"/>
              </a:defRPr>
            </a:pPr>
            <a:endParaRPr lang="ru-RU"/>
          </a:p>
        </c:txPr>
        <c:crossAx val="108539904"/>
        <c:crosses val="autoZero"/>
        <c:crossBetween val="between"/>
      </c:valAx>
    </c:plotArea>
    <c:legend>
      <c:legendPos val="b"/>
      <c:layout/>
      <c:txPr>
        <a:bodyPr/>
        <a:lstStyle/>
        <a:p>
          <a:pPr>
            <a:defRPr baseline="0">
              <a:latin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Лист1!$K$431</c:f>
              <c:strCache>
                <c:ptCount val="1"/>
                <c:pt idx="0">
                  <c:v>2016 год</c:v>
                </c:pt>
              </c:strCache>
            </c:strRef>
          </c:tx>
          <c:dLbls>
            <c:dLbl>
              <c:idx val="0"/>
              <c:layout>
                <c:manualLayout>
                  <c:x val="0"/>
                  <c:y val="2.3979438858472975E-2"/>
                </c:manualLayout>
              </c:layout>
              <c:showVal val="1"/>
            </c:dLbl>
            <c:dLbl>
              <c:idx val="3"/>
              <c:layout>
                <c:manualLayout>
                  <c:x val="0"/>
                  <c:y val="9.5917755433891898E-3"/>
                </c:manualLayout>
              </c:layout>
              <c:showVal val="1"/>
            </c:dLbl>
            <c:txPr>
              <a:bodyPr/>
              <a:lstStyle/>
              <a:p>
                <a:pPr>
                  <a:defRPr baseline="0">
                    <a:latin typeface="Times New Roman" pitchFamily="18" charset="0"/>
                  </a:defRPr>
                </a:pPr>
                <a:endParaRPr lang="ru-RU"/>
              </a:p>
            </c:txPr>
            <c:showVal val="1"/>
          </c:dLbls>
          <c:cat>
            <c:strRef>
              <c:f>Лист1!$J$432:$J$435</c:f>
              <c:strCache>
                <c:ptCount val="4"/>
                <c:pt idx="0">
                  <c:v>0,2 ставки</c:v>
                </c:pt>
                <c:pt idx="1">
                  <c:v>0,3 ставки</c:v>
                </c:pt>
                <c:pt idx="2">
                  <c:v>0,4 ставки</c:v>
                </c:pt>
                <c:pt idx="3">
                  <c:v>полные ставки</c:v>
                </c:pt>
              </c:strCache>
            </c:strRef>
          </c:cat>
          <c:val>
            <c:numRef>
              <c:f>Лист1!$K$432:$K$435</c:f>
              <c:numCache>
                <c:formatCode>0</c:formatCode>
                <c:ptCount val="4"/>
                <c:pt idx="0">
                  <c:v>126</c:v>
                </c:pt>
                <c:pt idx="1">
                  <c:v>157</c:v>
                </c:pt>
                <c:pt idx="2">
                  <c:v>58</c:v>
                </c:pt>
                <c:pt idx="3">
                  <c:v>83</c:v>
                </c:pt>
              </c:numCache>
            </c:numRef>
          </c:val>
        </c:ser>
        <c:ser>
          <c:idx val="1"/>
          <c:order val="1"/>
          <c:tx>
            <c:strRef>
              <c:f>Лист1!$L$431</c:f>
              <c:strCache>
                <c:ptCount val="1"/>
                <c:pt idx="0">
                  <c:v>2017 год</c:v>
                </c:pt>
              </c:strCache>
            </c:strRef>
          </c:tx>
          <c:spPr>
            <a:gradFill>
              <a:gsLst>
                <a:gs pos="0">
                  <a:srgbClr val="92D050"/>
                </a:gs>
                <a:gs pos="50000">
                  <a:srgbClr val="4F81BD">
                    <a:tint val="44500"/>
                    <a:satMod val="160000"/>
                  </a:srgbClr>
                </a:gs>
                <a:gs pos="100000">
                  <a:srgbClr val="4F81BD">
                    <a:tint val="23500"/>
                    <a:satMod val="160000"/>
                  </a:srgbClr>
                </a:gs>
              </a:gsLst>
              <a:lin ang="5400000" scaled="0"/>
            </a:gradFill>
          </c:spPr>
          <c:dLbls>
            <c:dLbl>
              <c:idx val="0"/>
              <c:layout>
                <c:manualLayout>
                  <c:x val="1.4011091071762913E-3"/>
                  <c:y val="-2.711262632632731E-2"/>
                </c:manualLayout>
              </c:layout>
              <c:showVal val="1"/>
            </c:dLbl>
            <c:dLbl>
              <c:idx val="1"/>
              <c:layout>
                <c:manualLayout>
                  <c:x val="0"/>
                  <c:y val="-1.2891497381898431E-2"/>
                </c:manualLayout>
              </c:layout>
              <c:showVal val="1"/>
            </c:dLbl>
            <c:dLbl>
              <c:idx val="2"/>
              <c:layout>
                <c:manualLayout>
                  <c:x val="2.7777037407770567E-3"/>
                  <c:y val="-5.2947356257425134E-3"/>
                </c:manualLayout>
              </c:layout>
              <c:showVal val="1"/>
            </c:dLbl>
            <c:dLbl>
              <c:idx val="3"/>
              <c:layout>
                <c:manualLayout>
                  <c:x val="0"/>
                  <c:y val="1.8518518518518563E-2"/>
                </c:manualLayout>
              </c:layout>
              <c:showVal val="1"/>
            </c:dLbl>
            <c:txPr>
              <a:bodyPr/>
              <a:lstStyle/>
              <a:p>
                <a:pPr>
                  <a:defRPr baseline="0">
                    <a:latin typeface="Times New Roman" pitchFamily="18" charset="0"/>
                  </a:defRPr>
                </a:pPr>
                <a:endParaRPr lang="ru-RU"/>
              </a:p>
            </c:txPr>
            <c:showVal val="1"/>
          </c:dLbls>
          <c:cat>
            <c:strRef>
              <c:f>Лист1!$J$432:$J$435</c:f>
              <c:strCache>
                <c:ptCount val="4"/>
                <c:pt idx="0">
                  <c:v>0,2 ставки</c:v>
                </c:pt>
                <c:pt idx="1">
                  <c:v>0,3 ставки</c:v>
                </c:pt>
                <c:pt idx="2">
                  <c:v>0,4 ставки</c:v>
                </c:pt>
                <c:pt idx="3">
                  <c:v>полные ставки</c:v>
                </c:pt>
              </c:strCache>
            </c:strRef>
          </c:cat>
          <c:val>
            <c:numRef>
              <c:f>Лист1!$L$432:$L$435</c:f>
              <c:numCache>
                <c:formatCode>0</c:formatCode>
                <c:ptCount val="4"/>
                <c:pt idx="0">
                  <c:v>133</c:v>
                </c:pt>
                <c:pt idx="1">
                  <c:v>157</c:v>
                </c:pt>
                <c:pt idx="2">
                  <c:v>54</c:v>
                </c:pt>
                <c:pt idx="3">
                  <c:v>81</c:v>
                </c:pt>
              </c:numCache>
            </c:numRef>
          </c:val>
        </c:ser>
        <c:ser>
          <c:idx val="2"/>
          <c:order val="2"/>
          <c:tx>
            <c:strRef>
              <c:f>Лист1!$M$431</c:f>
              <c:strCache>
                <c:ptCount val="1"/>
                <c:pt idx="0">
                  <c:v>2018 год</c:v>
                </c:pt>
              </c:strCache>
            </c:strRef>
          </c:tx>
          <c:spPr>
            <a:solidFill>
              <a:srgbClr val="FF0000"/>
            </a:solidFill>
          </c:spPr>
          <c:dLbls>
            <c:dLbl>
              <c:idx val="0"/>
              <c:layout>
                <c:manualLayout>
                  <c:x val="1.2487738650045524E-2"/>
                  <c:y val="8.5940798352933528E-3"/>
                </c:manualLayout>
              </c:layout>
              <c:showVal val="1"/>
            </c:dLbl>
            <c:dLbl>
              <c:idx val="1"/>
              <c:layout>
                <c:manualLayout>
                  <c:x val="3.4168898470922052E-3"/>
                  <c:y val="2.7777630922071798E-2"/>
                </c:manualLayout>
              </c:layout>
              <c:showVal val="1"/>
            </c:dLbl>
            <c:dLbl>
              <c:idx val="2"/>
              <c:layout>
                <c:manualLayout>
                  <c:x val="0"/>
                  <c:y val="2.3979438858472975E-2"/>
                </c:manualLayout>
              </c:layout>
              <c:showVal val="1"/>
            </c:dLbl>
            <c:dLbl>
              <c:idx val="3"/>
              <c:layout>
                <c:manualLayout>
                  <c:x val="1.034889196224706E-2"/>
                  <c:y val="1.8185855378682586E-2"/>
                </c:manualLayout>
              </c:layout>
              <c:showVal val="1"/>
            </c:dLbl>
            <c:txPr>
              <a:bodyPr/>
              <a:lstStyle/>
              <a:p>
                <a:pPr>
                  <a:defRPr baseline="0">
                    <a:latin typeface="Times New Roman" pitchFamily="18" charset="0"/>
                  </a:defRPr>
                </a:pPr>
                <a:endParaRPr lang="ru-RU"/>
              </a:p>
            </c:txPr>
            <c:showVal val="1"/>
          </c:dLbls>
          <c:cat>
            <c:strRef>
              <c:f>Лист1!$J$432:$J$435</c:f>
              <c:strCache>
                <c:ptCount val="4"/>
                <c:pt idx="0">
                  <c:v>0,2 ставки</c:v>
                </c:pt>
                <c:pt idx="1">
                  <c:v>0,3 ставки</c:v>
                </c:pt>
                <c:pt idx="2">
                  <c:v>0,4 ставки</c:v>
                </c:pt>
                <c:pt idx="3">
                  <c:v>полные ставки</c:v>
                </c:pt>
              </c:strCache>
            </c:strRef>
          </c:cat>
          <c:val>
            <c:numRef>
              <c:f>Лист1!$M$432:$M$435</c:f>
              <c:numCache>
                <c:formatCode>0</c:formatCode>
                <c:ptCount val="4"/>
                <c:pt idx="0">
                  <c:v>139</c:v>
                </c:pt>
                <c:pt idx="1">
                  <c:v>163</c:v>
                </c:pt>
                <c:pt idx="2">
                  <c:v>45</c:v>
                </c:pt>
                <c:pt idx="3">
                  <c:v>78</c:v>
                </c:pt>
              </c:numCache>
            </c:numRef>
          </c:val>
        </c:ser>
        <c:axId val="108581248"/>
        <c:axId val="108582784"/>
      </c:barChart>
      <c:catAx>
        <c:axId val="108581248"/>
        <c:scaling>
          <c:orientation val="minMax"/>
        </c:scaling>
        <c:axPos val="b"/>
        <c:majorGridlines/>
        <c:tickLblPos val="nextTo"/>
        <c:txPr>
          <a:bodyPr/>
          <a:lstStyle/>
          <a:p>
            <a:pPr>
              <a:defRPr baseline="0">
                <a:latin typeface="Times New Roman" pitchFamily="18" charset="0"/>
              </a:defRPr>
            </a:pPr>
            <a:endParaRPr lang="ru-RU"/>
          </a:p>
        </c:txPr>
        <c:crossAx val="108582784"/>
        <c:crosses val="autoZero"/>
        <c:auto val="1"/>
        <c:lblAlgn val="ctr"/>
        <c:lblOffset val="100"/>
      </c:catAx>
      <c:valAx>
        <c:axId val="108582784"/>
        <c:scaling>
          <c:orientation val="minMax"/>
        </c:scaling>
        <c:axPos val="l"/>
        <c:majorGridlines/>
        <c:numFmt formatCode="0" sourceLinked="1"/>
        <c:tickLblPos val="nextTo"/>
        <c:spPr>
          <a:ln>
            <a:noFill/>
          </a:ln>
        </c:spPr>
        <c:txPr>
          <a:bodyPr/>
          <a:lstStyle/>
          <a:p>
            <a:pPr>
              <a:defRPr baseline="0">
                <a:latin typeface="Times New Roman" pitchFamily="18" charset="0"/>
              </a:defRPr>
            </a:pPr>
            <a:endParaRPr lang="ru-RU"/>
          </a:p>
        </c:txPr>
        <c:crossAx val="108581248"/>
        <c:crosses val="autoZero"/>
        <c:crossBetween val="between"/>
      </c:valAx>
    </c:plotArea>
    <c:legend>
      <c:legendPos val="b"/>
      <c:layout/>
      <c:txPr>
        <a:bodyPr/>
        <a:lstStyle/>
        <a:p>
          <a:pPr>
            <a:defRPr baseline="0">
              <a:latin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82715-00D5-4702-9A55-C54CAD2D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18</Pages>
  <Words>9565</Words>
  <Characters>54522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Заброда</dc:creator>
  <cp:lastModifiedBy>Заброда</cp:lastModifiedBy>
  <cp:revision>201</cp:revision>
  <cp:lastPrinted>2018-09-25T10:28:00Z</cp:lastPrinted>
  <dcterms:created xsi:type="dcterms:W3CDTF">2018-09-18T11:46:00Z</dcterms:created>
  <dcterms:modified xsi:type="dcterms:W3CDTF">2018-09-25T10:39:00Z</dcterms:modified>
</cp:coreProperties>
</file>