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1" w:rsidRDefault="00635691" w:rsidP="005B0072">
      <w:pPr>
        <w:pStyle w:val="11"/>
        <w:jc w:val="center"/>
        <w:outlineLvl w:val="0"/>
        <w:rPr>
          <w:caps/>
          <w:sz w:val="24"/>
        </w:rPr>
      </w:pPr>
    </w:p>
    <w:tbl>
      <w:tblPr>
        <w:tblpPr w:leftFromText="180" w:rightFromText="180" w:vertAnchor="page" w:horzAnchor="margin" w:tblpY="720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2"/>
        <w:gridCol w:w="5093"/>
      </w:tblGrid>
      <w:tr w:rsidR="005B0072" w:rsidTr="00EA2C21">
        <w:trPr>
          <w:cantSplit/>
        </w:trPr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0072" w:rsidRDefault="005B00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Изображение Герба Волгоградской области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Герба Волгоградской области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72" w:rsidTr="00EA2C21">
        <w:trPr>
          <w:cantSplit/>
          <w:trHeight w:val="401"/>
        </w:trPr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0072" w:rsidRDefault="005B007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B0072" w:rsidTr="00EA2C21">
        <w:trPr>
          <w:cantSplit/>
        </w:trPr>
        <w:tc>
          <w:tcPr>
            <w:tcW w:w="10005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5B0072" w:rsidRDefault="005B0072">
            <w:pPr>
              <w:jc w:val="both"/>
            </w:pPr>
          </w:p>
        </w:tc>
      </w:tr>
      <w:tr w:rsidR="005B0072" w:rsidTr="00EA2C21">
        <w:tc>
          <w:tcPr>
            <w:tcW w:w="4912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5B0072" w:rsidRDefault="005B0072" w:rsidP="00AA0957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 xml:space="preserve">№ 01КСП-02-02/ </w:t>
            </w:r>
          </w:p>
        </w:tc>
        <w:tc>
          <w:tcPr>
            <w:tcW w:w="509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5B0072" w:rsidRDefault="005B0072" w:rsidP="00C07CB2">
            <w:pPr>
              <w:jc w:val="right"/>
            </w:pPr>
            <w:r>
              <w:t>«</w:t>
            </w:r>
            <w:r w:rsidR="00EA2C21">
              <w:t xml:space="preserve"> </w:t>
            </w:r>
            <w:r w:rsidR="003512A0">
              <w:t>2</w:t>
            </w:r>
            <w:r w:rsidR="00C07CB2">
              <w:t>1</w:t>
            </w:r>
            <w:r w:rsidR="00EA2C21">
              <w:t xml:space="preserve"> </w:t>
            </w:r>
            <w:r>
              <w:t>»</w:t>
            </w:r>
            <w:r w:rsidR="00F7792D">
              <w:t xml:space="preserve"> </w:t>
            </w:r>
            <w:r w:rsidR="00452994">
              <w:t>ноя</w:t>
            </w:r>
            <w:r w:rsidR="00F7792D">
              <w:t>бря</w:t>
            </w:r>
            <w:r>
              <w:t xml:space="preserve"> 201</w:t>
            </w:r>
            <w:r w:rsidR="00C07CB2">
              <w:t>8</w:t>
            </w:r>
            <w:r>
              <w:t xml:space="preserve"> г.</w:t>
            </w:r>
          </w:p>
        </w:tc>
      </w:tr>
    </w:tbl>
    <w:p w:rsidR="00EA2C21" w:rsidRDefault="00EA2C21" w:rsidP="00EA2C21">
      <w:pPr>
        <w:pStyle w:val="11"/>
        <w:jc w:val="center"/>
        <w:outlineLvl w:val="0"/>
        <w:rPr>
          <w:b/>
          <w:i/>
          <w:caps/>
          <w:sz w:val="24"/>
        </w:rPr>
      </w:pPr>
      <w:r>
        <w:rPr>
          <w:b/>
          <w:i/>
          <w:caps/>
          <w:sz w:val="24"/>
        </w:rPr>
        <w:t>ЭКСПЕРТНОЕ  заКЛЮЧЕНИЕ</w:t>
      </w:r>
    </w:p>
    <w:p w:rsidR="00EA2C21" w:rsidRDefault="00EA2C21" w:rsidP="00EA2C21">
      <w:pPr>
        <w:pStyle w:val="11"/>
        <w:jc w:val="center"/>
        <w:rPr>
          <w:b/>
          <w:i/>
          <w:sz w:val="24"/>
        </w:rPr>
      </w:pPr>
      <w:r>
        <w:rPr>
          <w:b/>
          <w:i/>
          <w:sz w:val="24"/>
        </w:rPr>
        <w:t>к проекту закона Волгоградской области «Об областном бюджете на 201</w:t>
      </w:r>
      <w:r w:rsidR="00C07CB2">
        <w:rPr>
          <w:b/>
          <w:i/>
          <w:sz w:val="24"/>
        </w:rPr>
        <w:t>9</w:t>
      </w:r>
      <w:r>
        <w:rPr>
          <w:b/>
          <w:i/>
          <w:sz w:val="24"/>
        </w:rPr>
        <w:t xml:space="preserve"> год и на плановый период 20</w:t>
      </w:r>
      <w:r w:rsidR="00C07CB2">
        <w:rPr>
          <w:b/>
          <w:i/>
          <w:sz w:val="24"/>
        </w:rPr>
        <w:t>20</w:t>
      </w:r>
      <w:r>
        <w:rPr>
          <w:b/>
          <w:i/>
          <w:sz w:val="24"/>
        </w:rPr>
        <w:t xml:space="preserve"> и 20</w:t>
      </w:r>
      <w:r w:rsidR="00A633D6">
        <w:rPr>
          <w:b/>
          <w:i/>
          <w:sz w:val="24"/>
        </w:rPr>
        <w:t>2</w:t>
      </w:r>
      <w:r w:rsidR="00C07CB2">
        <w:rPr>
          <w:b/>
          <w:i/>
          <w:sz w:val="24"/>
        </w:rPr>
        <w:t>1</w:t>
      </w:r>
      <w:r>
        <w:rPr>
          <w:b/>
          <w:i/>
          <w:sz w:val="24"/>
        </w:rPr>
        <w:t xml:space="preserve"> годов», представленному в Волгоградскую областную Думу на второе чтение. </w:t>
      </w:r>
    </w:p>
    <w:p w:rsidR="00EA2C21" w:rsidRDefault="00EA2C21" w:rsidP="00EA2C21"/>
    <w:p w:rsidR="00EA2C21" w:rsidRDefault="00EA2C21" w:rsidP="00EA2C21">
      <w:pPr>
        <w:pStyle w:val="3"/>
      </w:pPr>
      <w:r>
        <w:t>Настоящее заключение на проект закона «Об областном бюджете на 201</w:t>
      </w:r>
      <w:r w:rsidR="00E74DAD">
        <w:t>9</w:t>
      </w:r>
      <w:r>
        <w:t xml:space="preserve"> год и на плановый период 20</w:t>
      </w:r>
      <w:r w:rsidR="00E74DAD">
        <w:t>20</w:t>
      </w:r>
      <w:r>
        <w:t xml:space="preserve"> и 20</w:t>
      </w:r>
      <w:r w:rsidR="00A633D6">
        <w:t>2</w:t>
      </w:r>
      <w:r w:rsidR="00E74DAD">
        <w:t>1</w:t>
      </w:r>
      <w:r>
        <w:t xml:space="preserve"> годов» подготовлено с учетом требований Бюджетного кодекса РФ (далее БК РФ), Законов Волгоградской области от 11.06.2008 №1694-ОД «О бюджетном процессе в Волгоградской области» и от 17.12.1999 №344-ОД «О контрольно-счетной палате Волгоградской области». </w:t>
      </w:r>
    </w:p>
    <w:p w:rsidR="00EA2C21" w:rsidRDefault="00EA2C21" w:rsidP="00EA2C21">
      <w:pPr>
        <w:pStyle w:val="3"/>
      </w:pPr>
      <w:r>
        <w:t>В соответствии со статьей 33 Закона Волгоградской области «О бюджетном процессе в Волгоградской области» областная Дума при рассмотрении проекта закона об областном бюджете на очередной финансовый год и плановый период во втором чтении утверждает:</w:t>
      </w:r>
    </w:p>
    <w:p w:rsidR="00EA2C21" w:rsidRDefault="00EA2C21" w:rsidP="00EA2C21">
      <w:pPr>
        <w:pStyle w:val="3"/>
      </w:pPr>
      <w:r>
        <w:t>-общий объем бюджетных ассигнований, направляемых на исполнение публичных нормативных обязательств;</w:t>
      </w:r>
    </w:p>
    <w:p w:rsidR="00EA2C21" w:rsidRDefault="00EA2C21" w:rsidP="00EA2C21">
      <w:pPr>
        <w:ind w:firstLine="708"/>
        <w:jc w:val="both"/>
      </w:pPr>
      <w:r>
        <w:t>-распределение бюджетных ассигнований по разделам, подразделам классификации расходов областного бюджета в пределах общего объема бюджетных ассигнований по расходам, утвержденных в первом чтении;</w:t>
      </w:r>
    </w:p>
    <w:p w:rsidR="00EA2C21" w:rsidRDefault="00EA2C21" w:rsidP="00EA2C21">
      <w:pPr>
        <w:ind w:firstLine="708"/>
        <w:jc w:val="both"/>
      </w:pPr>
      <w:r>
        <w:t>-распределение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бюджета;</w:t>
      </w:r>
    </w:p>
    <w:p w:rsidR="00EA2C21" w:rsidRDefault="00EA2C21" w:rsidP="00EA2C21">
      <w:pPr>
        <w:ind w:firstLine="708"/>
        <w:jc w:val="both"/>
      </w:pPr>
      <w:r>
        <w:t>-программу государственных внутренних заимствований Волгоградской области;</w:t>
      </w:r>
    </w:p>
    <w:p w:rsidR="00EA2C21" w:rsidRDefault="00EA2C21" w:rsidP="00EA2C21">
      <w:pPr>
        <w:ind w:firstLine="708"/>
      </w:pPr>
      <w:r>
        <w:t>-программу государственных гарантий Волгоградской области;</w:t>
      </w:r>
    </w:p>
    <w:p w:rsidR="00EA2C21" w:rsidRDefault="00EA2C21" w:rsidP="00EA2C21">
      <w:pPr>
        <w:ind w:firstLine="708"/>
        <w:jc w:val="both"/>
      </w:pPr>
      <w:r>
        <w:t>-распределение ассигнований на реализацию государственных и ведомственных целевых программ;</w:t>
      </w:r>
    </w:p>
    <w:p w:rsidR="00EA2C21" w:rsidRDefault="00EA2C21" w:rsidP="00EA2C21">
      <w:pPr>
        <w:ind w:firstLine="708"/>
        <w:jc w:val="both"/>
      </w:pPr>
      <w:r>
        <w:t>-перечень строек и объектов строительства, реконструкции и технического перевооружения для областных государственных нужд;</w:t>
      </w:r>
    </w:p>
    <w:p w:rsidR="00EA2C21" w:rsidRDefault="00EA2C21" w:rsidP="00EA2C21">
      <w:pPr>
        <w:autoSpaceDE w:val="0"/>
        <w:autoSpaceDN w:val="0"/>
        <w:adjustRightInd w:val="0"/>
        <w:ind w:firstLine="720"/>
        <w:jc w:val="both"/>
      </w:pPr>
      <w:r w:rsidRPr="00631462">
        <w:t>-</w:t>
      </w:r>
      <w:bookmarkStart w:id="0" w:name="sub_330213"/>
      <w:r w:rsidRPr="00631462">
        <w:t>распределение средств областных фондов</w:t>
      </w:r>
      <w:r>
        <w:t xml:space="preserve"> </w:t>
      </w:r>
      <w:r w:rsidRPr="00631462">
        <w:t xml:space="preserve">финансовой поддержки поселений, </w:t>
      </w:r>
      <w:r>
        <w:t>м</w:t>
      </w:r>
      <w:r w:rsidRPr="00631462">
        <w:t>униципальных районов (городских округов), иных дотаций, субвенций и субсидий из областного бюджета</w:t>
      </w:r>
      <w:r>
        <w:t>;</w:t>
      </w:r>
    </w:p>
    <w:p w:rsidR="00E42B72" w:rsidRPr="00631462" w:rsidRDefault="00E42B72" w:rsidP="00EA2C21">
      <w:pPr>
        <w:autoSpaceDE w:val="0"/>
        <w:autoSpaceDN w:val="0"/>
        <w:adjustRightInd w:val="0"/>
        <w:ind w:firstLine="720"/>
        <w:jc w:val="both"/>
      </w:pPr>
      <w:r>
        <w:t>-программ</w:t>
      </w:r>
      <w:r w:rsidR="005A68A2">
        <w:t>у</w:t>
      </w:r>
      <w:r>
        <w:t xml:space="preserve"> приватизации государственного имущества Волгоградской области</w:t>
      </w:r>
      <w:r w:rsidR="004E7276">
        <w:t>.</w:t>
      </w:r>
    </w:p>
    <w:bookmarkEnd w:id="0"/>
    <w:p w:rsidR="00EA2C21" w:rsidRDefault="00EA2C21" w:rsidP="00EA2C2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A2C21" w:rsidRPr="00713F75" w:rsidRDefault="00EA2C21" w:rsidP="00152FC5">
      <w:pPr>
        <w:pStyle w:val="3"/>
        <w:numPr>
          <w:ilvl w:val="0"/>
          <w:numId w:val="1"/>
        </w:numPr>
        <w:jc w:val="center"/>
        <w:rPr>
          <w:b/>
          <w:i/>
        </w:rPr>
      </w:pPr>
      <w:r w:rsidRPr="00713F75">
        <w:rPr>
          <w:b/>
          <w:i/>
        </w:rPr>
        <w:t>Общий объем бюджетных ассигнований, направляемых на исполнение публичных нормативных обязательств.</w:t>
      </w:r>
    </w:p>
    <w:p w:rsidR="00EA2C21" w:rsidRDefault="00EA2C21" w:rsidP="00B360C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628" w:rsidRPr="00AD6628" w:rsidRDefault="00AD6628" w:rsidP="00AD6628">
      <w:pPr>
        <w:ind w:firstLine="709"/>
        <w:jc w:val="both"/>
      </w:pPr>
      <w:r w:rsidRPr="00AD6628">
        <w:t>Законопроектом в целях исполнения публичных нормативных обязательств (далее ПНО) в 2019 году предусмотрено 11663,9 млн. руб. (в т</w:t>
      </w:r>
      <w:r w:rsidR="009B266E">
        <w:t xml:space="preserve">ом </w:t>
      </w:r>
      <w:r w:rsidRPr="00AD6628">
        <w:t>ч</w:t>
      </w:r>
      <w:r w:rsidR="009B266E">
        <w:t>исле</w:t>
      </w:r>
      <w:r w:rsidRPr="00AD6628">
        <w:t xml:space="preserve"> 6595,4 млн. руб. </w:t>
      </w:r>
      <w:r w:rsidR="009B266E">
        <w:t xml:space="preserve">- </w:t>
      </w:r>
      <w:r w:rsidRPr="00AD6628">
        <w:t xml:space="preserve">за счет средств федерального бюджета, 5068,5 млн. руб. </w:t>
      </w:r>
      <w:r w:rsidR="009B266E">
        <w:t xml:space="preserve">- </w:t>
      </w:r>
      <w:r w:rsidRPr="00AD6628">
        <w:t xml:space="preserve">за счет средств областного бюджета), что полностью обеспечивает расчетную потребность. Следует отметить, что бюджетных ассигнований, предусмотренных в 2019 году на ПНО, на 26,7% больше, чем предусмотрено на 2018 год в действующей редакции </w:t>
      </w:r>
      <w:r w:rsidR="009B266E">
        <w:t>з</w:t>
      </w:r>
      <w:r w:rsidRPr="00AD6628">
        <w:t>акона об областном бюджете.</w:t>
      </w:r>
    </w:p>
    <w:p w:rsidR="00AD6628" w:rsidRPr="00AD6628" w:rsidRDefault="00AD6628" w:rsidP="00AD6628">
      <w:pPr>
        <w:ind w:firstLine="709"/>
        <w:jc w:val="both"/>
      </w:pPr>
      <w:proofErr w:type="gramStart"/>
      <w:r w:rsidRPr="00AD6628">
        <w:t xml:space="preserve">С 2019 года перечень ПНО содержит 52 обязательства, что на </w:t>
      </w:r>
      <w:r w:rsidR="009629A1">
        <w:t>одно обязательство</w:t>
      </w:r>
      <w:r w:rsidRPr="00AD6628">
        <w:t xml:space="preserve"> больше, чем в текущем году, в связи с введением с 01.01.2019 в Социальный кодекс Волгоградской области дополнительного единовременного пособия семьям при рождении второго ребенка, бюджетные ассигнования на которое в сумме 133 млн. руб. предусмотрены законопроектом за счет средств областного бюджета.</w:t>
      </w:r>
      <w:proofErr w:type="gramEnd"/>
    </w:p>
    <w:p w:rsidR="00AD6628" w:rsidRDefault="00AD6628" w:rsidP="00B360C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628" w:rsidRPr="00AD6628" w:rsidRDefault="00AD6628" w:rsidP="00B360C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C21" w:rsidRDefault="00EA2C21" w:rsidP="00EA2C21">
      <w:pPr>
        <w:ind w:firstLine="708"/>
        <w:jc w:val="center"/>
        <w:rPr>
          <w:b/>
          <w:i/>
        </w:rPr>
      </w:pPr>
      <w:r>
        <w:rPr>
          <w:b/>
          <w:i/>
        </w:rPr>
        <w:lastRenderedPageBreak/>
        <w:t>2</w:t>
      </w:r>
      <w:r w:rsidRPr="00A5667C">
        <w:rPr>
          <w:b/>
          <w:i/>
        </w:rPr>
        <w:t xml:space="preserve">. Распределение бюджетных ассигнований по разделам, подразделам, </w:t>
      </w:r>
    </w:p>
    <w:p w:rsidR="00EA2C21" w:rsidRDefault="00EA2C21" w:rsidP="00EA2C21">
      <w:pPr>
        <w:ind w:firstLine="708"/>
        <w:jc w:val="center"/>
        <w:rPr>
          <w:b/>
          <w:i/>
        </w:rPr>
      </w:pPr>
      <w:r w:rsidRPr="00A5667C">
        <w:rPr>
          <w:b/>
          <w:i/>
        </w:rPr>
        <w:t>целевым статьям и видам расходов бюджета в составе ведомственной структуры расходов областного бюджета.</w:t>
      </w:r>
    </w:p>
    <w:p w:rsidR="00C3445D" w:rsidRDefault="00C3445D" w:rsidP="00C3445D">
      <w:pPr>
        <w:ind w:firstLine="708"/>
        <w:jc w:val="both"/>
      </w:pPr>
    </w:p>
    <w:p w:rsidR="00C3445D" w:rsidRDefault="00C3445D" w:rsidP="00C3445D">
      <w:pPr>
        <w:ind w:firstLine="708"/>
        <w:jc w:val="both"/>
      </w:pPr>
      <w:r>
        <w:t xml:space="preserve">Сравнительный анализ расходов областного бюджета на 2019 год относительно ассигнований текущего года проведен КСП с учетом поправок, внесенных в закон о бюджете на 2018 год 05.11.2018, </w:t>
      </w:r>
      <w:r w:rsidR="00C461EC">
        <w:t>а также с учетом</w:t>
      </w:r>
      <w:r>
        <w:t xml:space="preserve"> поправок, внесенных Губернатором Волгоградской области в проект бюджета на 2019-2021 годы к 1 чтению.</w:t>
      </w:r>
    </w:p>
    <w:p w:rsidR="00C3445D" w:rsidRPr="00C3445D" w:rsidRDefault="00C3445D" w:rsidP="00C3445D">
      <w:pPr>
        <w:ind w:firstLine="708"/>
        <w:jc w:val="both"/>
      </w:pPr>
      <w:r>
        <w:t xml:space="preserve"> По разделам и подразделам функциональной классификации расходов результаты проведенного анализа приведены </w:t>
      </w:r>
      <w:r>
        <w:rPr>
          <w:b/>
          <w:i/>
          <w:u w:val="single"/>
        </w:rPr>
        <w:t>в приложении №1,</w:t>
      </w:r>
      <w:r>
        <w:t xml:space="preserve"> в разрезе главных распорядителей средств областного бюджета – </w:t>
      </w:r>
      <w:r w:rsidRPr="00C3445D">
        <w:rPr>
          <w:b/>
          <w:i/>
          <w:u w:val="single"/>
        </w:rPr>
        <w:t>в приложении №2.</w:t>
      </w:r>
      <w:r>
        <w:t xml:space="preserve"> </w:t>
      </w:r>
    </w:p>
    <w:p w:rsidR="00196973" w:rsidRDefault="00196973" w:rsidP="004E4DBD">
      <w:pPr>
        <w:ind w:firstLine="708"/>
        <w:jc w:val="both"/>
      </w:pPr>
    </w:p>
    <w:p w:rsidR="005221E8" w:rsidRDefault="00EA2C21" w:rsidP="00EA2C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</w:t>
      </w:r>
      <w:r w:rsidRPr="00790D98">
        <w:rPr>
          <w:b/>
          <w:i/>
          <w:u w:val="single"/>
        </w:rPr>
        <w:t>сходы по разделу 0100 «Общегосу</w:t>
      </w:r>
      <w:r>
        <w:rPr>
          <w:b/>
          <w:i/>
          <w:u w:val="single"/>
        </w:rPr>
        <w:t>дарственные вопросы»</w:t>
      </w:r>
    </w:p>
    <w:p w:rsidR="00EA2C21" w:rsidRDefault="00EA2C21" w:rsidP="00EA2C21">
      <w:pPr>
        <w:jc w:val="center"/>
        <w:rPr>
          <w:b/>
          <w:i/>
          <w:u w:val="single"/>
        </w:rPr>
      </w:pPr>
    </w:p>
    <w:p w:rsidR="00BF29DB" w:rsidRDefault="00AE18BF" w:rsidP="00BF29DB">
      <w:pPr>
        <w:ind w:firstLine="709"/>
        <w:jc w:val="both"/>
      </w:pPr>
      <w:r w:rsidRPr="004707D3">
        <w:t>Законопроектом ассигнования по разделу 0100 «Общегосударственные вопросы» на 201</w:t>
      </w:r>
      <w:r>
        <w:t>9</w:t>
      </w:r>
      <w:r w:rsidRPr="004707D3">
        <w:t xml:space="preserve"> год предусмотрены в </w:t>
      </w:r>
      <w:r w:rsidRPr="00B2701C">
        <w:t>сумме</w:t>
      </w:r>
      <w:r>
        <w:t xml:space="preserve"> 5208,1</w:t>
      </w:r>
      <w:r w:rsidRPr="004707D3">
        <w:t xml:space="preserve"> млн. руб., что на </w:t>
      </w:r>
      <w:r w:rsidR="00977391">
        <w:t xml:space="preserve">396,3 млн. руб., или на </w:t>
      </w:r>
      <w:r>
        <w:t>8,</w:t>
      </w:r>
      <w:r w:rsidR="00977391">
        <w:t>2</w:t>
      </w:r>
      <w:r w:rsidRPr="004707D3">
        <w:t>%</w:t>
      </w:r>
      <w:r w:rsidRPr="004707D3">
        <w:rPr>
          <w:color w:val="365F91" w:themeColor="accent1" w:themeShade="BF"/>
        </w:rPr>
        <w:t xml:space="preserve"> </w:t>
      </w:r>
      <w:r w:rsidRPr="00B32152">
        <w:t>боль</w:t>
      </w:r>
      <w:r w:rsidRPr="004707D3">
        <w:t>ше планового показателя 201</w:t>
      </w:r>
      <w:r>
        <w:t>8</w:t>
      </w:r>
      <w:r w:rsidRPr="004707D3">
        <w:t xml:space="preserve"> года (</w:t>
      </w:r>
      <w:r w:rsidRPr="00B32152">
        <w:t>4</w:t>
      </w:r>
      <w:r w:rsidR="00977391">
        <w:t>811</w:t>
      </w:r>
      <w:r>
        <w:t>,</w:t>
      </w:r>
      <w:r w:rsidR="00977391">
        <w:t>8</w:t>
      </w:r>
      <w:r w:rsidRPr="004707D3">
        <w:t xml:space="preserve"> млн. руб.). </w:t>
      </w:r>
      <w:r w:rsidR="00977391">
        <w:t>При этом в</w:t>
      </w:r>
      <w:r w:rsidR="00BF29DB">
        <w:t xml:space="preserve"> основном изменения коснулись следующих подразделов и главных распорядителей бюджетных средств.</w:t>
      </w:r>
    </w:p>
    <w:p w:rsidR="00BF29DB" w:rsidRDefault="00BF29DB" w:rsidP="00BF29DB">
      <w:pPr>
        <w:pStyle w:val="22"/>
        <w:spacing w:after="0" w:line="240" w:lineRule="auto"/>
        <w:ind w:left="0" w:firstLine="709"/>
        <w:jc w:val="both"/>
      </w:pPr>
      <w:r w:rsidRPr="00977391">
        <w:rPr>
          <w:b/>
          <w:i/>
          <w:u w:val="single"/>
        </w:rPr>
        <w:t>По подразделу 0105 «</w:t>
      </w:r>
      <w:r w:rsidRPr="00977391">
        <w:rPr>
          <w:b/>
          <w:i/>
          <w:color w:val="000000"/>
          <w:u w:val="single"/>
        </w:rPr>
        <w:t>Судебная система</w:t>
      </w:r>
      <w:r w:rsidRPr="00977391">
        <w:rPr>
          <w:b/>
          <w:i/>
          <w:u w:val="single"/>
        </w:rPr>
        <w:t>»</w:t>
      </w:r>
      <w:r w:rsidRPr="00213DCA">
        <w:t xml:space="preserve"> </w:t>
      </w:r>
      <w:r>
        <w:t xml:space="preserve">ассигнования увеличены </w:t>
      </w:r>
      <w:r w:rsidRPr="00213DCA">
        <w:t>комитету юстиции Волгоградской области на 144,5</w:t>
      </w:r>
      <w:r>
        <w:t xml:space="preserve"> млн. руб., в том числе за сч</w:t>
      </w:r>
      <w:r w:rsidR="00977391">
        <w:t>е</w:t>
      </w:r>
      <w:r>
        <w:t>т:</w:t>
      </w:r>
    </w:p>
    <w:p w:rsidR="00BF29DB" w:rsidRPr="006E2D5D" w:rsidRDefault="006D79B7" w:rsidP="00BF29DB">
      <w:pPr>
        <w:pStyle w:val="22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у</w:t>
      </w:r>
      <w:r w:rsidR="00BF29DB" w:rsidRPr="006E2D5D">
        <w:rPr>
          <w:i/>
        </w:rPr>
        <w:t>величения</w:t>
      </w:r>
      <w:r w:rsidR="00977391">
        <w:rPr>
          <w:i/>
        </w:rPr>
        <w:t xml:space="preserve"> ассигнований</w:t>
      </w:r>
      <w:r w:rsidR="00BF29DB" w:rsidRPr="006E2D5D">
        <w:rPr>
          <w:i/>
        </w:rPr>
        <w:t>:</w:t>
      </w:r>
    </w:p>
    <w:p w:rsidR="00BF29DB" w:rsidRDefault="00BF29DB" w:rsidP="00BF29DB">
      <w:pPr>
        <w:pStyle w:val="22"/>
        <w:spacing w:after="0" w:line="240" w:lineRule="auto"/>
        <w:ind w:left="0" w:firstLine="709"/>
        <w:jc w:val="both"/>
        <w:rPr>
          <w:szCs w:val="28"/>
        </w:rPr>
      </w:pPr>
      <w:r>
        <w:t>-</w:t>
      </w:r>
      <w:r w:rsidR="00977391">
        <w:t xml:space="preserve">на </w:t>
      </w:r>
      <w:r w:rsidRPr="00213DCA">
        <w:rPr>
          <w:rFonts w:eastAsia="Calibri"/>
          <w:szCs w:val="28"/>
          <w:lang w:eastAsia="en-US"/>
        </w:rPr>
        <w:t xml:space="preserve">78,9 млн. руб. </w:t>
      </w:r>
      <w:r>
        <w:rPr>
          <w:rFonts w:eastAsia="Calibri"/>
          <w:szCs w:val="28"/>
          <w:lang w:eastAsia="en-US"/>
        </w:rPr>
        <w:t>- на реализаци</w:t>
      </w:r>
      <w:r w:rsidR="00977391">
        <w:rPr>
          <w:rFonts w:eastAsia="Calibri"/>
          <w:szCs w:val="28"/>
          <w:lang w:eastAsia="en-US"/>
        </w:rPr>
        <w:t>ю</w:t>
      </w:r>
      <w:r w:rsidRPr="00213DCA">
        <w:rPr>
          <w:rFonts w:eastAsia="Calibri"/>
          <w:szCs w:val="28"/>
          <w:lang w:eastAsia="en-US"/>
        </w:rPr>
        <w:t xml:space="preserve"> мероприятий ведомственной целевой программы </w:t>
      </w:r>
      <w:r>
        <w:rPr>
          <w:szCs w:val="28"/>
        </w:rPr>
        <w:t>«</w:t>
      </w:r>
      <w:r w:rsidRPr="00213DCA">
        <w:rPr>
          <w:szCs w:val="28"/>
        </w:rPr>
        <w:t>Развитие мировой юстиции в Волгоградской области</w:t>
      </w:r>
      <w:r>
        <w:rPr>
          <w:szCs w:val="28"/>
        </w:rPr>
        <w:t>»;</w:t>
      </w:r>
    </w:p>
    <w:p w:rsidR="00BF29DB" w:rsidRDefault="00BF29DB" w:rsidP="00BF29DB">
      <w:pPr>
        <w:pStyle w:val="22"/>
        <w:spacing w:after="0" w:line="240" w:lineRule="auto"/>
        <w:ind w:left="0" w:firstLine="709"/>
        <w:jc w:val="both"/>
      </w:pPr>
      <w:r>
        <w:rPr>
          <w:szCs w:val="28"/>
        </w:rPr>
        <w:t>-</w:t>
      </w:r>
      <w:r w:rsidR="00977391">
        <w:rPr>
          <w:szCs w:val="28"/>
        </w:rPr>
        <w:t xml:space="preserve">на </w:t>
      </w:r>
      <w:r>
        <w:rPr>
          <w:rFonts w:eastAsia="Calibri"/>
          <w:szCs w:val="28"/>
          <w:lang w:eastAsia="en-US"/>
        </w:rPr>
        <w:t xml:space="preserve">77,6 млн. руб. - </w:t>
      </w:r>
      <w:r w:rsidRPr="007706E3">
        <w:rPr>
          <w:rFonts w:eastAsia="Calibri"/>
          <w:szCs w:val="28"/>
          <w:lang w:eastAsia="en-US"/>
        </w:rPr>
        <w:t xml:space="preserve">на текущее </w:t>
      </w:r>
      <w:r w:rsidRPr="007706E3">
        <w:t>обеспечение деятельности мировых</w:t>
      </w:r>
      <w:r>
        <w:t xml:space="preserve"> судей Волгоградской области, в том числе 34,3 млн. руб. </w:t>
      </w:r>
      <w:r w:rsidR="00977391">
        <w:t xml:space="preserve">– на </w:t>
      </w:r>
      <w:r>
        <w:t>оплату труда аппарата мировых судей и обеспечивающих работников участков мировых судей, 43,2 млн. руб.</w:t>
      </w:r>
      <w:r w:rsidRPr="00687C9F">
        <w:rPr>
          <w:rFonts w:eastAsia="Calibri"/>
          <w:szCs w:val="28"/>
          <w:lang w:eastAsia="en-US"/>
        </w:rPr>
        <w:t xml:space="preserve"> </w:t>
      </w:r>
      <w:r w:rsidR="00977391">
        <w:rPr>
          <w:rFonts w:eastAsia="Calibri"/>
          <w:szCs w:val="28"/>
          <w:lang w:eastAsia="en-US"/>
        </w:rPr>
        <w:t xml:space="preserve">- </w:t>
      </w:r>
      <w:r w:rsidRPr="00213DCA">
        <w:rPr>
          <w:rFonts w:eastAsia="Calibri"/>
          <w:szCs w:val="28"/>
          <w:lang w:eastAsia="en-US"/>
        </w:rPr>
        <w:t xml:space="preserve">на </w:t>
      </w:r>
      <w:r>
        <w:rPr>
          <w:rFonts w:eastAsia="Calibri"/>
          <w:szCs w:val="28"/>
          <w:lang w:eastAsia="en-US"/>
        </w:rPr>
        <w:t>закупку товаров (работ, услуг) для материально-технического обеспечения</w:t>
      </w:r>
      <w:r w:rsidRPr="00213DC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деятельности судей</w:t>
      </w:r>
      <w:r w:rsidRPr="00213DCA">
        <w:t>;</w:t>
      </w:r>
    </w:p>
    <w:p w:rsidR="00BF29DB" w:rsidRDefault="00BC43DA" w:rsidP="00BF29DB">
      <w:pPr>
        <w:pStyle w:val="22"/>
        <w:spacing w:after="0" w:line="240" w:lineRule="auto"/>
        <w:ind w:left="0" w:firstLine="709"/>
        <w:jc w:val="both"/>
      </w:pPr>
      <w:r>
        <w:rPr>
          <w:i/>
        </w:rPr>
        <w:t>у</w:t>
      </w:r>
      <w:r w:rsidR="00BF29DB" w:rsidRPr="007706E3">
        <w:rPr>
          <w:i/>
        </w:rPr>
        <w:t>меньшения</w:t>
      </w:r>
      <w:r w:rsidR="006D79B7">
        <w:rPr>
          <w:i/>
        </w:rPr>
        <w:t xml:space="preserve"> ассигнований</w:t>
      </w:r>
      <w:r w:rsidR="00BF29DB">
        <w:t xml:space="preserve"> на 12,2 млн. руб. на предоставление бюджетам муниципальных образований субвенций на составление списков присяжных заседателей.</w:t>
      </w:r>
    </w:p>
    <w:p w:rsidR="00BF29DB" w:rsidRPr="00BC43DA" w:rsidRDefault="00BF29DB" w:rsidP="00BF29DB">
      <w:pPr>
        <w:ind w:firstLine="720"/>
        <w:jc w:val="both"/>
      </w:pPr>
      <w:proofErr w:type="gramStart"/>
      <w:r w:rsidRPr="00BC43DA">
        <w:t xml:space="preserve">По результатам внешней проверки бюджетной отчетности и отдельных вопросов исполнения областного бюджета за 2017 год главным администратором средств областного бюджета </w:t>
      </w:r>
      <w:r w:rsidR="00BC43DA">
        <w:t>-</w:t>
      </w:r>
      <w:r w:rsidRPr="00BC43DA">
        <w:t xml:space="preserve"> комитетом юстиции Волгоградской области КСП </w:t>
      </w:r>
      <w:r w:rsidR="00BC43DA">
        <w:t xml:space="preserve">отметила </w:t>
      </w:r>
      <w:r w:rsidR="00BC43DA" w:rsidRPr="00BC43DA">
        <w:t>высоки</w:t>
      </w:r>
      <w:r w:rsidR="00BC43DA">
        <w:t>й</w:t>
      </w:r>
      <w:r w:rsidR="00BC43DA" w:rsidRPr="00BC43DA">
        <w:t xml:space="preserve"> коэффициент</w:t>
      </w:r>
      <w:r w:rsidR="00BC43DA">
        <w:t xml:space="preserve"> текучести кадров на </w:t>
      </w:r>
      <w:r w:rsidRPr="00BC43DA">
        <w:t xml:space="preserve">судебных участках </w:t>
      </w:r>
      <w:r w:rsidR="00000025">
        <w:t xml:space="preserve">мировых судей </w:t>
      </w:r>
      <w:r w:rsidR="00BC43DA">
        <w:t>(п</w:t>
      </w:r>
      <w:r w:rsidRPr="00BC43DA">
        <w:t>ри общепринятом допустимом значении коэффициента текучести кадров 15% значение этого показателя по должностям специалистов судебных участков составило 49</w:t>
      </w:r>
      <w:r w:rsidR="00BC43DA">
        <w:t>%)</w:t>
      </w:r>
      <w:r w:rsidRPr="00BC43DA">
        <w:t>.</w:t>
      </w:r>
      <w:proofErr w:type="gramEnd"/>
      <w:r w:rsidRPr="00BC43DA">
        <w:t xml:space="preserve"> Причина сложившейся ситуации</w:t>
      </w:r>
      <w:r w:rsidR="00BC43DA">
        <w:t>, по мнению палаты, заключалась в</w:t>
      </w:r>
      <w:r w:rsidRPr="00BC43DA">
        <w:t xml:space="preserve"> несоответстви</w:t>
      </w:r>
      <w:r w:rsidR="00BC43DA">
        <w:t>и</w:t>
      </w:r>
      <w:r w:rsidRPr="00BC43DA">
        <w:t xml:space="preserve"> уровня оплаты труда нагрузке</w:t>
      </w:r>
      <w:r w:rsidR="00BC43DA">
        <w:t xml:space="preserve">, особенно </w:t>
      </w:r>
      <w:r w:rsidR="00000025">
        <w:t xml:space="preserve">возложенной </w:t>
      </w:r>
      <w:r w:rsidR="00BC43DA">
        <w:t xml:space="preserve">на </w:t>
      </w:r>
      <w:r w:rsidR="00BC43DA" w:rsidRPr="00BC43DA">
        <w:t>секретарей судебных участков</w:t>
      </w:r>
      <w:r w:rsidRPr="00BC43DA">
        <w:t xml:space="preserve">. Фактический </w:t>
      </w:r>
      <w:proofErr w:type="gramStart"/>
      <w:r w:rsidRPr="00BC43DA">
        <w:t>размер оплаты труда</w:t>
      </w:r>
      <w:proofErr w:type="gramEnd"/>
      <w:r w:rsidRPr="00BC43DA">
        <w:t xml:space="preserve"> специалистов судебных участков складыва</w:t>
      </w:r>
      <w:r w:rsidR="00BC43DA">
        <w:t>л</w:t>
      </w:r>
      <w:r w:rsidRPr="00BC43DA">
        <w:t>ся в размере от 8,2 до 24,3 тыс. руб., что меньше среднемесячной номинальной начисленной заработной платы работников организаций Волгоградской области за 2017 год (27,9 тыс. руб.) в 3,4 – 1,1 раза.</w:t>
      </w:r>
    </w:p>
    <w:p w:rsidR="00BF29DB" w:rsidRPr="000A0262" w:rsidRDefault="00BF29DB" w:rsidP="00BF29DB">
      <w:pPr>
        <w:ind w:firstLine="720"/>
        <w:jc w:val="both"/>
      </w:pPr>
      <w:r w:rsidRPr="00BC43DA">
        <w:t>Бюджетом на 2019 год ассигновани</w:t>
      </w:r>
      <w:r w:rsidR="00EF410F">
        <w:t>я</w:t>
      </w:r>
      <w:r w:rsidRPr="00BC43DA">
        <w:t xml:space="preserve"> на рассматриваемые цели запланированы в размере 274,5 млн. руб., что обеспечивает полную потребность, определ</w:t>
      </w:r>
      <w:r w:rsidR="00DE7930">
        <w:t>е</w:t>
      </w:r>
      <w:r w:rsidRPr="00BC43DA">
        <w:t>нную в соответствии с законодательством Волгоградской области.</w:t>
      </w:r>
      <w:r>
        <w:t xml:space="preserve"> </w:t>
      </w:r>
    </w:p>
    <w:p w:rsidR="00BF29DB" w:rsidRDefault="00BF29DB" w:rsidP="004E0182">
      <w:pPr>
        <w:ind w:firstLine="709"/>
        <w:jc w:val="both"/>
      </w:pPr>
      <w:r w:rsidRPr="00000025">
        <w:rPr>
          <w:b/>
          <w:i/>
          <w:u w:val="single"/>
        </w:rPr>
        <w:t>По подразделу 0107 «</w:t>
      </w:r>
      <w:r w:rsidRPr="00000025">
        <w:rPr>
          <w:b/>
          <w:i/>
          <w:color w:val="000000"/>
          <w:u w:val="single"/>
        </w:rPr>
        <w:t>Обеспечение проведения выборов и референдумов</w:t>
      </w:r>
      <w:r w:rsidRPr="00000025">
        <w:rPr>
          <w:b/>
          <w:i/>
          <w:u w:val="single"/>
        </w:rPr>
        <w:t>»</w:t>
      </w:r>
      <w:r w:rsidRPr="00213DCA">
        <w:t xml:space="preserve"> предусматривается увеличение </w:t>
      </w:r>
      <w:r>
        <w:t>ассигнований Избирательной комиссии Волгоградской области</w:t>
      </w:r>
      <w:r w:rsidRPr="00213DCA">
        <w:t xml:space="preserve"> </w:t>
      </w:r>
      <w:r w:rsidRPr="00351610">
        <w:t xml:space="preserve">на 222,2 млн. руб. </w:t>
      </w:r>
      <w:r w:rsidR="00BB4CD2" w:rsidRPr="00351610">
        <w:t xml:space="preserve">(расходы на проведение выборов в 2019 году </w:t>
      </w:r>
      <w:r w:rsidR="004E0182">
        <w:t xml:space="preserve">планируются </w:t>
      </w:r>
      <w:r w:rsidR="00BB4CD2" w:rsidRPr="00351610">
        <w:t xml:space="preserve">в </w:t>
      </w:r>
      <w:r w:rsidR="0026427E">
        <w:t xml:space="preserve">общей </w:t>
      </w:r>
      <w:r w:rsidR="00BB4CD2" w:rsidRPr="00351610">
        <w:t xml:space="preserve">сумме 301,4 млн. </w:t>
      </w:r>
      <w:proofErr w:type="spellStart"/>
      <w:r w:rsidR="00BB4CD2" w:rsidRPr="00351610">
        <w:t>руб</w:t>
      </w:r>
      <w:proofErr w:type="spellEnd"/>
      <w:r w:rsidR="004E0182">
        <w:t>).</w:t>
      </w:r>
      <w:r w:rsidR="00BB4CD2" w:rsidRPr="00351610">
        <w:t xml:space="preserve"> </w:t>
      </w:r>
    </w:p>
    <w:p w:rsidR="00BF29DB" w:rsidRDefault="00BF29DB" w:rsidP="00BF29DB">
      <w:pPr>
        <w:ind w:firstLine="709"/>
        <w:jc w:val="both"/>
      </w:pPr>
      <w:proofErr w:type="gramStart"/>
      <w:r w:rsidRPr="001129C6">
        <w:t xml:space="preserve">Ассигнования резервного фонда Администрации Волгоградской области </w:t>
      </w:r>
      <w:r w:rsidRPr="00F14798">
        <w:rPr>
          <w:u w:val="single"/>
        </w:rPr>
        <w:t>(</w:t>
      </w:r>
      <w:r w:rsidRPr="00F14798">
        <w:rPr>
          <w:b/>
          <w:i/>
          <w:u w:val="single"/>
        </w:rPr>
        <w:t>подраздел</w:t>
      </w:r>
      <w:r w:rsidRPr="00F14798">
        <w:rPr>
          <w:u w:val="single"/>
        </w:rPr>
        <w:t xml:space="preserve"> </w:t>
      </w:r>
      <w:r w:rsidRPr="00F14798">
        <w:rPr>
          <w:b/>
          <w:i/>
          <w:u w:val="single"/>
        </w:rPr>
        <w:t>0111 «</w:t>
      </w:r>
      <w:r w:rsidRPr="00F14798">
        <w:rPr>
          <w:b/>
          <w:i/>
          <w:color w:val="000000"/>
          <w:u w:val="single"/>
        </w:rPr>
        <w:t>Резервные фонды»</w:t>
      </w:r>
      <w:r w:rsidRPr="00F14798">
        <w:rPr>
          <w:color w:val="000000"/>
          <w:u w:val="single"/>
        </w:rPr>
        <w:t>)</w:t>
      </w:r>
      <w:r w:rsidRPr="001129C6">
        <w:t xml:space="preserve"> </w:t>
      </w:r>
      <w:r>
        <w:t xml:space="preserve">комитету финансов Волгоградской области </w:t>
      </w:r>
      <w:r w:rsidRPr="001129C6">
        <w:t>планируются в размере 81,1 млн. руб., что меньше ассигнований 2018 года на 62,4 млн. руб. и составляет 0,08% от общего объ</w:t>
      </w:r>
      <w:r w:rsidR="00F14798">
        <w:t>е</w:t>
      </w:r>
      <w:r w:rsidRPr="001129C6">
        <w:t>ма расходов областного бюджета,</w:t>
      </w:r>
      <w:r w:rsidRPr="00655DF1">
        <w:t xml:space="preserve"> </w:t>
      </w:r>
      <w:r w:rsidR="00F14798">
        <w:t>т. е.</w:t>
      </w:r>
      <w:r w:rsidRPr="00655DF1">
        <w:t xml:space="preserve"> не превышает ограничения, установленн</w:t>
      </w:r>
      <w:r w:rsidR="00F14798">
        <w:t>ые</w:t>
      </w:r>
      <w:r w:rsidRPr="00655DF1">
        <w:t xml:space="preserve"> </w:t>
      </w:r>
      <w:r>
        <w:t>п</w:t>
      </w:r>
      <w:r w:rsidR="00F14798">
        <w:t>унктом</w:t>
      </w:r>
      <w:r>
        <w:t xml:space="preserve"> 3 ст</w:t>
      </w:r>
      <w:r w:rsidR="00F14798">
        <w:t>атьи</w:t>
      </w:r>
      <w:r>
        <w:t xml:space="preserve"> 81 БК РФ </w:t>
      </w:r>
      <w:r w:rsidRPr="00655DF1">
        <w:t>(3%)</w:t>
      </w:r>
      <w:r>
        <w:t>.</w:t>
      </w:r>
      <w:proofErr w:type="gramEnd"/>
    </w:p>
    <w:p w:rsidR="00BF29DB" w:rsidRDefault="00BF29DB" w:rsidP="00BF29DB">
      <w:pPr>
        <w:ind w:firstLine="720"/>
        <w:jc w:val="both"/>
      </w:pPr>
      <w:r>
        <w:t xml:space="preserve">В рамках </w:t>
      </w:r>
      <w:r w:rsidRPr="00000025">
        <w:rPr>
          <w:b/>
          <w:i/>
          <w:u w:val="single"/>
        </w:rPr>
        <w:t>подраздела 0113 «</w:t>
      </w:r>
      <w:r w:rsidRPr="00000025">
        <w:rPr>
          <w:b/>
          <w:i/>
          <w:color w:val="000000"/>
          <w:u w:val="single"/>
        </w:rPr>
        <w:t>Другие общегосударственные вопросы</w:t>
      </w:r>
      <w:r w:rsidRPr="00000025">
        <w:rPr>
          <w:b/>
          <w:i/>
          <w:u w:val="single"/>
        </w:rPr>
        <w:t>»</w:t>
      </w:r>
      <w:r w:rsidRPr="00000025">
        <w:rPr>
          <w:u w:val="single"/>
        </w:rPr>
        <w:t>,</w:t>
      </w:r>
      <w:r>
        <w:rPr>
          <w:b/>
          <w:i/>
        </w:rPr>
        <w:t xml:space="preserve"> </w:t>
      </w:r>
      <w:r w:rsidR="0079282E">
        <w:t>объем</w:t>
      </w:r>
      <w:r w:rsidRPr="00466D1D">
        <w:t xml:space="preserve"> </w:t>
      </w:r>
      <w:proofErr w:type="gramStart"/>
      <w:r w:rsidRPr="00466D1D">
        <w:t>ассигнований</w:t>
      </w:r>
      <w:proofErr w:type="gramEnd"/>
      <w:r w:rsidRPr="00466D1D">
        <w:t xml:space="preserve"> которого </w:t>
      </w:r>
      <w:r>
        <w:t xml:space="preserve">в целом </w:t>
      </w:r>
      <w:r w:rsidRPr="00466D1D">
        <w:t>увеличен по сравнению с 2018 год</w:t>
      </w:r>
      <w:r w:rsidR="00DA55DA">
        <w:t>ом</w:t>
      </w:r>
      <w:r w:rsidRPr="00466D1D">
        <w:t xml:space="preserve"> на </w:t>
      </w:r>
      <w:r w:rsidR="003959BB">
        <w:t>69</w:t>
      </w:r>
      <w:r w:rsidRPr="00466D1D">
        <w:t xml:space="preserve"> млн. руб. (2,</w:t>
      </w:r>
      <w:r w:rsidR="003959BB">
        <w:t>1</w:t>
      </w:r>
      <w:r w:rsidRPr="00466D1D">
        <w:t xml:space="preserve">%), </w:t>
      </w:r>
      <w:r w:rsidRPr="00466D1D">
        <w:lastRenderedPageBreak/>
        <w:t>предусмотрено перераспределение</w:t>
      </w:r>
      <w:r>
        <w:t xml:space="preserve"> (увеличение)</w:t>
      </w:r>
      <w:r w:rsidRPr="00466D1D">
        <w:t xml:space="preserve"> ассигнований между главными распорядителями средств о</w:t>
      </w:r>
      <w:r>
        <w:t>бласт</w:t>
      </w:r>
      <w:r w:rsidRPr="00466D1D">
        <w:t>ного бюджета</w:t>
      </w:r>
      <w:r>
        <w:t>, в том числе:</w:t>
      </w:r>
    </w:p>
    <w:p w:rsidR="00BF29DB" w:rsidRPr="00466D1D" w:rsidRDefault="00BF29DB" w:rsidP="00BF29DB">
      <w:pPr>
        <w:ind w:firstLine="720"/>
        <w:jc w:val="both"/>
      </w:pPr>
      <w:r w:rsidRPr="00466D1D">
        <w:t xml:space="preserve">-в связи со сменой учредителя ассигнования на обеспечение деятельности </w:t>
      </w:r>
      <w:r>
        <w:t>ГКУ</w:t>
      </w:r>
      <w:r w:rsidRPr="00466D1D">
        <w:t xml:space="preserve"> </w:t>
      </w:r>
      <w:r>
        <w:t>«</w:t>
      </w:r>
      <w:r w:rsidRPr="00466D1D">
        <w:t>Дирекция по материально-техническому и хозяйственному обеспечению администрации Волгоградской области</w:t>
      </w:r>
      <w:r>
        <w:t>»</w:t>
      </w:r>
      <w:r w:rsidRPr="00466D1D">
        <w:t xml:space="preserve"> перемещены от комитета по управлению государственным имуществом области </w:t>
      </w:r>
      <w:r w:rsidR="00277280">
        <w:t>у</w:t>
      </w:r>
      <w:r w:rsidRPr="00466D1D">
        <w:t>правлению делами Администрации Волгоградской области</w:t>
      </w:r>
      <w:r>
        <w:t>;</w:t>
      </w:r>
    </w:p>
    <w:p w:rsidR="00BF29DB" w:rsidRDefault="00BF29DB" w:rsidP="00BF29DB">
      <w:pPr>
        <w:ind w:firstLine="720"/>
        <w:jc w:val="both"/>
      </w:pPr>
      <w:r>
        <w:rPr>
          <w:color w:val="000000"/>
        </w:rPr>
        <w:t>-</w:t>
      </w:r>
      <w:r w:rsidRPr="008D26B1">
        <w:rPr>
          <w:color w:val="000000"/>
        </w:rPr>
        <w:t>комитету экономической политики и развития</w:t>
      </w:r>
      <w:r>
        <w:rPr>
          <w:color w:val="000000"/>
        </w:rPr>
        <w:t xml:space="preserve"> </w:t>
      </w:r>
      <w:r w:rsidRPr="00466D1D">
        <w:t>Волгоградской области</w:t>
      </w:r>
      <w:r w:rsidRPr="00213DCA">
        <w:rPr>
          <w:rFonts w:eastAsia="Calibri"/>
          <w:szCs w:val="28"/>
          <w:lang w:eastAsia="en-US"/>
        </w:rPr>
        <w:t xml:space="preserve"> увеличен</w:t>
      </w:r>
      <w:r>
        <w:rPr>
          <w:rFonts w:eastAsia="Calibri"/>
          <w:szCs w:val="28"/>
          <w:lang w:eastAsia="en-US"/>
        </w:rPr>
        <w:t>ы</w:t>
      </w:r>
      <w:r w:rsidRPr="00213DC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ассигнования </w:t>
      </w:r>
      <w:r>
        <w:rPr>
          <w:color w:val="000000"/>
        </w:rPr>
        <w:t xml:space="preserve">на </w:t>
      </w:r>
      <w:r>
        <w:t>обеспечение выполнения функций ГКУ «Многофункциональный центр предоставления государственных и муниципальных услуг</w:t>
      </w:r>
      <w:r w:rsidRPr="004707D3">
        <w:t>»</w:t>
      </w:r>
      <w:r>
        <w:t xml:space="preserve"> в связи с законченной в 2018 году централизацией сети МФЦ и на содержание созданного в 2018 году ГКУ «Аналитический центр»;</w:t>
      </w:r>
    </w:p>
    <w:p w:rsidR="00BF29DB" w:rsidRPr="00F96450" w:rsidRDefault="00BF29DB" w:rsidP="00BF29DB">
      <w:pPr>
        <w:ind w:firstLine="720"/>
        <w:jc w:val="both"/>
      </w:pPr>
      <w:r>
        <w:t xml:space="preserve">-комитету транспорта и дорожного хозяйства Волгоградской области предусмотрены ассигнования в размере 145 млн. руб. </w:t>
      </w:r>
      <w:r w:rsidRPr="00C029C2">
        <w:t>на</w:t>
      </w:r>
      <w:r>
        <w:t xml:space="preserve"> </w:t>
      </w:r>
      <w:r w:rsidRPr="00375D46">
        <w:t>проведение ремонта</w:t>
      </w:r>
      <w:r>
        <w:t xml:space="preserve"> </w:t>
      </w:r>
      <w:r w:rsidRPr="00375D46">
        <w:t>объект</w:t>
      </w:r>
      <w:r>
        <w:t>а</w:t>
      </w:r>
      <w:r w:rsidRPr="00375D46">
        <w:t xml:space="preserve"> недвижимого </w:t>
      </w:r>
      <w:r w:rsidRPr="00F96450">
        <w:t xml:space="preserve">имущества, находящегося по адресу: </w:t>
      </w:r>
      <w:proofErr w:type="gramStart"/>
      <w:r w:rsidRPr="00F96450">
        <w:t>г</w:t>
      </w:r>
      <w:proofErr w:type="gramEnd"/>
      <w:r w:rsidRPr="00F96450">
        <w:t>. Волгоград, пр. Жукова, дом 90;</w:t>
      </w:r>
    </w:p>
    <w:p w:rsidR="00BF29DB" w:rsidRPr="006C16F2" w:rsidRDefault="00BF29DB" w:rsidP="00BF29DB">
      <w:pPr>
        <w:ind w:firstLine="709"/>
        <w:jc w:val="both"/>
      </w:pPr>
      <w:r w:rsidRPr="00F96450">
        <w:t>-к</w:t>
      </w:r>
      <w:r w:rsidRPr="00F96450">
        <w:rPr>
          <w:color w:val="000000"/>
        </w:rPr>
        <w:t>омитету информационных технологий</w:t>
      </w:r>
      <w:r w:rsidRPr="00F96450">
        <w:t xml:space="preserve"> Волгоградской области </w:t>
      </w:r>
      <w:r>
        <w:rPr>
          <w:lang w:eastAsia="en-US"/>
        </w:rPr>
        <w:t>увеличены ассигнования</w:t>
      </w:r>
      <w:r w:rsidRPr="00F96450">
        <w:rPr>
          <w:szCs w:val="28"/>
          <w:lang w:eastAsia="en-US"/>
        </w:rPr>
        <w:t xml:space="preserve"> </w:t>
      </w:r>
      <w:r w:rsidRPr="00F96450">
        <w:t xml:space="preserve">на расходы по реализации ведомственной целевой программы «Отдельные мероприятия в сфере связи и информатизации» в связи с запланированной модернизацией телекоммуникационных сервисов на базе системы управления и передачи данных, увеличением стоимости услуг связи и пр.; </w:t>
      </w:r>
    </w:p>
    <w:p w:rsidR="00BF29DB" w:rsidRDefault="00BF29DB" w:rsidP="00BF29DB">
      <w:pPr>
        <w:tabs>
          <w:tab w:val="left" w:pos="0"/>
        </w:tabs>
        <w:ind w:firstLine="709"/>
        <w:jc w:val="both"/>
      </w:pPr>
      <w:proofErr w:type="gramStart"/>
      <w:r>
        <w:t>-</w:t>
      </w:r>
      <w:r w:rsidRPr="0006411A">
        <w:t xml:space="preserve">комитету по делам территориальных образований, внутренней и информационной политики </w:t>
      </w:r>
      <w:r w:rsidRPr="00213DCA">
        <w:rPr>
          <w:rFonts w:eastAsia="Calibri"/>
          <w:szCs w:val="28"/>
          <w:lang w:eastAsia="en-US"/>
        </w:rPr>
        <w:t>увеличен</w:t>
      </w:r>
      <w:r>
        <w:rPr>
          <w:rFonts w:eastAsia="Calibri"/>
          <w:szCs w:val="28"/>
          <w:lang w:eastAsia="en-US"/>
        </w:rPr>
        <w:t>ы</w:t>
      </w:r>
      <w:r w:rsidRPr="00213DC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ассигнования на 52,1 млн. руб. </w:t>
      </w:r>
      <w:r>
        <w:t>на реализацию в</w:t>
      </w:r>
      <w:r w:rsidRPr="005F2527">
        <w:t>едомственн</w:t>
      </w:r>
      <w:r>
        <w:t>ой</w:t>
      </w:r>
      <w:r w:rsidRPr="005F2527">
        <w:t xml:space="preserve"> целев</w:t>
      </w:r>
      <w:r>
        <w:t>ой</w:t>
      </w:r>
      <w:r w:rsidRPr="005F2527">
        <w:t xml:space="preserve"> программ</w:t>
      </w:r>
      <w:r>
        <w:t>ы</w:t>
      </w:r>
      <w:r w:rsidRPr="005F2527">
        <w:t xml:space="preserve"> </w:t>
      </w:r>
      <w:r>
        <w:t>«</w:t>
      </w:r>
      <w:r w:rsidRPr="005F2527">
        <w:t>Реализация государственной информационной политики на территории Волгоградской области в сфере средств массовой информации и массовых коммуникаций, развития информационных ресурсов, печати, издательской, полиграфической деятельности, распространения печатной продукции</w:t>
      </w:r>
      <w:r>
        <w:t>»</w:t>
      </w:r>
      <w:r w:rsidRPr="005F2527">
        <w:t xml:space="preserve"> на 2019</w:t>
      </w:r>
      <w:r w:rsidR="00692221">
        <w:t>-</w:t>
      </w:r>
      <w:r w:rsidRPr="005F2527">
        <w:t>2021 годы</w:t>
      </w:r>
      <w:r>
        <w:t>», которая является продолжением аналогичной программы реализуемой в предыдущие годы;</w:t>
      </w:r>
      <w:proofErr w:type="gramEnd"/>
    </w:p>
    <w:p w:rsidR="00BF29DB" w:rsidRDefault="00BF29DB" w:rsidP="00BF29DB">
      <w:pPr>
        <w:tabs>
          <w:tab w:val="left" w:pos="0"/>
        </w:tabs>
        <w:ind w:firstLine="709"/>
        <w:jc w:val="both"/>
      </w:pPr>
      <w:proofErr w:type="gramStart"/>
      <w:r w:rsidRPr="00E348CD">
        <w:t>-</w:t>
      </w:r>
      <w:r w:rsidR="00277280">
        <w:t>у</w:t>
      </w:r>
      <w:r w:rsidRPr="00E348CD">
        <w:t>правлению делами Администрации Волгоградской области</w:t>
      </w:r>
      <w:r>
        <w:t xml:space="preserve"> предусмотрены ассигнования в размере 179,2 млн. руб. на капитальные вложения в объекты государственной собственности в соответствии с постановлением Администрации Волгоградской области от 10.09.2018 №308-п «О подготовке и реализации бюджетных инвестиций за сч</w:t>
      </w:r>
      <w:r w:rsidR="00277280">
        <w:t>е</w:t>
      </w:r>
      <w:r>
        <w:t>т средств областного бюджета на приобретение нежилых помещений в порядке участия в долевом строительстве объекта недвижимости «под ключ».</w:t>
      </w:r>
      <w:proofErr w:type="gramEnd"/>
    </w:p>
    <w:p w:rsidR="00BF29DB" w:rsidRDefault="00BF29DB" w:rsidP="00BF29DB">
      <w:pPr>
        <w:tabs>
          <w:tab w:val="left" w:pos="0"/>
        </w:tabs>
        <w:ind w:firstLine="709"/>
        <w:jc w:val="both"/>
      </w:pPr>
    </w:p>
    <w:p w:rsidR="00EA2C21" w:rsidRPr="0068415A" w:rsidRDefault="00EA2C21" w:rsidP="00EA2C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Расходы по р</w:t>
      </w:r>
      <w:r w:rsidRPr="0068415A">
        <w:rPr>
          <w:b/>
          <w:i/>
          <w:u w:val="single"/>
        </w:rPr>
        <w:t>аздел</w:t>
      </w:r>
      <w:r>
        <w:rPr>
          <w:b/>
          <w:i/>
          <w:u w:val="single"/>
        </w:rPr>
        <w:t>у</w:t>
      </w:r>
      <w:r w:rsidRPr="0068415A">
        <w:rPr>
          <w:b/>
          <w:i/>
          <w:u w:val="single"/>
        </w:rPr>
        <w:t xml:space="preserve"> 02</w:t>
      </w:r>
      <w:r>
        <w:rPr>
          <w:b/>
          <w:i/>
          <w:u w:val="single"/>
        </w:rPr>
        <w:t>00</w:t>
      </w:r>
      <w:r w:rsidRPr="0068415A">
        <w:rPr>
          <w:b/>
          <w:i/>
          <w:u w:val="single"/>
        </w:rPr>
        <w:t xml:space="preserve"> «Национальная оборона»</w:t>
      </w:r>
      <w:r>
        <w:rPr>
          <w:b/>
          <w:i/>
          <w:u w:val="single"/>
        </w:rPr>
        <w:t>.</w:t>
      </w:r>
    </w:p>
    <w:p w:rsidR="00327C82" w:rsidRDefault="00327C82" w:rsidP="0027399F">
      <w:pPr>
        <w:ind w:firstLine="709"/>
        <w:jc w:val="both"/>
        <w:rPr>
          <w:color w:val="548DD4"/>
        </w:rPr>
      </w:pPr>
    </w:p>
    <w:p w:rsidR="002345C3" w:rsidRPr="005A130B" w:rsidRDefault="002345C3" w:rsidP="002345C3">
      <w:pPr>
        <w:ind w:firstLine="709"/>
        <w:jc w:val="both"/>
      </w:pPr>
      <w:r w:rsidRPr="005A130B">
        <w:t>По разделу «Национальная оборона» на 201</w:t>
      </w:r>
      <w:r>
        <w:t>9</w:t>
      </w:r>
      <w:r w:rsidRPr="005A130B">
        <w:t xml:space="preserve"> год предусмотрены расходы в сумме </w:t>
      </w:r>
      <w:r>
        <w:t>45,9</w:t>
      </w:r>
      <w:r w:rsidRPr="005A130B">
        <w:t xml:space="preserve"> млн. руб., что на </w:t>
      </w:r>
      <w:r>
        <w:t>25,5</w:t>
      </w:r>
      <w:r w:rsidRPr="005A130B">
        <w:t xml:space="preserve">% </w:t>
      </w:r>
      <w:r>
        <w:t>меньше</w:t>
      </w:r>
      <w:r w:rsidRPr="005A130B">
        <w:t xml:space="preserve"> плановых ассигнований 201</w:t>
      </w:r>
      <w:r>
        <w:t>8</w:t>
      </w:r>
      <w:r w:rsidRPr="005A130B">
        <w:t xml:space="preserve"> года (</w:t>
      </w:r>
      <w:r>
        <w:t>57,6</w:t>
      </w:r>
      <w:r w:rsidRPr="005A130B">
        <w:t xml:space="preserve"> млн. рублей). </w:t>
      </w:r>
    </w:p>
    <w:p w:rsidR="002345C3" w:rsidRPr="00641A15" w:rsidRDefault="002345C3" w:rsidP="002345C3">
      <w:pPr>
        <w:ind w:firstLine="709"/>
        <w:jc w:val="both"/>
      </w:pPr>
      <w:r w:rsidRPr="007B63E6">
        <w:t>По подразделу 0203 «</w:t>
      </w:r>
      <w:r w:rsidRPr="007B63E6">
        <w:rPr>
          <w:bCs/>
        </w:rPr>
        <w:t>Мобилизационная и вневойсковая подготовка</w:t>
      </w:r>
      <w:r w:rsidRPr="007B63E6">
        <w:t xml:space="preserve">» комитету финансов Волгоградской области за счет средств федерального бюджета предусмотрено увеличение </w:t>
      </w:r>
      <w:r>
        <w:t>ассигнований</w:t>
      </w:r>
      <w:r w:rsidRPr="007B63E6">
        <w:t xml:space="preserve"> </w:t>
      </w:r>
      <w:r>
        <w:t>на</w:t>
      </w:r>
      <w:r w:rsidRPr="007B63E6">
        <w:t xml:space="preserve"> 1,9 млн. руб. на предоставление местным бюджетам субвенций</w:t>
      </w:r>
      <w:r w:rsidRPr="007B63E6">
        <w:rPr>
          <w:i/>
        </w:rPr>
        <w:t xml:space="preserve"> </w:t>
      </w:r>
      <w:r w:rsidRPr="007B63E6">
        <w:t>на осуществление переданных государственных полномочий РФ по ведению первичного воинского учета на территориях, где отсутствуют военные комиссариаты.</w:t>
      </w:r>
    </w:p>
    <w:p w:rsidR="002345C3" w:rsidRDefault="002345C3" w:rsidP="002345C3">
      <w:pPr>
        <w:ind w:firstLine="709"/>
        <w:jc w:val="both"/>
      </w:pPr>
      <w:r>
        <w:t>П</w:t>
      </w:r>
      <w:r w:rsidRPr="007B63E6">
        <w:t>о подразделу 0204 «Мобилизационная подготовка экономики</w:t>
      </w:r>
      <w:r>
        <w:t>» ассигнования уменьшены на 13,6 млн. руб. и составили 0,6 млн. руб. в связи с отсутствием потребности.</w:t>
      </w:r>
    </w:p>
    <w:p w:rsidR="002345C3" w:rsidRDefault="002345C3" w:rsidP="0027399F">
      <w:pPr>
        <w:ind w:firstLine="709"/>
        <w:jc w:val="both"/>
        <w:rPr>
          <w:color w:val="548DD4"/>
        </w:rPr>
      </w:pPr>
    </w:p>
    <w:p w:rsidR="00EA2C21" w:rsidRPr="009C4241" w:rsidRDefault="00EA2C21" w:rsidP="00EA2C21">
      <w:pPr>
        <w:jc w:val="center"/>
        <w:rPr>
          <w:b/>
          <w:i/>
          <w:u w:val="single"/>
        </w:rPr>
      </w:pPr>
      <w:r w:rsidRPr="009C4241">
        <w:rPr>
          <w:b/>
          <w:i/>
          <w:u w:val="single"/>
        </w:rPr>
        <w:t xml:space="preserve">Расходы по разделу 0300 «Национальная безопасность </w:t>
      </w:r>
    </w:p>
    <w:p w:rsidR="00EA2C21" w:rsidRDefault="00EA2C21" w:rsidP="00EA2C21">
      <w:pPr>
        <w:jc w:val="center"/>
        <w:rPr>
          <w:b/>
          <w:i/>
          <w:u w:val="single"/>
        </w:rPr>
      </w:pPr>
      <w:r w:rsidRPr="009C4241">
        <w:rPr>
          <w:b/>
          <w:i/>
          <w:u w:val="single"/>
        </w:rPr>
        <w:t>и правоохранительная деятельность».</w:t>
      </w:r>
    </w:p>
    <w:p w:rsidR="00327C82" w:rsidRDefault="00327C82" w:rsidP="00EA2C21">
      <w:pPr>
        <w:jc w:val="center"/>
        <w:rPr>
          <w:b/>
          <w:i/>
          <w:u w:val="single"/>
        </w:rPr>
      </w:pPr>
    </w:p>
    <w:p w:rsidR="002345C3" w:rsidRDefault="002345C3" w:rsidP="002345C3">
      <w:pPr>
        <w:ind w:firstLine="720"/>
        <w:jc w:val="both"/>
      </w:pPr>
      <w:r>
        <w:t xml:space="preserve">По разделу 0300 «Национальная безопасность и правоохранительная деятельность» на 2019 год предусмотрены ассигнования в сумме </w:t>
      </w:r>
      <w:r w:rsidRPr="006E254B">
        <w:t>1172,8</w:t>
      </w:r>
      <w:r>
        <w:t xml:space="preserve"> млн. руб., что на </w:t>
      </w:r>
      <w:r w:rsidR="00EC4453">
        <w:t xml:space="preserve">241,2 млн. руб., или на </w:t>
      </w:r>
      <w:r>
        <w:t>25,9% больше плановых ассигнований 2018 года (</w:t>
      </w:r>
      <w:r w:rsidRPr="006E254B">
        <w:t>931,6</w:t>
      </w:r>
      <w:r>
        <w:t xml:space="preserve"> млн. руб.).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>
        <w:t>К</w:t>
      </w:r>
      <w:r w:rsidRPr="008C6D3F">
        <w:t xml:space="preserve">омитету по обеспечению </w:t>
      </w:r>
      <w:proofErr w:type="gramStart"/>
      <w:r w:rsidRPr="008C6D3F">
        <w:t xml:space="preserve">безопасности жизнедеятельности населения Волгоградской области </w:t>
      </w:r>
      <w:r>
        <w:t>а</w:t>
      </w:r>
      <w:r w:rsidRPr="008C6D3F">
        <w:t>ссигновани</w:t>
      </w:r>
      <w:r>
        <w:t>я</w:t>
      </w:r>
      <w:proofErr w:type="gramEnd"/>
      <w:r>
        <w:t xml:space="preserve"> увеличены</w:t>
      </w:r>
      <w:r w:rsidRPr="008C6D3F">
        <w:t xml:space="preserve"> на </w:t>
      </w:r>
      <w:r>
        <w:t>311,9</w:t>
      </w:r>
      <w:r w:rsidRPr="008C6D3F">
        <w:t xml:space="preserve"> млн. руб., или на </w:t>
      </w:r>
      <w:r w:rsidR="00AF586F">
        <w:t>52</w:t>
      </w:r>
      <w:r w:rsidRPr="008C6D3F">
        <w:t xml:space="preserve">%, </w:t>
      </w:r>
      <w:r>
        <w:t>в том числе: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>
        <w:lastRenderedPageBreak/>
        <w:t>-167 млн. руб. – реконструкция и обслуживание региональной автоматизированной системы централизованного оповещения населения Волгоградской области;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>
        <w:t>-61,9 млн. руб. – приобретение пожарных автомобилей;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 w:rsidRPr="006B295A">
        <w:t>-</w:t>
      </w:r>
      <w:r>
        <w:t>52</w:t>
      </w:r>
      <w:r w:rsidRPr="006B295A">
        <w:t>,</w:t>
      </w:r>
      <w:r>
        <w:t>2</w:t>
      </w:r>
      <w:r w:rsidRPr="006B295A">
        <w:t xml:space="preserve"> млн. руб. –</w:t>
      </w:r>
      <w:r>
        <w:t xml:space="preserve"> </w:t>
      </w:r>
      <w:r w:rsidRPr="006B295A">
        <w:t>обеспечение деятельно</w:t>
      </w:r>
      <w:r>
        <w:t>сти подведомственных учреждений;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>
        <w:t>-21,3 млн. руб. – создание подразделений противопожарной службы, в том числе на базе муниципальной пожарной охраны;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>
        <w:t>-9,5 млн. руб. – п</w:t>
      </w:r>
      <w:r w:rsidRPr="006B295A">
        <w:t>риобретение средств индивидуальной защиты</w:t>
      </w:r>
      <w:r>
        <w:t>.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 w:rsidRPr="008C6D3F">
        <w:t>Отсутствие ассигнований комитету по строительству Волгоградской области</w:t>
      </w:r>
      <w:r w:rsidR="00FD1909">
        <w:t xml:space="preserve"> (-97,9 млн. руб.)</w:t>
      </w:r>
      <w:r w:rsidRPr="008C6D3F">
        <w:t xml:space="preserve"> обусловлено планируемым завершением в 201</w:t>
      </w:r>
      <w:r>
        <w:t>8</w:t>
      </w:r>
      <w:r w:rsidRPr="008C6D3F">
        <w:t xml:space="preserve"> году строительства </w:t>
      </w:r>
      <w:r>
        <w:t>4</w:t>
      </w:r>
      <w:r w:rsidRPr="008C6D3F">
        <w:t xml:space="preserve"> пожарных депо в районах области, пострадавших от пожаров 2-3 сентября 2010 года.</w:t>
      </w:r>
    </w:p>
    <w:p w:rsidR="002345C3" w:rsidRPr="00FB0C9F" w:rsidRDefault="002345C3" w:rsidP="002345C3">
      <w:pPr>
        <w:autoSpaceDE w:val="0"/>
        <w:autoSpaceDN w:val="0"/>
        <w:adjustRightInd w:val="0"/>
        <w:ind w:firstLine="709"/>
        <w:jc w:val="both"/>
      </w:pPr>
      <w:proofErr w:type="gramStart"/>
      <w:r>
        <w:t>К</w:t>
      </w:r>
      <w:r w:rsidRPr="00B33605">
        <w:t>омитету</w:t>
      </w:r>
      <w:r>
        <w:t xml:space="preserve"> </w:t>
      </w:r>
      <w:r w:rsidRPr="00B33605">
        <w:t>по делам национальностей и казачества</w:t>
      </w:r>
      <w:r>
        <w:t xml:space="preserve"> Волгоградской области а</w:t>
      </w:r>
      <w:r w:rsidRPr="00B33605">
        <w:t>ссигновани</w:t>
      </w:r>
      <w:r>
        <w:t xml:space="preserve">я уменьшены на 17,6 млн. руб., или на 21,3%, </w:t>
      </w:r>
      <w:r w:rsidRPr="00A564E7">
        <w:t>в связи с завершением уплаты лизинговых платежей за автомобили, приобрет</w:t>
      </w:r>
      <w:r w:rsidR="004104D5">
        <w:t>е</w:t>
      </w:r>
      <w:r w:rsidRPr="00A564E7">
        <w:t xml:space="preserve">нные для ГУ МВД </w:t>
      </w:r>
      <w:r>
        <w:t xml:space="preserve">России по Волгоградской области (13,2 млн. руб.), уменьшением объема субсидии казачьим обществам (3 млн. руб.) и обеспечением не в полной мере потребности комитета на исполнение </w:t>
      </w:r>
      <w:r w:rsidRPr="00C2480D">
        <w:t>государственн</w:t>
      </w:r>
      <w:r>
        <w:t>ой</w:t>
      </w:r>
      <w:r w:rsidRPr="00C2480D">
        <w:t xml:space="preserve"> программ</w:t>
      </w:r>
      <w:r>
        <w:t>ы</w:t>
      </w:r>
      <w:r w:rsidRPr="00C2480D">
        <w:t xml:space="preserve"> Волгоградской области </w:t>
      </w:r>
      <w:r>
        <w:t>«</w:t>
      </w:r>
      <w:r w:rsidRPr="00C2480D">
        <w:t>Профилактика</w:t>
      </w:r>
      <w:proofErr w:type="gramEnd"/>
      <w:r w:rsidRPr="00C2480D">
        <w:t xml:space="preserve"> правонарушений и обеспечение общественной безопасности на т</w:t>
      </w:r>
      <w:r>
        <w:t xml:space="preserve">ерритории </w:t>
      </w:r>
      <w:r w:rsidRPr="00FB0C9F">
        <w:t>Волгоградской области» (1,4 млн. руб.).</w:t>
      </w:r>
    </w:p>
    <w:p w:rsidR="002345C3" w:rsidRDefault="002345C3" w:rsidP="002345C3">
      <w:pPr>
        <w:autoSpaceDE w:val="0"/>
        <w:autoSpaceDN w:val="0"/>
        <w:adjustRightInd w:val="0"/>
        <w:ind w:firstLine="709"/>
        <w:jc w:val="both"/>
      </w:pPr>
      <w:r w:rsidRPr="00FB0C9F">
        <w:t xml:space="preserve">Комитету информационных технологий Волгоградской области предусмотрено увеличение ассигнований на 44,8 млн. руб., или </w:t>
      </w:r>
      <w:r w:rsidR="004104D5">
        <w:t xml:space="preserve">на </w:t>
      </w:r>
      <w:r w:rsidRPr="00FB0C9F">
        <w:t>29,6%</w:t>
      </w:r>
      <w:r w:rsidR="004104D5">
        <w:t>,</w:t>
      </w:r>
      <w:r w:rsidRPr="00FB0C9F">
        <w:t xml:space="preserve"> на разработку комплекса средств автоматизации «Региональная интеграционная платформа», предназначенного для интеграции государственных информационных систем, созданных в рамках аппаратно-программного комплекса «Безопасный город».</w:t>
      </w:r>
    </w:p>
    <w:p w:rsidR="002345C3" w:rsidRDefault="002345C3" w:rsidP="002345C3">
      <w:pPr>
        <w:ind w:firstLine="709"/>
        <w:jc w:val="both"/>
        <w:rPr>
          <w:b/>
          <w:i/>
        </w:rPr>
      </w:pPr>
    </w:p>
    <w:p w:rsidR="00EA2C21" w:rsidRDefault="00EA2C21" w:rsidP="00EA2C21">
      <w:pPr>
        <w:jc w:val="center"/>
        <w:rPr>
          <w:b/>
          <w:i/>
          <w:u w:val="single"/>
        </w:rPr>
      </w:pPr>
      <w:r w:rsidRPr="00F44375">
        <w:rPr>
          <w:b/>
          <w:i/>
          <w:u w:val="single"/>
        </w:rPr>
        <w:t>Расходы по разделу 0400 «Национальная экономика»</w:t>
      </w:r>
      <w:r>
        <w:rPr>
          <w:b/>
          <w:i/>
          <w:u w:val="single"/>
        </w:rPr>
        <w:t>.</w:t>
      </w:r>
    </w:p>
    <w:p w:rsidR="007F18E7" w:rsidRDefault="007F18E7" w:rsidP="00EA2C21">
      <w:pPr>
        <w:jc w:val="center"/>
        <w:rPr>
          <w:b/>
          <w:i/>
          <w:u w:val="single"/>
        </w:rPr>
      </w:pPr>
    </w:p>
    <w:p w:rsidR="00CC3D91" w:rsidRDefault="009A2F79" w:rsidP="002C681D">
      <w:pPr>
        <w:ind w:firstLine="709"/>
        <w:jc w:val="both"/>
      </w:pPr>
      <w:r w:rsidRPr="009A2F79">
        <w:t>В целом по разделу 0400 «Национальная экономика» на 2019 год предусмотрены ассигнования</w:t>
      </w:r>
      <w:r>
        <w:t xml:space="preserve"> в размере 19271,7 млн. руб., что на 2607,7 млн. руб., или на 15,6% больше, чем утверждено бюджетом на 2018 год.</w:t>
      </w:r>
      <w:r w:rsidR="00390753">
        <w:t xml:space="preserve"> В большей степени увеличены расходы по подразделу 0409 «Дорожное хозяйство (дорожные фонды)» - на 1589,7 млн. руб., а также по подразделу 0406 «Водное хозяйство» (+697,8 млн. руб.) и по подразделу 0412 «Другие вопросы в области национальной экономики» (+967,7 млн. руб.). </w:t>
      </w:r>
      <w:r w:rsidR="00CC3D91">
        <w:t>Более подробно причины увеличения (сокращения) ассигнований в 2019 году относительно текущего года изложены в описании соответствующих подразделов.</w:t>
      </w:r>
    </w:p>
    <w:p w:rsidR="000D0A9F" w:rsidRPr="000D0A9F" w:rsidRDefault="000D0A9F" w:rsidP="000D0A9F">
      <w:pPr>
        <w:ind w:firstLine="708"/>
        <w:jc w:val="both"/>
      </w:pPr>
      <w:proofErr w:type="gramStart"/>
      <w:r w:rsidRPr="000D0A9F">
        <w:rPr>
          <w:b/>
          <w:i/>
          <w:u w:val="single"/>
        </w:rPr>
        <w:t>По подразделу 0401 «Общеэкономические вопросы</w:t>
      </w:r>
      <w:r w:rsidRPr="000D0A9F">
        <w:rPr>
          <w:b/>
          <w:i/>
        </w:rPr>
        <w:t>»</w:t>
      </w:r>
      <w:r w:rsidRPr="000D0A9F">
        <w:t xml:space="preserve"> </w:t>
      </w:r>
      <w:r>
        <w:t>з</w:t>
      </w:r>
      <w:r w:rsidRPr="000D0A9F">
        <w:t xml:space="preserve">аконопроектом предусмотрено сокращение расходов </w:t>
      </w:r>
      <w:r>
        <w:t>по</w:t>
      </w:r>
      <w:r w:rsidRPr="000D0A9F">
        <w:t xml:space="preserve"> комитет</w:t>
      </w:r>
      <w:r>
        <w:t>у</w:t>
      </w:r>
      <w:r w:rsidRPr="000D0A9F">
        <w:t xml:space="preserve"> по труду и занятости населения </w:t>
      </w:r>
      <w:r>
        <w:t xml:space="preserve">Волгоградской области </w:t>
      </w:r>
      <w:r w:rsidRPr="000D0A9F">
        <w:t>на 4,7 млн. руб., или на 1,4%, главным образом по подпрограмме «Активная политика занятости населения и социальная поддержка безработных граждан» госпрограммы «Развитие рынка труда и обеспечение занятости в Волгоградской области», в том числе:</w:t>
      </w:r>
      <w:proofErr w:type="gramEnd"/>
    </w:p>
    <w:p w:rsidR="000D0A9F" w:rsidRPr="000D0A9F" w:rsidRDefault="000D0A9F" w:rsidP="000D0A9F">
      <w:pPr>
        <w:ind w:firstLine="708"/>
        <w:jc w:val="both"/>
      </w:pPr>
      <w:proofErr w:type="gramStart"/>
      <w:r w:rsidRPr="000D0A9F">
        <w:t>-уменьшен</w:t>
      </w:r>
      <w:r w:rsidR="00BD6C78">
        <w:t>ы</w:t>
      </w:r>
      <w:r w:rsidRPr="000D0A9F">
        <w:t xml:space="preserve"> на 20,6 млн. руб., или на 51,6% расход</w:t>
      </w:r>
      <w:r w:rsidR="00BD6C78">
        <w:t>ы</w:t>
      </w:r>
      <w:r w:rsidRPr="000D0A9F">
        <w:t xml:space="preserve"> на закупку товаров, работ и услуг для обеспечения государственных нужд, а именно расход</w:t>
      </w:r>
      <w:r w:rsidR="005F5484">
        <w:t>ы</w:t>
      </w:r>
      <w:r w:rsidRPr="000D0A9F">
        <w:t>, необходимы</w:t>
      </w:r>
      <w:r w:rsidR="005F5484">
        <w:t>е</w:t>
      </w:r>
      <w:r w:rsidRPr="000D0A9F">
        <w:t xml:space="preserve"> для исполнения полномочий органов государственной власти субъектов РФ в области содействия занятости населения, установленных статьей 7.1-1 Закона РФ от 19.04.1991 №1032-1 «О занятости населения в РФ» (например, профессиональное обучение и дополнительное профессиональное образование безработных граждан, включая</w:t>
      </w:r>
      <w:proofErr w:type="gramEnd"/>
      <w:r w:rsidRPr="000D0A9F">
        <w:t xml:space="preserve"> обучение в другой местности; социальная адаптация безработных граждан на рынке труда; психологическая поддержка безработных граждан; информирование о положении на рынке труда в субъекте РФ);</w:t>
      </w:r>
    </w:p>
    <w:p w:rsidR="000D0A9F" w:rsidRPr="000D0A9F" w:rsidRDefault="000D0A9F" w:rsidP="000D0A9F">
      <w:pPr>
        <w:ind w:firstLine="708"/>
        <w:jc w:val="both"/>
      </w:pPr>
      <w:r w:rsidRPr="000D0A9F">
        <w:t>-уменьшен</w:t>
      </w:r>
      <w:r w:rsidR="005F5484">
        <w:t>ы</w:t>
      </w:r>
      <w:r w:rsidRPr="000D0A9F">
        <w:t xml:space="preserve"> на 9,9 млн. руб., или на 68% расход</w:t>
      </w:r>
      <w:r w:rsidR="005F5484">
        <w:t>ы</w:t>
      </w:r>
      <w:r w:rsidRPr="000D0A9F">
        <w:t xml:space="preserve"> на предоставление субсидий бюджетным, автономным учреждениям и иным некоммерческим организациям, а также иные бюджетные ассигнования, главным образом по субсидии работодателям на оплату труда несовершеннолетних граждан, трудоустроенных на временные работы;</w:t>
      </w:r>
    </w:p>
    <w:p w:rsidR="000D0A9F" w:rsidRPr="000D0A9F" w:rsidRDefault="000D0A9F" w:rsidP="000D0A9F">
      <w:pPr>
        <w:ind w:firstLine="708"/>
        <w:jc w:val="both"/>
      </w:pPr>
      <w:r w:rsidRPr="000D0A9F">
        <w:t>-уменьшен</w:t>
      </w:r>
      <w:r w:rsidR="005F5484">
        <w:t>ы</w:t>
      </w:r>
      <w:r w:rsidRPr="000D0A9F">
        <w:t xml:space="preserve"> на 3,1 млн. руб., или на 13,5% расход</w:t>
      </w:r>
      <w:r w:rsidR="005F5484">
        <w:t>ы</w:t>
      </w:r>
      <w:r w:rsidRPr="000D0A9F">
        <w:t xml:space="preserve"> на социальное обеспечение и иные выплаты населению, </w:t>
      </w:r>
      <w:r w:rsidR="005F5484">
        <w:t>в основном,</w:t>
      </w:r>
      <w:r w:rsidRPr="000D0A9F">
        <w:t xml:space="preserve"> расход</w:t>
      </w:r>
      <w:r w:rsidR="005F5484">
        <w:t>ы</w:t>
      </w:r>
      <w:r w:rsidRPr="000D0A9F">
        <w:t xml:space="preserve"> по содействию</w:t>
      </w:r>
      <w:r w:rsidR="005F5484">
        <w:t xml:space="preserve"> </w:t>
      </w:r>
      <w:proofErr w:type="spellStart"/>
      <w:r w:rsidR="005F5484">
        <w:t>самозанятости</w:t>
      </w:r>
      <w:proofErr w:type="spellEnd"/>
      <w:r w:rsidR="005F5484">
        <w:t xml:space="preserve"> безработных</w:t>
      </w:r>
      <w:r w:rsidRPr="000D0A9F">
        <w:t>.</w:t>
      </w:r>
    </w:p>
    <w:p w:rsidR="000D0A9F" w:rsidRPr="000D0A9F" w:rsidRDefault="000D0A9F" w:rsidP="000D0A9F">
      <w:pPr>
        <w:ind w:firstLine="708"/>
        <w:jc w:val="both"/>
      </w:pPr>
      <w:r w:rsidRPr="000D0A9F">
        <w:lastRenderedPageBreak/>
        <w:t>При этом расходы комитета по труду и занятости населения на выплаты персоналу подведомственных учреждений увеличены на 27,9 млн. руб. или на 14,4% в целях увеличения окладной части заработной платы специалистов ГКУ ЦЗН, непосредственно оказывающих государственные услуги, в связи с повышением МРОТ в 2018 году.</w:t>
      </w:r>
    </w:p>
    <w:p w:rsidR="002C681D" w:rsidRDefault="00CC3D91" w:rsidP="002C681D">
      <w:pPr>
        <w:ind w:firstLine="709"/>
        <w:jc w:val="both"/>
      </w:pPr>
      <w:r w:rsidRPr="00AE18BF">
        <w:rPr>
          <w:b/>
          <w:i/>
          <w:u w:val="single"/>
        </w:rPr>
        <w:t>По</w:t>
      </w:r>
      <w:r w:rsidR="002C681D" w:rsidRPr="00AE18BF">
        <w:rPr>
          <w:b/>
          <w:i/>
          <w:u w:val="single"/>
        </w:rPr>
        <w:t xml:space="preserve"> подразделу 0405 «Сельское хозяйство и рыболовство»</w:t>
      </w:r>
      <w:r w:rsidR="002C681D">
        <w:t xml:space="preserve"> бюджетные ассигнования на 2019 год предусмотрены в размере 3429,1 млн. руб., что составляет 93,6% к бюджетным ассигнованиям 2018 года (3663,6 млн. руб.).</w:t>
      </w:r>
      <w:r w:rsidR="005A1F7F">
        <w:t xml:space="preserve"> Снижение ассигнований подраздела относительно 2018 года обусловлено в основном отсутствием в законопроекте федеральных средств по отдельным видам господдержки </w:t>
      </w:r>
      <w:proofErr w:type="spellStart"/>
      <w:r w:rsidR="005A1F7F">
        <w:t>сельхозтоваропроизводителей</w:t>
      </w:r>
      <w:proofErr w:type="spellEnd"/>
      <w:r w:rsidR="005A1F7F">
        <w:t xml:space="preserve"> (соответствующие соглашения находятся на согласовании в Минсельхозе РФ).</w:t>
      </w:r>
    </w:p>
    <w:p w:rsidR="002C681D" w:rsidRDefault="002C681D" w:rsidP="002C681D">
      <w:pPr>
        <w:ind w:firstLine="709"/>
        <w:jc w:val="both"/>
      </w:pPr>
      <w:r w:rsidRPr="007E6AA1">
        <w:t>Программные мероприятия по данному подразделу на 2019 год составили 3240,4 млн. руб., или 94,5% в общих расходах, в том числе в рамках:</w:t>
      </w:r>
    </w:p>
    <w:p w:rsidR="002C681D" w:rsidRPr="0053464B" w:rsidRDefault="00584160" w:rsidP="002C681D">
      <w:pPr>
        <w:ind w:firstLine="708"/>
        <w:jc w:val="both"/>
        <w:rPr>
          <w:i/>
        </w:rPr>
      </w:pPr>
      <w:r w:rsidRPr="0015288D">
        <w:rPr>
          <w:b/>
        </w:rPr>
        <w:t>1.</w:t>
      </w:r>
      <w:r w:rsidR="0015288D">
        <w:rPr>
          <w:b/>
        </w:rPr>
        <w:t xml:space="preserve"> </w:t>
      </w:r>
      <w:r w:rsidR="006E3F08" w:rsidRPr="006E3F08">
        <w:t>Г</w:t>
      </w:r>
      <w:r w:rsidR="002C681D" w:rsidRPr="0053464B">
        <w:rPr>
          <w:u w:val="single"/>
        </w:rPr>
        <w:t>оспрограммы «Развитие сельского хозяйства и регулирование рынков сельскохозяйственной продукции, сырья и продовольствия» - 2678,8 млн. руб</w:t>
      </w:r>
      <w:r w:rsidR="002C681D">
        <w:t xml:space="preserve">. </w:t>
      </w:r>
      <w:r>
        <w:t>(</w:t>
      </w:r>
      <w:r w:rsidR="002C681D">
        <w:t xml:space="preserve">на 284,5 млн. руб. меньше </w:t>
      </w:r>
      <w:r>
        <w:t xml:space="preserve">ассигнований </w:t>
      </w:r>
      <w:r w:rsidR="002C681D">
        <w:t xml:space="preserve">2018 года, </w:t>
      </w:r>
      <w:r w:rsidR="002C681D" w:rsidRPr="006874D6">
        <w:t>из них средства федерального бюджета – 1688,8 млн. руб.</w:t>
      </w:r>
      <w:r>
        <w:t>, или</w:t>
      </w:r>
      <w:r w:rsidR="002C681D" w:rsidRPr="006874D6">
        <w:t xml:space="preserve"> 63% в общей сумме расходов).</w:t>
      </w:r>
    </w:p>
    <w:p w:rsidR="002C681D" w:rsidRDefault="002C681D" w:rsidP="002C681D">
      <w:pPr>
        <w:autoSpaceDE w:val="0"/>
        <w:autoSpaceDN w:val="0"/>
        <w:adjustRightInd w:val="0"/>
        <w:ind w:firstLine="709"/>
        <w:jc w:val="both"/>
      </w:pPr>
      <w:r w:rsidRPr="00921048">
        <w:rPr>
          <w:i/>
        </w:rPr>
        <w:t xml:space="preserve"> </w:t>
      </w:r>
      <w:r>
        <w:t xml:space="preserve">Субсидии из федерального бюджета на государственную поддержку сельскохозяйственных товаропроизводителей Волгоградской области на 2019 год предусмотрены по 15 мероприятиям в соответствии с проектами соглашений между Администрацией Волгоградской области и Минсельхозом РФ, которые направлены для согласования по объему финансирования и целевым показателям в Минсельхоз РФ.  </w:t>
      </w:r>
    </w:p>
    <w:p w:rsidR="002C681D" w:rsidRDefault="002C681D" w:rsidP="002C681D">
      <w:pPr>
        <w:autoSpaceDE w:val="0"/>
        <w:autoSpaceDN w:val="0"/>
        <w:adjustRightInd w:val="0"/>
        <w:ind w:firstLine="709"/>
        <w:jc w:val="both"/>
      </w:pPr>
      <w:r>
        <w:t>По 3 мероприятиям, на финансирование которых запланировано привлечь  федеральные средства, предусмотрены только средства областного бюджета:</w:t>
      </w:r>
    </w:p>
    <w:p w:rsidR="002C681D" w:rsidRDefault="002C681D" w:rsidP="002C681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-«Поддержка инвестиционной привлекательности отраслей сельского хозяйства (возмещение части процентной ставки по инвестиционным кредитам (займам) на развитие агропромышленного комплекса)» -</w:t>
      </w:r>
      <w:r>
        <w:t xml:space="preserve"> 88,5 млн. рублей. На указанные цели средства, предусмотренные проектом федерального бюджета, не распределены по субъектам РФ</w:t>
      </w:r>
      <w:r w:rsidR="0015288D">
        <w:t>;</w:t>
      </w:r>
    </w:p>
    <w:p w:rsidR="002C681D" w:rsidRDefault="002C681D" w:rsidP="002C681D">
      <w:pPr>
        <w:autoSpaceDE w:val="0"/>
        <w:autoSpaceDN w:val="0"/>
        <w:adjustRightInd w:val="0"/>
        <w:ind w:firstLine="708"/>
        <w:jc w:val="both"/>
      </w:pPr>
      <w:r>
        <w:t xml:space="preserve">-«Возмещение части затрат сельскохозяйственным потребительским кооперативам на приобретение сельскохозяйственных животных и техники» и «Предоставление грантов крестьянским фермерским хозяйствам на создание и развитие хозяйств» - 1,7 млн. рублей. </w:t>
      </w:r>
    </w:p>
    <w:p w:rsidR="002C681D" w:rsidRDefault="002C681D" w:rsidP="002C681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Реализация мероприятий по государственной поддержке крестьянских фермерских хозяйств и сельскохозяйственных потребительских кооперативов планируется </w:t>
      </w:r>
      <w:r w:rsidRPr="007F2264">
        <w:rPr>
          <w:u w:val="single"/>
        </w:rPr>
        <w:t>в рамках федерального проекта «Создание системы поддержки фермеров и развитие сельской кооперации».</w:t>
      </w:r>
      <w:r w:rsidRPr="0015288D">
        <w:t xml:space="preserve"> </w:t>
      </w:r>
      <w:r>
        <w:t>В соответствии с доведенным Минсельхозом РФ проектом распределения средств федерального бюджета</w:t>
      </w:r>
      <w:r>
        <w:rPr>
          <w:b/>
        </w:rPr>
        <w:t xml:space="preserve"> </w:t>
      </w:r>
      <w:r>
        <w:t xml:space="preserve">Волгоградской области на </w:t>
      </w:r>
      <w:proofErr w:type="spellStart"/>
      <w:r>
        <w:t>софинансирование</w:t>
      </w:r>
      <w:proofErr w:type="spellEnd"/>
      <w:r>
        <w:t xml:space="preserve"> этих мероприятий предусмотрено 83,1 млн. рублей. Соглашение находится в стадии подготовки.</w:t>
      </w:r>
    </w:p>
    <w:p w:rsidR="002C681D" w:rsidRPr="009A7290" w:rsidRDefault="002C681D" w:rsidP="002C681D">
      <w:pPr>
        <w:ind w:firstLine="720"/>
        <w:jc w:val="both"/>
        <w:rPr>
          <w:bCs/>
          <w:iCs/>
          <w:color w:val="000000"/>
          <w:spacing w:val="-1"/>
        </w:rPr>
      </w:pPr>
      <w:r w:rsidRPr="009A7290">
        <w:rPr>
          <w:bCs/>
          <w:iCs/>
          <w:color w:val="000000"/>
          <w:spacing w:val="-1"/>
        </w:rPr>
        <w:t xml:space="preserve">Кроме вышеуказанных двух мероприятий в рамках федерального проекта, законопроектом </w:t>
      </w:r>
      <w:r>
        <w:rPr>
          <w:bCs/>
          <w:iCs/>
          <w:color w:val="000000"/>
          <w:spacing w:val="-1"/>
        </w:rPr>
        <w:t xml:space="preserve">на 2019 год </w:t>
      </w:r>
      <w:r w:rsidRPr="009A7290">
        <w:rPr>
          <w:bCs/>
          <w:iCs/>
          <w:color w:val="000000"/>
          <w:spacing w:val="-1"/>
          <w:u w:val="single"/>
        </w:rPr>
        <w:t xml:space="preserve">предусмотрены расходы на реализацию </w:t>
      </w:r>
      <w:r>
        <w:rPr>
          <w:bCs/>
          <w:iCs/>
          <w:color w:val="000000"/>
          <w:spacing w:val="-1"/>
          <w:u w:val="single"/>
        </w:rPr>
        <w:t xml:space="preserve">6 </w:t>
      </w:r>
      <w:r w:rsidRPr="009A7290">
        <w:rPr>
          <w:bCs/>
          <w:iCs/>
          <w:color w:val="000000"/>
          <w:spacing w:val="-1"/>
          <w:u w:val="single"/>
        </w:rPr>
        <w:t>новых мероприятий</w:t>
      </w:r>
      <w:r>
        <w:rPr>
          <w:bCs/>
          <w:iCs/>
          <w:color w:val="000000"/>
          <w:spacing w:val="-1"/>
          <w:u w:val="single"/>
        </w:rPr>
        <w:t xml:space="preserve"> </w:t>
      </w:r>
      <w:r w:rsidR="00204FDE">
        <w:rPr>
          <w:bCs/>
          <w:iCs/>
          <w:color w:val="000000"/>
          <w:spacing w:val="-1"/>
          <w:u w:val="single"/>
        </w:rPr>
        <w:t>с объемом финансирования</w:t>
      </w:r>
      <w:r>
        <w:rPr>
          <w:bCs/>
          <w:iCs/>
          <w:color w:val="000000"/>
          <w:spacing w:val="-1"/>
          <w:u w:val="single"/>
        </w:rPr>
        <w:t xml:space="preserve"> 415,9 млн. руб., не предусмотренных госпрограммой</w:t>
      </w:r>
      <w:r>
        <w:rPr>
          <w:bCs/>
          <w:iCs/>
          <w:color w:val="000000"/>
          <w:spacing w:val="-1"/>
        </w:rPr>
        <w:t>:</w:t>
      </w:r>
    </w:p>
    <w:p w:rsidR="002C681D" w:rsidRPr="002D5A47" w:rsidRDefault="002C681D" w:rsidP="002C681D">
      <w:pPr>
        <w:ind w:firstLine="709"/>
        <w:jc w:val="both"/>
      </w:pPr>
      <w:r w:rsidRPr="00C1654E">
        <w:rPr>
          <w:bCs/>
          <w:iCs/>
          <w:color w:val="000000"/>
          <w:spacing w:val="-1"/>
        </w:rPr>
        <w:t xml:space="preserve">-предоставление субсидий Фонду «Перспективное развитие Волгоградской области» для финансового обеспечения проектов развития сельского хозяйства Волгоградской области - </w:t>
      </w:r>
      <w:r w:rsidRPr="00C1654E">
        <w:rPr>
          <w:bCs/>
          <w:iCs/>
          <w:color w:val="000000"/>
          <w:spacing w:val="-1"/>
          <w:u w:val="single"/>
        </w:rPr>
        <w:t>300 млн. руб.</w:t>
      </w:r>
      <w:r>
        <w:rPr>
          <w:bCs/>
          <w:iCs/>
          <w:color w:val="000000"/>
          <w:spacing w:val="-1"/>
          <w:u w:val="single"/>
        </w:rPr>
        <w:t xml:space="preserve"> (только средства областного бюджета). </w:t>
      </w:r>
      <w:r w:rsidRPr="00131687">
        <w:rPr>
          <w:bCs/>
          <w:iCs/>
          <w:color w:val="000000"/>
          <w:spacing w:val="-1"/>
        </w:rPr>
        <w:t>По информации комитета сельского хозяйства</w:t>
      </w:r>
      <w:r w:rsidRPr="00131687">
        <w:t xml:space="preserve"> </w:t>
      </w:r>
      <w:r>
        <w:t xml:space="preserve">указанный </w:t>
      </w:r>
      <w:r w:rsidRPr="00131687">
        <w:t xml:space="preserve">Фонд </w:t>
      </w:r>
      <w:r>
        <w:t xml:space="preserve">будет </w:t>
      </w:r>
      <w:r w:rsidRPr="00131687">
        <w:t>надел</w:t>
      </w:r>
      <w:r>
        <w:t>ен</w:t>
      </w:r>
      <w:r w:rsidRPr="00131687">
        <w:t xml:space="preserve"> полномочиями фонда поддержки с</w:t>
      </w:r>
      <w:r w:rsidRPr="002D5A47">
        <w:t xml:space="preserve">ельского хозяйства Волгоградской области </w:t>
      </w:r>
      <w:r>
        <w:t xml:space="preserve">в целях </w:t>
      </w:r>
      <w:r w:rsidRPr="002D5A47">
        <w:t xml:space="preserve">осуществления за счет средств </w:t>
      </w:r>
      <w:r>
        <w:t xml:space="preserve">областного </w:t>
      </w:r>
      <w:r w:rsidRPr="002D5A47">
        <w:t>бюджета</w:t>
      </w:r>
      <w:r>
        <w:t xml:space="preserve"> </w:t>
      </w:r>
      <w:r w:rsidRPr="002D5A47">
        <w:t xml:space="preserve">финансовой и иной предусмотренной законодательством </w:t>
      </w:r>
      <w:proofErr w:type="gramStart"/>
      <w:r w:rsidRPr="002D5A47">
        <w:t>поддержки</w:t>
      </w:r>
      <w:proofErr w:type="gramEnd"/>
      <w:r w:rsidRPr="002D5A47">
        <w:t xml:space="preserve"> хозяйствующим субъектам в сфере сельского хозяйства, а также пищевой и перерабатывающей промышленности.</w:t>
      </w:r>
      <w:r>
        <w:t xml:space="preserve"> </w:t>
      </w:r>
      <w:r w:rsidRPr="002D5A47">
        <w:t xml:space="preserve">Средства </w:t>
      </w:r>
      <w:r>
        <w:t xml:space="preserve">будут </w:t>
      </w:r>
      <w:r w:rsidRPr="002D5A47">
        <w:t>предоставля</w:t>
      </w:r>
      <w:r>
        <w:t>ться</w:t>
      </w:r>
      <w:r w:rsidRPr="002D5A47">
        <w:t xml:space="preserve"> предприятиям и </w:t>
      </w:r>
      <w:r>
        <w:t>крестьянским фермерским хозяйствам</w:t>
      </w:r>
      <w:r w:rsidRPr="002D5A47">
        <w:t>, реализующи</w:t>
      </w:r>
      <w:r>
        <w:t>м</w:t>
      </w:r>
      <w:r w:rsidRPr="002D5A47">
        <w:t xml:space="preserve"> инвестиционные проекты</w:t>
      </w:r>
      <w:r>
        <w:t>,</w:t>
      </w:r>
      <w:r w:rsidRPr="002D5A47">
        <w:t xml:space="preserve"> на возвратной основе </w:t>
      </w:r>
      <w:r>
        <w:t xml:space="preserve">и </w:t>
      </w:r>
      <w:r w:rsidRPr="002D5A47">
        <w:t>на льготных условиях для формирования первоначального капитала, что позволит обеспечить привлечение кредитных средств (до 1,2 млрд. рублей) на развитие агропромышленного комплекса</w:t>
      </w:r>
      <w:r>
        <w:t>;</w:t>
      </w:r>
    </w:p>
    <w:p w:rsidR="002C681D" w:rsidRDefault="002C681D" w:rsidP="002C681D">
      <w:pPr>
        <w:ind w:firstLine="709"/>
        <w:jc w:val="both"/>
      </w:pPr>
      <w:r>
        <w:t>-</w:t>
      </w:r>
      <w:r w:rsidRPr="00DC2F6E">
        <w:t>возмещение затрат на подавление численности, локализацию очага и (или) ликвидацию популяции карантинного объекта</w:t>
      </w:r>
      <w:r>
        <w:t xml:space="preserve"> – </w:t>
      </w:r>
      <w:r w:rsidRPr="000413C8">
        <w:rPr>
          <w:u w:val="single"/>
        </w:rPr>
        <w:t>45,9 млн. руб.,</w:t>
      </w:r>
      <w:r>
        <w:t xml:space="preserve"> в том числе за счет средств федерального бюджета – 39,5 млн. руб., за счет средств областного бюджета – 6,4 млн. </w:t>
      </w:r>
      <w:r>
        <w:lastRenderedPageBreak/>
        <w:t>рублей. Субсидия предусмотрена на возмещение затрат на приобретение гербицидов для обработки почвы против карантинного сорняка – горчака ползучего;</w:t>
      </w:r>
    </w:p>
    <w:p w:rsidR="002C681D" w:rsidRDefault="002C681D" w:rsidP="002C681D">
      <w:pPr>
        <w:ind w:firstLine="720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-</w:t>
      </w:r>
      <w:r w:rsidRPr="00FB6BAE">
        <w:t>возмещение части прямых понесенных затрат на создание объектов для хранения зерна с возможностью отгрузки железнодорожным</w:t>
      </w:r>
      <w:r>
        <w:t xml:space="preserve"> транспортом </w:t>
      </w:r>
      <w:r>
        <w:rPr>
          <w:bCs/>
          <w:iCs/>
          <w:color w:val="000000"/>
          <w:spacing w:val="-1"/>
        </w:rPr>
        <w:t xml:space="preserve">– </w:t>
      </w:r>
      <w:r w:rsidRPr="00C1654E">
        <w:rPr>
          <w:bCs/>
          <w:iCs/>
          <w:color w:val="000000"/>
          <w:spacing w:val="-1"/>
          <w:u w:val="single"/>
        </w:rPr>
        <w:t>40,8 млн. руб.</w:t>
      </w:r>
      <w:r>
        <w:rPr>
          <w:bCs/>
          <w:iCs/>
          <w:color w:val="000000"/>
          <w:spacing w:val="-1"/>
          <w:u w:val="single"/>
        </w:rPr>
        <w:t xml:space="preserve"> (только средства областного бюджета)</w:t>
      </w:r>
      <w:r w:rsidRPr="00C1654E">
        <w:rPr>
          <w:bCs/>
          <w:iCs/>
          <w:color w:val="000000"/>
          <w:spacing w:val="-1"/>
          <w:u w:val="single"/>
        </w:rPr>
        <w:t>;</w:t>
      </w:r>
    </w:p>
    <w:p w:rsidR="002C681D" w:rsidRDefault="002C681D" w:rsidP="002C681D">
      <w:pPr>
        <w:ind w:firstLine="709"/>
        <w:jc w:val="both"/>
      </w:pPr>
      <w:r>
        <w:t>-</w:t>
      </w:r>
      <w:r w:rsidRPr="00BD3030">
        <w:t>возмещение сельскохозяйственным товаропроизводителям части затрат на приобретение племенного молодняка крупного рогатого скота и мелкого рогатого скота</w:t>
      </w:r>
      <w:r>
        <w:t xml:space="preserve"> – </w:t>
      </w:r>
      <w:r w:rsidRPr="00974CEC">
        <w:rPr>
          <w:u w:val="single"/>
        </w:rPr>
        <w:t>19,5 млн. руб.,</w:t>
      </w:r>
      <w:r>
        <w:t xml:space="preserve"> в том числе за счет средств федерального бюджета – </w:t>
      </w:r>
      <w:r w:rsidRPr="00DC2F6E">
        <w:t>16</w:t>
      </w:r>
      <w:r>
        <w:t xml:space="preserve">,8 млн. руб., за счет средств областного бюджета – </w:t>
      </w:r>
      <w:r w:rsidRPr="00DC2F6E">
        <w:t>2</w:t>
      </w:r>
      <w:r>
        <w:t>,7 млн. руб.;</w:t>
      </w:r>
    </w:p>
    <w:p w:rsidR="002C681D" w:rsidRPr="00350BC0" w:rsidRDefault="002C681D" w:rsidP="002C681D">
      <w:pPr>
        <w:ind w:firstLine="709"/>
        <w:jc w:val="both"/>
        <w:rPr>
          <w:u w:val="single"/>
        </w:rPr>
      </w:pPr>
      <w:r>
        <w:t>-</w:t>
      </w:r>
      <w:r w:rsidRPr="00682EB2">
        <w:t xml:space="preserve">возмещение части затрат </w:t>
      </w:r>
      <w:proofErr w:type="spellStart"/>
      <w:r w:rsidRPr="00682EB2">
        <w:t>сельхозтоваропроизводителям</w:t>
      </w:r>
      <w:proofErr w:type="spellEnd"/>
      <w:r w:rsidRPr="00682EB2">
        <w:t xml:space="preserve"> на приобретение машин для уборки и первичной обработки хлопка</w:t>
      </w:r>
      <w:r>
        <w:t xml:space="preserve"> - </w:t>
      </w:r>
      <w:r w:rsidRPr="00350BC0">
        <w:rPr>
          <w:u w:val="single"/>
        </w:rPr>
        <w:t>8 млн. руб. (только средства областного бюджета);</w:t>
      </w:r>
    </w:p>
    <w:p w:rsidR="002C681D" w:rsidRDefault="002C681D" w:rsidP="002C681D">
      <w:pPr>
        <w:ind w:firstLine="709"/>
        <w:jc w:val="both"/>
      </w:pPr>
      <w:r>
        <w:t>-</w:t>
      </w:r>
      <w:r w:rsidRPr="00FB6BAE">
        <w:t xml:space="preserve">возмещение части затрат сельскохозяйственным потребительским кооперативам за организацию предоставления услуги по искусственному осеменению маточного поголовья </w:t>
      </w:r>
      <w:r>
        <w:t>крупного рогатого скота</w:t>
      </w:r>
      <w:r w:rsidRPr="00FB6BAE">
        <w:t xml:space="preserve"> в </w:t>
      </w:r>
      <w:r>
        <w:t xml:space="preserve">личных подсобных хозяйствах </w:t>
      </w:r>
      <w:r w:rsidRPr="00FB6BAE">
        <w:t>член</w:t>
      </w:r>
      <w:r>
        <w:t xml:space="preserve">ов </w:t>
      </w:r>
      <w:r w:rsidRPr="00FB6BAE">
        <w:t>кооператив</w:t>
      </w:r>
      <w:r>
        <w:t xml:space="preserve">а – </w:t>
      </w:r>
      <w:r w:rsidRPr="00050567">
        <w:rPr>
          <w:u w:val="single"/>
        </w:rPr>
        <w:t>1,1 млн. руб. (средства областного бюджета);</w:t>
      </w:r>
    </w:p>
    <w:p w:rsidR="002C681D" w:rsidRDefault="002C681D" w:rsidP="002C681D">
      <w:pPr>
        <w:ind w:firstLine="709"/>
        <w:jc w:val="both"/>
      </w:pPr>
      <w:r>
        <w:t>-</w:t>
      </w:r>
      <w:r w:rsidRPr="00BD3030">
        <w:t>возмещение части затрат региональным племенным предприятиям по хранению семени сельскохозяйст</w:t>
      </w:r>
      <w:r>
        <w:t xml:space="preserve">венных животных-производителей - </w:t>
      </w:r>
      <w:r w:rsidRPr="00050567">
        <w:rPr>
          <w:u w:val="single"/>
        </w:rPr>
        <w:t>0,6 млн. руб</w:t>
      </w:r>
      <w:r>
        <w:rPr>
          <w:u w:val="single"/>
        </w:rPr>
        <w:t xml:space="preserve">. </w:t>
      </w:r>
      <w:r w:rsidRPr="00050567">
        <w:rPr>
          <w:u w:val="single"/>
        </w:rPr>
        <w:t>(средства областного бюджета)</w:t>
      </w:r>
      <w:r>
        <w:rPr>
          <w:u w:val="single"/>
        </w:rPr>
        <w:t>.</w:t>
      </w:r>
    </w:p>
    <w:p w:rsidR="002C681D" w:rsidRPr="00F25A6D" w:rsidRDefault="002C681D" w:rsidP="002C681D">
      <w:pPr>
        <w:ind w:firstLine="720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Н</w:t>
      </w:r>
      <w:r w:rsidRPr="00F25A6D">
        <w:rPr>
          <w:bCs/>
          <w:iCs/>
          <w:color w:val="000000"/>
          <w:spacing w:val="-1"/>
        </w:rPr>
        <w:t>а обеспечение деятельности ГКУ «М</w:t>
      </w:r>
      <w:r>
        <w:rPr>
          <w:bCs/>
          <w:iCs/>
          <w:color w:val="000000"/>
          <w:spacing w:val="-1"/>
        </w:rPr>
        <w:t>ежотраслевой агропромышленный центр</w:t>
      </w:r>
      <w:r w:rsidRPr="00F25A6D">
        <w:rPr>
          <w:bCs/>
          <w:iCs/>
          <w:color w:val="000000"/>
          <w:spacing w:val="-1"/>
        </w:rPr>
        <w:t xml:space="preserve">» в рамках подпрограммы </w:t>
      </w:r>
      <w:r w:rsidRPr="000808C3">
        <w:rPr>
          <w:bCs/>
          <w:iCs/>
          <w:color w:val="000000"/>
          <w:spacing w:val="-1"/>
        </w:rPr>
        <w:t>«Развитие мелиорации земель сельскохозяйственного назначения»</w:t>
      </w:r>
      <w:r w:rsidRPr="00F25A6D">
        <w:rPr>
          <w:bCs/>
          <w:i/>
          <w:iCs/>
          <w:color w:val="000000"/>
          <w:spacing w:val="-1"/>
        </w:rPr>
        <w:t xml:space="preserve"> </w:t>
      </w:r>
      <w:r w:rsidRPr="00F84CED">
        <w:rPr>
          <w:bCs/>
          <w:iCs/>
          <w:color w:val="000000"/>
          <w:spacing w:val="-1"/>
        </w:rPr>
        <w:t>на 2019 год</w:t>
      </w:r>
      <w:r>
        <w:rPr>
          <w:bCs/>
          <w:i/>
          <w:iCs/>
          <w:color w:val="000000"/>
          <w:spacing w:val="-1"/>
        </w:rPr>
        <w:t xml:space="preserve"> </w:t>
      </w:r>
      <w:r w:rsidRPr="00F25A6D">
        <w:rPr>
          <w:bCs/>
          <w:iCs/>
          <w:color w:val="000000"/>
          <w:spacing w:val="-1"/>
        </w:rPr>
        <w:t>предусмотрено увеличение ассигнований по сравнению с 2018 годом на 10 млн. руб. (с 8,2 до 18,2 млн. руб.).</w:t>
      </w:r>
      <w:r>
        <w:rPr>
          <w:bCs/>
          <w:iCs/>
          <w:color w:val="000000"/>
          <w:spacing w:val="-1"/>
        </w:rPr>
        <w:t xml:space="preserve"> По информации комитета сельского хозяйства 2,25 млн. руб. предусмотрены для изготовления технических заключений на списываемые мелиоративные объекты (150 шт.); 4,9 млн. руб. – на изготовление проектной документации для реконструкции дамбы</w:t>
      </w:r>
      <w:r w:rsidR="001D13AD"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-1"/>
        </w:rPr>
        <w:t xml:space="preserve">в </w:t>
      </w:r>
      <w:proofErr w:type="spellStart"/>
      <w:r>
        <w:rPr>
          <w:bCs/>
          <w:iCs/>
          <w:color w:val="000000"/>
          <w:spacing w:val="-1"/>
        </w:rPr>
        <w:t>Среднеахтубинском</w:t>
      </w:r>
      <w:proofErr w:type="spellEnd"/>
      <w:r>
        <w:rPr>
          <w:bCs/>
          <w:iCs/>
          <w:color w:val="000000"/>
          <w:spacing w:val="-1"/>
        </w:rPr>
        <w:t xml:space="preserve"> районе на основании предписания </w:t>
      </w:r>
      <w:r w:rsidR="006E3F08">
        <w:rPr>
          <w:bCs/>
          <w:iCs/>
          <w:color w:val="000000"/>
          <w:spacing w:val="-1"/>
        </w:rPr>
        <w:t>Нижневолжского</w:t>
      </w:r>
      <w:r>
        <w:rPr>
          <w:bCs/>
          <w:iCs/>
          <w:color w:val="000000"/>
          <w:spacing w:val="-1"/>
        </w:rPr>
        <w:t xml:space="preserve"> управления </w:t>
      </w:r>
      <w:proofErr w:type="spellStart"/>
      <w:r>
        <w:rPr>
          <w:bCs/>
          <w:iCs/>
          <w:color w:val="000000"/>
          <w:spacing w:val="-1"/>
        </w:rPr>
        <w:t>Ростехнадзора</w:t>
      </w:r>
      <w:proofErr w:type="spellEnd"/>
      <w:r>
        <w:rPr>
          <w:bCs/>
          <w:iCs/>
          <w:color w:val="000000"/>
          <w:spacing w:val="-1"/>
        </w:rPr>
        <w:t>; 1 млн. руб. - для приобретения автомобиля.</w:t>
      </w:r>
    </w:p>
    <w:p w:rsidR="002C681D" w:rsidRDefault="002C681D" w:rsidP="002C681D">
      <w:pPr>
        <w:ind w:firstLine="709"/>
        <w:jc w:val="both"/>
      </w:pPr>
      <w:r w:rsidRPr="006E3F08">
        <w:rPr>
          <w:b/>
        </w:rPr>
        <w:t>2.</w:t>
      </w:r>
      <w:r w:rsidR="006E3F08">
        <w:rPr>
          <w:b/>
        </w:rPr>
        <w:t xml:space="preserve"> </w:t>
      </w:r>
      <w:r w:rsidRPr="009A7290">
        <w:rPr>
          <w:u w:val="single"/>
        </w:rPr>
        <w:t>Госпрограммы</w:t>
      </w:r>
      <w:r w:rsidRPr="006874D6">
        <w:rPr>
          <w:u w:val="single"/>
        </w:rPr>
        <w:t xml:space="preserve"> «Устойчивое развитие сельских территорий» - 8,7 млн. руб.</w:t>
      </w:r>
      <w:r w:rsidRPr="007E6AA1">
        <w:t xml:space="preserve"> (предусматривается финансирование расходов на </w:t>
      </w:r>
      <w:proofErr w:type="spellStart"/>
      <w:r w:rsidRPr="007E6AA1">
        <w:t>грантовую</w:t>
      </w:r>
      <w:proofErr w:type="spellEnd"/>
      <w:r w:rsidRPr="007E6AA1">
        <w:t xml:space="preserve"> поддержку инициатив граждан, пр</w:t>
      </w:r>
      <w:r>
        <w:t>оживающих в сельской местности).</w:t>
      </w:r>
    </w:p>
    <w:p w:rsidR="002C681D" w:rsidRPr="004F29C8" w:rsidRDefault="002C681D" w:rsidP="002C681D">
      <w:pPr>
        <w:ind w:firstLine="709"/>
        <w:jc w:val="both"/>
        <w:rPr>
          <w:u w:val="single"/>
        </w:rPr>
      </w:pPr>
      <w:r w:rsidRPr="006E3F08">
        <w:rPr>
          <w:b/>
        </w:rPr>
        <w:t xml:space="preserve">3. </w:t>
      </w:r>
      <w:r>
        <w:rPr>
          <w:u w:val="single"/>
        </w:rPr>
        <w:t>В</w:t>
      </w:r>
      <w:r w:rsidRPr="006874D6">
        <w:rPr>
          <w:u w:val="single"/>
        </w:rPr>
        <w:t>едомственной целевой программы «Обеспечение эпизоотического и ветеринарно-санитарного благополучия территории Волгоградской области» - 552,9 млн. руб.</w:t>
      </w:r>
      <w:r>
        <w:t xml:space="preserve">, что </w:t>
      </w:r>
      <w:r w:rsidRPr="00824719">
        <w:t xml:space="preserve">на </w:t>
      </w:r>
      <w:r>
        <w:t>39,4 млн. руб. (на 7,7%) больше а</w:t>
      </w:r>
      <w:r w:rsidR="006E3F08">
        <w:t>ссигнований</w:t>
      </w:r>
      <w:r w:rsidRPr="00824719">
        <w:t xml:space="preserve"> 201</w:t>
      </w:r>
      <w:r>
        <w:t>8</w:t>
      </w:r>
      <w:r w:rsidRPr="00824719">
        <w:t xml:space="preserve"> год</w:t>
      </w:r>
      <w:r>
        <w:t xml:space="preserve">а, </w:t>
      </w:r>
      <w:r w:rsidRPr="00594CF3">
        <w:t xml:space="preserve">в том числе субсидии подведомственным бюджетным учреждениям </w:t>
      </w:r>
      <w:r>
        <w:t>(ветеринарным станциям по борьбе с болезнями животных) –</w:t>
      </w:r>
      <w:r w:rsidRPr="00594CF3">
        <w:t xml:space="preserve"> </w:t>
      </w:r>
      <w:r>
        <w:t>511,7 млн. руб.</w:t>
      </w:r>
      <w:r w:rsidR="006E3F08">
        <w:t xml:space="preserve"> (+ 24,7 млн. руб.</w:t>
      </w:r>
      <w:r>
        <w:t>)</w:t>
      </w:r>
      <w:r w:rsidRPr="00594CF3">
        <w:t xml:space="preserve">. </w:t>
      </w:r>
      <w:proofErr w:type="gramStart"/>
      <w:r w:rsidRPr="00594CF3">
        <w:t xml:space="preserve">По информации комитета ветеринарии данное увеличение обусловлено внедрением электронной идентификации </w:t>
      </w:r>
      <w:r>
        <w:t>крупного рогатого скота</w:t>
      </w:r>
      <w:r w:rsidRPr="00594CF3">
        <w:t xml:space="preserve"> на территории Волгоградской области </w:t>
      </w:r>
      <w:r>
        <w:t xml:space="preserve">путем </w:t>
      </w:r>
      <w:proofErr w:type="spellStart"/>
      <w:r>
        <w:t>чипирования</w:t>
      </w:r>
      <w:proofErr w:type="spellEnd"/>
      <w:r>
        <w:t xml:space="preserve"> животных с внесением данных в региональную информационную систему </w:t>
      </w:r>
      <w:r w:rsidRPr="00594CF3">
        <w:t xml:space="preserve">(20 млн. руб.) и </w:t>
      </w:r>
      <w:r>
        <w:t xml:space="preserve">устройством приточно-вытяжной вентиляции в ГБУ «Волгоградская областная ветеринарная лаборатория» в целях устранения выявленных нарушений по предписанию управления </w:t>
      </w:r>
      <w:proofErr w:type="spellStart"/>
      <w:r>
        <w:t>Роспотребнадзора</w:t>
      </w:r>
      <w:proofErr w:type="spellEnd"/>
      <w:r>
        <w:t xml:space="preserve"> и усовершенствования методов диагностики ветеринарных заболеваний</w:t>
      </w:r>
      <w:r w:rsidRPr="00594CF3">
        <w:t xml:space="preserve"> (13</w:t>
      </w:r>
      <w:r>
        <w:t>,2</w:t>
      </w:r>
      <w:r w:rsidRPr="00594CF3">
        <w:t xml:space="preserve"> млн. руб.).</w:t>
      </w:r>
      <w:proofErr w:type="gramEnd"/>
    </w:p>
    <w:p w:rsidR="002C681D" w:rsidRPr="00E02F57" w:rsidRDefault="002C681D" w:rsidP="002C681D">
      <w:pPr>
        <w:ind w:firstLine="720"/>
        <w:jc w:val="both"/>
      </w:pPr>
      <w:r w:rsidRPr="00824719">
        <w:t>Объем субвенций муниципальным образованиям на реализацию переданных полномочий по предупреждению и ликвидации болезней животных, их лечению, защите населения от болезней, общих для человека и животных</w:t>
      </w:r>
      <w:r w:rsidR="00FB31B2">
        <w:t>,</w:t>
      </w:r>
      <w:r w:rsidRPr="00824719">
        <w:t xml:space="preserve"> законопроектом предусмотрено увеличить на </w:t>
      </w:r>
      <w:r>
        <w:t>12,4</w:t>
      </w:r>
      <w:r w:rsidRPr="00824719">
        <w:t xml:space="preserve"> млн. руб., или </w:t>
      </w:r>
      <w:r>
        <w:t>в 1,6 раза (с 20,8 до 33,2 млн. руб.)</w:t>
      </w:r>
      <w:r w:rsidRPr="00824719">
        <w:t xml:space="preserve">. </w:t>
      </w:r>
      <w:r w:rsidRPr="00E02F57">
        <w:t xml:space="preserve">Данные субвенции в 2019 году предусмотрены на следующие мероприятия: </w:t>
      </w:r>
    </w:p>
    <w:p w:rsidR="002C681D" w:rsidRPr="00492B1E" w:rsidRDefault="002C681D" w:rsidP="002C681D">
      <w:pPr>
        <w:ind w:firstLine="720"/>
        <w:jc w:val="both"/>
      </w:pPr>
      <w:r w:rsidRPr="00492B1E">
        <w:t xml:space="preserve">-отлов, содержание и уничтожение безнадзорных животных - 10 млн. руб., </w:t>
      </w:r>
      <w:r w:rsidR="00FB31B2">
        <w:t>т. е.</w:t>
      </w:r>
      <w:r w:rsidRPr="00492B1E">
        <w:t xml:space="preserve"> практически на уровне плана 2018 года;</w:t>
      </w:r>
    </w:p>
    <w:p w:rsidR="002C681D" w:rsidRDefault="002C681D" w:rsidP="002C681D">
      <w:pPr>
        <w:ind w:firstLine="720"/>
        <w:jc w:val="both"/>
      </w:pPr>
      <w:r w:rsidRPr="00492B1E">
        <w:t>-реконструкцию и содерж</w:t>
      </w:r>
      <w:r>
        <w:t xml:space="preserve">ание скотомогильников </w:t>
      </w:r>
      <w:r>
        <w:rPr>
          <w:b/>
          <w:i/>
        </w:rPr>
        <w:t>–</w:t>
      </w:r>
      <w:r w:rsidRPr="00C549D3">
        <w:rPr>
          <w:b/>
          <w:i/>
        </w:rPr>
        <w:t xml:space="preserve"> </w:t>
      </w:r>
      <w:r w:rsidRPr="00492B1E">
        <w:t xml:space="preserve">23,2 млн. руб., </w:t>
      </w:r>
      <w:r w:rsidR="00FB31B2">
        <w:t>что</w:t>
      </w:r>
      <w:r w:rsidRPr="00492B1E">
        <w:t xml:space="preserve"> более чем в 2 раза </w:t>
      </w:r>
      <w:r w:rsidR="00FB31B2">
        <w:t>превышает</w:t>
      </w:r>
      <w:r w:rsidRPr="00492B1E">
        <w:t xml:space="preserve"> план 2018 года (10,8 млн. руб.). </w:t>
      </w:r>
    </w:p>
    <w:p w:rsidR="002C681D" w:rsidRPr="00285823" w:rsidRDefault="002C681D" w:rsidP="002C681D">
      <w:pPr>
        <w:ind w:firstLine="720"/>
        <w:jc w:val="both"/>
        <w:rPr>
          <w:u w:val="single"/>
        </w:rPr>
      </w:pPr>
      <w:r>
        <w:t xml:space="preserve">Кроме того, в рамках ведомственной целевой программы законопроектом </w:t>
      </w:r>
      <w:r w:rsidRPr="00285823">
        <w:rPr>
          <w:u w:val="single"/>
        </w:rPr>
        <w:t xml:space="preserve">предусмотрены новые расходы – субсидии муниципальным образованиям на гранты общественным организациям по гуманному регулированию численности безнадзорных животных в размере 2 млн. рублей.  </w:t>
      </w:r>
    </w:p>
    <w:p w:rsidR="00B127F5" w:rsidRPr="00D32A13" w:rsidRDefault="00B127F5" w:rsidP="00B127F5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gramStart"/>
      <w:r w:rsidRPr="00AE18BF">
        <w:rPr>
          <w:b/>
          <w:bCs/>
          <w:i/>
          <w:u w:val="single"/>
        </w:rPr>
        <w:lastRenderedPageBreak/>
        <w:t>По подразделу 0406 «Водное хозяйство»</w:t>
      </w:r>
      <w:r>
        <w:rPr>
          <w:bCs/>
        </w:rPr>
        <w:t xml:space="preserve"> бюджетные ассигнования предусмотрены комитету природных ресурсов, лесного хозяйства и экологии Волгоградской области</w:t>
      </w:r>
      <w:r>
        <w:t xml:space="preserve"> в рамках госпрограммы «Использование и охрана водных объектов, предотвращение негативного воздействия вод на территории Волгоградской области» на 2019 год </w:t>
      </w:r>
      <w:r w:rsidRPr="00D32A13">
        <w:t>в размере</w:t>
      </w:r>
      <w:r w:rsidRPr="00D32A13">
        <w:rPr>
          <w:bCs/>
        </w:rPr>
        <w:t xml:space="preserve"> 1067,6 млн. руб.,</w:t>
      </w:r>
      <w:r>
        <w:rPr>
          <w:bCs/>
        </w:rPr>
        <w:t xml:space="preserve"> </w:t>
      </w:r>
      <w:r w:rsidRPr="00D32A13">
        <w:rPr>
          <w:bCs/>
          <w:u w:val="single"/>
        </w:rPr>
        <w:t>что почти в 3 раза превышает объем  бюджетных ассигнований 2018 года (369,8 млн. руб.),</w:t>
      </w:r>
      <w:r>
        <w:rPr>
          <w:bCs/>
        </w:rPr>
        <w:t xml:space="preserve"> </w:t>
      </w:r>
      <w:r w:rsidRPr="00D32A13">
        <w:rPr>
          <w:bCs/>
        </w:rPr>
        <w:t>в том числе за счет</w:t>
      </w:r>
      <w:proofErr w:type="gramEnd"/>
      <w:r w:rsidRPr="00D32A13">
        <w:rPr>
          <w:bCs/>
        </w:rPr>
        <w:t xml:space="preserve"> средств федерального бюджета – 781 млн. руб. (73% от общих расходов). </w:t>
      </w:r>
      <w:r w:rsidR="008D70B5">
        <w:rPr>
          <w:bCs/>
        </w:rPr>
        <w:t xml:space="preserve">Такое существенное увеличение ассигнований связано в основном с увеличением расходов на обеспечение водными ресурсами и </w:t>
      </w:r>
      <w:r w:rsidR="008D70B5" w:rsidRPr="0071372D">
        <w:t xml:space="preserve">расчистку русел </w:t>
      </w:r>
      <w:r w:rsidR="00B21316">
        <w:t>ериков</w:t>
      </w:r>
      <w:r w:rsidR="008D70B5">
        <w:t xml:space="preserve"> </w:t>
      </w:r>
      <w:proofErr w:type="spellStart"/>
      <w:r w:rsidR="008D70B5" w:rsidRPr="003143E9">
        <w:rPr>
          <w:kern w:val="2"/>
        </w:rPr>
        <w:t>Волго-Ахтубинской</w:t>
      </w:r>
      <w:proofErr w:type="spellEnd"/>
      <w:r w:rsidR="008D70B5" w:rsidRPr="003143E9">
        <w:rPr>
          <w:kern w:val="2"/>
        </w:rPr>
        <w:t xml:space="preserve"> поймы</w:t>
      </w:r>
      <w:r w:rsidR="008D70B5">
        <w:rPr>
          <w:kern w:val="2"/>
        </w:rPr>
        <w:t>, а также расходов на строительство объекта «</w:t>
      </w:r>
      <w:proofErr w:type="spellStart"/>
      <w:r w:rsidR="008D70B5" w:rsidRPr="003D138A">
        <w:t>Берегоукрепление</w:t>
      </w:r>
      <w:proofErr w:type="spellEnd"/>
      <w:r w:rsidR="008D70B5" w:rsidRPr="003D138A">
        <w:t xml:space="preserve"> правого берега р. Волга в г</w:t>
      </w:r>
      <w:proofErr w:type="gramStart"/>
      <w:r w:rsidR="008D70B5" w:rsidRPr="003D138A">
        <w:t>.В</w:t>
      </w:r>
      <w:proofErr w:type="gramEnd"/>
      <w:r w:rsidR="008D70B5" w:rsidRPr="003D138A">
        <w:t xml:space="preserve">олгограде» </w:t>
      </w:r>
      <w:r w:rsidR="008D70B5">
        <w:t>(</w:t>
      </w:r>
      <w:r w:rsidR="008D70B5" w:rsidRPr="003D138A">
        <w:t>в районе жилой застройки ул. им.Маршала Чуйкова и ул. Химической</w:t>
      </w:r>
      <w:r w:rsidR="008D70B5">
        <w:t>»</w:t>
      </w:r>
      <w:r w:rsidR="00B21316">
        <w:t>)</w:t>
      </w:r>
      <w:r w:rsidR="008D70B5">
        <w:t xml:space="preserve">, в том числе выделением на эти цели средств федерального бюджета. </w:t>
      </w:r>
      <w:r w:rsidR="008D70B5">
        <w:rPr>
          <w:bCs/>
        </w:rPr>
        <w:t xml:space="preserve"> </w:t>
      </w:r>
    </w:p>
    <w:p w:rsidR="00B127F5" w:rsidRDefault="00B127F5" w:rsidP="00B127F5">
      <w:pPr>
        <w:autoSpaceDE w:val="0"/>
        <w:autoSpaceDN w:val="0"/>
        <w:adjustRightInd w:val="0"/>
        <w:ind w:firstLine="709"/>
        <w:jc w:val="both"/>
        <w:outlineLvl w:val="0"/>
        <w:rPr>
          <w:kern w:val="2"/>
        </w:rPr>
      </w:pPr>
      <w:r>
        <w:rPr>
          <w:kern w:val="2"/>
        </w:rPr>
        <w:t>Бюджетные ассигнования на 2019 год распределены по следующим направлениям:</w:t>
      </w:r>
    </w:p>
    <w:p w:rsidR="00B127F5" w:rsidRPr="003143E9" w:rsidRDefault="001D480A" w:rsidP="00B127F5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A174C5">
        <w:rPr>
          <w:b/>
          <w:kern w:val="2"/>
        </w:rPr>
        <w:t>1.</w:t>
      </w:r>
      <w:r w:rsidR="00A174C5">
        <w:rPr>
          <w:kern w:val="2"/>
        </w:rPr>
        <w:t>О</w:t>
      </w:r>
      <w:r w:rsidR="00B127F5" w:rsidRPr="003143E9">
        <w:rPr>
          <w:kern w:val="2"/>
        </w:rPr>
        <w:t xml:space="preserve">беспечение водными ресурсами </w:t>
      </w:r>
      <w:proofErr w:type="spellStart"/>
      <w:r w:rsidR="00B127F5" w:rsidRPr="003143E9">
        <w:rPr>
          <w:kern w:val="2"/>
        </w:rPr>
        <w:t>Волго-Ахтубинской</w:t>
      </w:r>
      <w:proofErr w:type="spellEnd"/>
      <w:r w:rsidR="00B127F5" w:rsidRPr="003143E9">
        <w:rPr>
          <w:kern w:val="2"/>
        </w:rPr>
        <w:t xml:space="preserve"> поймы – 19</w:t>
      </w:r>
      <w:r w:rsidR="00B127F5">
        <w:rPr>
          <w:kern w:val="2"/>
        </w:rPr>
        <w:t>9,9</w:t>
      </w:r>
      <w:r w:rsidR="00B127F5" w:rsidRPr="003143E9">
        <w:rPr>
          <w:kern w:val="2"/>
        </w:rPr>
        <w:t xml:space="preserve"> млн. руб.</w:t>
      </w:r>
      <w:r w:rsidR="00B127F5">
        <w:rPr>
          <w:kern w:val="2"/>
        </w:rPr>
        <w:t xml:space="preserve">, </w:t>
      </w:r>
      <w:r w:rsidR="003A6ECF">
        <w:rPr>
          <w:kern w:val="2"/>
        </w:rPr>
        <w:t xml:space="preserve"> в том числе </w:t>
      </w:r>
      <w:r w:rsidR="00B127F5">
        <w:rPr>
          <w:kern w:val="2"/>
        </w:rPr>
        <w:t xml:space="preserve">проектирование и строительство 4 объектов </w:t>
      </w:r>
      <w:r w:rsidR="003A6ECF">
        <w:rPr>
          <w:kern w:val="2"/>
        </w:rPr>
        <w:t>(</w:t>
      </w:r>
      <w:r w:rsidR="00B127F5">
        <w:rPr>
          <w:kern w:val="2"/>
        </w:rPr>
        <w:t>192,2 млн. руб., в том числе за счет средств федерального бюджета – 100,1 млн. руб.</w:t>
      </w:r>
      <w:r w:rsidR="003A6ECF">
        <w:rPr>
          <w:kern w:val="2"/>
        </w:rPr>
        <w:t xml:space="preserve">), </w:t>
      </w:r>
      <w:r w:rsidR="00B127F5">
        <w:rPr>
          <w:kern w:val="2"/>
        </w:rPr>
        <w:t xml:space="preserve">управление водопропускными сооружениями, расположенными на территории </w:t>
      </w:r>
      <w:proofErr w:type="spellStart"/>
      <w:r w:rsidR="00B127F5">
        <w:rPr>
          <w:kern w:val="2"/>
        </w:rPr>
        <w:t>Волго-Ахтубин</w:t>
      </w:r>
      <w:r w:rsidR="003A6ECF">
        <w:rPr>
          <w:kern w:val="2"/>
        </w:rPr>
        <w:t>ской</w:t>
      </w:r>
      <w:proofErr w:type="spellEnd"/>
      <w:r w:rsidR="003A6ECF">
        <w:rPr>
          <w:kern w:val="2"/>
        </w:rPr>
        <w:t xml:space="preserve"> поймы (</w:t>
      </w:r>
      <w:r w:rsidR="00B127F5">
        <w:rPr>
          <w:kern w:val="2"/>
        </w:rPr>
        <w:t>7 млн. руб.</w:t>
      </w:r>
      <w:r w:rsidR="003A6ECF">
        <w:rPr>
          <w:kern w:val="2"/>
        </w:rPr>
        <w:t>)</w:t>
      </w:r>
      <w:proofErr w:type="gramStart"/>
      <w:r w:rsidR="003A6ECF">
        <w:rPr>
          <w:kern w:val="2"/>
        </w:rPr>
        <w:t>.</w:t>
      </w:r>
      <w:proofErr w:type="gramEnd"/>
      <w:r w:rsidR="003A6ECF">
        <w:rPr>
          <w:kern w:val="2"/>
        </w:rPr>
        <w:t xml:space="preserve"> </w:t>
      </w:r>
      <w:proofErr w:type="gramStart"/>
      <w:r w:rsidR="00B127F5">
        <w:rPr>
          <w:kern w:val="2"/>
        </w:rPr>
        <w:t>к</w:t>
      </w:r>
      <w:proofErr w:type="gramEnd"/>
      <w:r w:rsidR="00B127F5">
        <w:rPr>
          <w:kern w:val="2"/>
        </w:rPr>
        <w:t>адастровые работы по межеванию земельных участков, необходимых для строительства</w:t>
      </w:r>
      <w:r w:rsidR="00B127F5" w:rsidRPr="00174180">
        <w:rPr>
          <w:kern w:val="2"/>
        </w:rPr>
        <w:t xml:space="preserve"> </w:t>
      </w:r>
      <w:r w:rsidR="00B127F5">
        <w:rPr>
          <w:kern w:val="2"/>
        </w:rPr>
        <w:t>водопропускных сооружений, расположенных на территории</w:t>
      </w:r>
      <w:r w:rsidR="003A6ECF">
        <w:rPr>
          <w:kern w:val="2"/>
        </w:rPr>
        <w:t xml:space="preserve"> поймы</w:t>
      </w:r>
      <w:r w:rsidR="00B127F5">
        <w:rPr>
          <w:kern w:val="2"/>
        </w:rPr>
        <w:t xml:space="preserve"> </w:t>
      </w:r>
      <w:r w:rsidR="003A6ECF">
        <w:rPr>
          <w:kern w:val="2"/>
        </w:rPr>
        <w:t>(</w:t>
      </w:r>
      <w:r w:rsidR="00B127F5">
        <w:rPr>
          <w:kern w:val="2"/>
        </w:rPr>
        <w:t>0,7 млн. руб.</w:t>
      </w:r>
      <w:r w:rsidR="003A6ECF">
        <w:rPr>
          <w:kern w:val="2"/>
        </w:rPr>
        <w:t>)</w:t>
      </w:r>
      <w:r w:rsidR="003D138A">
        <w:rPr>
          <w:kern w:val="2"/>
        </w:rPr>
        <w:t>;</w:t>
      </w:r>
      <w:r w:rsidR="00B127F5">
        <w:rPr>
          <w:kern w:val="2"/>
        </w:rPr>
        <w:t xml:space="preserve"> </w:t>
      </w:r>
    </w:p>
    <w:p w:rsidR="00A174C5" w:rsidRDefault="003D138A" w:rsidP="003D138A">
      <w:pPr>
        <w:autoSpaceDE w:val="0"/>
        <w:autoSpaceDN w:val="0"/>
        <w:adjustRightInd w:val="0"/>
        <w:jc w:val="both"/>
        <w:outlineLvl w:val="0"/>
        <w:rPr>
          <w:kern w:val="2"/>
        </w:rPr>
      </w:pPr>
      <w:r>
        <w:rPr>
          <w:kern w:val="2"/>
        </w:rPr>
        <w:tab/>
      </w:r>
      <w:r w:rsidR="00A174C5" w:rsidRPr="00A174C5">
        <w:rPr>
          <w:b/>
          <w:kern w:val="2"/>
        </w:rPr>
        <w:t>2.</w:t>
      </w:r>
      <w:r w:rsidR="00A174C5">
        <w:rPr>
          <w:kern w:val="2"/>
        </w:rPr>
        <w:t xml:space="preserve"> З</w:t>
      </w:r>
      <w:r w:rsidR="00B127F5" w:rsidRPr="00931C18">
        <w:rPr>
          <w:kern w:val="2"/>
        </w:rPr>
        <w:t>ащита от негативного воздействия вод населения и объектов экономики –</w:t>
      </w:r>
      <w:r w:rsidR="00B127F5">
        <w:rPr>
          <w:kern w:val="2"/>
        </w:rPr>
        <w:t xml:space="preserve">  486</w:t>
      </w:r>
      <w:r w:rsidR="00B127F5" w:rsidRPr="007F7970">
        <w:rPr>
          <w:i/>
          <w:kern w:val="2"/>
        </w:rPr>
        <w:t xml:space="preserve"> </w:t>
      </w:r>
      <w:r w:rsidR="00B127F5" w:rsidRPr="003143E9">
        <w:rPr>
          <w:kern w:val="2"/>
        </w:rPr>
        <w:t>млн. руб.,</w:t>
      </w:r>
      <w:r w:rsidR="00B127F5" w:rsidRPr="00931C18">
        <w:rPr>
          <w:kern w:val="2"/>
        </w:rPr>
        <w:t xml:space="preserve"> </w:t>
      </w:r>
      <w:r w:rsidR="00B127F5">
        <w:rPr>
          <w:kern w:val="2"/>
        </w:rPr>
        <w:t>из них</w:t>
      </w:r>
      <w:r w:rsidR="00A174C5">
        <w:rPr>
          <w:kern w:val="2"/>
        </w:rPr>
        <w:t>:</w:t>
      </w:r>
    </w:p>
    <w:p w:rsidR="00B127F5" w:rsidRDefault="00A174C5" w:rsidP="003D138A">
      <w:pPr>
        <w:autoSpaceDE w:val="0"/>
        <w:autoSpaceDN w:val="0"/>
        <w:adjustRightInd w:val="0"/>
        <w:jc w:val="both"/>
        <w:outlineLvl w:val="0"/>
      </w:pPr>
      <w:r>
        <w:rPr>
          <w:kern w:val="2"/>
        </w:rPr>
        <w:tab/>
        <w:t>-</w:t>
      </w:r>
      <w:r w:rsidR="00B127F5" w:rsidRPr="006A10B6">
        <w:rPr>
          <w:kern w:val="2"/>
        </w:rPr>
        <w:t xml:space="preserve">на </w:t>
      </w:r>
      <w:r w:rsidR="00B127F5">
        <w:rPr>
          <w:kern w:val="2"/>
        </w:rPr>
        <w:t xml:space="preserve">проектирование и </w:t>
      </w:r>
      <w:r w:rsidR="00B127F5" w:rsidRPr="006A10B6">
        <w:rPr>
          <w:kern w:val="2"/>
        </w:rPr>
        <w:t xml:space="preserve">строительство </w:t>
      </w:r>
      <w:r w:rsidR="00B127F5">
        <w:rPr>
          <w:kern w:val="2"/>
        </w:rPr>
        <w:t>сооружений</w:t>
      </w:r>
      <w:r w:rsidR="00B127F5">
        <w:t xml:space="preserve"> инженерной защиты и </w:t>
      </w:r>
      <w:proofErr w:type="spellStart"/>
      <w:r w:rsidR="00B127F5">
        <w:rPr>
          <w:kern w:val="2"/>
        </w:rPr>
        <w:t>берегоукрепления</w:t>
      </w:r>
      <w:proofErr w:type="spellEnd"/>
      <w:r w:rsidR="00B127F5">
        <w:t xml:space="preserve"> – 329,3 млн. руб.</w:t>
      </w:r>
      <w:r w:rsidR="003D138A">
        <w:t xml:space="preserve"> (</w:t>
      </w:r>
      <w:r w:rsidR="003D138A" w:rsidRPr="003D138A">
        <w:t>(</w:t>
      </w:r>
      <w:r w:rsidR="00B127F5" w:rsidRPr="003D138A">
        <w:t>«</w:t>
      </w:r>
      <w:proofErr w:type="spellStart"/>
      <w:r w:rsidR="00B127F5" w:rsidRPr="003D138A">
        <w:t>Берегоукрепление</w:t>
      </w:r>
      <w:proofErr w:type="spellEnd"/>
      <w:r w:rsidR="00B127F5" w:rsidRPr="003D138A">
        <w:t xml:space="preserve"> правого берега р. Волга в г</w:t>
      </w:r>
      <w:proofErr w:type="gramStart"/>
      <w:r w:rsidR="00B127F5" w:rsidRPr="003D138A">
        <w:t>.В</w:t>
      </w:r>
      <w:proofErr w:type="gramEnd"/>
      <w:r w:rsidR="00B127F5" w:rsidRPr="003D138A">
        <w:t xml:space="preserve">олгограде» </w:t>
      </w:r>
      <w:r w:rsidR="003D138A">
        <w:t>(</w:t>
      </w:r>
      <w:r w:rsidR="00B127F5" w:rsidRPr="003D138A">
        <w:t>в районе жилой застройки ул. им.Маршала Чуйкова и ул. Химической</w:t>
      </w:r>
      <w:r w:rsidR="003D138A">
        <w:t>)</w:t>
      </w:r>
      <w:r w:rsidR="00B127F5" w:rsidRPr="003D138A">
        <w:t xml:space="preserve"> –</w:t>
      </w:r>
      <w:r w:rsidR="00B127F5" w:rsidRPr="006A10B6">
        <w:t xml:space="preserve"> </w:t>
      </w:r>
      <w:r w:rsidR="00B127F5">
        <w:t>306,6</w:t>
      </w:r>
      <w:r w:rsidR="00B127F5" w:rsidRPr="006A10B6">
        <w:t xml:space="preserve"> млн. руб.</w:t>
      </w:r>
      <w:r w:rsidR="00B127F5">
        <w:t xml:space="preserve"> (строительство), в том числе за счет </w:t>
      </w:r>
      <w:r w:rsidR="003D138A">
        <w:t xml:space="preserve">федерального </w:t>
      </w:r>
      <w:r w:rsidR="00B127F5">
        <w:t>бюджета – 263,7 млн. руб.;</w:t>
      </w:r>
      <w:r w:rsidR="003D138A">
        <w:t xml:space="preserve"> </w:t>
      </w:r>
      <w:r w:rsidR="00B127F5" w:rsidRPr="003D138A">
        <w:t>«</w:t>
      </w:r>
      <w:proofErr w:type="spellStart"/>
      <w:r w:rsidR="00B127F5" w:rsidRPr="003D138A">
        <w:t>Берегоукрепление</w:t>
      </w:r>
      <w:proofErr w:type="spellEnd"/>
      <w:r w:rsidR="00B127F5" w:rsidRPr="003D138A">
        <w:t xml:space="preserve"> правого берега р. Волга в г.Волгограде» (в районе жилой застройки ул. Авиаторская и </w:t>
      </w:r>
      <w:proofErr w:type="gramStart"/>
      <w:r w:rsidR="00B127F5" w:rsidRPr="003D138A">
        <w:t xml:space="preserve">ул. Иркутская) </w:t>
      </w:r>
      <w:r w:rsidR="00B127F5">
        <w:t>– 14,5 млн. руб. (проектирование);</w:t>
      </w:r>
      <w:r w:rsidR="003D138A">
        <w:t xml:space="preserve"> </w:t>
      </w:r>
      <w:r w:rsidR="00B127F5" w:rsidRPr="003D138A">
        <w:t>«Инженерная защита территории г. Урюпинск Волгоградской области от подтопления»</w:t>
      </w:r>
      <w:r w:rsidR="00B127F5">
        <w:t xml:space="preserve"> - 8,2 млн. руб. (корректировка проекта</w:t>
      </w:r>
      <w:r w:rsidR="00AB0391">
        <w:t>)</w:t>
      </w:r>
      <w:r w:rsidR="00B127F5">
        <w:t>)</w:t>
      </w:r>
      <w:r w:rsidR="003D138A">
        <w:t>.</w:t>
      </w:r>
      <w:proofErr w:type="gramEnd"/>
    </w:p>
    <w:p w:rsidR="00B127F5" w:rsidRPr="007B62E4" w:rsidRDefault="003D138A" w:rsidP="00B127F5">
      <w:pPr>
        <w:ind w:firstLine="708"/>
        <w:jc w:val="both"/>
      </w:pPr>
      <w:r>
        <w:rPr>
          <w:kern w:val="2"/>
        </w:rPr>
        <w:t>В этой связи с</w:t>
      </w:r>
      <w:r w:rsidR="00B127F5" w:rsidRPr="007B62E4">
        <w:rPr>
          <w:kern w:val="2"/>
        </w:rPr>
        <w:t xml:space="preserve">ледует отметить, что на 2019 год </w:t>
      </w:r>
      <w:r w:rsidR="00B127F5" w:rsidRPr="003D138A">
        <w:rPr>
          <w:kern w:val="2"/>
          <w:u w:val="single"/>
        </w:rPr>
        <w:t>не предусмотрено</w:t>
      </w:r>
      <w:r w:rsidR="00B127F5" w:rsidRPr="007B62E4">
        <w:rPr>
          <w:kern w:val="2"/>
        </w:rPr>
        <w:t xml:space="preserve"> </w:t>
      </w:r>
      <w:r w:rsidR="00B127F5" w:rsidRPr="007B62E4">
        <w:t xml:space="preserve">строительство объекта </w:t>
      </w:r>
      <w:r w:rsidR="00B127F5" w:rsidRPr="003D138A">
        <w:t xml:space="preserve">«Инженерная защита станицы Кумылженская </w:t>
      </w:r>
      <w:proofErr w:type="spellStart"/>
      <w:r w:rsidR="00B127F5" w:rsidRPr="003D138A">
        <w:t>Кумылженского</w:t>
      </w:r>
      <w:proofErr w:type="spellEnd"/>
      <w:r w:rsidR="00B127F5" w:rsidRPr="003D138A">
        <w:t xml:space="preserve"> района Волгоградской области от затопления паводковыми водами»,</w:t>
      </w:r>
      <w:r w:rsidR="00B127F5" w:rsidRPr="007B62E4">
        <w:rPr>
          <w:i/>
        </w:rPr>
        <w:t xml:space="preserve"> </w:t>
      </w:r>
      <w:r w:rsidR="00B127F5" w:rsidRPr="007B62E4">
        <w:t xml:space="preserve">по которому еще в 2013 году были выполнены проектные и изыскательские работы </w:t>
      </w:r>
      <w:r w:rsidR="00B127F5">
        <w:t xml:space="preserve">за счет средств областного бюджета </w:t>
      </w:r>
      <w:r w:rsidR="00B127F5" w:rsidRPr="007B62E4">
        <w:t xml:space="preserve">на сумму 10,4 млн. рублей. </w:t>
      </w:r>
      <w:r w:rsidR="00B127F5">
        <w:t xml:space="preserve">По информации комитета природных ресурсов, лесного хозяйства и экологии в состав обосновывающих материалов для предоставления субсидий из федерального бюджета в рамках федеральной целевой программы «Развитие водохозяйственного комплекса Российской Федерации в 2012-2020 годах» было включено строительство указанного объекта. Однако в соответствии с заключением Федерального агентства водных ресурсов данное мероприятие </w:t>
      </w:r>
      <w:r w:rsidR="00B127F5" w:rsidRPr="00C016C5">
        <w:rPr>
          <w:u w:val="single"/>
        </w:rPr>
        <w:t>не принято к финансированию с 2019 года</w:t>
      </w:r>
      <w:r w:rsidR="00B127F5">
        <w:t>.</w:t>
      </w:r>
    </w:p>
    <w:p w:rsidR="00B127F5" w:rsidRPr="004A2C55" w:rsidRDefault="00B127F5" w:rsidP="00B127F5">
      <w:pPr>
        <w:autoSpaceDE w:val="0"/>
        <w:autoSpaceDN w:val="0"/>
        <w:adjustRightInd w:val="0"/>
        <w:ind w:firstLine="708"/>
        <w:jc w:val="both"/>
        <w:outlineLvl w:val="0"/>
      </w:pPr>
      <w:r>
        <w:t>-н</w:t>
      </w:r>
      <w:r w:rsidRPr="004A2C55">
        <w:t xml:space="preserve">а капитальный ремонт </w:t>
      </w:r>
      <w:r>
        <w:t xml:space="preserve">9 </w:t>
      </w:r>
      <w:r w:rsidRPr="004A2C55">
        <w:t>гидротехнических сооружений (далее ГТС) – 122,1 млн. руб., в том числе за счет средств федерального бюджета – 105 млн. руб.;</w:t>
      </w:r>
    </w:p>
    <w:p w:rsidR="00B127F5" w:rsidRDefault="00B127F5" w:rsidP="00B127F5">
      <w:pPr>
        <w:autoSpaceDE w:val="0"/>
        <w:autoSpaceDN w:val="0"/>
        <w:adjustRightInd w:val="0"/>
        <w:ind w:firstLine="708"/>
        <w:jc w:val="both"/>
        <w:outlineLvl w:val="0"/>
      </w:pPr>
      <w:r>
        <w:t>-н</w:t>
      </w:r>
      <w:r w:rsidRPr="004A2C55">
        <w:t xml:space="preserve">а разработку проектно-сметной документации по капитальному ремонту ГТС за счет средств областного бюджета – 34,6 млн. рублей. </w:t>
      </w:r>
    </w:p>
    <w:p w:rsidR="00B127F5" w:rsidRDefault="00B127F5" w:rsidP="00B127F5">
      <w:pPr>
        <w:autoSpaceDE w:val="0"/>
        <w:autoSpaceDN w:val="0"/>
        <w:adjustRightInd w:val="0"/>
        <w:ind w:firstLine="708"/>
        <w:jc w:val="both"/>
        <w:outlineLvl w:val="0"/>
      </w:pPr>
      <w:r w:rsidRPr="00A174C5">
        <w:rPr>
          <w:b/>
        </w:rPr>
        <w:t>3.</w:t>
      </w:r>
      <w:r>
        <w:t xml:space="preserve"> </w:t>
      </w:r>
      <w:r w:rsidR="00A174C5">
        <w:t>О</w:t>
      </w:r>
      <w:r>
        <w:t>хран</w:t>
      </w:r>
      <w:r w:rsidR="00A174C5">
        <w:t>а</w:t>
      </w:r>
      <w:r>
        <w:t>, восстановление и экологическ</w:t>
      </w:r>
      <w:r w:rsidR="00A174C5">
        <w:t>ая</w:t>
      </w:r>
      <w:r>
        <w:t xml:space="preserve"> реабилитаци</w:t>
      </w:r>
      <w:r w:rsidR="00A174C5">
        <w:t>я</w:t>
      </w:r>
      <w:r>
        <w:t xml:space="preserve"> водных объектов – 381,7 млн. руб., из них:</w:t>
      </w:r>
    </w:p>
    <w:p w:rsidR="00B127F5" w:rsidRPr="00DD43D9" w:rsidRDefault="00B127F5" w:rsidP="00B127F5">
      <w:pPr>
        <w:autoSpaceDE w:val="0"/>
        <w:autoSpaceDN w:val="0"/>
        <w:adjustRightInd w:val="0"/>
        <w:ind w:firstLine="708"/>
        <w:jc w:val="both"/>
        <w:outlineLvl w:val="0"/>
      </w:pPr>
      <w:r>
        <w:t>-н</w:t>
      </w:r>
      <w:r w:rsidRPr="0071372D">
        <w:t xml:space="preserve">а расчистку русел рек в целях восстановления и экологической реабилитации водных объектов (9 ериков на территории </w:t>
      </w:r>
      <w:proofErr w:type="spellStart"/>
      <w:r w:rsidRPr="0071372D">
        <w:t>Волго-Ахтубинской</w:t>
      </w:r>
      <w:proofErr w:type="spellEnd"/>
      <w:r w:rsidRPr="0071372D">
        <w:t xml:space="preserve"> поймы), определение и установление границ </w:t>
      </w:r>
      <w:proofErr w:type="spellStart"/>
      <w:r w:rsidRPr="0071372D">
        <w:t>водоохранных</w:t>
      </w:r>
      <w:proofErr w:type="spellEnd"/>
      <w:r w:rsidRPr="0071372D">
        <w:t xml:space="preserve"> зон и прибрежных защитных полос водных объектов  - 347 млн. руб., в том числе за счет средств федерального бюджета </w:t>
      </w:r>
      <w:r w:rsidRPr="00DD43D9">
        <w:t>в рамках федерального проекта «Оздоровление Волги» - 280,1 млн. рублей.</w:t>
      </w:r>
    </w:p>
    <w:p w:rsidR="00B127F5" w:rsidRDefault="00B127F5" w:rsidP="00B127F5">
      <w:pPr>
        <w:ind w:firstLine="720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-н</w:t>
      </w:r>
      <w:r w:rsidRPr="0000147E">
        <w:rPr>
          <w:bCs/>
          <w:iCs/>
          <w:color w:val="000000"/>
          <w:spacing w:val="-1"/>
        </w:rPr>
        <w:t xml:space="preserve">а расчистку русел </w:t>
      </w:r>
      <w:r>
        <w:rPr>
          <w:bCs/>
          <w:iCs/>
          <w:color w:val="000000"/>
          <w:spacing w:val="-1"/>
        </w:rPr>
        <w:t xml:space="preserve">3 ериков на территории </w:t>
      </w:r>
      <w:r w:rsidRPr="0000147E">
        <w:rPr>
          <w:bCs/>
          <w:iCs/>
          <w:color w:val="000000"/>
          <w:spacing w:val="-1"/>
        </w:rPr>
        <w:t xml:space="preserve">поймы </w:t>
      </w:r>
      <w:r>
        <w:rPr>
          <w:bCs/>
          <w:iCs/>
          <w:color w:val="000000"/>
          <w:spacing w:val="-1"/>
        </w:rPr>
        <w:t xml:space="preserve">в целях увеличения их пропускной способности </w:t>
      </w:r>
      <w:r w:rsidRPr="0000147E">
        <w:rPr>
          <w:bCs/>
          <w:iCs/>
          <w:color w:val="000000"/>
          <w:spacing w:val="-1"/>
        </w:rPr>
        <w:t>– 34,7 млн. руб., в том числе за счет субвенций из федерального бюджета</w:t>
      </w:r>
      <w:r>
        <w:rPr>
          <w:bCs/>
          <w:iCs/>
          <w:color w:val="000000"/>
          <w:spacing w:val="-1"/>
        </w:rPr>
        <w:t xml:space="preserve"> на переданные полномочия в области водных отношений</w:t>
      </w:r>
      <w:r w:rsidRPr="0000147E">
        <w:rPr>
          <w:bCs/>
          <w:iCs/>
          <w:color w:val="000000"/>
          <w:spacing w:val="-1"/>
        </w:rPr>
        <w:t xml:space="preserve"> – 32,2 млн. рублей.</w:t>
      </w:r>
    </w:p>
    <w:p w:rsidR="00B127F5" w:rsidRDefault="00B127F5" w:rsidP="00B127F5">
      <w:pPr>
        <w:pStyle w:val="aa"/>
        <w:spacing w:after="0"/>
        <w:ind w:left="0" w:firstLine="708"/>
        <w:jc w:val="both"/>
      </w:pPr>
      <w:r w:rsidRPr="00AE18BF">
        <w:rPr>
          <w:b/>
          <w:i/>
          <w:u w:val="single"/>
        </w:rPr>
        <w:lastRenderedPageBreak/>
        <w:t>По подразделу 0407 «Лесное хозяйство»</w:t>
      </w:r>
      <w:r>
        <w:rPr>
          <w:b/>
          <w:i/>
        </w:rPr>
        <w:t xml:space="preserve"> </w:t>
      </w:r>
      <w:r>
        <w:rPr>
          <w:bCs/>
        </w:rPr>
        <w:t>бюджетные ассигнования предусмотрены комитету природных ресурсов, лесного хозяйства и экологии Волгоградской области</w:t>
      </w:r>
      <w:r>
        <w:t xml:space="preserve"> на 2019 год </w:t>
      </w:r>
      <w:r w:rsidRPr="00577210">
        <w:t xml:space="preserve">в размере </w:t>
      </w:r>
      <w:r>
        <w:t>434,6</w:t>
      </w:r>
      <w:r w:rsidRPr="00577210">
        <w:t xml:space="preserve"> млн. руб., </w:t>
      </w:r>
      <w:r>
        <w:t>или</w:t>
      </w:r>
      <w:r w:rsidRPr="00577210">
        <w:t xml:space="preserve"> </w:t>
      </w:r>
      <w:r>
        <w:t>90,9</w:t>
      </w:r>
      <w:r w:rsidRPr="00577210">
        <w:t xml:space="preserve">% </w:t>
      </w:r>
      <w:r>
        <w:t>относительно 2018 года, из них:</w:t>
      </w:r>
    </w:p>
    <w:p w:rsidR="00B127F5" w:rsidRDefault="00B127F5" w:rsidP="00B127F5">
      <w:pPr>
        <w:pStyle w:val="aa"/>
        <w:spacing w:after="0"/>
        <w:ind w:left="0" w:firstLine="708"/>
        <w:jc w:val="both"/>
      </w:pPr>
      <w:r>
        <w:t xml:space="preserve">-в рамках подпрограммы «Развитие лесного хозяйства» - 406 млн. руб., или 91,5% к плану 2018 года,  в том числе за счет субвенций из федерального бюджета </w:t>
      </w:r>
      <w:r w:rsidR="000B4063">
        <w:t xml:space="preserve">на передачу полномочий </w:t>
      </w:r>
      <w:r>
        <w:t>в области лесных отношений – 280 млн. руб.;</w:t>
      </w:r>
    </w:p>
    <w:p w:rsidR="00B127F5" w:rsidRPr="001A2773" w:rsidRDefault="00B127F5" w:rsidP="00B127F5">
      <w:pPr>
        <w:pStyle w:val="aa"/>
        <w:spacing w:after="0"/>
        <w:ind w:left="0" w:firstLine="708"/>
        <w:jc w:val="both"/>
        <w:rPr>
          <w:i/>
        </w:rPr>
      </w:pPr>
      <w:r w:rsidRPr="001A2773">
        <w:t>-</w:t>
      </w:r>
      <w:proofErr w:type="spellStart"/>
      <w:r w:rsidRPr="001A2773">
        <w:t>непрограммные</w:t>
      </w:r>
      <w:proofErr w:type="spellEnd"/>
      <w:r w:rsidRPr="001A2773">
        <w:t xml:space="preserve"> мероприятия – 28,6 млн. руб., в том числе за счет субвенций из федерального бюджета в области лесных отношений – 20,</w:t>
      </w:r>
      <w:r w:rsidR="000B4063">
        <w:t>7</w:t>
      </w:r>
      <w:r w:rsidRPr="001A2773">
        <w:t xml:space="preserve"> млн. руб., на приобретение </w:t>
      </w:r>
      <w:proofErr w:type="spellStart"/>
      <w:r w:rsidRPr="001A2773">
        <w:t>лесопожарной</w:t>
      </w:r>
      <w:proofErr w:type="spellEnd"/>
      <w:r w:rsidRPr="001A2773">
        <w:t xml:space="preserve"> техники по лизингу – 7,9 млн. рублей.</w:t>
      </w:r>
    </w:p>
    <w:p w:rsidR="00977391" w:rsidRDefault="002345C3" w:rsidP="002345C3">
      <w:pPr>
        <w:ind w:firstLine="709"/>
        <w:jc w:val="both"/>
      </w:pPr>
      <w:r w:rsidRPr="00977391">
        <w:rPr>
          <w:b/>
          <w:i/>
          <w:u w:val="single"/>
        </w:rPr>
        <w:t>По подразделу 0408 «Транспорт»</w:t>
      </w:r>
      <w:r w:rsidRPr="005D416F">
        <w:t xml:space="preserve"> законопроектом предусмотрены ассигнования комитету транспорта и дорожного хозяйства Волгоградской области в сумме 1072 млн. руб., что меньше </w:t>
      </w:r>
      <w:r>
        <w:t>объ</w:t>
      </w:r>
      <w:r w:rsidR="00977391">
        <w:t>е</w:t>
      </w:r>
      <w:r>
        <w:t xml:space="preserve">ма </w:t>
      </w:r>
      <w:r w:rsidRPr="005D416F">
        <w:t xml:space="preserve">утвержденных бюджетных ассигнований текущего года на </w:t>
      </w:r>
      <w:r w:rsidR="00051C9B">
        <w:t>185,2</w:t>
      </w:r>
      <w:r w:rsidRPr="005D416F">
        <w:t xml:space="preserve"> млн. руб., или на </w:t>
      </w:r>
      <w:r w:rsidR="00051C9B">
        <w:t>14,7</w:t>
      </w:r>
      <w:r w:rsidRPr="005D416F">
        <w:t xml:space="preserve"> процент</w:t>
      </w:r>
      <w:r>
        <w:t>а</w:t>
      </w:r>
      <w:r w:rsidRPr="005D416F">
        <w:t xml:space="preserve">. </w:t>
      </w:r>
    </w:p>
    <w:p w:rsidR="002345C3" w:rsidRDefault="002345C3" w:rsidP="002345C3">
      <w:pPr>
        <w:ind w:firstLine="709"/>
        <w:jc w:val="both"/>
      </w:pPr>
      <w:r w:rsidRPr="005D416F">
        <w:t>Сравнительная информация по основным направлениям расходов подраздела представлена в следующей таблице.</w:t>
      </w:r>
    </w:p>
    <w:p w:rsidR="003959BB" w:rsidRPr="005D416F" w:rsidRDefault="003959BB" w:rsidP="002345C3">
      <w:pPr>
        <w:ind w:firstLine="709"/>
        <w:jc w:val="both"/>
      </w:pP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954"/>
        <w:gridCol w:w="992"/>
        <w:gridCol w:w="993"/>
        <w:gridCol w:w="850"/>
        <w:gridCol w:w="851"/>
      </w:tblGrid>
      <w:tr w:rsidR="003959BB" w:rsidRPr="00F828BE" w:rsidTr="00340DC4">
        <w:trPr>
          <w:trHeight w:val="345"/>
        </w:trPr>
        <w:tc>
          <w:tcPr>
            <w:tcW w:w="59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F828BE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3959BB" w:rsidRPr="00F828BE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Закон о бюджете 2018 год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3959BB" w:rsidRDefault="003959BB" w:rsidP="00340DC4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Проект</w:t>
            </w:r>
          </w:p>
          <w:p w:rsidR="003959BB" w:rsidRPr="00F828BE" w:rsidRDefault="003959BB" w:rsidP="00340DC4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59BB" w:rsidRPr="00F828BE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3959BB" w:rsidRPr="007B6BA6" w:rsidTr="00340DC4">
        <w:trPr>
          <w:trHeight w:val="345"/>
        </w:trPr>
        <w:tc>
          <w:tcPr>
            <w:tcW w:w="59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7B6BA6" w:rsidRDefault="003959BB" w:rsidP="00340DC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7B6BA6" w:rsidRDefault="003959BB" w:rsidP="00340DC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7B6BA6" w:rsidRDefault="003959BB" w:rsidP="00340DC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F828BE" w:rsidRDefault="003959BB" w:rsidP="00340DC4">
            <w:pPr>
              <w:ind w:left="-108" w:right="-144"/>
              <w:jc w:val="center"/>
              <w:rPr>
                <w:bCs/>
                <w:sz w:val="20"/>
                <w:szCs w:val="20"/>
              </w:rPr>
            </w:pPr>
            <w:r w:rsidRPr="00F828BE">
              <w:rPr>
                <w:bCs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59BB" w:rsidRPr="00F828BE" w:rsidRDefault="003959BB" w:rsidP="00340DC4">
            <w:pPr>
              <w:jc w:val="center"/>
              <w:rPr>
                <w:bCs/>
                <w:sz w:val="20"/>
                <w:szCs w:val="20"/>
              </w:rPr>
            </w:pPr>
            <w:r w:rsidRPr="00F828BE">
              <w:rPr>
                <w:bCs/>
                <w:sz w:val="20"/>
                <w:szCs w:val="20"/>
              </w:rPr>
              <w:t>%</w:t>
            </w:r>
          </w:p>
        </w:tc>
      </w:tr>
      <w:tr w:rsidR="003959BB" w:rsidRPr="00D92389" w:rsidTr="00340DC4">
        <w:trPr>
          <w:trHeight w:val="2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D92389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r w:rsidRPr="00D9238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1 257,2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1 072,0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-185,2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-14,7</w:t>
            </w:r>
          </w:p>
        </w:tc>
      </w:tr>
      <w:tr w:rsidR="003959BB" w:rsidRPr="007B6BA6" w:rsidTr="00340DC4">
        <w:trPr>
          <w:trHeight w:val="20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59BB" w:rsidRPr="00F828BE" w:rsidRDefault="003959BB" w:rsidP="003959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ГП «Развитие транспортной системы</w:t>
            </w:r>
          </w:p>
          <w:p w:rsidR="003959BB" w:rsidRPr="00F828BE" w:rsidRDefault="003959BB" w:rsidP="003959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28BE">
              <w:rPr>
                <w:b/>
                <w:bCs/>
                <w:sz w:val="20"/>
                <w:szCs w:val="20"/>
              </w:rPr>
              <w:t>и обеспечение безопасности дорожного движения в Волгоградской области»</w:t>
            </w:r>
          </w:p>
        </w:tc>
      </w:tr>
      <w:tr w:rsidR="003959BB" w:rsidRPr="00AD150C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59BB" w:rsidRPr="00AD150C" w:rsidRDefault="003959BB" w:rsidP="00340DC4">
            <w:pPr>
              <w:rPr>
                <w:iCs/>
                <w:sz w:val="20"/>
                <w:szCs w:val="20"/>
              </w:rPr>
            </w:pPr>
            <w:r w:rsidRPr="00AD150C">
              <w:rPr>
                <w:iCs/>
                <w:sz w:val="20"/>
                <w:szCs w:val="20"/>
              </w:rPr>
              <w:t>Подпрограмма «Развитие системы общественного пассажирского транспорта в Волгоградской области»</w:t>
            </w:r>
            <w:r w:rsidR="009F0243">
              <w:rPr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822,9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941,8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118,9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14,4</w:t>
            </w:r>
          </w:p>
        </w:tc>
      </w:tr>
      <w:tr w:rsidR="003959BB" w:rsidRPr="00D92389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9F0243" w:rsidP="00340DC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3959BB" w:rsidRPr="003959BB">
              <w:rPr>
                <w:iCs/>
                <w:sz w:val="20"/>
                <w:szCs w:val="20"/>
              </w:rPr>
              <w:t>Осуществление регулярных перевозок пассажиров и багажа на межмуниципальных маршрутах автомобильного транспорта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56,6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65,0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14,8</w:t>
            </w:r>
          </w:p>
        </w:tc>
      </w:tr>
      <w:tr w:rsidR="003959BB" w:rsidRPr="00D92389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9F0243" w:rsidP="0034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59BB" w:rsidRPr="003959BB">
              <w:rPr>
                <w:sz w:val="20"/>
                <w:szCs w:val="20"/>
              </w:rPr>
              <w:t>Государственная поддержка общественного пассажирского транспорта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730,0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876,8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146,8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20,1</w:t>
            </w:r>
          </w:p>
        </w:tc>
      </w:tr>
      <w:tr w:rsidR="003959BB" w:rsidRPr="00D92389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83343C" w:rsidP="0034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59BB" w:rsidRPr="003959BB">
              <w:rPr>
                <w:sz w:val="20"/>
                <w:szCs w:val="20"/>
              </w:rPr>
              <w:t>Предоставление межбюджетных трансфертов бюджетам муниципальных образований Волгоградской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36,3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-36,3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ind w:left="-57"/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-100,0</w:t>
            </w:r>
          </w:p>
        </w:tc>
      </w:tr>
      <w:tr w:rsidR="003959BB" w:rsidRPr="00526098" w:rsidTr="00340DC4">
        <w:trPr>
          <w:trHeight w:val="20"/>
        </w:trPr>
        <w:tc>
          <w:tcPr>
            <w:tcW w:w="964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59BB" w:rsidRPr="00526098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26098">
              <w:rPr>
                <w:b/>
                <w:bCs/>
                <w:sz w:val="20"/>
                <w:szCs w:val="20"/>
              </w:rPr>
              <w:t>ГП «Энергосбережение и повышение энергетической эффективности в Волгоградской области»</w:t>
            </w:r>
          </w:p>
        </w:tc>
      </w:tr>
      <w:tr w:rsidR="003959BB" w:rsidRPr="00526098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59BB" w:rsidRPr="00526098" w:rsidRDefault="003959BB" w:rsidP="00340DC4">
            <w:pPr>
              <w:rPr>
                <w:sz w:val="20"/>
                <w:szCs w:val="20"/>
              </w:rPr>
            </w:pPr>
            <w:r w:rsidRPr="00526098">
              <w:rPr>
                <w:sz w:val="20"/>
                <w:szCs w:val="20"/>
              </w:rPr>
              <w:t>Приобретение новых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350,8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55,1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-295,7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-84,3</w:t>
            </w:r>
          </w:p>
        </w:tc>
      </w:tr>
      <w:tr w:rsidR="003959BB" w:rsidRPr="00526098" w:rsidTr="00340DC4">
        <w:trPr>
          <w:trHeight w:val="20"/>
        </w:trPr>
        <w:tc>
          <w:tcPr>
            <w:tcW w:w="964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59BB" w:rsidRPr="00526098" w:rsidRDefault="003959BB" w:rsidP="00340D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26098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26098">
              <w:rPr>
                <w:b/>
                <w:bCs/>
                <w:sz w:val="20"/>
                <w:szCs w:val="20"/>
              </w:rPr>
              <w:t xml:space="preserve"> направления обеспечения деятельности</w:t>
            </w:r>
          </w:p>
          <w:p w:rsidR="003959BB" w:rsidRPr="00526098" w:rsidRDefault="003959BB" w:rsidP="00340DC4">
            <w:pPr>
              <w:jc w:val="center"/>
              <w:rPr>
                <w:sz w:val="20"/>
                <w:szCs w:val="20"/>
              </w:rPr>
            </w:pPr>
            <w:r w:rsidRPr="00526098">
              <w:rPr>
                <w:b/>
                <w:bCs/>
                <w:sz w:val="20"/>
                <w:szCs w:val="20"/>
              </w:rPr>
              <w:t>государственных органов Волгоградской области</w:t>
            </w:r>
          </w:p>
        </w:tc>
      </w:tr>
      <w:tr w:rsidR="003959BB" w:rsidRPr="003959BB" w:rsidTr="00340DC4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59BB" w:rsidRPr="003959BB" w:rsidRDefault="003959BB" w:rsidP="00340DC4">
            <w:pPr>
              <w:rPr>
                <w:sz w:val="20"/>
                <w:szCs w:val="20"/>
              </w:rPr>
            </w:pPr>
            <w:proofErr w:type="spellStart"/>
            <w:r w:rsidRPr="003959BB">
              <w:rPr>
                <w:sz w:val="20"/>
                <w:szCs w:val="20"/>
              </w:rPr>
              <w:t>Непрограммные</w:t>
            </w:r>
            <w:proofErr w:type="spellEnd"/>
            <w:r w:rsidRPr="003959BB">
              <w:rPr>
                <w:sz w:val="20"/>
                <w:szCs w:val="20"/>
              </w:rPr>
              <w:t xml:space="preserve"> направления обеспечения деятельности и </w:t>
            </w:r>
            <w:proofErr w:type="spellStart"/>
            <w:r w:rsidRPr="003959BB">
              <w:rPr>
                <w:sz w:val="20"/>
                <w:szCs w:val="20"/>
              </w:rPr>
              <w:t>непрограммные</w:t>
            </w:r>
            <w:proofErr w:type="spellEnd"/>
            <w:r w:rsidRPr="003959BB">
              <w:rPr>
                <w:sz w:val="20"/>
                <w:szCs w:val="20"/>
              </w:rPr>
              <w:t xml:space="preserve"> расходы государственных органов Волгоградской области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bCs/>
                <w:iCs/>
                <w:sz w:val="20"/>
                <w:szCs w:val="20"/>
              </w:rPr>
              <w:t>83,6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iCs/>
                <w:sz w:val="20"/>
                <w:szCs w:val="20"/>
              </w:rPr>
            </w:pPr>
            <w:r w:rsidRPr="003959BB">
              <w:rPr>
                <w:bCs/>
                <w:iCs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-8,5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59BB" w:rsidRPr="003959BB" w:rsidRDefault="003959BB" w:rsidP="003959BB">
            <w:pPr>
              <w:jc w:val="center"/>
              <w:rPr>
                <w:sz w:val="20"/>
                <w:szCs w:val="20"/>
              </w:rPr>
            </w:pPr>
            <w:r w:rsidRPr="003959BB">
              <w:rPr>
                <w:sz w:val="20"/>
                <w:szCs w:val="20"/>
              </w:rPr>
              <w:t>-10,2</w:t>
            </w:r>
          </w:p>
        </w:tc>
      </w:tr>
    </w:tbl>
    <w:p w:rsidR="003959BB" w:rsidRDefault="003959BB" w:rsidP="003959BB">
      <w:pPr>
        <w:ind w:firstLine="709"/>
        <w:jc w:val="both"/>
        <w:rPr>
          <w:color w:val="7030A0"/>
        </w:rPr>
      </w:pPr>
    </w:p>
    <w:p w:rsidR="002345C3" w:rsidRPr="003959BB" w:rsidRDefault="002345C3" w:rsidP="002345C3">
      <w:pPr>
        <w:ind w:firstLine="709"/>
        <w:jc w:val="both"/>
      </w:pPr>
      <w:r w:rsidRPr="003959BB">
        <w:t xml:space="preserve">Увеличение ассигнований на государственную поддержку общественного пассажирского транспорта на </w:t>
      </w:r>
      <w:r w:rsidR="0080211F">
        <w:t>146,8</w:t>
      </w:r>
      <w:r w:rsidRPr="003959BB">
        <w:t xml:space="preserve"> млн. руб., или на </w:t>
      </w:r>
      <w:r w:rsidR="0080211F">
        <w:t>20</w:t>
      </w:r>
      <w:r w:rsidRPr="003959BB">
        <w:t>,</w:t>
      </w:r>
      <w:r w:rsidR="0080211F">
        <w:t>1</w:t>
      </w:r>
      <w:r w:rsidRPr="003959BB">
        <w:t xml:space="preserve">% по сравнению с соответствующим показателем 2018 года, в основном, связано </w:t>
      </w:r>
      <w:proofErr w:type="gramStart"/>
      <w:r w:rsidRPr="003959BB">
        <w:t>с</w:t>
      </w:r>
      <w:proofErr w:type="gramEnd"/>
      <w:r w:rsidRPr="003959BB">
        <w:t>:</w:t>
      </w:r>
    </w:p>
    <w:p w:rsidR="002345C3" w:rsidRPr="00927136" w:rsidRDefault="002345C3" w:rsidP="002345C3">
      <w:pPr>
        <w:ind w:firstLine="709"/>
        <w:jc w:val="both"/>
      </w:pPr>
      <w:r w:rsidRPr="00927136">
        <w:t>-</w:t>
      </w:r>
      <w:r>
        <w:t xml:space="preserve">вступлением с 01.01.2019 в силу </w:t>
      </w:r>
      <w:r w:rsidRPr="00927136">
        <w:t>изменений в ст</w:t>
      </w:r>
      <w:r w:rsidR="00011B43">
        <w:t>атью</w:t>
      </w:r>
      <w:r w:rsidRPr="00927136">
        <w:t xml:space="preserve"> 49 Социального кодекса Волгоградской области в части увеличения уровня дохода лиц, имеющих право на приобретение социальных проездных билетов, с 1,5 до 1,7 величины прожиточного минимума и отмены ограничений по размеру дохода в период «дачного сезона» с 1</w:t>
      </w:r>
      <w:r w:rsidR="00011B43">
        <w:t xml:space="preserve"> мая</w:t>
      </w:r>
      <w:r w:rsidRPr="00927136">
        <w:t xml:space="preserve"> по 31 октября. Ассигнования увеличены со 1</w:t>
      </w:r>
      <w:r w:rsidR="00BC2D47">
        <w:t>24</w:t>
      </w:r>
      <w:r w:rsidRPr="00927136">
        <w:t>,</w:t>
      </w:r>
      <w:r w:rsidR="00BC2D47">
        <w:t>6</w:t>
      </w:r>
      <w:r w:rsidR="00011B43">
        <w:t xml:space="preserve"> млн. руб.</w:t>
      </w:r>
      <w:r w:rsidRPr="00927136">
        <w:t xml:space="preserve"> до 300,2</w:t>
      </w:r>
      <w:r w:rsidR="00011B43">
        <w:t xml:space="preserve"> млн. руб.</w:t>
      </w:r>
      <w:r w:rsidRPr="00927136">
        <w:t>, или на 1</w:t>
      </w:r>
      <w:r w:rsidR="00BC2D47">
        <w:t>75</w:t>
      </w:r>
      <w:r w:rsidRPr="00927136">
        <w:t>,</w:t>
      </w:r>
      <w:r w:rsidR="00BC2D47">
        <w:t>6</w:t>
      </w:r>
      <w:r w:rsidRPr="00927136">
        <w:t xml:space="preserve"> млн. руб. (в 2,</w:t>
      </w:r>
      <w:r w:rsidR="00BC2D47">
        <w:t>4</w:t>
      </w:r>
      <w:r w:rsidRPr="00927136">
        <w:t xml:space="preserve"> раза);</w:t>
      </w:r>
    </w:p>
    <w:p w:rsidR="002345C3" w:rsidRPr="00927136" w:rsidRDefault="002345C3" w:rsidP="002345C3">
      <w:pPr>
        <w:ind w:firstLine="709"/>
        <w:jc w:val="both"/>
      </w:pPr>
      <w:r w:rsidRPr="00927136">
        <w:t>-у</w:t>
      </w:r>
      <w:r w:rsidR="00BC2D47">
        <w:t>меньше</w:t>
      </w:r>
      <w:r w:rsidRPr="00927136">
        <w:t>нием объ</w:t>
      </w:r>
      <w:r w:rsidR="005F5262">
        <w:t>е</w:t>
      </w:r>
      <w:r w:rsidRPr="00927136">
        <w:t xml:space="preserve">ма субсидий на возмещение недополученных доходов, возникающих в результате регулярных </w:t>
      </w:r>
      <w:r>
        <w:t xml:space="preserve">перевозок </w:t>
      </w:r>
      <w:r w:rsidRPr="00927136">
        <w:t>на железнодорожном транспо</w:t>
      </w:r>
      <w:r w:rsidR="00BC2D47">
        <w:t>рте по регулируемым тарифам, с 378,4</w:t>
      </w:r>
      <w:r w:rsidRPr="00927136">
        <w:t xml:space="preserve"> </w:t>
      </w:r>
      <w:r w:rsidR="005F5262">
        <w:t xml:space="preserve">млн. руб. </w:t>
      </w:r>
      <w:r w:rsidRPr="00927136">
        <w:t>до 357,2</w:t>
      </w:r>
      <w:r w:rsidR="005F5262">
        <w:t xml:space="preserve"> млн. руб.</w:t>
      </w:r>
      <w:r w:rsidRPr="00927136">
        <w:t xml:space="preserve">, или на </w:t>
      </w:r>
      <w:r w:rsidR="00BC2D47">
        <w:t>2</w:t>
      </w:r>
      <w:r w:rsidRPr="00927136">
        <w:t>1,</w:t>
      </w:r>
      <w:r w:rsidR="00BC2D47">
        <w:t>2</w:t>
      </w:r>
      <w:r w:rsidRPr="00927136">
        <w:t xml:space="preserve"> млн. руб. (</w:t>
      </w:r>
      <w:r w:rsidR="00BC2D47">
        <w:t>5</w:t>
      </w:r>
      <w:r w:rsidRPr="00927136">
        <w:t>,6%)</w:t>
      </w:r>
      <w:r w:rsidR="00BC2D47">
        <w:t>;</w:t>
      </w:r>
    </w:p>
    <w:p w:rsidR="002345C3" w:rsidRPr="00282774" w:rsidRDefault="002345C3" w:rsidP="002345C3">
      <w:pPr>
        <w:ind w:firstLine="709"/>
        <w:jc w:val="both"/>
        <w:rPr>
          <w:rFonts w:eastAsiaTheme="minorHAnsi"/>
          <w:lang w:eastAsia="en-US"/>
        </w:rPr>
      </w:pPr>
      <w:r w:rsidRPr="00927136">
        <w:t xml:space="preserve">-увеличением с 39,3 </w:t>
      </w:r>
      <w:r w:rsidR="005F5262">
        <w:t xml:space="preserve">млн. руб. </w:t>
      </w:r>
      <w:r w:rsidRPr="00927136">
        <w:t>до 67,1</w:t>
      </w:r>
      <w:r w:rsidR="005F5262">
        <w:t xml:space="preserve"> млн. руб.</w:t>
      </w:r>
      <w:r w:rsidRPr="00927136">
        <w:t xml:space="preserve">, или на 27,8 млн. руб. (70,7%) субсидий </w:t>
      </w:r>
      <w:r w:rsidRPr="00927136">
        <w:rPr>
          <w:rFonts w:eastAsiaTheme="minorHAnsi"/>
          <w:lang w:eastAsia="en-US"/>
        </w:rPr>
        <w:t xml:space="preserve">организациям </w:t>
      </w:r>
      <w:r w:rsidRPr="00282774">
        <w:rPr>
          <w:rFonts w:eastAsiaTheme="minorHAnsi"/>
          <w:lang w:eastAsia="en-US"/>
        </w:rPr>
        <w:t>воздушного транспорта;</w:t>
      </w:r>
    </w:p>
    <w:p w:rsidR="002345C3" w:rsidRPr="00282774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774">
        <w:rPr>
          <w:rFonts w:eastAsiaTheme="minorHAnsi"/>
          <w:lang w:eastAsia="en-US"/>
        </w:rPr>
        <w:t xml:space="preserve">-уменьшением объема </w:t>
      </w:r>
      <w:r>
        <w:rPr>
          <w:rFonts w:eastAsiaTheme="minorHAnsi"/>
          <w:lang w:eastAsia="en-US"/>
        </w:rPr>
        <w:t xml:space="preserve">средств на организацию и </w:t>
      </w:r>
      <w:r w:rsidRPr="00282774">
        <w:rPr>
          <w:rFonts w:eastAsiaTheme="minorHAnsi"/>
          <w:lang w:eastAsia="en-US"/>
        </w:rPr>
        <w:t>субсид</w:t>
      </w:r>
      <w:r>
        <w:rPr>
          <w:rFonts w:eastAsiaTheme="minorHAnsi"/>
          <w:lang w:eastAsia="en-US"/>
        </w:rPr>
        <w:t>ирование</w:t>
      </w:r>
      <w:r w:rsidRPr="00282774">
        <w:rPr>
          <w:rFonts w:eastAsiaTheme="minorHAnsi"/>
          <w:lang w:eastAsia="en-US"/>
        </w:rPr>
        <w:t xml:space="preserve"> регулярных перевозок на автомобильном транспорте </w:t>
      </w:r>
      <w:r>
        <w:rPr>
          <w:rFonts w:eastAsiaTheme="minorHAnsi"/>
          <w:lang w:eastAsia="en-US"/>
        </w:rPr>
        <w:t xml:space="preserve">по межмуниципальным маршрутам </w:t>
      </w:r>
      <w:r w:rsidRPr="00282774">
        <w:rPr>
          <w:rFonts w:eastAsiaTheme="minorHAnsi"/>
          <w:lang w:eastAsia="en-US"/>
        </w:rPr>
        <w:t xml:space="preserve">по регулируемым тарифам, с </w:t>
      </w:r>
      <w:r>
        <w:rPr>
          <w:rFonts w:eastAsiaTheme="minorHAnsi"/>
          <w:lang w:eastAsia="en-US"/>
        </w:rPr>
        <w:t>214,5</w:t>
      </w:r>
      <w:r w:rsidRPr="00282774">
        <w:rPr>
          <w:rFonts w:eastAsiaTheme="minorHAnsi"/>
          <w:lang w:eastAsia="en-US"/>
        </w:rPr>
        <w:t xml:space="preserve"> </w:t>
      </w:r>
      <w:r w:rsidR="005F5262">
        <w:rPr>
          <w:rFonts w:eastAsiaTheme="minorHAnsi"/>
          <w:lang w:eastAsia="en-US"/>
        </w:rPr>
        <w:t xml:space="preserve">млн. руб. </w:t>
      </w:r>
      <w:r w:rsidRPr="00282774">
        <w:rPr>
          <w:rFonts w:eastAsiaTheme="minorHAnsi"/>
          <w:lang w:eastAsia="en-US"/>
        </w:rPr>
        <w:t xml:space="preserve">до </w:t>
      </w:r>
      <w:r>
        <w:rPr>
          <w:rFonts w:eastAsiaTheme="minorHAnsi"/>
          <w:lang w:eastAsia="en-US"/>
        </w:rPr>
        <w:t>204,3</w:t>
      </w:r>
      <w:r w:rsidR="005F5262">
        <w:rPr>
          <w:rFonts w:eastAsiaTheme="minorHAnsi"/>
          <w:lang w:eastAsia="en-US"/>
        </w:rPr>
        <w:t xml:space="preserve"> млн. руб.</w:t>
      </w:r>
      <w:r w:rsidRPr="00282774">
        <w:rPr>
          <w:rFonts w:eastAsiaTheme="minorHAnsi"/>
          <w:lang w:eastAsia="en-US"/>
        </w:rPr>
        <w:t xml:space="preserve">, или на </w:t>
      </w:r>
      <w:r>
        <w:rPr>
          <w:rFonts w:eastAsiaTheme="minorHAnsi"/>
          <w:lang w:eastAsia="en-US"/>
        </w:rPr>
        <w:t>10</w:t>
      </w:r>
      <w:r w:rsidRPr="0028277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282774">
        <w:rPr>
          <w:rFonts w:eastAsiaTheme="minorHAnsi"/>
          <w:lang w:eastAsia="en-US"/>
        </w:rPr>
        <w:t xml:space="preserve"> млн. руб. (</w:t>
      </w:r>
      <w:r>
        <w:rPr>
          <w:rFonts w:eastAsiaTheme="minorHAnsi"/>
          <w:lang w:eastAsia="en-US"/>
        </w:rPr>
        <w:t>4,8</w:t>
      </w:r>
      <w:r w:rsidRPr="00282774">
        <w:rPr>
          <w:rFonts w:eastAsiaTheme="minorHAnsi"/>
          <w:lang w:eastAsia="en-US"/>
        </w:rPr>
        <w:t>%)</w:t>
      </w:r>
      <w:r w:rsidR="005F5262">
        <w:rPr>
          <w:rFonts w:eastAsiaTheme="minorHAnsi"/>
          <w:lang w:eastAsia="en-US"/>
        </w:rPr>
        <w:t>;</w:t>
      </w:r>
    </w:p>
    <w:p w:rsidR="00051C9B" w:rsidRDefault="002345C3" w:rsidP="002345C3">
      <w:pPr>
        <w:ind w:firstLine="709"/>
        <w:jc w:val="both"/>
        <w:rPr>
          <w:rFonts w:eastAsiaTheme="minorHAnsi"/>
          <w:lang w:eastAsia="en-US"/>
        </w:rPr>
      </w:pPr>
      <w:r w:rsidRPr="00282774">
        <w:lastRenderedPageBreak/>
        <w:t>-отсутствием потребности в ассигнованиях, имевших место в 2018 году, - на п</w:t>
      </w:r>
      <w:r w:rsidRPr="00282774">
        <w:rPr>
          <w:rFonts w:eastAsiaTheme="minorHAnsi"/>
          <w:lang w:eastAsia="en-US"/>
        </w:rPr>
        <w:t xml:space="preserve">одготовку к проведению чемпионата мира по футболу (10,5 млн. руб.), на </w:t>
      </w:r>
      <w:r w:rsidRPr="00136BB2">
        <w:rPr>
          <w:rFonts w:eastAsiaTheme="minorHAnsi"/>
          <w:lang w:eastAsia="en-US"/>
        </w:rPr>
        <w:t>субсидии на разработку (актуализацию) документов транспортного планирования (36,3 млн. руб.).</w:t>
      </w:r>
    </w:p>
    <w:p w:rsidR="002345C3" w:rsidRDefault="002345C3" w:rsidP="002345C3">
      <w:pPr>
        <w:ind w:firstLine="709"/>
        <w:jc w:val="both"/>
      </w:pPr>
      <w:proofErr w:type="gramStart"/>
      <w:r w:rsidRPr="00051C9B">
        <w:rPr>
          <w:b/>
          <w:i/>
          <w:u w:val="single"/>
        </w:rPr>
        <w:t>По подразделу 0409 «Дорожное хозяйство (дорожные фонды)»</w:t>
      </w:r>
      <w:r w:rsidRPr="00447469">
        <w:t xml:space="preserve"> законопроектом предусмотрены бюджетные ассигнования в сумме 10469,2 млн. руб., т. е. в объеме утвержденных ассигнований дорожного фонда Волгоградской области на 2019 год (10471,1 млн. руб.) без учета расходов на обслуживание долговых обязательств, связанных с использованием бюджетных кредитов, полученных Волгоградской областью на строительство, реконструкцию, капитальный ремонт, ремонт и содержание автомобильных дорог общего пользования</w:t>
      </w:r>
      <w:r>
        <w:t>,</w:t>
      </w:r>
      <w:r w:rsidRPr="00447469">
        <w:t xml:space="preserve"> в</w:t>
      </w:r>
      <w:proofErr w:type="gramEnd"/>
      <w:r w:rsidRPr="00447469">
        <w:t xml:space="preserve"> </w:t>
      </w:r>
      <w:proofErr w:type="gramStart"/>
      <w:r>
        <w:t>размере</w:t>
      </w:r>
      <w:proofErr w:type="gramEnd"/>
      <w:r w:rsidRPr="00447469">
        <w:t xml:space="preserve"> 2 млн. рублей.</w:t>
      </w:r>
      <w:r w:rsidR="00051C9B">
        <w:t xml:space="preserve"> Относительно текущего года бюджетные ассигнования у</w:t>
      </w:r>
      <w:r w:rsidR="00B613EE">
        <w:t>величены</w:t>
      </w:r>
      <w:r w:rsidR="00051C9B">
        <w:t xml:space="preserve"> на 1589,7 млн. руб., или на 17,9 процента.</w:t>
      </w:r>
    </w:p>
    <w:p w:rsidR="002345C3" w:rsidRPr="00051C9B" w:rsidRDefault="002345C3" w:rsidP="002345C3">
      <w:pPr>
        <w:ind w:firstLine="709"/>
        <w:jc w:val="both"/>
      </w:pPr>
      <w:r w:rsidRPr="00051C9B">
        <w:t xml:space="preserve">Как отмечено в заключении </w:t>
      </w:r>
      <w:r w:rsidR="00051C9B">
        <w:t xml:space="preserve">КСП </w:t>
      </w:r>
      <w:r w:rsidRPr="00051C9B">
        <w:t xml:space="preserve">на законопроект к 1 чтению предлагаемый к утверждению объем бюджетных ассигнований дорожного фонда в сумме 10471,1 млн. руб. меньше прогнозируемого объема соответствующих доходов (11071,1 млн. руб.) на 600 млн. руб., что является прямым нарушением статьи 179.4 БК РФ. </w:t>
      </w:r>
    </w:p>
    <w:p w:rsidR="002345C3" w:rsidRPr="00051C9B" w:rsidRDefault="002345C3" w:rsidP="002345C3">
      <w:pPr>
        <w:ind w:firstLine="709"/>
        <w:jc w:val="both"/>
      </w:pPr>
      <w:r w:rsidRPr="00051C9B">
        <w:t xml:space="preserve">Кроме того, статьей 34 </w:t>
      </w:r>
      <w:r w:rsidR="00051C9B">
        <w:t>з</w:t>
      </w:r>
      <w:r w:rsidRPr="00051C9B">
        <w:t xml:space="preserve">акона об областном бюджете на 2018 год неиспользованные в 2018 году бюджетные ассигнования дорожного фонда Волгоградской области в сумме 2300 млн. руб. </w:t>
      </w:r>
      <w:r w:rsidR="00051C9B">
        <w:t xml:space="preserve">предусматривается </w:t>
      </w:r>
      <w:r w:rsidRPr="00051C9B">
        <w:t>направ</w:t>
      </w:r>
      <w:r w:rsidR="00051C9B">
        <w:t xml:space="preserve">ить </w:t>
      </w:r>
      <w:r w:rsidRPr="00051C9B">
        <w:t xml:space="preserve">на увеличение бюджетных ассигнований дорожного фонда в 2019 году. Законопроектом такое увеличение в 2019 году не предусмотрено. </w:t>
      </w:r>
    </w:p>
    <w:p w:rsidR="002345C3" w:rsidRPr="00895CC2" w:rsidRDefault="002345C3" w:rsidP="002345C3">
      <w:pPr>
        <w:ind w:firstLine="709"/>
        <w:jc w:val="both"/>
        <w:rPr>
          <w:u w:val="single"/>
        </w:rPr>
      </w:pPr>
      <w:r w:rsidRPr="00051C9B">
        <w:t xml:space="preserve">Таким образом, в соответствии с положениями бюджетного законодательства </w:t>
      </w:r>
      <w:r w:rsidRPr="00895CC2">
        <w:rPr>
          <w:u w:val="single"/>
        </w:rPr>
        <w:t>объем бюджетных ассигнований дорожного фонда Волгоградской области на 2019 год должен составлять не менее 13371,1 млн. руб., что на 2900</w:t>
      </w:r>
      <w:r w:rsidR="001F3C4F">
        <w:rPr>
          <w:u w:val="single"/>
        </w:rPr>
        <w:t xml:space="preserve"> млн. руб. </w:t>
      </w:r>
      <w:r w:rsidRPr="00895CC2">
        <w:rPr>
          <w:u w:val="single"/>
        </w:rPr>
        <w:t>больше объема, предлагаемого к утверждению законопроектом (10471,1 млн. руб.).</w:t>
      </w:r>
    </w:p>
    <w:p w:rsidR="002345C3" w:rsidRDefault="002345C3" w:rsidP="002345C3">
      <w:pPr>
        <w:ind w:firstLine="709"/>
        <w:jc w:val="both"/>
      </w:pPr>
      <w:r w:rsidRPr="00051C9B">
        <w:t>Информация о распределении бюджетных ассигнований дорожного фонда</w:t>
      </w:r>
      <w:r w:rsidRPr="00447469">
        <w:t xml:space="preserve"> Волгоградской области представлен</w:t>
      </w:r>
      <w:r>
        <w:t>а</w:t>
      </w:r>
      <w:r w:rsidRPr="00447469">
        <w:t xml:space="preserve"> </w:t>
      </w:r>
      <w:r>
        <w:t xml:space="preserve">в </w:t>
      </w:r>
      <w:r w:rsidRPr="00447469">
        <w:t>таблице</w:t>
      </w:r>
      <w:r w:rsidR="00340DC4">
        <w:t>:</w:t>
      </w:r>
    </w:p>
    <w:p w:rsidR="002345C3" w:rsidRPr="00340DC4" w:rsidRDefault="002345C3" w:rsidP="002345C3">
      <w:pPr>
        <w:ind w:firstLine="709"/>
        <w:jc w:val="right"/>
        <w:rPr>
          <w:sz w:val="20"/>
          <w:szCs w:val="20"/>
        </w:rPr>
      </w:pPr>
      <w:r w:rsidRPr="00C2688E">
        <w:t xml:space="preserve">                                                                                                           </w:t>
      </w:r>
      <w:r w:rsidRPr="00340DC4">
        <w:rPr>
          <w:sz w:val="20"/>
          <w:szCs w:val="20"/>
        </w:rPr>
        <w:t>млн.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97"/>
        <w:gridCol w:w="992"/>
        <w:gridCol w:w="1134"/>
        <w:gridCol w:w="992"/>
        <w:gridCol w:w="851"/>
        <w:gridCol w:w="973"/>
      </w:tblGrid>
      <w:tr w:rsidR="002345C3" w:rsidRPr="007B6BA6" w:rsidTr="00895CC2">
        <w:trPr>
          <w:trHeight w:val="20"/>
        </w:trPr>
        <w:tc>
          <w:tcPr>
            <w:tcW w:w="46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C2688E" w:rsidRDefault="002345C3" w:rsidP="001E44F6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2345C3" w:rsidP="00AC5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Закон 2018 год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C566F" w:rsidRDefault="002345C3" w:rsidP="00AC5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Госпро</w:t>
            </w:r>
            <w:proofErr w:type="spellEnd"/>
          </w:p>
          <w:p w:rsidR="002345C3" w:rsidRDefault="002345C3" w:rsidP="00AC5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2345C3" w:rsidP="00AC5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Проект 2019 год</w:t>
            </w:r>
          </w:p>
        </w:tc>
        <w:tc>
          <w:tcPr>
            <w:tcW w:w="182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AC566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Отклонение от госпрограмм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C2688E" w:rsidRDefault="002345C3" w:rsidP="001E44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7B6BA6" w:rsidRDefault="002345C3" w:rsidP="001E44F6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7B6BA6" w:rsidRDefault="002345C3" w:rsidP="001E44F6">
            <w:pPr>
              <w:jc w:val="center"/>
              <w:rPr>
                <w:b/>
                <w:bCs/>
                <w:color w:val="7030A0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7B6BA6" w:rsidRDefault="002345C3" w:rsidP="001E44F6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1E44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2688E">
              <w:rPr>
                <w:bCs/>
                <w:sz w:val="20"/>
                <w:szCs w:val="20"/>
              </w:rPr>
              <w:t>млн. руб.</w:t>
            </w:r>
          </w:p>
        </w:tc>
        <w:tc>
          <w:tcPr>
            <w:tcW w:w="9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1E44F6">
            <w:pPr>
              <w:jc w:val="center"/>
              <w:rPr>
                <w:bCs/>
                <w:sz w:val="20"/>
                <w:szCs w:val="20"/>
              </w:rPr>
            </w:pPr>
            <w:r w:rsidRPr="00C2688E">
              <w:rPr>
                <w:bCs/>
                <w:sz w:val="20"/>
                <w:szCs w:val="20"/>
              </w:rPr>
              <w:t>%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C2688E" w:rsidRDefault="002345C3" w:rsidP="001E44F6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9236ED" w:rsidP="00F97A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8 879,6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F97A3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11 164,0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F97A3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10 469,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-694,9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88E">
              <w:rPr>
                <w:b/>
                <w:bCs/>
                <w:sz w:val="20"/>
                <w:szCs w:val="20"/>
              </w:rPr>
              <w:t>-6,2</w:t>
            </w:r>
          </w:p>
        </w:tc>
      </w:tr>
      <w:tr w:rsidR="002345C3" w:rsidRPr="007B6BA6" w:rsidTr="00895CC2">
        <w:trPr>
          <w:trHeight w:val="20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C2688E" w:rsidRDefault="002345C3" w:rsidP="001E44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2688E">
              <w:rPr>
                <w:b/>
                <w:bCs/>
                <w:i/>
                <w:iCs/>
                <w:sz w:val="20"/>
                <w:szCs w:val="20"/>
              </w:rPr>
              <w:t xml:space="preserve">Государственная программа Волгоградской области «Развитие транспортной системы </w:t>
            </w:r>
          </w:p>
          <w:p w:rsidR="002345C3" w:rsidRPr="00C2688E" w:rsidRDefault="002345C3" w:rsidP="001E44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2688E">
              <w:rPr>
                <w:b/>
                <w:bCs/>
                <w:i/>
                <w:iCs/>
                <w:sz w:val="20"/>
                <w:szCs w:val="20"/>
              </w:rPr>
              <w:t>и обеспечение безопасности дорожного движения в Волгоградской области»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Pr="00895CC2" w:rsidRDefault="002345C3" w:rsidP="001E44F6">
            <w:pPr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Подпрограмма «Совершенствование и развитие сети автомобильных дорог общего пользования Волгоградской области»</w:t>
            </w:r>
            <w:r w:rsidR="0083343C">
              <w:rPr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9236ED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7 105,6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9 708,2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7 948,5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color w:val="000000"/>
                <w:sz w:val="20"/>
                <w:szCs w:val="20"/>
              </w:rPr>
            </w:pPr>
            <w:r w:rsidRPr="00895CC2">
              <w:rPr>
                <w:iCs/>
                <w:color w:val="000000"/>
                <w:sz w:val="20"/>
                <w:szCs w:val="20"/>
              </w:rPr>
              <w:t>-1 759,7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color w:val="000000"/>
                <w:sz w:val="20"/>
                <w:szCs w:val="20"/>
              </w:rPr>
            </w:pPr>
            <w:r w:rsidRPr="00895CC2">
              <w:rPr>
                <w:iCs/>
                <w:color w:val="000000"/>
                <w:sz w:val="20"/>
                <w:szCs w:val="20"/>
              </w:rPr>
              <w:t>-18,1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83343C" w:rsidP="0092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>Капитальный ремонт, ремонт автодорог…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2 007,0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1 603,3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-403,7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-20,1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83343C" w:rsidP="001E4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>Содержание автомобильных дорог…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9236ED" w:rsidP="009236E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4 460,8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2 267,5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-2 193,3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-49,2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83343C" w:rsidP="001E4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>Строительство и реконструкция автомобильных дорог…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9236ED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 xml:space="preserve">1 </w:t>
            </w:r>
            <w:r w:rsidR="009236ED">
              <w:rPr>
                <w:sz w:val="20"/>
                <w:szCs w:val="20"/>
              </w:rPr>
              <w:t>810</w:t>
            </w:r>
            <w:r w:rsidRPr="00C2688E">
              <w:rPr>
                <w:sz w:val="20"/>
                <w:szCs w:val="20"/>
              </w:rPr>
              <w:t>,</w:t>
            </w:r>
            <w:r w:rsidR="009236E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1 528,7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2 551,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83343C" w:rsidP="001E4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>Предоставление межбюджетных трансфертов бюджетам муниципальных образований Волгоградской области на дорожную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9236ED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2 2</w:t>
            </w:r>
            <w:r w:rsidR="009236ED">
              <w:rPr>
                <w:sz w:val="20"/>
                <w:szCs w:val="20"/>
              </w:rPr>
              <w:t>6</w:t>
            </w:r>
            <w:r w:rsidRPr="00C2688E">
              <w:rPr>
                <w:sz w:val="20"/>
                <w:szCs w:val="20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1 711,7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C2688E" w:rsidRDefault="002345C3" w:rsidP="00F97A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1 526,0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-185,7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-10,8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Pr="00895CC2" w:rsidRDefault="0083343C" w:rsidP="001E44F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2345C3" w:rsidRPr="00895CC2">
              <w:rPr>
                <w:iCs/>
                <w:sz w:val="20"/>
                <w:szCs w:val="20"/>
              </w:rPr>
              <w:t>Подпрограмма «Повышение безопасности дорожного движения в Волгоградской области»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220,0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256,0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color w:val="000000"/>
                <w:sz w:val="20"/>
                <w:szCs w:val="20"/>
              </w:rPr>
            </w:pPr>
            <w:r w:rsidRPr="00895CC2">
              <w:rPr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ind w:left="-57" w:right="-57"/>
              <w:jc w:val="center"/>
              <w:rPr>
                <w:iCs/>
                <w:color w:val="000000"/>
                <w:sz w:val="20"/>
                <w:szCs w:val="20"/>
              </w:rPr>
            </w:pPr>
            <w:r w:rsidRPr="00895CC2">
              <w:rPr>
                <w:iCs/>
                <w:color w:val="000000"/>
                <w:sz w:val="20"/>
                <w:szCs w:val="20"/>
              </w:rPr>
              <w:t>16,4</w:t>
            </w:r>
          </w:p>
        </w:tc>
      </w:tr>
      <w:tr w:rsidR="002345C3" w:rsidRPr="003B0097" w:rsidTr="00895CC2">
        <w:trPr>
          <w:trHeight w:val="20"/>
        </w:trPr>
        <w:tc>
          <w:tcPr>
            <w:tcW w:w="963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3B0097" w:rsidRDefault="002345C3" w:rsidP="001E44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B0097">
              <w:rPr>
                <w:b/>
                <w:bCs/>
                <w:i/>
                <w:iCs/>
                <w:sz w:val="20"/>
                <w:szCs w:val="20"/>
              </w:rPr>
              <w:t>Государственная программа Волгоградской области «Устойчивое развитие сельских территорий»</w:t>
            </w:r>
          </w:p>
        </w:tc>
      </w:tr>
      <w:tr w:rsidR="002345C3" w:rsidRPr="003B0097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Pr="003B0097" w:rsidRDefault="002345C3" w:rsidP="001E44F6">
            <w:pPr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Строительство и реконструкция автодорог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3B0097" w:rsidRDefault="002345C3" w:rsidP="00F97A3A">
            <w:pPr>
              <w:jc w:val="center"/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800,5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3B0097" w:rsidRDefault="002345C3" w:rsidP="00F97A3A">
            <w:pPr>
              <w:jc w:val="center"/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646,9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3B0097" w:rsidRDefault="002345C3" w:rsidP="00F97A3A">
            <w:pPr>
              <w:jc w:val="center"/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311,3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Pr="003B0097" w:rsidRDefault="002345C3" w:rsidP="00F97A3A">
            <w:pPr>
              <w:jc w:val="center"/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-335,6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3B0097" w:rsidRDefault="002345C3" w:rsidP="00F97A3A">
            <w:pPr>
              <w:jc w:val="center"/>
              <w:rPr>
                <w:sz w:val="20"/>
                <w:szCs w:val="20"/>
              </w:rPr>
            </w:pPr>
            <w:r w:rsidRPr="003B0097">
              <w:rPr>
                <w:sz w:val="20"/>
                <w:szCs w:val="20"/>
              </w:rPr>
              <w:t>-51,9</w:t>
            </w:r>
          </w:p>
        </w:tc>
      </w:tr>
      <w:tr w:rsidR="002345C3" w:rsidRPr="003B0097" w:rsidTr="00895CC2">
        <w:trPr>
          <w:trHeight w:val="20"/>
        </w:trPr>
        <w:tc>
          <w:tcPr>
            <w:tcW w:w="963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3B0097" w:rsidRDefault="002345C3" w:rsidP="001E44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B0097">
              <w:rPr>
                <w:b/>
                <w:bCs/>
                <w:i/>
                <w:iCs/>
                <w:sz w:val="20"/>
                <w:szCs w:val="20"/>
              </w:rPr>
              <w:t xml:space="preserve">Государственная программа Волгоградской области </w:t>
            </w:r>
            <w:r w:rsidRPr="003B0097">
              <w:rPr>
                <w:b/>
                <w:bCs/>
                <w:i/>
                <w:iCs/>
                <w:sz w:val="20"/>
                <w:szCs w:val="20"/>
              </w:rPr>
              <w:br/>
              <w:t>«Обеспечение безопасности жизнедеятельности на территории Волгоградской области»</w:t>
            </w:r>
          </w:p>
        </w:tc>
      </w:tr>
      <w:tr w:rsidR="002345C3" w:rsidRPr="003B0097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Pr="00895CC2" w:rsidRDefault="002345C3" w:rsidP="001E44F6">
            <w:pPr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 xml:space="preserve">Подпрограмма «Создание, развитие и обеспечение </w:t>
            </w:r>
            <w:proofErr w:type="gramStart"/>
            <w:r w:rsidRPr="00895CC2">
              <w:rPr>
                <w:iCs/>
                <w:sz w:val="20"/>
                <w:szCs w:val="20"/>
              </w:rPr>
              <w:t>функционирования средств автоматизации комплексной системы обеспечения безопасности жизнедеятельности населения</w:t>
            </w:r>
            <w:proofErr w:type="gramEnd"/>
            <w:r w:rsidRPr="00895CC2">
              <w:rPr>
                <w:iCs/>
                <w:sz w:val="20"/>
                <w:szCs w:val="20"/>
              </w:rPr>
              <w:t xml:space="preserve"> на территории Волгоградской области»</w:t>
            </w:r>
            <w:r w:rsidR="009F4BF5">
              <w:rPr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564,8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709,7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120,7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Pr="00895CC2" w:rsidRDefault="002345C3" w:rsidP="00F97A3A">
            <w:pPr>
              <w:jc w:val="center"/>
              <w:rPr>
                <w:iCs/>
                <w:sz w:val="20"/>
                <w:szCs w:val="20"/>
              </w:rPr>
            </w:pPr>
            <w:r w:rsidRPr="00895CC2">
              <w:rPr>
                <w:iCs/>
                <w:sz w:val="20"/>
                <w:szCs w:val="20"/>
              </w:rPr>
              <w:t>20,5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9F4BF5" w:rsidP="001E4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 xml:space="preserve">Создание, развитие и обеспечение </w:t>
            </w:r>
            <w:proofErr w:type="gramStart"/>
            <w:r w:rsidR="002345C3">
              <w:rPr>
                <w:sz w:val="20"/>
                <w:szCs w:val="20"/>
              </w:rPr>
              <w:t>функционирования систем обеспечения защиты населения</w:t>
            </w:r>
            <w:proofErr w:type="gramEnd"/>
            <w:r w:rsidR="002345C3">
              <w:rPr>
                <w:sz w:val="20"/>
                <w:szCs w:val="20"/>
              </w:rPr>
              <w:t xml:space="preserve"> от противоправных посягательств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9F4BF5" w:rsidP="001E4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45C3">
              <w:rPr>
                <w:sz w:val="20"/>
                <w:szCs w:val="20"/>
              </w:rPr>
              <w:t>Субсидии бюджетам муниципальных образований на обеспечение развития локальной сети управления светофорными объектами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F97A3A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45C3" w:rsidRPr="007B6BA6" w:rsidTr="00895CC2">
        <w:trPr>
          <w:trHeight w:val="20"/>
        </w:trPr>
        <w:tc>
          <w:tcPr>
            <w:tcW w:w="963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345C3" w:rsidRPr="00603CFC" w:rsidRDefault="002345C3" w:rsidP="001E44F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603CFC">
              <w:rPr>
                <w:b/>
                <w:i/>
                <w:sz w:val="20"/>
                <w:szCs w:val="20"/>
              </w:rPr>
              <w:lastRenderedPageBreak/>
              <w:t>Н</w:t>
            </w:r>
            <w:r>
              <w:rPr>
                <w:b/>
                <w:i/>
                <w:sz w:val="20"/>
                <w:szCs w:val="20"/>
              </w:rPr>
              <w:t>епрограммные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расходы</w:t>
            </w:r>
          </w:p>
        </w:tc>
      </w:tr>
      <w:tr w:rsidR="002345C3" w:rsidRPr="007B6BA6" w:rsidTr="00895CC2">
        <w:trPr>
          <w:trHeight w:val="20"/>
        </w:trPr>
        <w:tc>
          <w:tcPr>
            <w:tcW w:w="46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45C3" w:rsidRDefault="002345C3" w:rsidP="001E4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F97A3A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2345C3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1 243,6</w:t>
            </w:r>
          </w:p>
        </w:tc>
        <w:tc>
          <w:tcPr>
            <w:tcW w:w="9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45C3" w:rsidRDefault="00F97A3A" w:rsidP="00F97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345C3" w:rsidRPr="007B6BA6" w:rsidRDefault="002345C3" w:rsidP="002345C3">
      <w:pPr>
        <w:ind w:left="-426" w:hanging="283"/>
        <w:jc w:val="both"/>
        <w:rPr>
          <w:i/>
          <w:color w:val="7030A0"/>
          <w:sz w:val="20"/>
          <w:szCs w:val="20"/>
        </w:rPr>
      </w:pPr>
    </w:p>
    <w:p w:rsidR="002345C3" w:rsidRDefault="001E44F6" w:rsidP="002345C3">
      <w:pPr>
        <w:ind w:firstLine="709"/>
        <w:jc w:val="both"/>
      </w:pPr>
      <w:r>
        <w:t>Как видно из таблицы, б</w:t>
      </w:r>
      <w:r w:rsidR="002345C3" w:rsidRPr="00B5273D">
        <w:t>юджетные ассигнования дорожного фонда Волгоградской области на 2019 год</w:t>
      </w:r>
      <w:r>
        <w:t>, предусмотренные законопроектом,</w:t>
      </w:r>
      <w:r w:rsidR="002345C3" w:rsidRPr="00B5273D">
        <w:t xml:space="preserve"> </w:t>
      </w:r>
      <w:r w:rsidR="002345C3">
        <w:t>меньше объ</w:t>
      </w:r>
      <w:r>
        <w:t>е</w:t>
      </w:r>
      <w:r w:rsidR="002345C3">
        <w:t>ма финансирования, утвержд</w:t>
      </w:r>
      <w:r>
        <w:t>е</w:t>
      </w:r>
      <w:r w:rsidR="002345C3">
        <w:t xml:space="preserve">нного </w:t>
      </w:r>
      <w:r w:rsidR="002345C3" w:rsidRPr="00B5273D">
        <w:t>государственн</w:t>
      </w:r>
      <w:r w:rsidR="002345C3">
        <w:t>ыми</w:t>
      </w:r>
      <w:r w:rsidR="002345C3" w:rsidRPr="00B5273D">
        <w:t xml:space="preserve"> программ</w:t>
      </w:r>
      <w:r w:rsidR="002345C3">
        <w:t>ами</w:t>
      </w:r>
      <w:r w:rsidR="002345C3" w:rsidRPr="00B5273D">
        <w:t xml:space="preserve"> </w:t>
      </w:r>
      <w:r w:rsidR="002345C3">
        <w:t>Волгоградской области, и объ</w:t>
      </w:r>
      <w:r>
        <w:t>е</w:t>
      </w:r>
      <w:r w:rsidR="002345C3">
        <w:t xml:space="preserve">ма </w:t>
      </w:r>
      <w:proofErr w:type="spellStart"/>
      <w:r w:rsidR="002345C3">
        <w:t>непрограммных</w:t>
      </w:r>
      <w:proofErr w:type="spellEnd"/>
      <w:r w:rsidR="002345C3">
        <w:t xml:space="preserve"> расходов на 694,9 млн. руб.</w:t>
      </w:r>
      <w:r>
        <w:t>, или на</w:t>
      </w:r>
      <w:r w:rsidR="002345C3">
        <w:t xml:space="preserve"> 6,2</w:t>
      </w:r>
      <w:r>
        <w:t xml:space="preserve"> процента</w:t>
      </w:r>
      <w:r w:rsidR="002345C3" w:rsidRPr="00B5273D">
        <w:t>.</w:t>
      </w:r>
    </w:p>
    <w:p w:rsidR="00010C99" w:rsidRDefault="002345C3" w:rsidP="00010C99">
      <w:pPr>
        <w:ind w:firstLine="709"/>
        <w:jc w:val="both"/>
      </w:pPr>
      <w:proofErr w:type="gramStart"/>
      <w:r w:rsidRPr="00477521">
        <w:t>Предлагаемый к утверждению на 2019 год объем ассигнований областного бюджета на капитальный ремонт, ремонт и содержание автомобильных дорог регионального или межмуниципального значения Волгоградской области (3870,8 млн. руб.) в 1,</w:t>
      </w:r>
      <w:r w:rsidR="00F6490A">
        <w:t>3</w:t>
      </w:r>
      <w:r w:rsidRPr="00477521">
        <w:t xml:space="preserve"> раза больше объема расходов, утвержденного </w:t>
      </w:r>
      <w:r w:rsidR="00AF4D0F">
        <w:t>з</w:t>
      </w:r>
      <w:r w:rsidRPr="00477521">
        <w:t>аконом об областном бюджете на 2018 год (</w:t>
      </w:r>
      <w:r w:rsidR="00F6490A">
        <w:t>3027</w:t>
      </w:r>
      <w:r w:rsidRPr="00477521">
        <w:t>,</w:t>
      </w:r>
      <w:r w:rsidR="00F6490A">
        <w:t>2</w:t>
      </w:r>
      <w:r w:rsidRPr="00477521">
        <w:t xml:space="preserve"> млн. руб.)</w:t>
      </w:r>
      <w:r>
        <w:t>, но</w:t>
      </w:r>
      <w:r w:rsidRPr="00477521">
        <w:t xml:space="preserve"> </w:t>
      </w:r>
      <w:r w:rsidRPr="00D4760D">
        <w:t xml:space="preserve">в </w:t>
      </w:r>
      <w:r>
        <w:t>10,2</w:t>
      </w:r>
      <w:r w:rsidRPr="00D4760D">
        <w:t xml:space="preserve"> раза меньше </w:t>
      </w:r>
      <w:r w:rsidRPr="00865740">
        <w:t>нормативной потребности, рассчитанной в соответствии с постановлением Администрации Волгоградской области от</w:t>
      </w:r>
      <w:proofErr w:type="gramEnd"/>
      <w:r w:rsidRPr="00865740">
        <w:t xml:space="preserve"> </w:t>
      </w:r>
      <w:proofErr w:type="gramStart"/>
      <w:r w:rsidRPr="00865740">
        <w:t>25.04.2011 №178-п «Об установлении нормативов денежных затрат на капитальный ремонт, ремонт и содержание автомобильных дорог регионального или межмуниципального значения Волгоградской области и утверждении Правил расчета денежных затрат на капитальный ремонт, ремонт и содержание автодорог регионального или межмуниципального значения Волгоградской области при определении размера ассигнований из областного бюджета, предусматриваемых на эти цели» (см. таблицу).</w:t>
      </w:r>
      <w:proofErr w:type="gramEnd"/>
    </w:p>
    <w:p w:rsidR="002345C3" w:rsidRPr="00010C99" w:rsidRDefault="00010C99" w:rsidP="00010C99">
      <w:pPr>
        <w:ind w:firstLine="709"/>
        <w:jc w:val="both"/>
      </w:pPr>
      <w:r>
        <w:t xml:space="preserve">                                                                                                                        </w:t>
      </w:r>
      <w:r w:rsidR="002345C3" w:rsidRPr="00EE38F7">
        <w:rPr>
          <w:sz w:val="20"/>
          <w:szCs w:val="20"/>
        </w:rPr>
        <w:t>млн. руб.</w:t>
      </w:r>
    </w:p>
    <w:tbl>
      <w:tblPr>
        <w:tblStyle w:val="af7"/>
        <w:tblW w:w="9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411"/>
        <w:gridCol w:w="1390"/>
        <w:gridCol w:w="1145"/>
        <w:gridCol w:w="1299"/>
      </w:tblGrid>
      <w:tr w:rsidR="002345C3" w:rsidRPr="00865740" w:rsidTr="001E44F6">
        <w:trPr>
          <w:jc w:val="center"/>
        </w:trPr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Нормативная потребность</w:t>
            </w:r>
          </w:p>
        </w:tc>
        <w:tc>
          <w:tcPr>
            <w:tcW w:w="1390" w:type="dxa"/>
            <w:vMerge w:val="restart"/>
            <w:tcBorders>
              <w:top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Законопроект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Отклонение</w:t>
            </w:r>
          </w:p>
        </w:tc>
      </w:tr>
      <w:tr w:rsidR="002345C3" w:rsidRPr="00865740" w:rsidTr="001E44F6">
        <w:trPr>
          <w:jc w:val="center"/>
        </w:trPr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млн. руб.</w:t>
            </w:r>
          </w:p>
        </w:tc>
        <w:tc>
          <w:tcPr>
            <w:tcW w:w="12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5C3" w:rsidRPr="00865740" w:rsidRDefault="002345C3" w:rsidP="001E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меньше в </w:t>
            </w:r>
          </w:p>
        </w:tc>
      </w:tr>
      <w:tr w:rsidR="002345C3" w:rsidRPr="00865740" w:rsidTr="001E44F6">
        <w:trPr>
          <w:jc w:val="center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45C3" w:rsidRPr="00865740" w:rsidRDefault="002345C3" w:rsidP="001E44F6">
            <w:pPr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Капитальный ремонт автомобильных дорог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23 568,5</w:t>
            </w:r>
          </w:p>
        </w:tc>
        <w:tc>
          <w:tcPr>
            <w:tcW w:w="1390" w:type="dxa"/>
            <w:vMerge w:val="restart"/>
            <w:tcBorders>
              <w:top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1 603,3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- 29</w:t>
            </w:r>
            <w:r>
              <w:rPr>
                <w:sz w:val="20"/>
                <w:szCs w:val="20"/>
              </w:rPr>
              <w:t> 103,3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19,2</w:t>
            </w:r>
            <w:r w:rsidRPr="00865740">
              <w:rPr>
                <w:sz w:val="20"/>
                <w:szCs w:val="20"/>
              </w:rPr>
              <w:t xml:space="preserve"> раза</w:t>
            </w:r>
          </w:p>
        </w:tc>
      </w:tr>
      <w:tr w:rsidR="002345C3" w:rsidRPr="00865740" w:rsidTr="001E44F6">
        <w:trPr>
          <w:jc w:val="center"/>
        </w:trPr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2345C3" w:rsidRPr="00865740" w:rsidRDefault="002345C3" w:rsidP="001E44F6">
            <w:pPr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411" w:type="dxa"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7 138,1</w:t>
            </w:r>
          </w:p>
        </w:tc>
        <w:tc>
          <w:tcPr>
            <w:tcW w:w="1390" w:type="dxa"/>
            <w:vMerge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</w:p>
        </w:tc>
      </w:tr>
      <w:tr w:rsidR="002345C3" w:rsidRPr="00865740" w:rsidTr="001E44F6">
        <w:trPr>
          <w:jc w:val="center"/>
        </w:trPr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2345C3" w:rsidRPr="00865740" w:rsidRDefault="002345C3" w:rsidP="001E44F6">
            <w:pPr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411" w:type="dxa"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8 954,8</w:t>
            </w:r>
          </w:p>
        </w:tc>
        <w:tc>
          <w:tcPr>
            <w:tcW w:w="1390" w:type="dxa"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 w:rsidRPr="00C2688E">
              <w:rPr>
                <w:sz w:val="20"/>
                <w:szCs w:val="20"/>
              </w:rPr>
              <w:t>2 267,5</w:t>
            </w:r>
          </w:p>
        </w:tc>
        <w:tc>
          <w:tcPr>
            <w:tcW w:w="1145" w:type="dxa"/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6 687,3</w:t>
            </w:r>
          </w:p>
        </w:tc>
        <w:tc>
          <w:tcPr>
            <w:tcW w:w="1299" w:type="dxa"/>
            <w:tcBorders>
              <w:right w:val="double" w:sz="4" w:space="0" w:color="auto"/>
            </w:tcBorders>
            <w:vAlign w:val="center"/>
          </w:tcPr>
          <w:p w:rsidR="002345C3" w:rsidRPr="00865740" w:rsidRDefault="002345C3" w:rsidP="00010C99">
            <w:pPr>
              <w:jc w:val="center"/>
              <w:rPr>
                <w:sz w:val="20"/>
                <w:szCs w:val="20"/>
              </w:rPr>
            </w:pPr>
            <w:r w:rsidRPr="0086574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3,9</w:t>
            </w:r>
            <w:r w:rsidRPr="00865740">
              <w:rPr>
                <w:sz w:val="20"/>
                <w:szCs w:val="20"/>
              </w:rPr>
              <w:t xml:space="preserve"> раза</w:t>
            </w:r>
          </w:p>
        </w:tc>
      </w:tr>
      <w:tr w:rsidR="002345C3" w:rsidRPr="00865740" w:rsidTr="001E44F6">
        <w:trPr>
          <w:jc w:val="center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45C3" w:rsidRPr="0077586F" w:rsidRDefault="002345C3" w:rsidP="001E44F6">
            <w:pPr>
              <w:rPr>
                <w:b/>
                <w:sz w:val="20"/>
                <w:szCs w:val="20"/>
              </w:rPr>
            </w:pPr>
            <w:r w:rsidRPr="0077586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2345C3" w:rsidRPr="0077586F" w:rsidRDefault="002345C3" w:rsidP="00010C99">
            <w:pPr>
              <w:jc w:val="center"/>
              <w:rPr>
                <w:b/>
                <w:sz w:val="20"/>
                <w:szCs w:val="20"/>
              </w:rPr>
            </w:pPr>
            <w:r w:rsidRPr="0077586F">
              <w:rPr>
                <w:b/>
                <w:sz w:val="20"/>
                <w:szCs w:val="20"/>
              </w:rPr>
              <w:t>39 661,4</w:t>
            </w: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2345C3" w:rsidRPr="0077586F" w:rsidRDefault="002345C3" w:rsidP="00010C99">
            <w:pPr>
              <w:jc w:val="center"/>
              <w:rPr>
                <w:b/>
                <w:sz w:val="20"/>
                <w:szCs w:val="20"/>
              </w:rPr>
            </w:pPr>
            <w:r w:rsidRPr="0077586F">
              <w:rPr>
                <w:b/>
                <w:sz w:val="20"/>
                <w:szCs w:val="20"/>
              </w:rPr>
              <w:t>3 870,8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2345C3" w:rsidRPr="0077586F" w:rsidRDefault="002345C3" w:rsidP="00010C99">
            <w:pPr>
              <w:jc w:val="center"/>
              <w:rPr>
                <w:b/>
                <w:sz w:val="20"/>
                <w:szCs w:val="20"/>
              </w:rPr>
            </w:pPr>
            <w:r w:rsidRPr="0077586F">
              <w:rPr>
                <w:b/>
                <w:sz w:val="20"/>
                <w:szCs w:val="20"/>
              </w:rPr>
              <w:t>-35 790,6</w:t>
            </w:r>
          </w:p>
        </w:tc>
        <w:tc>
          <w:tcPr>
            <w:tcW w:w="12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45C3" w:rsidRPr="0077586F" w:rsidRDefault="002345C3" w:rsidP="00010C99">
            <w:pPr>
              <w:jc w:val="center"/>
              <w:rPr>
                <w:b/>
                <w:sz w:val="20"/>
                <w:szCs w:val="20"/>
              </w:rPr>
            </w:pPr>
            <w:r w:rsidRPr="0077586F">
              <w:rPr>
                <w:b/>
                <w:sz w:val="20"/>
                <w:szCs w:val="20"/>
              </w:rPr>
              <w:t>в 10,2 раза</w:t>
            </w:r>
          </w:p>
        </w:tc>
      </w:tr>
    </w:tbl>
    <w:p w:rsidR="002345C3" w:rsidRDefault="002345C3" w:rsidP="002345C3">
      <w:pPr>
        <w:ind w:firstLine="709"/>
        <w:jc w:val="both"/>
      </w:pPr>
    </w:p>
    <w:p w:rsidR="002345C3" w:rsidRPr="00B5273D" w:rsidRDefault="002345C3" w:rsidP="002345C3">
      <w:pPr>
        <w:ind w:firstLine="709"/>
        <w:jc w:val="both"/>
      </w:pPr>
      <w:proofErr w:type="gramStart"/>
      <w:r>
        <w:t>По отношению к ассигнованиям 2018 года н</w:t>
      </w:r>
      <w:r w:rsidRPr="00B5273D">
        <w:t>аибольшее увеличение в относительной величине предлагается на реализацию мероприятий повышения безопасности дорожного движения (+201,1 млн. руб., или более чем в 4,7 раза), что, в основном, связано с планированием расходов на создание, развитие и обеспечение функционирования автоматизированной системы весового и габаритного контроля транспортных средств в сумме 136 млн. руб. ежегодно главному распорядителю средств областного бюджета</w:t>
      </w:r>
      <w:proofErr w:type="gramEnd"/>
      <w:r w:rsidRPr="00B5273D">
        <w:t xml:space="preserve"> комитету информационных технологий Волгоградской области.</w:t>
      </w:r>
    </w:p>
    <w:p w:rsidR="002345C3" w:rsidRPr="00B5273D" w:rsidRDefault="002345C3" w:rsidP="002345C3">
      <w:pPr>
        <w:ind w:firstLine="709"/>
        <w:jc w:val="both"/>
      </w:pPr>
      <w:proofErr w:type="gramStart"/>
      <w:r w:rsidRPr="00B5273D">
        <w:t>КСП в своих заключениях от 02.10.2018 №01КСП-02-02/124 и от 31.10.2018 №01КСП-02-02/140 на проект изменений в государственную программу «Развитие транспортной системы и обеспечение безопасности дорожного движения в Волгоградской области» (далее ГП «Развитие транспортной системы») в части включения в программу расходов по созданию и содержанию системы весогабаритного контроля с общим объемом финансирования 800 млн. руб. (из них в 2018 году</w:t>
      </w:r>
      <w:proofErr w:type="gramEnd"/>
      <w:r w:rsidRPr="00B5273D">
        <w:t xml:space="preserve"> – </w:t>
      </w:r>
      <w:proofErr w:type="gramStart"/>
      <w:r w:rsidRPr="00B5273D">
        <w:t>120 млн. руб. за счет внебюджетных источников, в 2019-2023 годах – по 136 млн. руб. за счет средств областного бюджета) отмечала следующие аспекты:</w:t>
      </w:r>
      <w:proofErr w:type="gramEnd"/>
    </w:p>
    <w:p w:rsidR="002345C3" w:rsidRPr="008F68A8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8F68A8">
        <w:rPr>
          <w:rFonts w:eastAsiaTheme="minorEastAsia"/>
        </w:rPr>
        <w:t>-</w:t>
      </w:r>
      <w:r w:rsidRPr="00B5273D">
        <w:rPr>
          <w:rFonts w:eastAsiaTheme="minorEastAsia"/>
        </w:rPr>
        <w:t xml:space="preserve">существуют </w:t>
      </w:r>
      <w:r w:rsidRPr="008F68A8">
        <w:rPr>
          <w:rFonts w:eastAsiaTheme="minorEastAsia"/>
        </w:rPr>
        <w:t>большие риски практической неработоспособности системы (отсутствия возможности или целесообразности е</w:t>
      </w:r>
      <w:r w:rsidR="00C4708C">
        <w:rPr>
          <w:rFonts w:eastAsiaTheme="minorEastAsia"/>
        </w:rPr>
        <w:t>е</w:t>
      </w:r>
      <w:r w:rsidRPr="008F68A8">
        <w:rPr>
          <w:rFonts w:eastAsiaTheme="minorEastAsia"/>
        </w:rPr>
        <w:t xml:space="preserve"> применения) и, как следствие, </w:t>
      </w:r>
      <w:proofErr w:type="spellStart"/>
      <w:r w:rsidRPr="008F68A8">
        <w:rPr>
          <w:rFonts w:eastAsiaTheme="minorEastAsia"/>
        </w:rPr>
        <w:t>недостижения</w:t>
      </w:r>
      <w:proofErr w:type="spellEnd"/>
      <w:r w:rsidRPr="008F68A8">
        <w:rPr>
          <w:rFonts w:eastAsiaTheme="minorEastAsia"/>
        </w:rPr>
        <w:t xml:space="preserve"> заданных конечных результатов мероприятия и неэффективного использования средств;</w:t>
      </w:r>
    </w:p>
    <w:p w:rsidR="002345C3" w:rsidRPr="008F68A8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8F68A8">
        <w:rPr>
          <w:rFonts w:eastAsiaTheme="minorEastAsia"/>
        </w:rPr>
        <w:t>-целесообразность предлагаемого механизм</w:t>
      </w:r>
      <w:r>
        <w:rPr>
          <w:rFonts w:eastAsiaTheme="minorEastAsia"/>
        </w:rPr>
        <w:t>а</w:t>
      </w:r>
      <w:r w:rsidRPr="008F68A8">
        <w:rPr>
          <w:rFonts w:eastAsiaTheme="minorEastAsia"/>
        </w:rPr>
        <w:t xml:space="preserve"> реализации мероприятия пут</w:t>
      </w:r>
      <w:r w:rsidR="00C4708C">
        <w:rPr>
          <w:rFonts w:eastAsiaTheme="minorEastAsia"/>
        </w:rPr>
        <w:t>е</w:t>
      </w:r>
      <w:r w:rsidRPr="008F68A8">
        <w:rPr>
          <w:rFonts w:eastAsiaTheme="minorEastAsia"/>
        </w:rPr>
        <w:t>м заключения договора финансовой аренды (лизинга) и приобретения дорогостоящей системы в государственную собственность Волгоградской области по окончании действия договора;</w:t>
      </w:r>
    </w:p>
    <w:p w:rsidR="002345C3" w:rsidRPr="008F68A8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8F68A8">
        <w:rPr>
          <w:rFonts w:eastAsiaTheme="minorEastAsia"/>
        </w:rPr>
        <w:t>-несоответствие закрепления исполнителя мероприятия установленному распределению полномочий между органами исполнительной власти Волгоградской области, целесообразность и возможность перераспределения этих полномочий;</w:t>
      </w:r>
    </w:p>
    <w:p w:rsidR="002345C3" w:rsidRPr="008F68A8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8F68A8">
        <w:rPr>
          <w:rFonts w:eastAsiaTheme="minorEastAsia"/>
        </w:rPr>
        <w:t>-</w:t>
      </w:r>
      <w:r w:rsidR="00602D5F">
        <w:rPr>
          <w:rFonts w:eastAsiaTheme="minorEastAsia"/>
        </w:rPr>
        <w:t>недостаточная обоснованность</w:t>
      </w:r>
      <w:r w:rsidRPr="008F68A8">
        <w:rPr>
          <w:rFonts w:eastAsiaTheme="minorEastAsia"/>
        </w:rPr>
        <w:t xml:space="preserve"> объ</w:t>
      </w:r>
      <w:r w:rsidR="00C4708C">
        <w:rPr>
          <w:rFonts w:eastAsiaTheme="minorEastAsia"/>
        </w:rPr>
        <w:t>е</w:t>
      </w:r>
      <w:r w:rsidRPr="008F68A8">
        <w:rPr>
          <w:rFonts w:eastAsiaTheme="minorEastAsia"/>
        </w:rPr>
        <w:t>ма финансирования мероприятия;</w:t>
      </w:r>
    </w:p>
    <w:p w:rsidR="002345C3" w:rsidRPr="008F68A8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8F68A8">
        <w:rPr>
          <w:rFonts w:eastAsiaTheme="minorEastAsia"/>
        </w:rPr>
        <w:lastRenderedPageBreak/>
        <w:t>-несоответствие предлагаемого способа определения начальной (максимальной) цены долгосрочного государственного контракта методом сопоставимых рыночных цен (анализа рынка) требованиям законодательства.</w:t>
      </w:r>
    </w:p>
    <w:p w:rsidR="002345C3" w:rsidRPr="008F68A8" w:rsidRDefault="002345C3" w:rsidP="002345C3">
      <w:pPr>
        <w:ind w:firstLine="720"/>
        <w:jc w:val="both"/>
        <w:rPr>
          <w:bCs/>
        </w:rPr>
      </w:pPr>
      <w:r w:rsidRPr="008F68A8">
        <w:rPr>
          <w:bCs/>
        </w:rPr>
        <w:t xml:space="preserve">На основании изложенного </w:t>
      </w:r>
      <w:r w:rsidRPr="00B5273D">
        <w:rPr>
          <w:bCs/>
        </w:rPr>
        <w:t>КСП</w:t>
      </w:r>
      <w:r w:rsidRPr="008F68A8">
        <w:rPr>
          <w:bCs/>
        </w:rPr>
        <w:t xml:space="preserve"> </w:t>
      </w:r>
      <w:r w:rsidR="00C4708C">
        <w:rPr>
          <w:bCs/>
        </w:rPr>
        <w:t>пришла к выводу</w:t>
      </w:r>
      <w:r w:rsidRPr="008F68A8">
        <w:rPr>
          <w:bCs/>
        </w:rPr>
        <w:t xml:space="preserve"> о том, что </w:t>
      </w:r>
      <w:r w:rsidRPr="00B5273D">
        <w:rPr>
          <w:bCs/>
        </w:rPr>
        <w:t>п</w:t>
      </w:r>
      <w:r w:rsidRPr="008F68A8">
        <w:rPr>
          <w:bCs/>
        </w:rPr>
        <w:t xml:space="preserve">роект </w:t>
      </w:r>
      <w:r w:rsidRPr="00B5273D">
        <w:rPr>
          <w:bCs/>
        </w:rPr>
        <w:t xml:space="preserve">изменений в государственную программу </w:t>
      </w:r>
      <w:r w:rsidRPr="008F68A8">
        <w:rPr>
          <w:bCs/>
        </w:rPr>
        <w:t xml:space="preserve">может быть рассмотрен Администрацией Волгоградской области и утвержден </w:t>
      </w:r>
      <w:r w:rsidR="00C4708C" w:rsidRPr="007A6833">
        <w:rPr>
          <w:bCs/>
          <w:u w:val="single"/>
        </w:rPr>
        <w:t xml:space="preserve">только </w:t>
      </w:r>
      <w:r w:rsidRPr="007A6833">
        <w:rPr>
          <w:bCs/>
          <w:u w:val="single"/>
        </w:rPr>
        <w:t>после квалифицированной оценки финансово-экономических и организационных рисков</w:t>
      </w:r>
      <w:r w:rsidR="007A6833" w:rsidRPr="007A6833">
        <w:rPr>
          <w:bCs/>
          <w:u w:val="single"/>
        </w:rPr>
        <w:t xml:space="preserve"> вышеуказанного мероприятия</w:t>
      </w:r>
      <w:r w:rsidRPr="008F68A8">
        <w:rPr>
          <w:bCs/>
        </w:rPr>
        <w:t>.</w:t>
      </w:r>
    </w:p>
    <w:p w:rsidR="002345C3" w:rsidRPr="00285B1E" w:rsidRDefault="002345C3" w:rsidP="002345C3">
      <w:pPr>
        <w:ind w:firstLine="709"/>
        <w:jc w:val="both"/>
      </w:pPr>
      <w:r>
        <w:t xml:space="preserve">Объем расходов на строительство и реконструкцию автомобильных дорог общего пользования (за исключением автомобильных дорог федерального значения) в рамках ГП «Развитие транспортной </w:t>
      </w:r>
      <w:r w:rsidR="007A6833">
        <w:t>системы» предусмотрен законопроектом в сумме 2</w:t>
      </w:r>
      <w:r>
        <w:t xml:space="preserve">551,7 млн. руб., что на 1023 млн. </w:t>
      </w:r>
      <w:r w:rsidRPr="00285B1E">
        <w:t xml:space="preserve">руб., или в 1,7 раза больше объема расходов, утвержденного госпрограммой. Увеличение бюджетных ассигнований в основном обусловлено включением на 2019 год расходов на строительство второго пускового </w:t>
      </w:r>
      <w:r w:rsidRPr="00083C6D">
        <w:t>комплекса мостового перехода через реку Волга в городе Волгограде в сумме 1327,2 млн. руб. за сч</w:t>
      </w:r>
      <w:r w:rsidR="007A6833">
        <w:t>е</w:t>
      </w:r>
      <w:r w:rsidRPr="00083C6D">
        <w:t>т финансовой помощи из федерального бюджета, не предусмотренных государственной программой.</w:t>
      </w:r>
    </w:p>
    <w:p w:rsidR="002345C3" w:rsidRPr="009621DC" w:rsidRDefault="002345C3" w:rsidP="002345C3">
      <w:pPr>
        <w:ind w:firstLine="709"/>
        <w:jc w:val="both"/>
      </w:pPr>
      <w:r w:rsidRPr="00285B1E">
        <w:t>Перечень объектов строительства</w:t>
      </w:r>
      <w:r w:rsidRPr="00B64D83">
        <w:t xml:space="preserve"> и </w:t>
      </w:r>
      <w:proofErr w:type="gramStart"/>
      <w:r w:rsidRPr="00B64D83">
        <w:t>реконструкции</w:t>
      </w:r>
      <w:proofErr w:type="gramEnd"/>
      <w:r w:rsidRPr="00B64D83">
        <w:t xml:space="preserve"> автомобильных дорог общего пользования для </w:t>
      </w:r>
      <w:r w:rsidRPr="009621DC">
        <w:t xml:space="preserve">областных государственных нужд на 2019 год (приложение 13 к законопроекту) не включает 5 из 11 </w:t>
      </w:r>
      <w:r w:rsidR="00571E49">
        <w:t>дорог</w:t>
      </w:r>
      <w:r w:rsidRPr="009621DC">
        <w:t xml:space="preserve">, утвержденных на 2019 год </w:t>
      </w:r>
      <w:r w:rsidRPr="009621DC">
        <w:rPr>
          <w:iCs/>
        </w:rPr>
        <w:t>подпрограммой «Совершенствование и развитие сети автомобильных дорог общего пользования Волгоградской области»</w:t>
      </w:r>
      <w:r w:rsidRPr="009621DC">
        <w:t xml:space="preserve"> </w:t>
      </w:r>
      <w:r>
        <w:rPr>
          <w:iCs/>
        </w:rPr>
        <w:t>ГП</w:t>
      </w:r>
      <w:r w:rsidRPr="009621DC">
        <w:rPr>
          <w:iCs/>
        </w:rPr>
        <w:t xml:space="preserve"> «Развитие транспортной системы</w:t>
      </w:r>
      <w:r>
        <w:rPr>
          <w:iCs/>
        </w:rPr>
        <w:t>»</w:t>
      </w:r>
      <w:r w:rsidRPr="009621DC">
        <w:rPr>
          <w:iCs/>
        </w:rPr>
        <w:t>.</w:t>
      </w:r>
    </w:p>
    <w:p w:rsidR="002345C3" w:rsidRPr="00C11E70" w:rsidRDefault="002345C3" w:rsidP="002345C3">
      <w:pPr>
        <w:ind w:firstLine="709"/>
        <w:jc w:val="right"/>
        <w:rPr>
          <w:sz w:val="20"/>
          <w:szCs w:val="20"/>
        </w:rPr>
      </w:pPr>
      <w:r w:rsidRPr="00C11E70">
        <w:rPr>
          <w:sz w:val="20"/>
          <w:szCs w:val="20"/>
        </w:rPr>
        <w:t>млн.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5386"/>
        <w:gridCol w:w="1134"/>
        <w:gridCol w:w="850"/>
        <w:gridCol w:w="949"/>
        <w:gridCol w:w="894"/>
      </w:tblGrid>
      <w:tr w:rsidR="000E3759" w:rsidRPr="001B7F90" w:rsidTr="00340DC4">
        <w:trPr>
          <w:trHeight w:val="2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7F90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B7F9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B7F90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double" w:sz="4" w:space="0" w:color="auto"/>
            </w:tcBorders>
            <w:vAlign w:val="center"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7F90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1B7F90">
              <w:rPr>
                <w:color w:val="000000"/>
                <w:sz w:val="18"/>
                <w:szCs w:val="18"/>
              </w:rPr>
              <w:t>.</w:t>
            </w:r>
          </w:p>
          <w:p w:rsidR="000E3759" w:rsidRPr="001B7F90" w:rsidRDefault="000E3759" w:rsidP="00340D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Проект</w:t>
            </w:r>
          </w:p>
          <w:p w:rsidR="000E3759" w:rsidRPr="001B7F90" w:rsidRDefault="000E3759" w:rsidP="00340D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Отклонение</w:t>
            </w:r>
          </w:p>
        </w:tc>
      </w:tr>
      <w:tr w:rsidR="000E3759" w:rsidRPr="001B7F90" w:rsidTr="00E95D8F">
        <w:trPr>
          <w:trHeight w:val="226"/>
        </w:trPr>
        <w:tc>
          <w:tcPr>
            <w:tcW w:w="426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12" w:space="0" w:color="auto"/>
            </w:tcBorders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%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0E3759" w:rsidRPr="001B7F90" w:rsidRDefault="000E3759" w:rsidP="00340D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F90">
              <w:rPr>
                <w:b/>
                <w:bCs/>
                <w:color w:val="000000"/>
                <w:sz w:val="18"/>
                <w:szCs w:val="18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F90">
              <w:rPr>
                <w:b/>
                <w:bCs/>
                <w:color w:val="000000"/>
                <w:sz w:val="18"/>
                <w:szCs w:val="18"/>
              </w:rPr>
              <w:t>1 528,7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F90">
              <w:rPr>
                <w:b/>
                <w:bCs/>
                <w:color w:val="000000"/>
                <w:sz w:val="18"/>
                <w:szCs w:val="18"/>
              </w:rPr>
              <w:t>2 551,7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F90">
              <w:rPr>
                <w:b/>
                <w:bCs/>
                <w:color w:val="000000"/>
                <w:sz w:val="18"/>
                <w:szCs w:val="18"/>
              </w:rPr>
              <w:t>1 023,0</w:t>
            </w:r>
          </w:p>
        </w:tc>
        <w:tc>
          <w:tcPr>
            <w:tcW w:w="8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F90">
              <w:rPr>
                <w:b/>
                <w:bCs/>
                <w:color w:val="000000"/>
                <w:sz w:val="18"/>
                <w:szCs w:val="18"/>
              </w:rPr>
              <w:t>66,9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Строительство второго, третьего и четвертого пусковых комплексов мостового перехода через реку Волга в городе Волгограде. Второй пусковой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1 474,6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в 12,8 раза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«Урюпинск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Дубовский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» на участке х.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Дубовский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х.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Пимкинский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в Урюпинском и Алексеевском муниципальных районах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268,1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Реконструкция подъезда от автомобильной дороги «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Водопьяново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Морец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Хвощинка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» к х.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Новодобринка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(мост через балку Лог 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 1+579) в Еланском муниципальном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-28,7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-51,5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«Лог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Новогригорьевская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Клетская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Распопинская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– Серафимович» на участке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Базки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Распопинская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Серафимовичском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Клетском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муницип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Строительство автомобильной дороги «Подъезд от автомобильной дороги «Суровикино (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 7) - Тормосин –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Нижнегнутов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» к х.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Пристеновский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Суровикинском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и Чернышковском муниципальных районах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-143,2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-79,5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«Верхний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Еруслан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Салтово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» км 10+00 - км 20+00 в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Старополтавском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р-не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93,1</w:t>
            </w:r>
          </w:p>
        </w:tc>
        <w:tc>
          <w:tcPr>
            <w:tcW w:w="949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-6,9</w:t>
            </w:r>
          </w:p>
        </w:tc>
        <w:tc>
          <w:tcPr>
            <w:tcW w:w="894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-6,9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«М-6 «Каспий» - Фролово - Ольховка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Липовка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автомобильная дорога 1Р 228 «Сызрань - Саратов – Волгоград» в Ольховском муниципальном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0E3759" w:rsidRDefault="000E3759" w:rsidP="000E3759">
            <w:pPr>
              <w:jc w:val="center"/>
              <w:rPr>
                <w:color w:val="FF0000"/>
                <w:sz w:val="18"/>
                <w:szCs w:val="18"/>
              </w:rPr>
            </w:pPr>
            <w:r w:rsidRPr="000E375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-132,3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-100,0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Реконструкция автомобильной дороги «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Иловля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Ольховка – Камышин» 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 84+951 - км 85+931 в Ольховском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0E3759" w:rsidRDefault="000E3759" w:rsidP="000E3759">
            <w:pPr>
              <w:jc w:val="center"/>
              <w:rPr>
                <w:color w:val="FF0000"/>
                <w:sz w:val="18"/>
                <w:szCs w:val="18"/>
              </w:rPr>
            </w:pPr>
            <w:r w:rsidRPr="000E375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-48,3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-100,0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Реконструкция подъезда от автомобильной дороги «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Водопьяново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Морец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Хвощинка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» к х.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Новодобринка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(мост через реку Вязовка 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 0+486) в Еланском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0E3759" w:rsidRDefault="000E3759" w:rsidP="000E3759">
            <w:pPr>
              <w:jc w:val="center"/>
              <w:rPr>
                <w:color w:val="FF0000"/>
                <w:sz w:val="18"/>
                <w:szCs w:val="18"/>
              </w:rPr>
            </w:pPr>
            <w:r w:rsidRPr="000E375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-61,3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-100,0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«Подъезд от автомобильной дороги «Жирновск - Рудня - Вязовка - Михайловка - Кумылженская - Вешенская (Ростовская область) к с.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Егоровка-на-Медведице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» в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Руднянском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0E3759" w:rsidRDefault="000E3759" w:rsidP="000E3759">
            <w:pPr>
              <w:jc w:val="center"/>
              <w:rPr>
                <w:color w:val="FF0000"/>
                <w:sz w:val="18"/>
                <w:szCs w:val="18"/>
              </w:rPr>
            </w:pPr>
            <w:r w:rsidRPr="000E375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-181,5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-100,0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 xml:space="preserve">Строительство автомобильной дороги «Новоаннинский - Красный Октябрь – </w:t>
            </w:r>
            <w:proofErr w:type="gramStart"/>
            <w:r w:rsidRPr="001B7F90">
              <w:rPr>
                <w:bCs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1B7F90">
              <w:rPr>
                <w:bCs/>
                <w:color w:val="000000"/>
                <w:sz w:val="18"/>
                <w:szCs w:val="18"/>
              </w:rPr>
              <w:t xml:space="preserve">» в Алексеевском </w:t>
            </w:r>
            <w:proofErr w:type="spellStart"/>
            <w:r w:rsidRPr="001B7F90">
              <w:rPr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1B7F90">
              <w:rPr>
                <w:bCs/>
                <w:color w:val="000000"/>
                <w:sz w:val="18"/>
                <w:szCs w:val="18"/>
              </w:rPr>
              <w:t>. р-не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0E3759" w:rsidRDefault="000E3759" w:rsidP="000E3759">
            <w:pPr>
              <w:jc w:val="center"/>
              <w:rPr>
                <w:color w:val="FF0000"/>
                <w:sz w:val="18"/>
                <w:szCs w:val="18"/>
              </w:rPr>
            </w:pPr>
            <w:r w:rsidRPr="000E375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-150,0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-100,0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sz w:val="18"/>
                <w:szCs w:val="18"/>
              </w:rPr>
            </w:pPr>
            <w:r w:rsidRPr="001B7F90">
              <w:rPr>
                <w:sz w:val="18"/>
                <w:szCs w:val="18"/>
              </w:rPr>
              <w:t>Строительство второго, третьего и четвертого пусковых комплексов мостового перехода через реку Волга в городе Волгограде. Третий и четвертый пусковой комплекс. ПИР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sz w:val="18"/>
                <w:szCs w:val="18"/>
              </w:rPr>
            </w:pPr>
            <w:r w:rsidRPr="001B7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sz w:val="18"/>
                <w:szCs w:val="18"/>
              </w:rPr>
            </w:pPr>
            <w:r w:rsidRPr="001B7F90">
              <w:rPr>
                <w:sz w:val="18"/>
                <w:szCs w:val="18"/>
              </w:rPr>
              <w:t>157,8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sz w:val="18"/>
                <w:szCs w:val="18"/>
              </w:rPr>
            </w:pPr>
            <w:r w:rsidRPr="001B7F90">
              <w:rPr>
                <w:sz w:val="18"/>
                <w:szCs w:val="18"/>
              </w:rPr>
              <w:t>157,8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0E3759" w:rsidRPr="001B7F90" w:rsidRDefault="000E3759" w:rsidP="00340DC4">
            <w:pPr>
              <w:rPr>
                <w:bCs/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Строительство автодорожных путепроводов на автомобильных дорогах общего пользования для областных государственных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9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в 2,9 раза</w:t>
            </w:r>
          </w:p>
        </w:tc>
      </w:tr>
      <w:tr w:rsidR="000E3759" w:rsidRPr="001B7F90" w:rsidTr="00340DC4">
        <w:trPr>
          <w:trHeight w:val="2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340D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:rsidR="000E3759" w:rsidRPr="001B7F90" w:rsidRDefault="000E3759" w:rsidP="00340DC4">
            <w:pPr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759" w:rsidRPr="001B7F90" w:rsidRDefault="000E3759" w:rsidP="000E3759">
            <w:pPr>
              <w:jc w:val="center"/>
              <w:rPr>
                <w:color w:val="000000"/>
                <w:sz w:val="18"/>
                <w:szCs w:val="18"/>
              </w:rPr>
            </w:pPr>
            <w:r w:rsidRPr="001B7F90">
              <w:rPr>
                <w:color w:val="000000"/>
                <w:sz w:val="18"/>
                <w:szCs w:val="18"/>
              </w:rPr>
              <w:t>39,3</w:t>
            </w:r>
          </w:p>
        </w:tc>
      </w:tr>
    </w:tbl>
    <w:p w:rsidR="002345C3" w:rsidRPr="008F0079" w:rsidRDefault="002345C3" w:rsidP="002345C3">
      <w:pPr>
        <w:ind w:firstLine="709"/>
        <w:jc w:val="both"/>
      </w:pPr>
      <w:r w:rsidRPr="008F0079">
        <w:lastRenderedPageBreak/>
        <w:t xml:space="preserve">С 2017 года в рамках </w:t>
      </w:r>
      <w:r w:rsidR="0085166A">
        <w:t>госпрограммы</w:t>
      </w:r>
      <w:r w:rsidRPr="008F0079">
        <w:t xml:space="preserve"> «Развитие транспортной системы» реализуется программа развития транспортной инфраструктуры Волгоградской городской агломерации, осуществляемая в рамках приоритетного проекта «Безопасные и качественные дороги». </w:t>
      </w:r>
    </w:p>
    <w:p w:rsidR="002345C3" w:rsidRPr="00D51723" w:rsidRDefault="002345C3" w:rsidP="002345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F0079">
        <w:t xml:space="preserve">Согласно </w:t>
      </w:r>
      <w:r w:rsidRPr="008F0079">
        <w:rPr>
          <w:rFonts w:ascii="&amp;quot" w:eastAsiaTheme="minorHAnsi" w:hAnsi="&amp;quot" w:cs="&amp;quot"/>
          <w:lang w:eastAsia="en-US"/>
        </w:rPr>
        <w:t xml:space="preserve">проекту Федерального закона №556362-7 «О федеральном бюджете на 2019 </w:t>
      </w:r>
      <w:r w:rsidRPr="00D51723">
        <w:rPr>
          <w:rFonts w:ascii="&amp;quot" w:eastAsiaTheme="minorHAnsi" w:hAnsi="&amp;quot" w:cs="&amp;quot"/>
          <w:lang w:eastAsia="en-US"/>
        </w:rPr>
        <w:t xml:space="preserve">год и на плановый период 2020 и 2021 годов» с 2019 года предусмотрена </w:t>
      </w:r>
      <w:r w:rsidRPr="00D51723">
        <w:rPr>
          <w:rFonts w:eastAsiaTheme="minorHAnsi"/>
          <w:lang w:eastAsia="en-US"/>
        </w:rPr>
        <w:t>реализация ряда национальных проектов, определ</w:t>
      </w:r>
      <w:r w:rsidR="0085166A">
        <w:rPr>
          <w:rFonts w:eastAsiaTheme="minorHAnsi"/>
          <w:lang w:eastAsia="en-US"/>
        </w:rPr>
        <w:t>е</w:t>
      </w:r>
      <w:r w:rsidRPr="00D51723">
        <w:rPr>
          <w:rFonts w:eastAsiaTheme="minorHAnsi"/>
          <w:lang w:eastAsia="en-US"/>
        </w:rPr>
        <w:t xml:space="preserve">нных </w:t>
      </w:r>
      <w:hyperlink r:id="rId8" w:history="1">
        <w:r w:rsidRPr="00D51723">
          <w:rPr>
            <w:rFonts w:eastAsiaTheme="minorHAnsi"/>
            <w:lang w:eastAsia="en-US"/>
          </w:rPr>
          <w:t>Указом</w:t>
        </w:r>
      </w:hyperlink>
      <w:r w:rsidRPr="00D51723">
        <w:rPr>
          <w:rFonts w:eastAsiaTheme="minorHAnsi"/>
          <w:lang w:eastAsia="en-US"/>
        </w:rPr>
        <w:t xml:space="preserve"> Президента РФ</w:t>
      </w:r>
      <w:r w:rsidR="0085166A">
        <w:rPr>
          <w:rFonts w:eastAsiaTheme="minorHAnsi"/>
          <w:lang w:eastAsia="en-US"/>
        </w:rPr>
        <w:t xml:space="preserve"> от 07.05.2018 №</w:t>
      </w:r>
      <w:r w:rsidRPr="00D51723">
        <w:rPr>
          <w:rFonts w:eastAsiaTheme="minorHAnsi"/>
          <w:lang w:eastAsia="en-US"/>
        </w:rPr>
        <w:t>204 «О национальных целях и стратегических задачах развития Российской Федерации на период до 2024 года», в том числе национального проекта «Безопасные и качественные автомобильные дороги».</w:t>
      </w:r>
      <w:proofErr w:type="gramEnd"/>
    </w:p>
    <w:p w:rsidR="0085166A" w:rsidRDefault="002345C3" w:rsidP="0085166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lang w:eastAsia="en-US"/>
        </w:rPr>
      </w:pPr>
      <w:r w:rsidRPr="00D51723">
        <w:rPr>
          <w:rFonts w:eastAsiaTheme="minorHAnsi"/>
          <w:bCs/>
          <w:iCs/>
          <w:lang w:eastAsia="en-US"/>
        </w:rPr>
        <w:t xml:space="preserve">Согласно Пояснительной записке </w:t>
      </w:r>
      <w:r>
        <w:rPr>
          <w:rFonts w:eastAsiaTheme="minorHAnsi"/>
          <w:bCs/>
          <w:iCs/>
          <w:lang w:eastAsia="en-US"/>
        </w:rPr>
        <w:t xml:space="preserve">к </w:t>
      </w:r>
      <w:r w:rsidRPr="00D51723">
        <w:rPr>
          <w:rFonts w:ascii="&amp;quot" w:eastAsiaTheme="minorHAnsi" w:hAnsi="&amp;quot" w:cs="&amp;quot"/>
          <w:lang w:eastAsia="en-US"/>
        </w:rPr>
        <w:t xml:space="preserve">проекту Федерального закона №556362-7 </w:t>
      </w:r>
      <w:r w:rsidRPr="00D51723">
        <w:rPr>
          <w:rFonts w:eastAsiaTheme="minorHAnsi"/>
          <w:bCs/>
          <w:iCs/>
          <w:lang w:eastAsia="en-US"/>
        </w:rPr>
        <w:t>паспорт национального проекта не утвержд</w:t>
      </w:r>
      <w:r w:rsidR="0085166A">
        <w:rPr>
          <w:rFonts w:eastAsiaTheme="minorHAnsi"/>
          <w:bCs/>
          <w:iCs/>
          <w:lang w:eastAsia="en-US"/>
        </w:rPr>
        <w:t>е</w:t>
      </w:r>
      <w:r w:rsidRPr="00D51723">
        <w:rPr>
          <w:rFonts w:eastAsiaTheme="minorHAnsi"/>
          <w:bCs/>
          <w:iCs/>
          <w:lang w:eastAsia="en-US"/>
        </w:rPr>
        <w:t>н, но в бюджете средства на его реализацию обособлены, зарезервированы и будут распределены в рамках поправок Правительства РФ</w:t>
      </w:r>
      <w:r w:rsidR="0085166A">
        <w:rPr>
          <w:rFonts w:eastAsiaTheme="minorHAnsi"/>
          <w:bCs/>
          <w:iCs/>
          <w:lang w:eastAsia="en-US"/>
        </w:rPr>
        <w:t xml:space="preserve"> </w:t>
      </w:r>
      <w:r w:rsidRPr="00D51723">
        <w:rPr>
          <w:rFonts w:eastAsiaTheme="minorHAnsi"/>
          <w:bCs/>
          <w:iCs/>
          <w:lang w:eastAsia="en-US"/>
        </w:rPr>
        <w:t xml:space="preserve">по предмету 2 чтения </w:t>
      </w:r>
      <w:r w:rsidR="0085166A">
        <w:rPr>
          <w:rFonts w:eastAsiaTheme="minorHAnsi"/>
          <w:bCs/>
          <w:iCs/>
          <w:lang w:eastAsia="en-US"/>
        </w:rPr>
        <w:t xml:space="preserve">законопроекта </w:t>
      </w:r>
      <w:r w:rsidRPr="00D51723">
        <w:rPr>
          <w:rFonts w:eastAsiaTheme="minorHAnsi"/>
          <w:bCs/>
          <w:iCs/>
          <w:lang w:eastAsia="en-US"/>
        </w:rPr>
        <w:t>в Государственной Думе</w:t>
      </w:r>
      <w:r w:rsidR="0085166A">
        <w:rPr>
          <w:rFonts w:eastAsiaTheme="minorHAnsi"/>
          <w:bCs/>
          <w:iCs/>
          <w:lang w:eastAsia="en-US"/>
        </w:rPr>
        <w:t>.</w:t>
      </w:r>
    </w:p>
    <w:p w:rsidR="002345C3" w:rsidRPr="00D51723" w:rsidRDefault="002345C3" w:rsidP="008516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BE8">
        <w:rPr>
          <w:rFonts w:eastAsiaTheme="minorHAnsi"/>
          <w:lang w:eastAsia="en-US"/>
        </w:rPr>
        <w:t xml:space="preserve">Законопроектом об областном бюджете на 2019 год реализация мероприятий в рамках национального проекта «Безопасные и качественные автомобильные дороги» не предусмотрена, </w:t>
      </w:r>
      <w:r w:rsidRPr="00306BE8">
        <w:rPr>
          <w:rFonts w:eastAsiaTheme="minorHAnsi"/>
          <w:bCs/>
          <w:iCs/>
          <w:lang w:eastAsia="en-US"/>
        </w:rPr>
        <w:t xml:space="preserve">средства на его реализацию </w:t>
      </w:r>
      <w:r w:rsidR="00B361CE">
        <w:rPr>
          <w:rFonts w:eastAsiaTheme="minorHAnsi"/>
          <w:bCs/>
          <w:iCs/>
          <w:u w:val="single"/>
          <w:lang w:eastAsia="en-US"/>
        </w:rPr>
        <w:t xml:space="preserve">в части ассигнований дорожного фонда Волгоградской области </w:t>
      </w:r>
      <w:r w:rsidRPr="00306BE8">
        <w:rPr>
          <w:rFonts w:eastAsiaTheme="minorHAnsi"/>
          <w:bCs/>
          <w:iCs/>
          <w:lang w:eastAsia="en-US"/>
        </w:rPr>
        <w:t>не обособлены и не зарезервированы</w:t>
      </w:r>
      <w:r w:rsidRPr="00D51723">
        <w:rPr>
          <w:rFonts w:eastAsiaTheme="minorHAnsi"/>
          <w:bCs/>
          <w:iCs/>
          <w:lang w:eastAsia="en-US"/>
        </w:rPr>
        <w:t>.</w:t>
      </w:r>
    </w:p>
    <w:p w:rsidR="002345C3" w:rsidRDefault="002345C3" w:rsidP="002345C3">
      <w:pPr>
        <w:ind w:firstLine="709"/>
        <w:jc w:val="both"/>
      </w:pPr>
      <w:r w:rsidRPr="00D13218">
        <w:t xml:space="preserve">Законопроектом предлагается направить на строительство и реконструкцию автомобильных дорог в рамках госпрограммы «Устойчивое развитие сельских территорий» 311,3 млн. руб., что меньше ассигнований 2018 года на </w:t>
      </w:r>
      <w:r>
        <w:t>489,2</w:t>
      </w:r>
      <w:r w:rsidRPr="00D13218">
        <w:t xml:space="preserve"> млн. руб., или в 2,6 раза. К строительству предлагается </w:t>
      </w:r>
      <w:r>
        <w:t>3</w:t>
      </w:r>
      <w:r w:rsidRPr="00D13218">
        <w:t xml:space="preserve"> дорог</w:t>
      </w:r>
      <w:r>
        <w:t>и</w:t>
      </w:r>
      <w:r w:rsidRPr="00D13218">
        <w:t>, ведущи</w:t>
      </w:r>
      <w:r>
        <w:t>е</w:t>
      </w:r>
      <w:r w:rsidRPr="00D13218">
        <w:t xml:space="preserve"> от сети автомобильных дорог общего пользования к ближайшим общественно значимым объектам сельских населенных пунктов, а также 2 дороги к объектам производства и переработки сельскохозяйственной продукции (</w:t>
      </w:r>
      <w:r w:rsidR="00CF74E2">
        <w:t>п</w:t>
      </w:r>
      <w:r w:rsidRPr="00D13218">
        <w:t>риложения 13,14 к законопроекту).</w:t>
      </w:r>
    </w:p>
    <w:p w:rsidR="002345C3" w:rsidRDefault="002345C3" w:rsidP="002345C3">
      <w:pPr>
        <w:ind w:firstLine="709"/>
        <w:jc w:val="both"/>
      </w:pPr>
      <w:r>
        <w:t xml:space="preserve">Законопроектом предлагается направить бюджетные ассигнования дорожного фонда в сумме 37,8 млн. руб. на содержание и обеспечение выполнения функций государственного казенного учреждения Волгоградской области «Безопасный регион» (далее ГКУ «Безопасный регион»), подведомственного комитету информационных технологий Волгоградской области. </w:t>
      </w:r>
    </w:p>
    <w:p w:rsidR="002345C3" w:rsidRDefault="002345C3" w:rsidP="002345C3">
      <w:pPr>
        <w:ind w:firstLine="709"/>
        <w:jc w:val="both"/>
      </w:pPr>
      <w:r w:rsidRPr="006F44D5">
        <w:t>В связи с этим необходимо отметить</w:t>
      </w:r>
      <w:r>
        <w:t xml:space="preserve">, что в структуру ГКУ «Безопасный регион» помимо административно-управленческого персонала включены региональный центр управления транспортом и отдел сопровождения и развития системы </w:t>
      </w:r>
      <w:proofErr w:type="spellStart"/>
      <w:r>
        <w:t>фото-видеофиксации</w:t>
      </w:r>
      <w:proofErr w:type="spellEnd"/>
      <w:r>
        <w:t xml:space="preserve"> нарушений правил дорожного движения, системы видеонаблюдения и с 2019 года создание системы весогабаритного контроля. </w:t>
      </w:r>
    </w:p>
    <w:p w:rsidR="002345C3" w:rsidRDefault="002345C3" w:rsidP="002345C3">
      <w:pPr>
        <w:ind w:firstLine="709"/>
        <w:jc w:val="both"/>
      </w:pPr>
      <w:proofErr w:type="gramStart"/>
      <w:r w:rsidRPr="00D66155">
        <w:t>Ра</w:t>
      </w:r>
      <w:r>
        <w:t>сх</w:t>
      </w:r>
      <w:r w:rsidRPr="00D66155">
        <w:t>о</w:t>
      </w:r>
      <w:r>
        <w:t>д</w:t>
      </w:r>
      <w:r w:rsidRPr="00D66155">
        <w:t>ы</w:t>
      </w:r>
      <w:r w:rsidRPr="007247B7">
        <w:t xml:space="preserve"> </w:t>
      </w:r>
      <w:r>
        <w:t>ГКУ «Безопасный регион»</w:t>
      </w:r>
      <w:r w:rsidRPr="00D66155">
        <w:t xml:space="preserve">, связанные с обслуживанием и содержанием </w:t>
      </w:r>
      <w:r w:rsidRPr="007247B7">
        <w:t xml:space="preserve">систем </w:t>
      </w:r>
      <w:proofErr w:type="spellStart"/>
      <w:r w:rsidRPr="007247B7">
        <w:t>фото-видеофиксации</w:t>
      </w:r>
      <w:proofErr w:type="spellEnd"/>
      <w:r w:rsidRPr="007247B7">
        <w:t xml:space="preserve"> и весогабаритного контроля на автомобильных дорог</w:t>
      </w:r>
      <w:r w:rsidR="00CF74E2">
        <w:t>ах</w:t>
      </w:r>
      <w:r w:rsidRPr="007247B7">
        <w:t xml:space="preserve"> общего пользования регионального или межмуниципального значения в соответствии с Классификацией работ по капитальному ремонту, ремонту и содержанию</w:t>
      </w:r>
      <w:r>
        <w:t xml:space="preserve"> автомобильных дорог, утвержденной приказом Министерства транспорта РФ от 16.11.2012 №402, могут быть отнесены к прочим работам по содержанию автодорог</w:t>
      </w:r>
      <w:r w:rsidRPr="007247B7">
        <w:t xml:space="preserve"> регионального или межмуниципального значения</w:t>
      </w:r>
      <w:r>
        <w:t>.</w:t>
      </w:r>
      <w:proofErr w:type="gramEnd"/>
    </w:p>
    <w:p w:rsidR="002345C3" w:rsidRDefault="002345C3" w:rsidP="002345C3">
      <w:pPr>
        <w:ind w:firstLine="709"/>
        <w:jc w:val="both"/>
      </w:pPr>
      <w:r>
        <w:t xml:space="preserve">Расходы, связанные с обеспечением работы и содержанием системы </w:t>
      </w:r>
      <w:r w:rsidRPr="009F328E">
        <w:t>видеонаблюдения, созданной преимущественно в местах с массовым пребыванием граждан, не связанны с финансовым обеспечением дорожной деятельности и дорожного хозяйства.</w:t>
      </w:r>
    </w:p>
    <w:p w:rsidR="002345C3" w:rsidRDefault="002345C3" w:rsidP="002345C3">
      <w:pPr>
        <w:ind w:firstLine="709"/>
        <w:jc w:val="both"/>
      </w:pPr>
      <w:r w:rsidRPr="004012A7">
        <w:rPr>
          <w:u w:val="single"/>
        </w:rPr>
        <w:t>Направление бюджетных ассигнований дорожного фонда Волгоградской области на нужды, не связанные с финансовым обеспечением дорожной деятельности и дорожного хозяйства</w:t>
      </w:r>
      <w:r w:rsidR="004F5DEF" w:rsidRPr="004012A7">
        <w:rPr>
          <w:u w:val="single"/>
        </w:rPr>
        <w:t>,</w:t>
      </w:r>
      <w:r w:rsidRPr="004012A7">
        <w:rPr>
          <w:u w:val="single"/>
        </w:rPr>
        <w:t xml:space="preserve"> будет </w:t>
      </w:r>
      <w:r w:rsidR="004F5DEF" w:rsidRPr="004012A7">
        <w:rPr>
          <w:u w:val="single"/>
        </w:rPr>
        <w:t>противоречить действующему законодательству о дорожных фондах</w:t>
      </w:r>
      <w:r>
        <w:t>.</w:t>
      </w:r>
    </w:p>
    <w:p w:rsidR="002345C3" w:rsidRPr="004012A7" w:rsidRDefault="004012A7" w:rsidP="002345C3">
      <w:pPr>
        <w:ind w:firstLine="709"/>
        <w:jc w:val="both"/>
      </w:pPr>
      <w:proofErr w:type="gramStart"/>
      <w:r>
        <w:t>В экспертном заключении КСП, подготовленном к рассмотрению законопроекта в 1 чтении, отмечалось, что</w:t>
      </w:r>
      <w:r w:rsidR="002345C3" w:rsidRPr="004012A7">
        <w:t xml:space="preserve"> с 2019 года предусмотрено использование ассигнований дорожного фонда Волгоградской области на </w:t>
      </w:r>
      <w:proofErr w:type="spellStart"/>
      <w:r w:rsidR="002345C3" w:rsidRPr="004012A7">
        <w:t>непрограммные</w:t>
      </w:r>
      <w:proofErr w:type="spellEnd"/>
      <w:r w:rsidR="002345C3" w:rsidRPr="004012A7">
        <w:t xml:space="preserve"> расходы в виде предоставления бюджетам городских округов и муниципальных районов субсидии на реализацию мероприятий в сфере дорожной деятельности в сумме 1243,6 млн. руб. в 2019 году, 1900 млн. руб. в 2020 году и 1300 млн</w:t>
      </w:r>
      <w:proofErr w:type="gramEnd"/>
      <w:r w:rsidR="002345C3" w:rsidRPr="004012A7">
        <w:t xml:space="preserve">. руб. в 2021 году. </w:t>
      </w:r>
    </w:p>
    <w:p w:rsidR="002345C3" w:rsidRPr="004012A7" w:rsidRDefault="004012A7" w:rsidP="002345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lastRenderedPageBreak/>
        <w:t>КСП в частности указывала, что п</w:t>
      </w:r>
      <w:r w:rsidR="002345C3" w:rsidRPr="004012A7">
        <w:t xml:space="preserve">ри наличии специальной государственной программы </w:t>
      </w:r>
      <w:r w:rsidR="002345C3" w:rsidRPr="004012A7">
        <w:rPr>
          <w:rFonts w:eastAsiaTheme="minorHAnsi"/>
          <w:lang w:eastAsia="en-US"/>
        </w:rPr>
        <w:t>«Развитие транспортной системы и обеспечение безопасности дорожного движения в Волгоградской области», утвержд</w:t>
      </w:r>
      <w:r>
        <w:rPr>
          <w:rFonts w:eastAsiaTheme="minorHAnsi"/>
          <w:lang w:eastAsia="en-US"/>
        </w:rPr>
        <w:t>е</w:t>
      </w:r>
      <w:r w:rsidR="002345C3" w:rsidRPr="004012A7">
        <w:rPr>
          <w:rFonts w:eastAsiaTheme="minorHAnsi"/>
          <w:lang w:eastAsia="en-US"/>
        </w:rPr>
        <w:t>нной постановлением Администрации Волгоградской области от 23.01.2017 №16-п и нацеленной, в том числе на развитие современной и эффективной транспортной инфраструктуры Волгоградской области, в том числе пут</w:t>
      </w:r>
      <w:r>
        <w:rPr>
          <w:rFonts w:eastAsiaTheme="minorHAnsi"/>
          <w:lang w:eastAsia="en-US"/>
        </w:rPr>
        <w:t>е</w:t>
      </w:r>
      <w:r w:rsidR="002345C3" w:rsidRPr="004012A7">
        <w:rPr>
          <w:rFonts w:eastAsiaTheme="minorHAnsi"/>
          <w:lang w:eastAsia="en-US"/>
        </w:rPr>
        <w:t xml:space="preserve">м аккумулирования ассигнований дорожного фонда Волгоградской области, предоставление рассматриваемых субсидий планируется в виде </w:t>
      </w:r>
      <w:proofErr w:type="spellStart"/>
      <w:r w:rsidR="002345C3" w:rsidRPr="004012A7">
        <w:rPr>
          <w:rFonts w:eastAsiaTheme="minorHAnsi"/>
          <w:lang w:eastAsia="en-US"/>
        </w:rPr>
        <w:t>непрограммных</w:t>
      </w:r>
      <w:proofErr w:type="spellEnd"/>
      <w:proofErr w:type="gramEnd"/>
      <w:r w:rsidR="002345C3" w:rsidRPr="004012A7">
        <w:rPr>
          <w:rFonts w:eastAsiaTheme="minorHAnsi"/>
          <w:lang w:eastAsia="en-US"/>
        </w:rPr>
        <w:t xml:space="preserve"> расходов.</w:t>
      </w:r>
    </w:p>
    <w:p w:rsidR="002345C3" w:rsidRPr="004012A7" w:rsidRDefault="004012A7" w:rsidP="002345C3">
      <w:pPr>
        <w:ind w:firstLine="709"/>
        <w:jc w:val="both"/>
      </w:pPr>
      <w:proofErr w:type="gramStart"/>
      <w:r>
        <w:t>Кроме того, в</w:t>
      </w:r>
      <w:r w:rsidR="002345C3" w:rsidRPr="004012A7">
        <w:t xml:space="preserve"> нарушение п</w:t>
      </w:r>
      <w:r>
        <w:t>ункта</w:t>
      </w:r>
      <w:r w:rsidR="002345C3" w:rsidRPr="004012A7">
        <w:t xml:space="preserve"> 8 Порядка формирования и использования бюджетных ассигнований дорожного фонда Волгоградской области, утвержденного постановлением Администрации Волгоградской области от 26.12.2011 №887-п, согласно которому распределение бюджетных ассигнований дорожного фонда на очередной финансовый год осуществляют комитет транспорта и дорожного хозяйства Волгоградской области и комитет информационных технологий Волгоградской области, главным распорядителем бюджетных средств, направляемых на выплату субсидий, определен комитет финансов</w:t>
      </w:r>
      <w:proofErr w:type="gramEnd"/>
      <w:r w:rsidR="002345C3" w:rsidRPr="004012A7">
        <w:t xml:space="preserve"> Волгоградской области</w:t>
      </w:r>
      <w:r>
        <w:t xml:space="preserve">, т. е. </w:t>
      </w:r>
      <w:r w:rsidR="002345C3" w:rsidRPr="004012A7">
        <w:t>орган исполнительной власти, не надел</w:t>
      </w:r>
      <w:r>
        <w:t>е</w:t>
      </w:r>
      <w:r w:rsidR="002345C3" w:rsidRPr="004012A7">
        <w:t>нный какими-либо полномочиями в сфере дорожной деятельности.</w:t>
      </w:r>
    </w:p>
    <w:p w:rsidR="002345C3" w:rsidRPr="00D67ECC" w:rsidRDefault="00530282" w:rsidP="002345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И</w:t>
      </w:r>
      <w:r w:rsidR="002345C3" w:rsidRPr="004012A7">
        <w:t>зложенно</w:t>
      </w:r>
      <w:r>
        <w:t>е позволяет сделать вывод о том, что</w:t>
      </w:r>
      <w:r w:rsidR="002345C3" w:rsidRPr="004012A7">
        <w:t xml:space="preserve"> использовани</w:t>
      </w:r>
      <w:r>
        <w:t>е</w:t>
      </w:r>
      <w:r w:rsidR="002345C3" w:rsidRPr="004012A7">
        <w:t xml:space="preserve"> значительной части ассигнований дорожного фонда (в 2019 году – 11,9%) </w:t>
      </w:r>
      <w:r>
        <w:t xml:space="preserve">в виде </w:t>
      </w:r>
      <w:proofErr w:type="spellStart"/>
      <w:r>
        <w:t>непрограммных</w:t>
      </w:r>
      <w:proofErr w:type="spellEnd"/>
      <w:r>
        <w:t xml:space="preserve"> мероприятий и вне контроля уполномоченных органов исполнительной власти в сфере дорожной деятельности может привести</w:t>
      </w:r>
      <w:r w:rsidR="002345C3" w:rsidRPr="004012A7">
        <w:t xml:space="preserve"> </w:t>
      </w:r>
      <w:r>
        <w:t>к</w:t>
      </w:r>
      <w:r w:rsidR="002345C3" w:rsidRPr="004012A7">
        <w:t xml:space="preserve"> распылению ассигнований дорожного фонда и </w:t>
      </w:r>
      <w:r w:rsidR="00D54984">
        <w:t>к</w:t>
      </w:r>
      <w:r w:rsidR="002345C3" w:rsidRPr="004012A7">
        <w:t xml:space="preserve"> </w:t>
      </w:r>
      <w:proofErr w:type="spellStart"/>
      <w:r w:rsidR="00D54984">
        <w:t>не</w:t>
      </w:r>
      <w:r w:rsidR="002345C3" w:rsidRPr="004012A7">
        <w:rPr>
          <w:rFonts w:eastAsiaTheme="minorHAnsi"/>
          <w:lang w:eastAsia="en-US"/>
        </w:rPr>
        <w:t>достижени</w:t>
      </w:r>
      <w:r w:rsidR="00D54984">
        <w:rPr>
          <w:rFonts w:eastAsiaTheme="minorHAnsi"/>
          <w:lang w:eastAsia="en-US"/>
        </w:rPr>
        <w:t>ю</w:t>
      </w:r>
      <w:proofErr w:type="spellEnd"/>
      <w:r w:rsidR="002345C3" w:rsidRPr="004012A7">
        <w:rPr>
          <w:rFonts w:eastAsiaTheme="minorHAnsi"/>
          <w:lang w:eastAsia="en-US"/>
        </w:rPr>
        <w:t xml:space="preserve"> целей в сфере дорожной деятельности, определ</w:t>
      </w:r>
      <w:r w:rsidR="00D54984">
        <w:rPr>
          <w:rFonts w:eastAsiaTheme="minorHAnsi"/>
          <w:lang w:eastAsia="en-US"/>
        </w:rPr>
        <w:t>е</w:t>
      </w:r>
      <w:r w:rsidR="002345C3" w:rsidRPr="004012A7">
        <w:rPr>
          <w:rFonts w:eastAsiaTheme="minorHAnsi"/>
          <w:lang w:eastAsia="en-US"/>
        </w:rPr>
        <w:t>нных Указом Президента РФ от 07.05.2018 №204 «О национальных целях и стратегических задачах</w:t>
      </w:r>
      <w:proofErr w:type="gramEnd"/>
      <w:r w:rsidR="002345C3" w:rsidRPr="004012A7">
        <w:rPr>
          <w:rFonts w:eastAsiaTheme="minorHAnsi"/>
          <w:lang w:eastAsia="en-US"/>
        </w:rPr>
        <w:t xml:space="preserve"> развития Российской Федерации на период до 2024 года».</w:t>
      </w:r>
    </w:p>
    <w:p w:rsidR="00CC4689" w:rsidRDefault="002345C3" w:rsidP="00CC4689">
      <w:pPr>
        <w:autoSpaceDE w:val="0"/>
        <w:autoSpaceDN w:val="0"/>
        <w:adjustRightInd w:val="0"/>
        <w:ind w:firstLine="709"/>
        <w:jc w:val="both"/>
      </w:pPr>
      <w:r w:rsidRPr="00CC4689">
        <w:rPr>
          <w:b/>
          <w:i/>
          <w:u w:val="single"/>
        </w:rPr>
        <w:t>По подразделу 0410 «Связь и информатика»</w:t>
      </w:r>
      <w:r w:rsidRPr="004B2EBA">
        <w:t xml:space="preserve"> на 201</w:t>
      </w:r>
      <w:r>
        <w:t>9</w:t>
      </w:r>
      <w:r w:rsidRPr="004B2EBA">
        <w:t xml:space="preserve"> год предусмотрены ассигнования в сумме </w:t>
      </w:r>
      <w:r>
        <w:t>578,9</w:t>
      </w:r>
      <w:r w:rsidRPr="004B2EBA">
        <w:t xml:space="preserve"> млн. руб., что на </w:t>
      </w:r>
      <w:r>
        <w:t>23,5</w:t>
      </w:r>
      <w:r w:rsidRPr="004B2EBA">
        <w:t xml:space="preserve">% </w:t>
      </w:r>
      <w:r>
        <w:t>меньше</w:t>
      </w:r>
      <w:r w:rsidRPr="004B2EBA">
        <w:t xml:space="preserve"> плановых ассигнований 201</w:t>
      </w:r>
      <w:r>
        <w:t>8</w:t>
      </w:r>
      <w:r w:rsidRPr="004B2EBA">
        <w:t xml:space="preserve"> года (</w:t>
      </w:r>
      <w:r>
        <w:t>756,7</w:t>
      </w:r>
      <w:r w:rsidRPr="004B2EBA">
        <w:t xml:space="preserve"> млн. руб.).</w:t>
      </w:r>
      <w:r w:rsidR="00CC4689">
        <w:t xml:space="preserve"> В основном ассигнования сокращены </w:t>
      </w:r>
      <w:r w:rsidR="00CC4689" w:rsidRPr="004B2EBA">
        <w:t xml:space="preserve">комитету информационных технологий Волгоградской области </w:t>
      </w:r>
      <w:r w:rsidR="00CC4689">
        <w:t xml:space="preserve">- </w:t>
      </w:r>
      <w:r w:rsidR="00CC4689" w:rsidRPr="004B2EBA">
        <w:t xml:space="preserve">на </w:t>
      </w:r>
      <w:r w:rsidR="00CC4689">
        <w:t>271,6</w:t>
      </w:r>
      <w:r w:rsidR="00CC4689" w:rsidRPr="004B2EBA">
        <w:t xml:space="preserve"> млн. руб., или </w:t>
      </w:r>
      <w:r w:rsidR="00CC4689">
        <w:t>на 45%, что обусловлено следующими факторами</w:t>
      </w:r>
      <w:r w:rsidR="00CC4689" w:rsidRPr="004B2EBA">
        <w:t>:</w:t>
      </w:r>
    </w:p>
    <w:p w:rsidR="00CC4689" w:rsidRDefault="00CC4689" w:rsidP="00CC4689">
      <w:pPr>
        <w:autoSpaceDE w:val="0"/>
        <w:autoSpaceDN w:val="0"/>
        <w:adjustRightInd w:val="0"/>
        <w:ind w:firstLine="709"/>
        <w:jc w:val="both"/>
      </w:pPr>
      <w:r>
        <w:t>-на 156,6 млн. руб. – в связи с завершением</w:t>
      </w:r>
      <w:r w:rsidRPr="00D05C09">
        <w:t xml:space="preserve"> реализации мероприятий</w:t>
      </w:r>
      <w:r>
        <w:t xml:space="preserve"> по созданию региональной</w:t>
      </w:r>
      <w:r w:rsidRPr="00D05C09">
        <w:t xml:space="preserve"> информационн</w:t>
      </w:r>
      <w:r>
        <w:t>ой системы</w:t>
      </w:r>
      <w:r w:rsidRPr="00D05C09">
        <w:t xml:space="preserve"> в сфере здравоохранения Волгоградской области</w:t>
      </w:r>
      <w:r>
        <w:t xml:space="preserve"> (28 млн. руб.),</w:t>
      </w:r>
      <w:r w:rsidRPr="00E7142A">
        <w:t xml:space="preserve"> </w:t>
      </w:r>
      <w:r w:rsidRPr="00101904">
        <w:t>ситуационного центра Губернатора Волгоградской области</w:t>
      </w:r>
      <w:r>
        <w:t>, е</w:t>
      </w:r>
      <w:r w:rsidRPr="00101904">
        <w:t>диного центра обработки данных органов исполнительной власти Волгоградской области</w:t>
      </w:r>
      <w:r>
        <w:t>, е</w:t>
      </w:r>
      <w:r w:rsidRPr="00101904">
        <w:t>дин</w:t>
      </w:r>
      <w:r>
        <w:t>ого</w:t>
      </w:r>
      <w:r w:rsidRPr="00101904">
        <w:t xml:space="preserve"> центр</w:t>
      </w:r>
      <w:r>
        <w:t>а</w:t>
      </w:r>
      <w:r w:rsidRPr="00101904">
        <w:t xml:space="preserve"> оперативного реагирования</w:t>
      </w:r>
      <w:r>
        <w:t xml:space="preserve"> (128,6 млн. руб.). С 2019 года планируется исполнение мероприятий по сопровождению, развитию и обеспечению функционирования указанных центров и системы, что требует меньших затрат;</w:t>
      </w:r>
    </w:p>
    <w:p w:rsidR="00CC4689" w:rsidRDefault="00CC4689" w:rsidP="00CC4689">
      <w:pPr>
        <w:autoSpaceDE w:val="0"/>
        <w:autoSpaceDN w:val="0"/>
        <w:adjustRightInd w:val="0"/>
        <w:ind w:firstLine="709"/>
        <w:jc w:val="both"/>
      </w:pPr>
      <w:r w:rsidRPr="006749B0">
        <w:t>-</w:t>
      </w:r>
      <w:r w:rsidR="00E9122F">
        <w:t xml:space="preserve">на </w:t>
      </w:r>
      <w:r>
        <w:t>108,6</w:t>
      </w:r>
      <w:r w:rsidRPr="006749B0">
        <w:t xml:space="preserve"> млн. руб. –</w:t>
      </w:r>
      <w:r>
        <w:t xml:space="preserve"> </w:t>
      </w:r>
      <w:r w:rsidR="00E9122F">
        <w:t xml:space="preserve">в связи с тем, что </w:t>
      </w:r>
      <w:r>
        <w:t>ассигнования 2018 года включали сумму</w:t>
      </w:r>
      <w:r w:rsidRPr="00030AF9">
        <w:t xml:space="preserve"> </w:t>
      </w:r>
      <w:r>
        <w:t>кредиторской задолженности, образовавшейся на 01.01.2018 по</w:t>
      </w:r>
      <w:r w:rsidRPr="006749B0">
        <w:t xml:space="preserve"> мероприяти</w:t>
      </w:r>
      <w:r>
        <w:t>ям</w:t>
      </w:r>
      <w:r w:rsidRPr="006749B0">
        <w:t xml:space="preserve"> государственной программы «Развитие информационного общества Волгоградской области»</w:t>
      </w:r>
      <w:r>
        <w:t xml:space="preserve"> и </w:t>
      </w:r>
      <w:r w:rsidRPr="006749B0">
        <w:t>ведомственной целевой программы «Обеспечение сетевой безопасности государственных информационных ресурсов»</w:t>
      </w:r>
      <w:r>
        <w:t>.</w:t>
      </w:r>
    </w:p>
    <w:p w:rsidR="002345C3" w:rsidRPr="00616588" w:rsidRDefault="008A3266" w:rsidP="002345C3">
      <w:pPr>
        <w:autoSpaceDE w:val="0"/>
        <w:autoSpaceDN w:val="0"/>
        <w:adjustRightInd w:val="0"/>
        <w:ind w:firstLine="708"/>
        <w:jc w:val="both"/>
      </w:pPr>
      <w:r>
        <w:t>К</w:t>
      </w:r>
      <w:r w:rsidR="002345C3" w:rsidRPr="00616588">
        <w:t xml:space="preserve">омитету экономической политики и развития Волгоградской области </w:t>
      </w:r>
      <w:r>
        <w:t xml:space="preserve">ассигнования увеличены </w:t>
      </w:r>
      <w:r w:rsidR="002345C3" w:rsidRPr="00616588">
        <w:t xml:space="preserve">на 8 млн. руб., или в 4 раза, </w:t>
      </w:r>
      <w:r>
        <w:t xml:space="preserve">что </w:t>
      </w:r>
      <w:r w:rsidR="002345C3" w:rsidRPr="00616588">
        <w:t>обусловлено увеличением расходов на приобретение оборудования для многофункциональных центров в рамках подпрограммы «Совершенствование государственного и муниципального управления».</w:t>
      </w:r>
    </w:p>
    <w:p w:rsidR="002345C3" w:rsidRDefault="008A3266" w:rsidP="002345C3">
      <w:pPr>
        <w:autoSpaceDE w:val="0"/>
        <w:autoSpaceDN w:val="0"/>
        <w:adjustRightInd w:val="0"/>
        <w:ind w:firstLine="708"/>
        <w:jc w:val="both"/>
      </w:pPr>
      <w:r>
        <w:t>К</w:t>
      </w:r>
      <w:r w:rsidR="002345C3" w:rsidRPr="00616588">
        <w:t xml:space="preserve">омитету финансов Волгоградской области </w:t>
      </w:r>
      <w:r>
        <w:t xml:space="preserve">ассигнования увеличены </w:t>
      </w:r>
      <w:r w:rsidR="002345C3" w:rsidRPr="00616588">
        <w:t xml:space="preserve">на 61,6 млн. руб., или на 49,4%, </w:t>
      </w:r>
      <w:r>
        <w:t xml:space="preserve">что </w:t>
      </w:r>
      <w:r w:rsidR="002345C3" w:rsidRPr="00616588">
        <w:t>связано, в основном, с увеличением ассигнований на развитие информационных систем по подпрограмме «Создание и развитие информационных систем в сфере управления общественными финансами Волгоградской области».</w:t>
      </w:r>
    </w:p>
    <w:p w:rsidR="002345C3" w:rsidRDefault="002345C3" w:rsidP="002345C3">
      <w:pPr>
        <w:ind w:firstLine="709"/>
        <w:jc w:val="both"/>
      </w:pPr>
      <w:r w:rsidRPr="002345C3">
        <w:rPr>
          <w:b/>
          <w:i/>
          <w:u w:val="single"/>
        </w:rPr>
        <w:t>По подразделу 0412 «Другие вопросы в области национальной экономики»</w:t>
      </w:r>
      <w:r>
        <w:t xml:space="preserve"> на 2019</w:t>
      </w:r>
      <w:r w:rsidRPr="004B2EBA">
        <w:t xml:space="preserve"> год предусмотрены ассигнования в сумме </w:t>
      </w:r>
      <w:r w:rsidRPr="00802FEB">
        <w:t>1847,9</w:t>
      </w:r>
      <w:r>
        <w:t xml:space="preserve"> </w:t>
      </w:r>
      <w:r w:rsidRPr="004B2EBA">
        <w:t xml:space="preserve">млн. руб., что </w:t>
      </w:r>
      <w:r w:rsidR="00252573">
        <w:t>более чем в 2 раза превышает плановые</w:t>
      </w:r>
      <w:r w:rsidRPr="004B2EBA">
        <w:t xml:space="preserve"> ассигновани</w:t>
      </w:r>
      <w:r w:rsidR="00252573">
        <w:t>я</w:t>
      </w:r>
      <w:r w:rsidRPr="004B2EBA">
        <w:t xml:space="preserve"> 201</w:t>
      </w:r>
      <w:r>
        <w:t>8</w:t>
      </w:r>
      <w:r w:rsidRPr="004B2EBA">
        <w:t xml:space="preserve"> года (</w:t>
      </w:r>
      <w:r w:rsidR="00252573">
        <w:t>880,2</w:t>
      </w:r>
      <w:r>
        <w:t xml:space="preserve"> </w:t>
      </w:r>
      <w:r w:rsidRPr="004B2EBA">
        <w:t>млн. руб.).</w:t>
      </w:r>
    </w:p>
    <w:p w:rsidR="002345C3" w:rsidRPr="00D05C09" w:rsidRDefault="00CA05E6" w:rsidP="002345C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При этом </w:t>
      </w:r>
      <w:r w:rsidRPr="0048520F">
        <w:rPr>
          <w:u w:val="single"/>
        </w:rPr>
        <w:t>к</w:t>
      </w:r>
      <w:r w:rsidR="002345C3" w:rsidRPr="0048520F">
        <w:rPr>
          <w:u w:val="single"/>
        </w:rPr>
        <w:t>омитету информационных технологий Волгоградской области</w:t>
      </w:r>
      <w:r w:rsidR="002345C3" w:rsidRPr="004B2EBA">
        <w:t xml:space="preserve"> предусмотрено уменьшение ассигнований по </w:t>
      </w:r>
      <w:r w:rsidR="002345C3" w:rsidRPr="00030AF9">
        <w:t xml:space="preserve">подразделу 0412 «Другие вопросы в области национальной экономики» на </w:t>
      </w:r>
      <w:r>
        <w:t>46,6</w:t>
      </w:r>
      <w:r w:rsidR="002345C3" w:rsidRPr="00030AF9">
        <w:t xml:space="preserve"> млн. руб., или на </w:t>
      </w:r>
      <w:r>
        <w:t>40,4</w:t>
      </w:r>
      <w:r w:rsidR="002345C3">
        <w:t>%,</w:t>
      </w:r>
      <w:r w:rsidR="002345C3" w:rsidRPr="004B2EBA">
        <w:t xml:space="preserve"> что </w:t>
      </w:r>
      <w:r w:rsidR="002345C3">
        <w:t xml:space="preserve">связано с перемещением с </w:t>
      </w:r>
      <w:r w:rsidR="002345C3">
        <w:lastRenderedPageBreak/>
        <w:t>2019 года ассигнований на содержание государственного ка</w:t>
      </w:r>
      <w:r>
        <w:t>зе</w:t>
      </w:r>
      <w:r w:rsidR="002345C3">
        <w:t xml:space="preserve">нного учреждения Волгоградской области «Безопасный регион» и на расходы по </w:t>
      </w:r>
      <w:proofErr w:type="spellStart"/>
      <w:r w:rsidR="002345C3">
        <w:t>предпочтовой</w:t>
      </w:r>
      <w:proofErr w:type="spellEnd"/>
      <w:r w:rsidR="002345C3">
        <w:t xml:space="preserve"> </w:t>
      </w:r>
      <w:r w:rsidR="002345C3" w:rsidRPr="006758D0">
        <w:t>обработке</w:t>
      </w:r>
      <w:r w:rsidR="002345C3">
        <w:t xml:space="preserve"> и рассылке постановлений о нарушении правил дорожного движения (159,2 млн. руб</w:t>
      </w:r>
      <w:proofErr w:type="gramEnd"/>
      <w:r w:rsidR="002345C3">
        <w:t xml:space="preserve">.) в </w:t>
      </w:r>
      <w:r w:rsidR="002345C3" w:rsidRPr="00030AF9">
        <w:t>подраздел 0409 «Дорожное хозяйство (дорожные фонды)».</w:t>
      </w:r>
    </w:p>
    <w:p w:rsidR="002345C3" w:rsidRPr="00616588" w:rsidRDefault="002345C3" w:rsidP="002345C3">
      <w:pPr>
        <w:autoSpaceDE w:val="0"/>
        <w:autoSpaceDN w:val="0"/>
        <w:adjustRightInd w:val="0"/>
        <w:ind w:firstLine="708"/>
        <w:jc w:val="both"/>
      </w:pPr>
      <w:proofErr w:type="gramStart"/>
      <w:r w:rsidRPr="007E065A">
        <w:rPr>
          <w:u w:val="single"/>
        </w:rPr>
        <w:t>Комитету по управлению государственным имуществом Волгоградской области</w:t>
      </w:r>
      <w:r w:rsidRPr="00616588">
        <w:t xml:space="preserve">  предусмотрено уменьшение ассигнований по подразделу 0412 «Другие вопросы в области национальной экономики» на 17,2 млн. руб., или на 22,3%, что связано с уменьшением ассигнований по подпрограмме «Стимулирование развития жилищного строительства в Волгоградской области» госпрограммы «Обеспечение доступным и комфортным жильем и коммунальными услугами жителей Волгоградской области» на 16,7 млн. руб. (увеличение уставного капитала ОАО</w:t>
      </w:r>
      <w:proofErr w:type="gramEnd"/>
      <w:r w:rsidRPr="00616588">
        <w:t xml:space="preserve"> «</w:t>
      </w:r>
      <w:proofErr w:type="gramStart"/>
      <w:r w:rsidRPr="00616588">
        <w:t>Волгоградское агентство ипотечного жилищного кредитования») и по закупкам товаров, работ и услуг для обеспечения государственных нужд на 0,5 млн. руб. в связи с погашением в 2018 году кредиторской задолженности.</w:t>
      </w:r>
      <w:proofErr w:type="gramEnd"/>
    </w:p>
    <w:p w:rsidR="002345C3" w:rsidRPr="00616588" w:rsidRDefault="002345C3" w:rsidP="002345C3">
      <w:pPr>
        <w:ind w:firstLine="709"/>
        <w:jc w:val="both"/>
      </w:pPr>
      <w:proofErr w:type="gramStart"/>
      <w:r w:rsidRPr="007E065A">
        <w:rPr>
          <w:u w:val="single"/>
        </w:rPr>
        <w:t xml:space="preserve">Комитету экономической политики и развития Волгоградской области </w:t>
      </w:r>
      <w:r w:rsidRPr="00616588">
        <w:t>предусмотрено увеличение ассигнований по подразделу 0412 «Другие вопросы в области национальной экономики» на 39,5 млн. руб., или на 64,3%, что связано с увеличением расходов по подпрограммам «Развитие внешнеэкономической деятельности Волгоградской области» (</w:t>
      </w:r>
      <w:r w:rsidR="0048520F">
        <w:t>+</w:t>
      </w:r>
      <w:r w:rsidRPr="00616588">
        <w:t>9,4 млн. руб.) на приобретение основных средств и «Развитие и поддержка малого и среднего предпринимательства в Волгоградской области» (</w:t>
      </w:r>
      <w:r w:rsidR="0048520F">
        <w:t>+</w:t>
      </w:r>
      <w:r w:rsidRPr="00616588">
        <w:t>30,1 млн. руб.) в</w:t>
      </w:r>
      <w:proofErr w:type="gramEnd"/>
      <w:r w:rsidRPr="00616588">
        <w:t xml:space="preserve"> связи с созданием Центра </w:t>
      </w:r>
      <w:proofErr w:type="spellStart"/>
      <w:r w:rsidRPr="00616588">
        <w:t>прототипирования</w:t>
      </w:r>
      <w:proofErr w:type="spellEnd"/>
      <w:r w:rsidRPr="00616588">
        <w:t xml:space="preserve"> на базе ГАУ «Волгоградский областной Бизнес-инкубатор», предоставления субсидий ассоциации (некоммерческому партнерству) «Гарантийный фонд Волгоградской области»  и </w:t>
      </w:r>
      <w:r w:rsidRPr="00616588">
        <w:rPr>
          <w:iCs/>
        </w:rPr>
        <w:t xml:space="preserve">Фонду </w:t>
      </w:r>
      <w:proofErr w:type="spellStart"/>
      <w:r w:rsidRPr="00616588">
        <w:rPr>
          <w:iCs/>
        </w:rPr>
        <w:t>микрофинансирования</w:t>
      </w:r>
      <w:proofErr w:type="spellEnd"/>
      <w:r w:rsidRPr="00616588">
        <w:rPr>
          <w:iCs/>
        </w:rPr>
        <w:t xml:space="preserve"> предпринимательства Волгоградской области (</w:t>
      </w:r>
      <w:proofErr w:type="spellStart"/>
      <w:r w:rsidRPr="00616588">
        <w:rPr>
          <w:iCs/>
        </w:rPr>
        <w:t>микрокредитная</w:t>
      </w:r>
      <w:proofErr w:type="spellEnd"/>
      <w:r w:rsidRPr="00616588">
        <w:rPr>
          <w:iCs/>
        </w:rPr>
        <w:t xml:space="preserve"> компания)</w:t>
      </w:r>
      <w:r w:rsidRPr="00616588">
        <w:t>.</w:t>
      </w:r>
    </w:p>
    <w:p w:rsidR="002345C3" w:rsidRPr="00461CDB" w:rsidRDefault="002345C3" w:rsidP="002345C3">
      <w:pPr>
        <w:ind w:firstLine="709"/>
        <w:jc w:val="both"/>
      </w:pPr>
      <w:r w:rsidRPr="007E065A">
        <w:rPr>
          <w:u w:val="single"/>
        </w:rPr>
        <w:t xml:space="preserve">По </w:t>
      </w:r>
      <w:r w:rsidR="0048520F" w:rsidRPr="007E065A">
        <w:rPr>
          <w:u w:val="single"/>
        </w:rPr>
        <w:t>к</w:t>
      </w:r>
      <w:r w:rsidRPr="007E065A">
        <w:rPr>
          <w:u w:val="single"/>
        </w:rPr>
        <w:t>омитету промышленности и торговли Волгоградской области</w:t>
      </w:r>
      <w:r w:rsidRPr="00616588">
        <w:t xml:space="preserve"> предусмотрено уменьшение ассигнований по подразделу 0412 «Другие вопросы в области национальной экономики» на 0,6 млн. руб., или на 0,4%, что связано в основном с уменьшением расходов на выплаты персоналу.</w:t>
      </w:r>
      <w:bookmarkStart w:id="1" w:name="_GoBack"/>
      <w:bookmarkEnd w:id="1"/>
      <w:r>
        <w:t xml:space="preserve"> Так</w:t>
      </w:r>
      <w:r w:rsidR="0048520F">
        <w:t xml:space="preserve"> </w:t>
      </w:r>
      <w:r>
        <w:t xml:space="preserve">же,  как и в 2018 году, на 2019 </w:t>
      </w:r>
      <w:r w:rsidRPr="00461CDB">
        <w:t xml:space="preserve">год </w:t>
      </w:r>
      <w:r>
        <w:t xml:space="preserve">данному комитету </w:t>
      </w:r>
      <w:r w:rsidRPr="00461CDB">
        <w:t>предусмотрена субсидия Фонду «Перспективное развитие Волгоградской области» в сумме 100 млн. руб. для финансового обеспечения проектов совместно с государственным фондом развития промышленности, созданным Российской Федерацией, по его программам.</w:t>
      </w:r>
    </w:p>
    <w:p w:rsidR="00B127F5" w:rsidRDefault="00B127F5" w:rsidP="00B127F5">
      <w:pPr>
        <w:ind w:firstLine="708"/>
        <w:jc w:val="both"/>
        <w:rPr>
          <w:color w:val="000000"/>
        </w:rPr>
      </w:pPr>
      <w:r w:rsidRPr="00C549D3">
        <w:rPr>
          <w:u w:val="single"/>
        </w:rPr>
        <w:t>Комитету строительства Волгоградской области</w:t>
      </w:r>
      <w:r w:rsidRPr="00C549D3">
        <w:t xml:space="preserve"> по данному подразделу предусмотрены ассигнования в сумме </w:t>
      </w:r>
      <w:r w:rsidRPr="007E065A">
        <w:t>1400,6 млн. руб.</w:t>
      </w:r>
      <w:r w:rsidRPr="00C549D3">
        <w:rPr>
          <w:color w:val="000000"/>
        </w:rPr>
        <w:t xml:space="preserve"> на реализацию мероприятий </w:t>
      </w:r>
      <w:r w:rsidRPr="00C549D3">
        <w:t xml:space="preserve">подпрограммы «Стимулирование развития жилищного строительства в Волгоградской области» госпрограммы </w:t>
      </w:r>
      <w:r w:rsidRPr="00C549D3">
        <w:rPr>
          <w:color w:val="000000"/>
        </w:rPr>
        <w:t>«Обеспечение доступным и комфортным жильем и коммунальными услугами жителей Волгоградской области»</w:t>
      </w:r>
      <w:r>
        <w:rPr>
          <w:color w:val="000000"/>
        </w:rPr>
        <w:t>, в том числе:</w:t>
      </w:r>
    </w:p>
    <w:p w:rsidR="00B127F5" w:rsidRPr="007E065A" w:rsidRDefault="00B127F5" w:rsidP="00B127F5">
      <w:pPr>
        <w:ind w:firstLine="708"/>
        <w:jc w:val="both"/>
        <w:rPr>
          <w:i/>
        </w:rPr>
      </w:pPr>
      <w:r w:rsidRPr="007B7B5E">
        <w:t xml:space="preserve">-обеспечение деятельности ГКУ «Управление капитального строительства» - </w:t>
      </w:r>
      <w:r w:rsidRPr="007E065A">
        <w:t>63,4 млн. руб.;</w:t>
      </w:r>
    </w:p>
    <w:p w:rsidR="00B127F5" w:rsidRPr="007E065A" w:rsidRDefault="00B127F5" w:rsidP="00B127F5">
      <w:pPr>
        <w:ind w:firstLine="708"/>
        <w:jc w:val="both"/>
      </w:pPr>
      <w:proofErr w:type="gramStart"/>
      <w:r w:rsidRPr="00965247">
        <w:t xml:space="preserve">-оплата вышеуказанным учреждением земельного налога  </w:t>
      </w:r>
      <w:r>
        <w:t xml:space="preserve">и </w:t>
      </w:r>
      <w:r w:rsidRPr="00965247">
        <w:t xml:space="preserve">налога на имущество </w:t>
      </w:r>
      <w:r>
        <w:t xml:space="preserve">в основном в связи с учетом на балансе построенных и реконструированных жилых помещением для детей-сирот </w:t>
      </w:r>
      <w:r w:rsidRPr="00965247">
        <w:t xml:space="preserve">– </w:t>
      </w:r>
      <w:r w:rsidRPr="007E065A">
        <w:t>25 млн. руб.;</w:t>
      </w:r>
      <w:proofErr w:type="gramEnd"/>
    </w:p>
    <w:p w:rsidR="00B127F5" w:rsidRPr="007B7B5E" w:rsidRDefault="00B127F5" w:rsidP="00B127F5">
      <w:pPr>
        <w:ind w:firstLine="708"/>
        <w:jc w:val="both"/>
      </w:pPr>
      <w:r>
        <w:t>-</w:t>
      </w:r>
      <w:r w:rsidRPr="00C61265">
        <w:t xml:space="preserve">субсидии </w:t>
      </w:r>
      <w:proofErr w:type="gramStart"/>
      <w:r w:rsidRPr="00C61265">
        <w:t>г</w:t>
      </w:r>
      <w:proofErr w:type="gramEnd"/>
      <w:r w:rsidRPr="00C61265">
        <w:t xml:space="preserve">. Волгограду на </w:t>
      </w:r>
      <w:proofErr w:type="spellStart"/>
      <w:r w:rsidRPr="00C61265">
        <w:t>софинансирование</w:t>
      </w:r>
      <w:proofErr w:type="spellEnd"/>
      <w:r w:rsidRPr="00C61265">
        <w:t xml:space="preserve"> капитальных вложений в объект муниципальной собственности «Обустройство территории Центральной набережной Волгограда имени 62-ой Армии. Корректировка 3-й этап» </w:t>
      </w:r>
      <w:r>
        <w:t xml:space="preserve">- </w:t>
      </w:r>
      <w:r w:rsidRPr="007E065A">
        <w:t>1027,3 млн. руб.,</w:t>
      </w:r>
      <w:r>
        <w:t xml:space="preserve"> </w:t>
      </w:r>
      <w:r w:rsidRPr="007B7B5E">
        <w:t>из них за счет средств федерального бюджета - 909 млн. руб.;</w:t>
      </w:r>
    </w:p>
    <w:p w:rsidR="00B127F5" w:rsidRDefault="00B127F5" w:rsidP="00B127F5">
      <w:pPr>
        <w:ind w:firstLine="708"/>
        <w:jc w:val="both"/>
      </w:pPr>
      <w:r w:rsidRPr="002A4233">
        <w:t xml:space="preserve">-субсидии некоммерческой организации «Волгоградский областной фонд жилья и ипотеки» </w:t>
      </w:r>
      <w:r>
        <w:t xml:space="preserve">за счет средств областного бюджета </w:t>
      </w:r>
      <w:r w:rsidRPr="002A4233">
        <w:t xml:space="preserve">- </w:t>
      </w:r>
      <w:r w:rsidRPr="007E065A">
        <w:t>274,9 млн. руб.,</w:t>
      </w:r>
      <w:r>
        <w:t xml:space="preserve"> из них:</w:t>
      </w:r>
    </w:p>
    <w:p w:rsidR="00B127F5" w:rsidRDefault="00B127F5" w:rsidP="00B127F5">
      <w:pPr>
        <w:ind w:firstLine="709"/>
        <w:jc w:val="both"/>
      </w:pPr>
      <w:proofErr w:type="gramStart"/>
      <w:r>
        <w:t xml:space="preserve">на предоставление компенсации части расходов по оплате процентов по ипотечным кредитам (займам), использованными гражданами для приобретения или строительства жилого помещения, </w:t>
      </w:r>
      <w:r w:rsidR="007E065A">
        <w:t>п</w:t>
      </w:r>
      <w:r>
        <w:t xml:space="preserve">орядок предоставления которой утвержден постановлением Правительства Волгоградской области от 05.03.2013 №103-п, - </w:t>
      </w:r>
      <w:r w:rsidRPr="007E065A">
        <w:t>79,9 млн. руб.;</w:t>
      </w:r>
      <w:r>
        <w:t xml:space="preserve"> </w:t>
      </w:r>
      <w:proofErr w:type="gramEnd"/>
    </w:p>
    <w:p w:rsidR="00B127F5" w:rsidRDefault="00B127F5" w:rsidP="00B127F5">
      <w:pPr>
        <w:ind w:firstLine="709"/>
        <w:jc w:val="both"/>
      </w:pPr>
      <w:r>
        <w:t xml:space="preserve">для стимулирования завершения строительства многоквартирных домов, сведения о которых содержатся в реестре пострадавших граждан, – </w:t>
      </w:r>
      <w:r w:rsidRPr="007E065A">
        <w:t>75 млн. рублей</w:t>
      </w:r>
      <w:r w:rsidR="007E065A">
        <w:t>.</w:t>
      </w:r>
      <w:r>
        <w:t xml:space="preserve"> Порядок предоставления субсидии утвержден постановлением Администрации Волгоградской области от 23.04.2018 №173-п. </w:t>
      </w:r>
      <w:proofErr w:type="gramStart"/>
      <w:r w:rsidR="007E065A">
        <w:t>П</w:t>
      </w:r>
      <w:r>
        <w:t xml:space="preserve">о информации комитета строительства Волгоградской </w:t>
      </w:r>
      <w:r>
        <w:lastRenderedPageBreak/>
        <w:t>области в 2019 году планируется приобрести порядка 64 квартир «проблемных» многоквартирных домов для дальнейшей передачи их в областную собственность;</w:t>
      </w:r>
      <w:proofErr w:type="gramEnd"/>
    </w:p>
    <w:p w:rsidR="00B127F5" w:rsidRDefault="00B127F5" w:rsidP="00B127F5">
      <w:pPr>
        <w:ind w:firstLine="709"/>
        <w:jc w:val="both"/>
      </w:pPr>
      <w:r>
        <w:t xml:space="preserve">для предоставления займов с пониженной процентной ставкой отдельным категориям граждан – молодым семьям в виде предоставления льготного займа на оплату первоначального взноса при приобретении жилья в новостройках – </w:t>
      </w:r>
      <w:r w:rsidRPr="00A20C17">
        <w:t>120 млн. рублей.</w:t>
      </w:r>
      <w:r>
        <w:t xml:space="preserve"> Проект соответствующего нормативного правового акта находится в стадии согласования;</w:t>
      </w:r>
    </w:p>
    <w:p w:rsidR="00B127F5" w:rsidRPr="002A4233" w:rsidRDefault="00B127F5" w:rsidP="00B127F5">
      <w:pPr>
        <w:ind w:firstLine="708"/>
        <w:jc w:val="both"/>
      </w:pPr>
      <w:r>
        <w:t xml:space="preserve">-субсидии ОАО «Волгоградское агентство ипотечного жилищного кредитования» для предоставления льготных ипотечных кредитов отдельным категориям граждан со сниженной процентной ставкой – </w:t>
      </w:r>
      <w:r w:rsidRPr="00A20C17">
        <w:t>10 млн. рублей.</w:t>
      </w:r>
      <w:r>
        <w:t xml:space="preserve"> Порядок предоставления субсидий утвержден постановлением Администрации Волгоградской области от 09.04.2018 №155-п.</w:t>
      </w:r>
    </w:p>
    <w:p w:rsidR="00B127F5" w:rsidRPr="00533558" w:rsidRDefault="00B127F5" w:rsidP="00B127F5">
      <w:pPr>
        <w:ind w:firstLine="720"/>
        <w:jc w:val="both"/>
        <w:rPr>
          <w:bCs/>
          <w:iCs/>
          <w:color w:val="000000"/>
          <w:spacing w:val="-1"/>
          <w:u w:val="single"/>
        </w:rPr>
      </w:pPr>
      <w:r w:rsidRPr="00E8601D">
        <w:rPr>
          <w:bCs/>
          <w:iCs/>
          <w:color w:val="000000"/>
          <w:spacing w:val="-1"/>
          <w:u w:val="single"/>
        </w:rPr>
        <w:t>Комитету природных ресурсов, лесного хозяйства и экологии Волгоградской области</w:t>
      </w:r>
      <w:r>
        <w:rPr>
          <w:bCs/>
          <w:iCs/>
          <w:color w:val="000000"/>
          <w:spacing w:val="-1"/>
        </w:rPr>
        <w:t xml:space="preserve"> </w:t>
      </w:r>
      <w:r>
        <w:t>в</w:t>
      </w:r>
      <w:r w:rsidRPr="00FD2E3E">
        <w:t xml:space="preserve"> рамках госпрограммы </w:t>
      </w:r>
      <w:r w:rsidRPr="00A20C17">
        <w:t>«Использование и охрана водных объектов, предотвращение негативного воздействия вод на территории Волгоградской области»</w:t>
      </w:r>
      <w:r>
        <w:rPr>
          <w:i/>
        </w:rPr>
        <w:t xml:space="preserve"> </w:t>
      </w:r>
      <w:r w:rsidRPr="00E8601D">
        <w:t>предусмотрены</w:t>
      </w:r>
      <w:r>
        <w:rPr>
          <w:i/>
        </w:rPr>
        <w:t xml:space="preserve"> </w:t>
      </w:r>
      <w:r w:rsidRPr="00E8601D">
        <w:t>бюджетные ассигнования</w:t>
      </w:r>
      <w:r>
        <w:rPr>
          <w:i/>
        </w:rPr>
        <w:t xml:space="preserve"> </w:t>
      </w:r>
      <w:r w:rsidRPr="00BA02A5">
        <w:t>на определение границ зон затопления, подтопления на территории Волгоградской области</w:t>
      </w:r>
      <w:r>
        <w:t xml:space="preserve"> в размере 25 млн. руб. (на уровне 2018 года).</w:t>
      </w:r>
    </w:p>
    <w:p w:rsidR="00B127F5" w:rsidRDefault="00B127F5" w:rsidP="00B127F5">
      <w:pPr>
        <w:ind w:left="-567" w:firstLine="540"/>
        <w:jc w:val="both"/>
      </w:pPr>
    </w:p>
    <w:p w:rsidR="00EA2C21" w:rsidRDefault="00EA2C21" w:rsidP="00EA2C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Расходы по разделу 0500 «Жилищно-коммунальное хозяйство».</w:t>
      </w:r>
    </w:p>
    <w:p w:rsidR="006F0E09" w:rsidRDefault="006F0E09" w:rsidP="00EA2C21">
      <w:pPr>
        <w:rPr>
          <w:color w:val="FF0000"/>
        </w:rPr>
      </w:pPr>
    </w:p>
    <w:p w:rsidR="0091626E" w:rsidRDefault="0091626E" w:rsidP="0091626E">
      <w:pPr>
        <w:ind w:firstLine="708"/>
        <w:jc w:val="both"/>
      </w:pPr>
      <w:r>
        <w:t>Законопроектом бюджетные ассигнования</w:t>
      </w:r>
      <w:r w:rsidRPr="00B96BCC">
        <w:t xml:space="preserve"> </w:t>
      </w:r>
      <w:r w:rsidRPr="001702B4">
        <w:t>по разделу</w:t>
      </w:r>
      <w:r w:rsidRPr="00B96BCC">
        <w:t xml:space="preserve"> на 201</w:t>
      </w:r>
      <w:r>
        <w:t>9</w:t>
      </w:r>
      <w:r w:rsidRPr="00B96BCC">
        <w:t xml:space="preserve"> год </w:t>
      </w:r>
      <w:r>
        <w:t xml:space="preserve">предусмотрены </w:t>
      </w:r>
      <w:r w:rsidRPr="00B96BCC">
        <w:t xml:space="preserve">в размере </w:t>
      </w:r>
      <w:r>
        <w:t>2715,3</w:t>
      </w:r>
      <w:r w:rsidRPr="00B96BCC">
        <w:t xml:space="preserve"> млн. руб., </w:t>
      </w:r>
      <w:r w:rsidR="00CA3D99">
        <w:t>что составляет</w:t>
      </w:r>
      <w:r>
        <w:t xml:space="preserve"> </w:t>
      </w:r>
      <w:r w:rsidR="004003CC">
        <w:t>79,9</w:t>
      </w:r>
      <w:r>
        <w:t>% к плану 2018 года (3396,9 млн. руб.).</w:t>
      </w:r>
      <w:r w:rsidRPr="00B96BCC">
        <w:t xml:space="preserve"> </w:t>
      </w:r>
    </w:p>
    <w:p w:rsidR="0091626E" w:rsidRDefault="0091626E" w:rsidP="0091626E">
      <w:pPr>
        <w:pStyle w:val="a9"/>
        <w:autoSpaceDE w:val="0"/>
        <w:autoSpaceDN w:val="0"/>
        <w:adjustRightInd w:val="0"/>
        <w:ind w:left="0" w:firstLine="708"/>
        <w:jc w:val="both"/>
        <w:rPr>
          <w:bCs/>
        </w:rPr>
      </w:pPr>
      <w:r w:rsidRPr="00E158F3">
        <w:t>Значительное сокращение бюджетных ассигнований на 201</w:t>
      </w:r>
      <w:r>
        <w:t>9</w:t>
      </w:r>
      <w:r w:rsidRPr="00E158F3">
        <w:t xml:space="preserve"> год </w:t>
      </w:r>
      <w:r w:rsidRPr="0006309A">
        <w:t xml:space="preserve">связано </w:t>
      </w:r>
      <w:r w:rsidR="00EB2F14" w:rsidRPr="0006309A">
        <w:t xml:space="preserve">в основном </w:t>
      </w:r>
      <w:r w:rsidR="00EB2F14">
        <w:t>с отсутствием в</w:t>
      </w:r>
      <w:r>
        <w:rPr>
          <w:bCs/>
        </w:rPr>
        <w:t xml:space="preserve"> законопроект</w:t>
      </w:r>
      <w:r w:rsidR="00EB2F14">
        <w:rPr>
          <w:bCs/>
        </w:rPr>
        <w:t>е</w:t>
      </w:r>
      <w:r>
        <w:rPr>
          <w:bCs/>
        </w:rPr>
        <w:t xml:space="preserve"> средств федерального бюджета </w:t>
      </w:r>
      <w:r w:rsidR="00EB2F14">
        <w:rPr>
          <w:bCs/>
        </w:rPr>
        <w:t>на реализацию мероприятий</w:t>
      </w:r>
      <w:r>
        <w:rPr>
          <w:bCs/>
        </w:rPr>
        <w:t xml:space="preserve"> национального проекта «Формирование комфортной городской среды», </w:t>
      </w:r>
      <w:r w:rsidR="00EB2F14">
        <w:rPr>
          <w:bCs/>
        </w:rPr>
        <w:t>объем которых в настоящее время согласовывается</w:t>
      </w:r>
      <w:r>
        <w:rPr>
          <w:bCs/>
        </w:rPr>
        <w:t xml:space="preserve">. </w:t>
      </w:r>
    </w:p>
    <w:p w:rsidR="0091626E" w:rsidRPr="00654EBE" w:rsidRDefault="0091626E" w:rsidP="0091626E">
      <w:pPr>
        <w:ind w:firstLine="708"/>
        <w:jc w:val="both"/>
      </w:pPr>
      <w:r w:rsidRPr="00654EBE">
        <w:t>Программные мероприятия по разделу 0500 «Жилищно-коммунальное хозяйство» на 2019 год составляют 1584,8 млн. руб., или 58,4% в общей сумме расходов.</w:t>
      </w:r>
    </w:p>
    <w:p w:rsidR="0091626E" w:rsidRDefault="0091626E" w:rsidP="0091626E">
      <w:pPr>
        <w:ind w:firstLine="708"/>
        <w:jc w:val="both"/>
      </w:pPr>
      <w:r w:rsidRPr="00B8651B">
        <w:rPr>
          <w:b/>
          <w:i/>
          <w:u w:val="single"/>
        </w:rPr>
        <w:t>По подразделу 0501 «Жилищное хозяйство»</w:t>
      </w:r>
      <w:r w:rsidRPr="00B96BCC">
        <w:rPr>
          <w:b/>
          <w:i/>
        </w:rPr>
        <w:t xml:space="preserve"> </w:t>
      </w:r>
      <w:r w:rsidRPr="00B96BCC">
        <w:t xml:space="preserve">бюджетные </w:t>
      </w:r>
      <w:r>
        <w:t>ассигнования на 2019 год предусмотрены в размере 163,6</w:t>
      </w:r>
      <w:r w:rsidRPr="00B96BCC">
        <w:t xml:space="preserve"> млн. руб</w:t>
      </w:r>
      <w:r>
        <w:t xml:space="preserve">., или </w:t>
      </w:r>
      <w:r w:rsidRPr="00B96BCC">
        <w:t>у</w:t>
      </w:r>
      <w:r>
        <w:t>величены</w:t>
      </w:r>
      <w:r w:rsidRPr="00B96BCC">
        <w:t xml:space="preserve"> </w:t>
      </w:r>
      <w:r>
        <w:t>по сравнению с 2018 годом на 59,</w:t>
      </w:r>
      <w:r w:rsidR="004003CC">
        <w:t>4</w:t>
      </w:r>
      <w:r>
        <w:t xml:space="preserve"> млн. руб</w:t>
      </w:r>
      <w:r w:rsidRPr="00B96BCC">
        <w:t>.</w:t>
      </w:r>
      <w:r>
        <w:t>, в том числе:</w:t>
      </w:r>
    </w:p>
    <w:p w:rsidR="0091626E" w:rsidRPr="005B62D0" w:rsidRDefault="0091626E" w:rsidP="0091626E">
      <w:pPr>
        <w:ind w:firstLine="708"/>
        <w:jc w:val="both"/>
      </w:pPr>
      <w:r w:rsidRPr="005B62D0">
        <w:t>-</w:t>
      </w:r>
      <w:r w:rsidRPr="0057461D">
        <w:rPr>
          <w:u w:val="single"/>
        </w:rPr>
        <w:t>комитету жилищно-коммунального хозяйства и топливно-энергетического комплекса Волгоградской области</w:t>
      </w:r>
      <w:r w:rsidRPr="005B62D0">
        <w:t xml:space="preserve"> (далее Комитет ЖКХ и ТЭК) на субсидию в виде имущественного взноса на обеспечение деятельности УНО «Региональный </w:t>
      </w:r>
      <w:r>
        <w:t>фонд капитального ремонта</w:t>
      </w:r>
      <w:r w:rsidRPr="005B62D0">
        <w:t xml:space="preserve">» - </w:t>
      </w:r>
      <w:r w:rsidRPr="004003CC">
        <w:t>106,2 млн. руб.,</w:t>
      </w:r>
      <w:r>
        <w:t xml:space="preserve"> или на 102% к плану 2018 года</w:t>
      </w:r>
      <w:r w:rsidRPr="005B62D0">
        <w:t>;</w:t>
      </w:r>
    </w:p>
    <w:p w:rsidR="0091626E" w:rsidRPr="00402747" w:rsidRDefault="0091626E" w:rsidP="0091626E">
      <w:pPr>
        <w:ind w:firstLine="708"/>
        <w:jc w:val="both"/>
      </w:pPr>
      <w:r w:rsidRPr="00B76730">
        <w:t>-</w:t>
      </w:r>
      <w:r w:rsidRPr="0057461D">
        <w:rPr>
          <w:u w:val="single"/>
        </w:rPr>
        <w:t>комитету строительства Волгоградской области</w:t>
      </w:r>
      <w:r w:rsidRPr="00B76730">
        <w:t xml:space="preserve"> на реализацию подпрограммы «Переселение граждан, проживающих на территории Волгоградской области, из жилых помещений, непригодных для проживания, и многоквартирных домов, признанных аварийными»</w:t>
      </w:r>
      <w:r w:rsidRPr="00EB00FC">
        <w:rPr>
          <w:b/>
        </w:rPr>
        <w:t xml:space="preserve"> </w:t>
      </w:r>
      <w:r w:rsidRPr="00C549D3">
        <w:t xml:space="preserve">госпрограммы </w:t>
      </w:r>
      <w:r w:rsidRPr="00C549D3">
        <w:rPr>
          <w:color w:val="000000"/>
        </w:rPr>
        <w:t>«Обеспечение доступным и комфортным жильем и коммунальными услугами жителей Волгоградской области»</w:t>
      </w:r>
      <w:r>
        <w:rPr>
          <w:color w:val="000000"/>
        </w:rPr>
        <w:t xml:space="preserve"> </w:t>
      </w:r>
      <w:r w:rsidRPr="00EB00FC">
        <w:rPr>
          <w:b/>
        </w:rPr>
        <w:t xml:space="preserve">- </w:t>
      </w:r>
      <w:r w:rsidRPr="004003CC">
        <w:t>57,4 млн. руб.</w:t>
      </w:r>
      <w:r w:rsidRPr="00402747">
        <w:t xml:space="preserve"> (на 2018 год расходы на указанные цели не предусматривались). </w:t>
      </w:r>
    </w:p>
    <w:p w:rsidR="0091626E" w:rsidRPr="00402747" w:rsidRDefault="0091626E" w:rsidP="0091626E">
      <w:pPr>
        <w:ind w:firstLine="708"/>
        <w:jc w:val="both"/>
        <w:rPr>
          <w:u w:val="single"/>
        </w:rPr>
      </w:pPr>
      <w:r w:rsidRPr="00402747">
        <w:t>По информации комитета строительства в рамках федерального проекта «Обеспечение устойчивого сокращения непригодного для проживания жилищного фонда</w:t>
      </w:r>
      <w:r>
        <w:t>»</w:t>
      </w:r>
      <w:r w:rsidRPr="00402747">
        <w:t>, включенного в национальный проект «Жилье и городская среда»</w:t>
      </w:r>
      <w:r>
        <w:t>,</w:t>
      </w:r>
      <w:r w:rsidRPr="00402747">
        <w:t xml:space="preserve"> </w:t>
      </w:r>
      <w:r w:rsidRPr="003944C5">
        <w:t>будут привлечены средства Фонда содействия реформирования ЖКХ (далее Фонд) в размере 586,3 млн.</w:t>
      </w:r>
      <w:r w:rsidRPr="00402747">
        <w:rPr>
          <w:u w:val="single"/>
        </w:rPr>
        <w:t xml:space="preserve"> </w:t>
      </w:r>
      <w:r w:rsidRPr="003944C5">
        <w:t>рублей.</w:t>
      </w:r>
      <w:r w:rsidRPr="00402747">
        <w:t xml:space="preserve"> </w:t>
      </w:r>
      <w:r w:rsidR="00EE087D">
        <w:t>За счет указанных средств в</w:t>
      </w:r>
      <w:r w:rsidRPr="00402747">
        <w:t xml:space="preserve"> 2019 год</w:t>
      </w:r>
      <w:r w:rsidR="00EE087D">
        <w:t>у планируется</w:t>
      </w:r>
      <w:r w:rsidRPr="00402747">
        <w:t xml:space="preserve"> расселить 2720 кв</w:t>
      </w:r>
      <w:proofErr w:type="gramStart"/>
      <w:r w:rsidRPr="00402747">
        <w:t>.м</w:t>
      </w:r>
      <w:proofErr w:type="gramEnd"/>
      <w:r w:rsidRPr="00402747">
        <w:t xml:space="preserve"> непригодного для проживания жилья.</w:t>
      </w:r>
      <w:r>
        <w:t xml:space="preserve"> Соглашение с Фондом должно быть заключено до 01.04.2019.</w:t>
      </w:r>
    </w:p>
    <w:p w:rsidR="0091626E" w:rsidRDefault="0091626E" w:rsidP="0091626E">
      <w:pPr>
        <w:ind w:firstLine="708"/>
        <w:jc w:val="both"/>
      </w:pPr>
      <w:r w:rsidRPr="00503572">
        <w:rPr>
          <w:b/>
          <w:i/>
          <w:u w:val="single"/>
        </w:rPr>
        <w:t>По подразделу 0502 «Коммунальное  хозяйство»</w:t>
      </w:r>
      <w:r w:rsidRPr="00B96BCC">
        <w:rPr>
          <w:b/>
          <w:i/>
        </w:rPr>
        <w:t xml:space="preserve"> </w:t>
      </w:r>
      <w:r w:rsidRPr="00B96BCC">
        <w:t xml:space="preserve">бюджетные </w:t>
      </w:r>
      <w:r>
        <w:t xml:space="preserve">ассигнования на 2019 год предусмотрены в </w:t>
      </w:r>
      <w:r w:rsidRPr="00C65AA6">
        <w:t>размере 1</w:t>
      </w:r>
      <w:r>
        <w:t>501,6</w:t>
      </w:r>
      <w:r w:rsidRPr="00C65AA6">
        <w:t xml:space="preserve"> млн. руб.,</w:t>
      </w:r>
      <w:r w:rsidRPr="00B96BCC">
        <w:t xml:space="preserve"> </w:t>
      </w:r>
      <w:r w:rsidR="00503572">
        <w:t>что на 78 млн. руб., или</w:t>
      </w:r>
      <w:r>
        <w:t xml:space="preserve"> на 5,5% </w:t>
      </w:r>
      <w:r w:rsidR="00503572">
        <w:t>превышает ассигнования</w:t>
      </w:r>
      <w:r>
        <w:t xml:space="preserve"> 2018 года (1423,6 млн. руб.),</w:t>
      </w:r>
      <w:r w:rsidRPr="00B96BCC">
        <w:t xml:space="preserve"> в том числе:</w:t>
      </w:r>
    </w:p>
    <w:p w:rsidR="0091626E" w:rsidRPr="000C5DA1" w:rsidRDefault="0091626E" w:rsidP="0091626E">
      <w:pPr>
        <w:ind w:firstLine="708"/>
        <w:jc w:val="both"/>
      </w:pPr>
      <w:r w:rsidRPr="00102BA7">
        <w:rPr>
          <w:b/>
        </w:rPr>
        <w:t>1.</w:t>
      </w:r>
      <w:r>
        <w:rPr>
          <w:u w:val="single"/>
        </w:rPr>
        <w:t xml:space="preserve"> </w:t>
      </w:r>
      <w:r w:rsidRPr="007153A8">
        <w:rPr>
          <w:u w:val="single"/>
        </w:rPr>
        <w:t>Комитету строительства</w:t>
      </w:r>
      <w:r w:rsidR="00806F08">
        <w:rPr>
          <w:u w:val="single"/>
        </w:rPr>
        <w:t xml:space="preserve"> </w:t>
      </w:r>
      <w:r w:rsidRPr="008B28BC">
        <w:t>–  369,1 млн. руб.</w:t>
      </w:r>
      <w:r w:rsidRPr="007153A8">
        <w:rPr>
          <w:u w:val="single"/>
        </w:rPr>
        <w:t>,</w:t>
      </w:r>
      <w:r w:rsidRPr="000C5DA1">
        <w:t xml:space="preserve"> из них:</w:t>
      </w:r>
    </w:p>
    <w:p w:rsidR="0091626E" w:rsidRPr="00CC27B0" w:rsidRDefault="0091626E" w:rsidP="0091626E">
      <w:pPr>
        <w:ind w:firstLine="708"/>
        <w:jc w:val="both"/>
        <w:rPr>
          <w:b/>
        </w:rPr>
      </w:pPr>
      <w:proofErr w:type="gramStart"/>
      <w:r>
        <w:t>-</w:t>
      </w:r>
      <w:r w:rsidRPr="00180C6A">
        <w:t xml:space="preserve">в рамках подпрограммы </w:t>
      </w:r>
      <w:r w:rsidRPr="00102BA7">
        <w:t>«Стимулирование жилищного строительства в Волгоградской области»</w:t>
      </w:r>
      <w:r w:rsidRPr="00CC27B0">
        <w:rPr>
          <w:b/>
        </w:rPr>
        <w:t xml:space="preserve"> </w:t>
      </w:r>
      <w:r w:rsidRPr="00E20480">
        <w:rPr>
          <w:color w:val="000000"/>
        </w:rPr>
        <w:t>госпрограммы «Обеспечение доступным и комфортным жильем и коммунальными услугами жителей Волгоградской области»</w:t>
      </w:r>
      <w:r>
        <w:rPr>
          <w:i/>
        </w:rPr>
        <w:t xml:space="preserve"> </w:t>
      </w:r>
      <w:r w:rsidRPr="00180C6A">
        <w:t xml:space="preserve">на предоставление субсидий юридическим лицам на подключение к сетям инженерно-технического обеспечения </w:t>
      </w:r>
      <w:r w:rsidRPr="00180C6A">
        <w:lastRenderedPageBreak/>
        <w:t xml:space="preserve">многоквартирных домов, строящихся с привлечением участников долевого строительства, сведения о которых содержатся в реестре граждан, чьи денежные средства привлечены для строительства и чьи права нарушены, </w:t>
      </w:r>
      <w:r>
        <w:t>и на возмещение</w:t>
      </w:r>
      <w:proofErr w:type="gramEnd"/>
      <w:r>
        <w:t xml:space="preserve"> затрат на завершение строительства этих многоквартирных домов </w:t>
      </w:r>
      <w:r w:rsidRPr="00CC27B0">
        <w:rPr>
          <w:b/>
          <w:bCs/>
          <w:color w:val="000000"/>
        </w:rPr>
        <w:t xml:space="preserve">- </w:t>
      </w:r>
      <w:r w:rsidRPr="00180C6A">
        <w:rPr>
          <w:bCs/>
          <w:color w:val="000000"/>
        </w:rPr>
        <w:t>250</w:t>
      </w:r>
      <w:r w:rsidRPr="00180C6A">
        <w:t xml:space="preserve"> млн. руб.</w:t>
      </w:r>
      <w:r>
        <w:t>;</w:t>
      </w:r>
    </w:p>
    <w:p w:rsidR="00102BA7" w:rsidRDefault="0091626E" w:rsidP="00102BA7">
      <w:pPr>
        <w:ind w:firstLine="708"/>
        <w:jc w:val="both"/>
      </w:pPr>
      <w:r>
        <w:t>-</w:t>
      </w:r>
      <w:r w:rsidRPr="00160B42">
        <w:t xml:space="preserve">в рамках подпрограммы </w:t>
      </w:r>
      <w:r w:rsidRPr="00102BA7">
        <w:t>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</w:t>
      </w:r>
      <w:r w:rsidRPr="00160B42">
        <w:t xml:space="preserve"> </w:t>
      </w:r>
      <w:r>
        <w:t xml:space="preserve">госпрограммы </w:t>
      </w:r>
      <w:r w:rsidRPr="00160B42">
        <w:t xml:space="preserve">«Энергосбережение и повышение энергетической эффективности </w:t>
      </w:r>
      <w:r>
        <w:t xml:space="preserve">в Волгоградской области» </w:t>
      </w:r>
      <w:r w:rsidRPr="00160B42">
        <w:t xml:space="preserve">- </w:t>
      </w:r>
      <w:r>
        <w:t>42,8</w:t>
      </w:r>
      <w:r w:rsidRPr="00160B42">
        <w:t xml:space="preserve"> млн. руб.:</w:t>
      </w:r>
    </w:p>
    <w:p w:rsidR="00567D5C" w:rsidRDefault="0091626E" w:rsidP="00567D5C">
      <w:pPr>
        <w:ind w:firstLine="708"/>
        <w:jc w:val="both"/>
      </w:pPr>
      <w:r w:rsidRPr="00C9138C">
        <w:t>на выплату субсидии в виде имущественного взноса Н</w:t>
      </w:r>
      <w:r w:rsidR="00A14448">
        <w:t>екоммерческой организации</w:t>
      </w:r>
      <w:r w:rsidRPr="00C9138C">
        <w:t xml:space="preserve"> «Волгоградский областной фонд жилья и ипотеки» для предоставления средств на возвратных условиях на реализацию мероприятий модернизации и энергосбережения систем коммунальной инфраструктуры - 30 млн. рублей</w:t>
      </w:r>
      <w:r>
        <w:t>. П</w:t>
      </w:r>
      <w:r w:rsidRPr="0057461D">
        <w:t xml:space="preserve">орядок </w:t>
      </w:r>
      <w:r>
        <w:t xml:space="preserve">предоставления вышеуказанных средств  и порядок отбора проектов </w:t>
      </w:r>
      <w:proofErr w:type="spellStart"/>
      <w:r>
        <w:t>ресурсоснабжающих</w:t>
      </w:r>
      <w:proofErr w:type="spellEnd"/>
      <w:r>
        <w:t xml:space="preserve"> организаций по реализации мероприятий утвержден приказом Комитета ЖКХ и ТЭК от 04.04</w:t>
      </w:r>
      <w:r w:rsidRPr="0057461D">
        <w:t>.2017 №1</w:t>
      </w:r>
      <w:r>
        <w:t>04-ОД;</w:t>
      </w:r>
    </w:p>
    <w:p w:rsidR="00567D5C" w:rsidRDefault="0091626E" w:rsidP="00567D5C">
      <w:pPr>
        <w:ind w:firstLine="708"/>
        <w:jc w:val="both"/>
      </w:pPr>
      <w:r>
        <w:t>на строительство автономной котельной к зданию участковой больницы в Новониколаевском муниципальном районе – 7,5 млн. руб.;</w:t>
      </w:r>
    </w:p>
    <w:p w:rsidR="0091626E" w:rsidRPr="002C10D9" w:rsidRDefault="0091626E" w:rsidP="00567D5C">
      <w:pPr>
        <w:ind w:firstLine="708"/>
        <w:jc w:val="both"/>
      </w:pPr>
      <w:r>
        <w:t xml:space="preserve">на проектирование отопления зданий 14 фельдшерско-акушерских пунктов </w:t>
      </w:r>
      <w:r>
        <w:rPr>
          <w:bCs/>
          <w:color w:val="000000"/>
        </w:rPr>
        <w:t>–</w:t>
      </w:r>
      <w:r w:rsidRPr="002C10D9">
        <w:rPr>
          <w:bCs/>
          <w:color w:val="000000"/>
        </w:rPr>
        <w:t xml:space="preserve"> </w:t>
      </w:r>
      <w:r>
        <w:rPr>
          <w:bCs/>
          <w:color w:val="000000"/>
        </w:rPr>
        <w:t>5,3</w:t>
      </w:r>
      <w:r w:rsidRPr="002C10D9">
        <w:t xml:space="preserve"> млн. руб</w:t>
      </w:r>
      <w:r>
        <w:t>лей</w:t>
      </w:r>
      <w:r w:rsidRPr="002C10D9">
        <w:t>.</w:t>
      </w:r>
      <w:r>
        <w:t xml:space="preserve"> Строительство котельных предусмотрено планом-графиком синхронизации выполнения программ газификации в рамках соглашения о сотрудничестве</w:t>
      </w:r>
      <w:r w:rsidR="00567D5C">
        <w:t>, заключенного</w:t>
      </w:r>
      <w:r>
        <w:t xml:space="preserve"> между Администрацией Волгоградской области и ОАО «Газпром» 17.09.2002;</w:t>
      </w:r>
    </w:p>
    <w:p w:rsidR="0091626E" w:rsidRPr="00160B42" w:rsidRDefault="0091626E" w:rsidP="0091626E">
      <w:pPr>
        <w:ind w:firstLine="708"/>
        <w:jc w:val="both"/>
      </w:pPr>
      <w:r>
        <w:t>-</w:t>
      </w:r>
      <w:r w:rsidRPr="00160B42">
        <w:t xml:space="preserve">в рамках подпрограммы </w:t>
      </w:r>
      <w:r w:rsidRPr="0036588F">
        <w:t>«Газификация Волгоградской области»</w:t>
      </w:r>
      <w:r w:rsidRPr="00160B42">
        <w:t xml:space="preserve"> </w:t>
      </w:r>
      <w:r>
        <w:t xml:space="preserve">госпрограммы </w:t>
      </w:r>
      <w:r w:rsidRPr="00160B42">
        <w:t xml:space="preserve">«Энергосбережение и повышение энергетической эффективности </w:t>
      </w:r>
      <w:r>
        <w:t xml:space="preserve">в Волгоградской области» </w:t>
      </w:r>
      <w:r w:rsidRPr="00160B42">
        <w:t>на строительство 10 объектов газоснабжения</w:t>
      </w:r>
      <w:r>
        <w:t xml:space="preserve"> </w:t>
      </w:r>
      <w:r w:rsidRPr="00160B42">
        <w:rPr>
          <w:bCs/>
          <w:color w:val="000000"/>
        </w:rPr>
        <w:t>- 76,3</w:t>
      </w:r>
      <w:r w:rsidRPr="00160B42">
        <w:t xml:space="preserve"> млн. руб</w:t>
      </w:r>
      <w:r>
        <w:t>лей.</w:t>
      </w:r>
    </w:p>
    <w:p w:rsidR="0091626E" w:rsidRPr="0010280A" w:rsidRDefault="0036588F" w:rsidP="0091626E">
      <w:pPr>
        <w:pStyle w:val="3"/>
        <w:tabs>
          <w:tab w:val="left" w:pos="0"/>
        </w:tabs>
        <w:ind w:right="29"/>
      </w:pPr>
      <w:r>
        <w:rPr>
          <w:color w:val="000000"/>
        </w:rPr>
        <w:t>Относительно последнего направления необходимо отметить, что п</w:t>
      </w:r>
      <w:r w:rsidR="0091626E" w:rsidRPr="0010280A">
        <w:rPr>
          <w:color w:val="000000"/>
        </w:rPr>
        <w:t xml:space="preserve">роверкой реализации данной подпрограммы, проведенной КСП в 2018 году, установлено наличие изготовленных, но нереализованных проектов по строительству газопроводов и незавершенных объектов, на которые израсходованы бюджетные средства еще в 2012-2016 годах. В связи с этим комитету строительства </w:t>
      </w:r>
      <w:r w:rsidR="0091626E">
        <w:rPr>
          <w:color w:val="000000"/>
        </w:rPr>
        <w:t>и комитету ЖКХ и ТЭК</w:t>
      </w:r>
      <w:r w:rsidR="0091626E" w:rsidRPr="0010280A">
        <w:rPr>
          <w:color w:val="000000"/>
        </w:rPr>
        <w:t xml:space="preserve"> было рекомендовано </w:t>
      </w:r>
      <w:r w:rsidR="0091626E" w:rsidRPr="0010280A">
        <w:t xml:space="preserve">провести инвентаризацию </w:t>
      </w:r>
      <w:r w:rsidR="00D25C69" w:rsidRPr="0010280A">
        <w:rPr>
          <w:color w:val="000000"/>
        </w:rPr>
        <w:t xml:space="preserve">нереализованных проектов </w:t>
      </w:r>
      <w:r w:rsidR="00D25C69">
        <w:rPr>
          <w:color w:val="000000"/>
        </w:rPr>
        <w:t xml:space="preserve">и незавершенных строительством </w:t>
      </w:r>
      <w:r w:rsidR="0091626E" w:rsidRPr="0010280A">
        <w:t xml:space="preserve"> объектов с целью их дальнейшего использования и недопущения неэффективных бюджетных вложений.</w:t>
      </w:r>
    </w:p>
    <w:p w:rsidR="0091626E" w:rsidRDefault="0091626E" w:rsidP="0091626E">
      <w:pPr>
        <w:pStyle w:val="3"/>
        <w:tabs>
          <w:tab w:val="left" w:pos="0"/>
        </w:tabs>
        <w:ind w:right="29"/>
      </w:pPr>
      <w:r w:rsidRPr="0010280A">
        <w:t xml:space="preserve">Так, законопроектом предусмотрено строительство </w:t>
      </w:r>
      <w:r>
        <w:t xml:space="preserve">незавершенных объектов: </w:t>
      </w:r>
      <w:proofErr w:type="spellStart"/>
      <w:r w:rsidRPr="0010280A">
        <w:t>внутрипоселковых</w:t>
      </w:r>
      <w:proofErr w:type="spellEnd"/>
      <w:r w:rsidRPr="0010280A">
        <w:t xml:space="preserve"> газопроводов в х. </w:t>
      </w:r>
      <w:proofErr w:type="spellStart"/>
      <w:r w:rsidRPr="0010280A">
        <w:t>Лобакин</w:t>
      </w:r>
      <w:proofErr w:type="spellEnd"/>
      <w:r w:rsidRPr="0010280A">
        <w:t xml:space="preserve"> </w:t>
      </w:r>
      <w:proofErr w:type="spellStart"/>
      <w:r w:rsidRPr="0010280A">
        <w:t>Суровикинского</w:t>
      </w:r>
      <w:proofErr w:type="spellEnd"/>
      <w:r w:rsidRPr="0010280A">
        <w:t xml:space="preserve"> муниципального района,  </w:t>
      </w:r>
      <w:proofErr w:type="spellStart"/>
      <w:r w:rsidRPr="0010280A">
        <w:t>х</w:t>
      </w:r>
      <w:proofErr w:type="gramStart"/>
      <w:r w:rsidRPr="0010280A">
        <w:t>.Я</w:t>
      </w:r>
      <w:proofErr w:type="gramEnd"/>
      <w:r w:rsidRPr="0010280A">
        <w:t>рской</w:t>
      </w:r>
      <w:proofErr w:type="spellEnd"/>
      <w:r w:rsidRPr="0010280A">
        <w:t xml:space="preserve"> и Бирюков Чернышковского муниципального района, п. Заря и х. Ковыльный Ленинского муниципального района и корректировка проектной документации по строительству газопроводов в х. Филатов и Фирсов </w:t>
      </w:r>
      <w:r>
        <w:t>Чернышковского</w:t>
      </w:r>
      <w:r w:rsidRPr="0010280A">
        <w:t xml:space="preserve"> муниципального района.</w:t>
      </w:r>
      <w:r w:rsidR="0036588F">
        <w:t xml:space="preserve"> При этом </w:t>
      </w:r>
      <w:r w:rsidRPr="00D60F52">
        <w:rPr>
          <w:u w:val="single"/>
        </w:rPr>
        <w:t xml:space="preserve">строительство газопроводов в х. Тормосин, х. Морской и п. Красноярский Чернышковского муниципального района, по которым в 2012 году изготовлены проекты </w:t>
      </w:r>
      <w:r w:rsidR="0036588F" w:rsidRPr="00D60F52">
        <w:rPr>
          <w:u w:val="single"/>
        </w:rPr>
        <w:t>общей стоимостью</w:t>
      </w:r>
      <w:r w:rsidRPr="00D60F52">
        <w:rPr>
          <w:u w:val="single"/>
        </w:rPr>
        <w:t xml:space="preserve"> 11,2 млн. руб., законопроектом на 2019 год не предусмотрено</w:t>
      </w:r>
      <w:r w:rsidRPr="0010280A">
        <w:t>.</w:t>
      </w:r>
    </w:p>
    <w:p w:rsidR="009D4D78" w:rsidRPr="0010280A" w:rsidRDefault="009D4D78" w:rsidP="0091626E">
      <w:pPr>
        <w:pStyle w:val="3"/>
        <w:tabs>
          <w:tab w:val="left" w:pos="0"/>
        </w:tabs>
        <w:ind w:right="29"/>
      </w:pPr>
      <w:r>
        <w:t xml:space="preserve">По информации Комитета ЖКХ и ТЭК, кроме указанных проектов, администрациями муниципальных образований в 2012 году разработано еще 30 проектов по строительству </w:t>
      </w:r>
      <w:proofErr w:type="spellStart"/>
      <w:r>
        <w:t>внутрипоселковых</w:t>
      </w:r>
      <w:proofErr w:type="spellEnd"/>
      <w:r>
        <w:t xml:space="preserve"> газопроводов, которые до настоящего времени </w:t>
      </w:r>
      <w:r w:rsidR="003D4DC6">
        <w:t>не реализованы в связи с отсутствием межпоселковых газопроводов.</w:t>
      </w:r>
      <w:r>
        <w:t xml:space="preserve">   </w:t>
      </w:r>
    </w:p>
    <w:p w:rsidR="0091626E" w:rsidRPr="009E191D" w:rsidRDefault="0091626E" w:rsidP="0091626E">
      <w:pPr>
        <w:ind w:firstLine="708"/>
        <w:jc w:val="both"/>
      </w:pPr>
      <w:r w:rsidRPr="00D60F52">
        <w:rPr>
          <w:b/>
        </w:rPr>
        <w:t>2.</w:t>
      </w:r>
      <w:r>
        <w:rPr>
          <w:u w:val="single"/>
        </w:rPr>
        <w:t xml:space="preserve"> К</w:t>
      </w:r>
      <w:r w:rsidRPr="00394881">
        <w:rPr>
          <w:u w:val="single"/>
        </w:rPr>
        <w:t xml:space="preserve">омитету ЖКХ и ТЭК </w:t>
      </w:r>
      <w:r w:rsidRPr="008B28BC">
        <w:t>– 379,7 млн. руб.,</w:t>
      </w:r>
      <w:r w:rsidRPr="009E191D">
        <w:t xml:space="preserve"> из них:</w:t>
      </w:r>
    </w:p>
    <w:p w:rsidR="0091626E" w:rsidRPr="00E403B6" w:rsidRDefault="0091626E" w:rsidP="0091626E">
      <w:pPr>
        <w:ind w:firstLine="708"/>
        <w:jc w:val="both"/>
        <w:rPr>
          <w:rFonts w:eastAsia="Calibri"/>
          <w:b/>
        </w:rPr>
      </w:pPr>
      <w:r>
        <w:rPr>
          <w:bCs/>
        </w:rPr>
        <w:t xml:space="preserve">-в рамках </w:t>
      </w:r>
      <w:r w:rsidRPr="00FC340B">
        <w:rPr>
          <w:rFonts w:eastAsia="Calibri"/>
        </w:rPr>
        <w:t xml:space="preserve">подпрограммы </w:t>
      </w:r>
      <w:r w:rsidRPr="00D60F52">
        <w:rPr>
          <w:rFonts w:eastAsia="Calibri"/>
        </w:rPr>
        <w:t>«Чистая вода»</w:t>
      </w:r>
      <w:r w:rsidRPr="00486D8E">
        <w:rPr>
          <w:rFonts w:eastAsia="Calibri"/>
        </w:rPr>
        <w:t xml:space="preserve"> госпрограммы «Обеспечение доступным и комфортным жильем и коммунальными услугами жителей Волгоградской области»</w:t>
      </w:r>
      <w:r w:rsidRPr="00FC340B">
        <w:rPr>
          <w:bCs/>
        </w:rPr>
        <w:t xml:space="preserve"> </w:t>
      </w:r>
      <w:r w:rsidRPr="00486D8E">
        <w:rPr>
          <w:bCs/>
        </w:rPr>
        <w:t xml:space="preserve">на </w:t>
      </w:r>
      <w:r>
        <w:rPr>
          <w:bCs/>
        </w:rPr>
        <w:t>разработку проектной документации по объектам водоснабжения и водоотведения (50 млн. руб.)</w:t>
      </w:r>
      <w:r w:rsidRPr="00486D8E">
        <w:rPr>
          <w:bCs/>
        </w:rPr>
        <w:t xml:space="preserve"> </w:t>
      </w:r>
      <w:r>
        <w:rPr>
          <w:bCs/>
        </w:rPr>
        <w:t xml:space="preserve">и строительство 10 объектов водоснабжения и водоотведения (237,8 млн. руб.) </w:t>
      </w:r>
      <w:r>
        <w:rPr>
          <w:rFonts w:eastAsia="Calibri"/>
        </w:rPr>
        <w:t xml:space="preserve">- </w:t>
      </w:r>
      <w:r w:rsidRPr="00486D8E">
        <w:rPr>
          <w:rFonts w:eastAsia="Calibri"/>
        </w:rPr>
        <w:t>287,8 млн. руб</w:t>
      </w:r>
      <w:r>
        <w:rPr>
          <w:rFonts w:eastAsia="Calibri"/>
        </w:rPr>
        <w:t xml:space="preserve">лей. По информации Комитета ЖКХ и ТЭК строительство 5 объектов будет осуществляться в рамках национального проекта «Экология». </w:t>
      </w:r>
      <w:r w:rsidRPr="002636B6">
        <w:rPr>
          <w:rFonts w:eastAsia="Calibri"/>
        </w:rPr>
        <w:t>При этом законопроектом объем финансирования предусмотрен только  за счет средств областного бюджета.</w:t>
      </w:r>
    </w:p>
    <w:p w:rsidR="0091626E" w:rsidRPr="002C10D9" w:rsidRDefault="0091626E" w:rsidP="0091626E">
      <w:pPr>
        <w:ind w:firstLine="708"/>
        <w:jc w:val="both"/>
      </w:pPr>
      <w:r w:rsidRPr="00426DB5">
        <w:t xml:space="preserve">-в рамках подпрограммы </w:t>
      </w:r>
      <w:r w:rsidRPr="00D60F52">
        <w:t>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</w:t>
      </w:r>
      <w:r w:rsidRPr="00426DB5">
        <w:t xml:space="preserve"> госпрограммы «Энергосбережение и повышение </w:t>
      </w:r>
      <w:r w:rsidRPr="00426DB5">
        <w:lastRenderedPageBreak/>
        <w:t xml:space="preserve">энергетической эффективности в Волгоградской области» на строительство котельных к двум школам в х. </w:t>
      </w:r>
      <w:proofErr w:type="spellStart"/>
      <w:r w:rsidRPr="00426DB5">
        <w:t>Верхнесолоновский</w:t>
      </w:r>
      <w:proofErr w:type="spellEnd"/>
      <w:r w:rsidRPr="00426DB5">
        <w:t xml:space="preserve"> и х. </w:t>
      </w:r>
      <w:proofErr w:type="spellStart"/>
      <w:r w:rsidRPr="00426DB5">
        <w:t>Сысоевский</w:t>
      </w:r>
      <w:proofErr w:type="spellEnd"/>
      <w:r w:rsidRPr="00426DB5">
        <w:t xml:space="preserve"> </w:t>
      </w:r>
      <w:proofErr w:type="spellStart"/>
      <w:r w:rsidRPr="00426DB5">
        <w:t>Суровикинского</w:t>
      </w:r>
      <w:proofErr w:type="spellEnd"/>
      <w:r w:rsidRPr="00426DB5">
        <w:t xml:space="preserve"> муниципального района </w:t>
      </w:r>
      <w:r w:rsidRPr="00426DB5">
        <w:rPr>
          <w:bCs/>
          <w:color w:val="000000"/>
        </w:rPr>
        <w:t>- 13</w:t>
      </w:r>
      <w:r w:rsidRPr="00426DB5">
        <w:t xml:space="preserve"> млн. рублей.</w:t>
      </w:r>
      <w:r w:rsidRPr="006173B8">
        <w:t xml:space="preserve"> </w:t>
      </w:r>
      <w:r>
        <w:t>Строительство этих котельных предусмотрено планом-графиком синхронизации выполнения программ газификации в рамках соглашения о сотрудничестве между Администрацией Волгоградской области и ОАО «Газпром» от 17.09.2002.</w:t>
      </w:r>
    </w:p>
    <w:p w:rsidR="0091626E" w:rsidRPr="00426DB5" w:rsidRDefault="0091626E" w:rsidP="0091626E">
      <w:pPr>
        <w:ind w:firstLine="708"/>
        <w:jc w:val="both"/>
      </w:pPr>
      <w:r w:rsidRPr="00426DB5">
        <w:t xml:space="preserve">Вышеуказанной проверкой </w:t>
      </w:r>
      <w:r w:rsidR="00D60F52">
        <w:t xml:space="preserve">КСП </w:t>
      </w:r>
      <w:r w:rsidRPr="00426DB5">
        <w:t>было установлено, что проекты этих котельных и котельной в х</w:t>
      </w:r>
      <w:r w:rsidR="00D60F52" w:rsidRPr="00426DB5">
        <w:t xml:space="preserve">. </w:t>
      </w:r>
      <w:proofErr w:type="spellStart"/>
      <w:r w:rsidR="00D60F52" w:rsidRPr="00426DB5">
        <w:t>Л</w:t>
      </w:r>
      <w:r w:rsidRPr="00426DB5">
        <w:t>обакин</w:t>
      </w:r>
      <w:proofErr w:type="spellEnd"/>
      <w:r w:rsidRPr="00426DB5">
        <w:t xml:space="preserve">, изготовленные в 2014 году, администрацией </w:t>
      </w:r>
      <w:proofErr w:type="spellStart"/>
      <w:r w:rsidRPr="00426DB5">
        <w:t>Суровикинского</w:t>
      </w:r>
      <w:proofErr w:type="spellEnd"/>
      <w:r w:rsidRPr="00426DB5">
        <w:t xml:space="preserve"> муниципального района </w:t>
      </w:r>
      <w:r>
        <w:t xml:space="preserve">в 2016-2017 годах </w:t>
      </w:r>
      <w:r w:rsidRPr="00426DB5">
        <w:t xml:space="preserve">не были переданы в областную собственность в целях дальнейшего строительства. По информации Комитета ЖКХ и ТЭК </w:t>
      </w:r>
      <w:r>
        <w:t xml:space="preserve">эти </w:t>
      </w:r>
      <w:r w:rsidRPr="00426DB5">
        <w:t xml:space="preserve">котельные предполагается построить на объектах муниципальной собственности, и в связи с дефицитом средств местного бюджета из областного бюджета на указанные цели </w:t>
      </w:r>
      <w:r>
        <w:t>будут предоставлены субсидии;</w:t>
      </w:r>
    </w:p>
    <w:p w:rsidR="0091626E" w:rsidRDefault="0091626E" w:rsidP="0091626E">
      <w:pPr>
        <w:ind w:firstLine="708"/>
        <w:jc w:val="both"/>
      </w:pPr>
      <w:r>
        <w:t>-</w:t>
      </w:r>
      <w:r w:rsidRPr="009E191D">
        <w:t xml:space="preserve">на предоставление субсидий бюджетам муниципальных образований </w:t>
      </w:r>
      <w:r>
        <w:t xml:space="preserve">для организации водоснабжения населения </w:t>
      </w:r>
      <w:r w:rsidRPr="00D60F52">
        <w:t>(обводнения)</w:t>
      </w:r>
      <w:r w:rsidRPr="009E191D">
        <w:t xml:space="preserve"> - 28 млн. руб.</w:t>
      </w:r>
      <w:r>
        <w:t>;</w:t>
      </w:r>
    </w:p>
    <w:p w:rsidR="0091626E" w:rsidRPr="002D0800" w:rsidRDefault="0091626E" w:rsidP="0091626E">
      <w:pPr>
        <w:ind w:firstLine="708"/>
        <w:jc w:val="both"/>
      </w:pPr>
      <w:r>
        <w:rPr>
          <w:rFonts w:eastAsia="Calibri"/>
        </w:rPr>
        <w:t xml:space="preserve">-на предоставление </w:t>
      </w:r>
      <w:proofErr w:type="gramStart"/>
      <w:r>
        <w:rPr>
          <w:rFonts w:eastAsia="Calibri"/>
        </w:rPr>
        <w:t>субсидий</w:t>
      </w:r>
      <w:proofErr w:type="gramEnd"/>
      <w:r>
        <w:rPr>
          <w:rFonts w:eastAsia="Calibri"/>
        </w:rPr>
        <w:t xml:space="preserve"> </w:t>
      </w:r>
      <w:r w:rsidRPr="002D0800">
        <w:rPr>
          <w:rFonts w:eastAsia="Calibri"/>
        </w:rPr>
        <w:t xml:space="preserve">на выполнение </w:t>
      </w:r>
      <w:proofErr w:type="spellStart"/>
      <w:r w:rsidRPr="002D0800">
        <w:rPr>
          <w:rFonts w:eastAsia="Calibri"/>
        </w:rPr>
        <w:t>госзадания</w:t>
      </w:r>
      <w:proofErr w:type="spellEnd"/>
      <w:r w:rsidRPr="002D0800">
        <w:rPr>
          <w:rFonts w:eastAsia="Calibri"/>
        </w:rPr>
        <w:t xml:space="preserve"> </w:t>
      </w:r>
      <w:r w:rsidRPr="00D60F52">
        <w:rPr>
          <w:rFonts w:eastAsia="Calibri"/>
        </w:rPr>
        <w:t xml:space="preserve">ГБУ «Волгоградский центр </w:t>
      </w:r>
      <w:proofErr w:type="spellStart"/>
      <w:r w:rsidRPr="00D60F52">
        <w:rPr>
          <w:rFonts w:eastAsia="Calibri"/>
        </w:rPr>
        <w:t>энергоэффективности</w:t>
      </w:r>
      <w:proofErr w:type="spellEnd"/>
      <w:r w:rsidRPr="00D60F52">
        <w:rPr>
          <w:rFonts w:eastAsia="Calibri"/>
        </w:rPr>
        <w:t>»</w:t>
      </w:r>
      <w:r w:rsidRPr="002D0800">
        <w:rPr>
          <w:rFonts w:eastAsia="Calibri"/>
        </w:rPr>
        <w:t xml:space="preserve"> по содержанию, эксплуатации и техническому обслуживанию газораспределительных сетей Волгоградской области - </w:t>
      </w:r>
      <w:r>
        <w:rPr>
          <w:rFonts w:eastAsia="Calibri"/>
        </w:rPr>
        <w:t>5</w:t>
      </w:r>
      <w:r w:rsidRPr="002D0800">
        <w:rPr>
          <w:rFonts w:eastAsia="Calibri"/>
        </w:rPr>
        <w:t>0,9 млн. руб.</w:t>
      </w:r>
      <w:r>
        <w:rPr>
          <w:rFonts w:eastAsia="Calibri"/>
        </w:rPr>
        <w:t>, или на 40 млн. руб. больше по сравнению с планом 2018 года (10,9 млн. руб.).</w:t>
      </w:r>
      <w:r w:rsidRPr="002D0800">
        <w:t xml:space="preserve"> </w:t>
      </w:r>
      <w:r>
        <w:t>По информации Комитета ЖКХ и ТЭК дополнительные средства в размере 40 млн. руб. необходимы для проведения работ по установлению охранных зон газопроводов и внесению сведений в единый государственный реестр недвижимости в отношении 2364 объектов протяженностью 6,5 тыс. км, находящихся на балансе учреждения.</w:t>
      </w:r>
    </w:p>
    <w:p w:rsidR="0091626E" w:rsidRPr="00030451" w:rsidRDefault="0091626E" w:rsidP="0091626E">
      <w:pPr>
        <w:autoSpaceDE w:val="0"/>
        <w:autoSpaceDN w:val="0"/>
        <w:adjustRightInd w:val="0"/>
        <w:ind w:firstLine="708"/>
        <w:jc w:val="both"/>
      </w:pPr>
      <w:r w:rsidRPr="008B28BC">
        <w:rPr>
          <w:b/>
        </w:rPr>
        <w:t>3.</w:t>
      </w:r>
      <w:r w:rsidR="008B28BC">
        <w:rPr>
          <w:b/>
        </w:rPr>
        <w:t xml:space="preserve"> </w:t>
      </w:r>
      <w:r w:rsidR="008B28BC" w:rsidRPr="008B28BC">
        <w:rPr>
          <w:u w:val="single"/>
        </w:rPr>
        <w:t>К</w:t>
      </w:r>
      <w:r w:rsidRPr="00030451">
        <w:rPr>
          <w:u w:val="single"/>
        </w:rPr>
        <w:t>омитету тарифного регулирования</w:t>
      </w:r>
      <w:r w:rsidR="008B28BC" w:rsidRPr="008B28BC">
        <w:t xml:space="preserve"> </w:t>
      </w:r>
      <w:r w:rsidRPr="008B28BC">
        <w:t>– 696,5 млн. руб.</w:t>
      </w:r>
      <w:r w:rsidRPr="00030451">
        <w:t xml:space="preserve"> на предоставление поселениям Волгоградской области межбюджетных трансфертов в форме субвенций на компенсацию (возмещение) выпадающих доходов </w:t>
      </w:r>
      <w:proofErr w:type="spellStart"/>
      <w:r w:rsidRPr="00030451">
        <w:t>ресурсоснабжающих</w:t>
      </w:r>
      <w:proofErr w:type="spellEnd"/>
      <w:r w:rsidRPr="00030451">
        <w:t xml:space="preserve"> организаций, связанных с применением ими льготных тарифов (цен) на коммунальные ресурсы (услуги) и техническую воду, поставляемые населению, что по информации данного комитета соответствует расчетной потребности. </w:t>
      </w:r>
    </w:p>
    <w:p w:rsidR="0091626E" w:rsidRDefault="0091626E" w:rsidP="0091626E">
      <w:pPr>
        <w:ind w:firstLine="708"/>
        <w:jc w:val="both"/>
        <w:rPr>
          <w:color w:val="000000"/>
        </w:rPr>
      </w:pPr>
      <w:r w:rsidRPr="008B28BC">
        <w:rPr>
          <w:b/>
        </w:rPr>
        <w:t>4.</w:t>
      </w:r>
      <w:r w:rsidR="008B28BC">
        <w:rPr>
          <w:b/>
        </w:rPr>
        <w:t xml:space="preserve"> </w:t>
      </w:r>
      <w:proofErr w:type="gramStart"/>
      <w:r>
        <w:rPr>
          <w:u w:val="single"/>
        </w:rPr>
        <w:t>К</w:t>
      </w:r>
      <w:r w:rsidRPr="00394881">
        <w:rPr>
          <w:u w:val="single"/>
        </w:rPr>
        <w:t>омитету сельского хозяйства</w:t>
      </w:r>
      <w:r w:rsidRPr="008B28BC">
        <w:rPr>
          <w:i/>
        </w:rPr>
        <w:t xml:space="preserve"> – </w:t>
      </w:r>
      <w:r w:rsidRPr="008B28BC">
        <w:t>56,3 млн. руб.</w:t>
      </w:r>
      <w:r w:rsidRPr="00C02964">
        <w:t xml:space="preserve"> </w:t>
      </w:r>
      <w:r w:rsidRPr="00B96BCC">
        <w:t xml:space="preserve">в рамках </w:t>
      </w:r>
      <w:r w:rsidRPr="00B96BCC">
        <w:rPr>
          <w:color w:val="000000"/>
        </w:rPr>
        <w:t xml:space="preserve">госпрограммы </w:t>
      </w:r>
      <w:r>
        <w:rPr>
          <w:color w:val="000000"/>
        </w:rPr>
        <w:t>«</w:t>
      </w:r>
      <w:r w:rsidRPr="00B96BCC">
        <w:rPr>
          <w:color w:val="000000"/>
        </w:rPr>
        <w:t>Устойчивое развитие сельских территорий</w:t>
      </w:r>
      <w:r>
        <w:rPr>
          <w:color w:val="000000"/>
        </w:rPr>
        <w:t xml:space="preserve">» </w:t>
      </w:r>
      <w:r w:rsidRPr="00B96BCC">
        <w:t xml:space="preserve">на </w:t>
      </w:r>
      <w:r>
        <w:t>строительство 2 объектов газоснабжения</w:t>
      </w:r>
      <w:r w:rsidRPr="00B96BCC">
        <w:t xml:space="preserve"> </w:t>
      </w:r>
      <w:r>
        <w:t xml:space="preserve">(11,2 млн. руб.) в Нехаевском и </w:t>
      </w:r>
      <w:proofErr w:type="spellStart"/>
      <w:r>
        <w:t>Суровикинском</w:t>
      </w:r>
      <w:proofErr w:type="spellEnd"/>
      <w:r>
        <w:t xml:space="preserve"> муниципальных районах, строительство водопроводных сетей системы водоснабжения п. Красноармейский Новониколаевского района (36,6 млн. руб.) и корректировку проекта по строительству сетей питьевого водопровода в х. </w:t>
      </w:r>
      <w:proofErr w:type="spellStart"/>
      <w:r>
        <w:t>Криушинский</w:t>
      </w:r>
      <w:proofErr w:type="spellEnd"/>
      <w:r>
        <w:t xml:space="preserve"> Урюпинского муниципального района (8,5 млн. руб.).</w:t>
      </w:r>
      <w:proofErr w:type="gramEnd"/>
    </w:p>
    <w:p w:rsidR="0091626E" w:rsidRDefault="0091626E" w:rsidP="0091626E">
      <w:pPr>
        <w:pStyle w:val="a9"/>
        <w:autoSpaceDE w:val="0"/>
        <w:autoSpaceDN w:val="0"/>
        <w:adjustRightInd w:val="0"/>
        <w:ind w:left="0" w:firstLine="708"/>
        <w:jc w:val="both"/>
      </w:pPr>
      <w:r w:rsidRPr="00806F08">
        <w:rPr>
          <w:b/>
          <w:i/>
          <w:u w:val="single"/>
        </w:rPr>
        <w:t>По подразделу 0503 «Благоустройство»</w:t>
      </w:r>
      <w:r w:rsidRPr="00B96BCC">
        <w:rPr>
          <w:b/>
          <w:i/>
        </w:rPr>
        <w:t xml:space="preserve"> </w:t>
      </w:r>
      <w:r w:rsidRPr="00B96BCC">
        <w:t xml:space="preserve">бюджетные </w:t>
      </w:r>
      <w:r>
        <w:t>ассигнования на 2019 год предусмотрены в размере  749,1</w:t>
      </w:r>
      <w:r w:rsidRPr="00B96BCC">
        <w:t xml:space="preserve"> млн. руб., </w:t>
      </w:r>
      <w:r>
        <w:t>что в 2 раза меньше плана 2018 года (1565 млн. руб.), в том числе:</w:t>
      </w:r>
    </w:p>
    <w:p w:rsidR="008C5D5C" w:rsidRDefault="0091626E" w:rsidP="008C5D5C">
      <w:pPr>
        <w:pStyle w:val="a9"/>
        <w:autoSpaceDE w:val="0"/>
        <w:autoSpaceDN w:val="0"/>
        <w:adjustRightInd w:val="0"/>
        <w:ind w:left="0" w:firstLine="708"/>
        <w:jc w:val="both"/>
        <w:rPr>
          <w:bCs/>
        </w:rPr>
      </w:pPr>
      <w:r>
        <w:t>-</w:t>
      </w:r>
      <w:r w:rsidRPr="0061370B">
        <w:rPr>
          <w:u w:val="single"/>
        </w:rPr>
        <w:t xml:space="preserve">комитету ЖКХ и </w:t>
      </w:r>
      <w:r w:rsidRPr="008C5D5C">
        <w:rPr>
          <w:u w:val="single"/>
        </w:rPr>
        <w:t>ТЭК</w:t>
      </w:r>
      <w:r w:rsidRPr="008C5D5C">
        <w:rPr>
          <w:i/>
        </w:rPr>
        <w:t xml:space="preserve"> – </w:t>
      </w:r>
      <w:r w:rsidRPr="008C5D5C">
        <w:t>412,4 млн. руб.</w:t>
      </w:r>
      <w:r w:rsidRPr="00AE1FB8">
        <w:t xml:space="preserve"> на реализацию мероприятий по благоустройству территорий в рамках г</w:t>
      </w:r>
      <w:r w:rsidRPr="00AE1FB8">
        <w:rPr>
          <w:bCs/>
        </w:rPr>
        <w:t>оспрограммы «Формирование современной городской среды»</w:t>
      </w:r>
      <w:r>
        <w:rPr>
          <w:bCs/>
        </w:rPr>
        <w:t>, из них:</w:t>
      </w:r>
    </w:p>
    <w:p w:rsidR="008C5D5C" w:rsidRDefault="0091626E" w:rsidP="008C5D5C">
      <w:pPr>
        <w:pStyle w:val="a9"/>
        <w:autoSpaceDE w:val="0"/>
        <w:autoSpaceDN w:val="0"/>
        <w:adjustRightInd w:val="0"/>
        <w:ind w:left="0" w:firstLine="708"/>
        <w:jc w:val="both"/>
        <w:rPr>
          <w:bCs/>
        </w:rPr>
      </w:pPr>
      <w:r>
        <w:rPr>
          <w:bCs/>
        </w:rPr>
        <w:t>на благоустройство 110 центральных усадеб сельских поселений только за счет средств областного бюджета – 330 млн. руб. (по 3 млн. руб. каждому поселению);</w:t>
      </w:r>
    </w:p>
    <w:p w:rsidR="0091626E" w:rsidRDefault="0091626E" w:rsidP="008C5D5C">
      <w:pPr>
        <w:pStyle w:val="a9"/>
        <w:autoSpaceDE w:val="0"/>
        <w:autoSpaceDN w:val="0"/>
        <w:adjustRightInd w:val="0"/>
        <w:ind w:left="0" w:firstLine="708"/>
        <w:jc w:val="both"/>
        <w:rPr>
          <w:bCs/>
        </w:rPr>
      </w:pPr>
      <w:r>
        <w:rPr>
          <w:bCs/>
        </w:rPr>
        <w:t xml:space="preserve">на </w:t>
      </w:r>
      <w:proofErr w:type="spellStart"/>
      <w:r>
        <w:rPr>
          <w:bCs/>
        </w:rPr>
        <w:t>софинансирование</w:t>
      </w:r>
      <w:proofErr w:type="spellEnd"/>
      <w:r>
        <w:rPr>
          <w:bCs/>
        </w:rPr>
        <w:t xml:space="preserve"> из областного бюджета на реализацию национального проекта «Формирование комфортной городской среды» (14%) – 82,4 млн. рублей.</w:t>
      </w:r>
    </w:p>
    <w:p w:rsidR="0091626E" w:rsidRPr="001A2773" w:rsidRDefault="0091626E" w:rsidP="0091626E">
      <w:pPr>
        <w:pStyle w:val="a9"/>
        <w:autoSpaceDE w:val="0"/>
        <w:autoSpaceDN w:val="0"/>
        <w:adjustRightInd w:val="0"/>
        <w:ind w:left="0" w:firstLine="708"/>
        <w:jc w:val="both"/>
        <w:rPr>
          <w:bCs/>
        </w:rPr>
      </w:pPr>
      <w:r w:rsidRPr="001A2773">
        <w:rPr>
          <w:bCs/>
        </w:rPr>
        <w:t xml:space="preserve">Бюджетные ассигнования </w:t>
      </w:r>
      <w:r w:rsidR="008C5D5C">
        <w:rPr>
          <w:bCs/>
        </w:rPr>
        <w:t xml:space="preserve">на последнее направление </w:t>
      </w:r>
      <w:r w:rsidRPr="001A2773">
        <w:rPr>
          <w:bCs/>
        </w:rPr>
        <w:t xml:space="preserve">запланированы </w:t>
      </w:r>
      <w:r w:rsidR="008C5D5C" w:rsidRPr="001A2773">
        <w:rPr>
          <w:bCs/>
        </w:rPr>
        <w:t xml:space="preserve">на 2019 год </w:t>
      </w:r>
      <w:r w:rsidRPr="001A2773">
        <w:rPr>
          <w:bCs/>
        </w:rPr>
        <w:t>в 2,2 раза меньше</w:t>
      </w:r>
      <w:r w:rsidR="008C5D5C">
        <w:rPr>
          <w:bCs/>
        </w:rPr>
        <w:t>, чем в</w:t>
      </w:r>
      <w:r w:rsidRPr="001A2773">
        <w:rPr>
          <w:bCs/>
        </w:rPr>
        <w:t xml:space="preserve"> 2018 года (921 млн. руб.), так как на эти цели законопроектом не предусмотрены средства федерального бюджета в рамках национального проекта, которые должны составить 506,2 млн. руб. (86%).</w:t>
      </w:r>
    </w:p>
    <w:p w:rsidR="008C5D5C" w:rsidRDefault="0091626E" w:rsidP="008C5D5C">
      <w:pPr>
        <w:pStyle w:val="a9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 w:rsidRPr="002A04AC">
        <w:t>-</w:t>
      </w:r>
      <w:r w:rsidRPr="002A04AC">
        <w:rPr>
          <w:u w:val="single"/>
        </w:rPr>
        <w:t xml:space="preserve">комитету </w:t>
      </w:r>
      <w:r w:rsidRPr="008C5D5C">
        <w:rPr>
          <w:u w:val="single"/>
        </w:rPr>
        <w:t>строительства</w:t>
      </w:r>
      <w:r w:rsidRPr="008C5D5C">
        <w:t xml:space="preserve"> – 336,7 млн. руб.</w:t>
      </w:r>
      <w:r w:rsidRPr="002A04AC">
        <w:t xml:space="preserve"> на реализацию мероприятий подпрограммы «Стимулирование развития жилищного строительства в Волгоградской области» </w:t>
      </w:r>
      <w:r w:rsidRPr="002A04AC">
        <w:rPr>
          <w:rFonts w:eastAsia="Calibri"/>
        </w:rPr>
        <w:t>госпрограммы «Обеспечение доступным и комфортным жильем и коммунальными услугами жителей Волгоградской области»</w:t>
      </w:r>
      <w:r>
        <w:rPr>
          <w:rFonts w:eastAsia="Calibri"/>
        </w:rPr>
        <w:t xml:space="preserve"> в рамках приоритетного проекта «Ипотека и арендное жилье» на реализацию проектов комплексного освоения территории, из них:</w:t>
      </w:r>
    </w:p>
    <w:p w:rsidR="008C5D5C" w:rsidRDefault="008C5D5C" w:rsidP="008C5D5C">
      <w:pPr>
        <w:pStyle w:val="a9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-</w:t>
      </w:r>
      <w:r w:rsidR="0091626E">
        <w:rPr>
          <w:rFonts w:eastAsia="Calibri"/>
        </w:rPr>
        <w:t xml:space="preserve">на строительство автодороги по ул. им. гвардии капитана </w:t>
      </w:r>
      <w:proofErr w:type="spellStart"/>
      <w:r w:rsidR="0091626E">
        <w:rPr>
          <w:rFonts w:eastAsia="Calibri"/>
        </w:rPr>
        <w:t>Курсекова</w:t>
      </w:r>
      <w:proofErr w:type="spellEnd"/>
      <w:r w:rsidR="0091626E">
        <w:rPr>
          <w:rFonts w:eastAsia="Calibri"/>
        </w:rPr>
        <w:t xml:space="preserve"> в границах от ул. им. Джамбула </w:t>
      </w:r>
      <w:proofErr w:type="spellStart"/>
      <w:r w:rsidR="0091626E">
        <w:rPr>
          <w:rFonts w:eastAsia="Calibri"/>
        </w:rPr>
        <w:t>Джабаева</w:t>
      </w:r>
      <w:proofErr w:type="spellEnd"/>
      <w:r w:rsidR="0091626E">
        <w:rPr>
          <w:rFonts w:eastAsia="Calibri"/>
        </w:rPr>
        <w:t xml:space="preserve"> до ул. им. </w:t>
      </w:r>
      <w:proofErr w:type="spellStart"/>
      <w:r w:rsidR="0091626E">
        <w:rPr>
          <w:rFonts w:eastAsia="Calibri"/>
        </w:rPr>
        <w:t>Грибанова</w:t>
      </w:r>
      <w:proofErr w:type="spellEnd"/>
      <w:r w:rsidR="0091626E">
        <w:rPr>
          <w:rFonts w:eastAsia="Calibri"/>
        </w:rPr>
        <w:t xml:space="preserve"> в Советском районе </w:t>
      </w:r>
      <w:proofErr w:type="gramStart"/>
      <w:r w:rsidR="0091626E">
        <w:rPr>
          <w:rFonts w:eastAsia="Calibri"/>
        </w:rPr>
        <w:t>г</w:t>
      </w:r>
      <w:proofErr w:type="gramEnd"/>
      <w:r w:rsidR="0091626E">
        <w:rPr>
          <w:rFonts w:eastAsia="Calibri"/>
        </w:rPr>
        <w:t>. Волгограда. 1 этап – 206,7 млн. руб., в том числе за счет средств федерального бюджета – 182,9 млн. руб.;</w:t>
      </w:r>
    </w:p>
    <w:p w:rsidR="0091626E" w:rsidRDefault="0091626E" w:rsidP="008C5D5C">
      <w:pPr>
        <w:pStyle w:val="a9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t xml:space="preserve">на строительство </w:t>
      </w:r>
      <w:r w:rsidR="004E3A48">
        <w:rPr>
          <w:rFonts w:eastAsia="Calibri"/>
        </w:rPr>
        <w:t xml:space="preserve">автодороги по </w:t>
      </w:r>
      <w:r>
        <w:rPr>
          <w:rFonts w:eastAsia="Calibri"/>
        </w:rPr>
        <w:t xml:space="preserve">ул. им. </w:t>
      </w:r>
      <w:proofErr w:type="spellStart"/>
      <w:r>
        <w:rPr>
          <w:rFonts w:eastAsia="Calibri"/>
        </w:rPr>
        <w:t>Хорошева</w:t>
      </w:r>
      <w:proofErr w:type="spellEnd"/>
      <w:r>
        <w:rPr>
          <w:rFonts w:eastAsia="Calibri"/>
        </w:rPr>
        <w:t xml:space="preserve"> (в границах от Бульвара 30-летия Победы до дворца водных видов спорта) в Дзержинском районе Волгограда – 130 млн. руб., в том числе за счет средств федерального бюджета – 115 млн. рублей.</w:t>
      </w:r>
    </w:p>
    <w:p w:rsidR="0091626E" w:rsidRDefault="0091626E" w:rsidP="0091626E">
      <w:pPr>
        <w:ind w:firstLine="708"/>
        <w:jc w:val="both"/>
      </w:pPr>
      <w:r w:rsidRPr="00806F08">
        <w:rPr>
          <w:b/>
          <w:i/>
          <w:u w:val="single"/>
        </w:rPr>
        <w:t>По подразделу 0505 «Другие вопросы в области жилищно-коммунального хозяйства»</w:t>
      </w:r>
      <w:r w:rsidRPr="00B96BCC">
        <w:rPr>
          <w:b/>
          <w:i/>
        </w:rPr>
        <w:t xml:space="preserve"> </w:t>
      </w:r>
      <w:r w:rsidRPr="00B96BCC">
        <w:t xml:space="preserve">бюджетные </w:t>
      </w:r>
      <w:r>
        <w:t>ассигнования на 2019 год предусмотрены в размере 301,1</w:t>
      </w:r>
      <w:r w:rsidRPr="00B96BCC">
        <w:t xml:space="preserve"> млн. руб., </w:t>
      </w:r>
      <w:r>
        <w:t>или</w:t>
      </w:r>
      <w:r w:rsidRPr="00B96BCC">
        <w:t xml:space="preserve"> на </w:t>
      </w:r>
      <w:r>
        <w:t>99</w:t>
      </w:r>
      <w:r w:rsidRPr="00B96BCC">
        <w:t xml:space="preserve">% </w:t>
      </w:r>
      <w:r>
        <w:t>к плану</w:t>
      </w:r>
      <w:r w:rsidRPr="00B96BCC">
        <w:t xml:space="preserve"> </w:t>
      </w:r>
      <w:r>
        <w:t>2018</w:t>
      </w:r>
      <w:r w:rsidRPr="00B96BCC">
        <w:t xml:space="preserve"> год</w:t>
      </w:r>
      <w:r>
        <w:t>а</w:t>
      </w:r>
      <w:r w:rsidR="003053BA">
        <w:t>, которые запланировано</w:t>
      </w:r>
      <w:r>
        <w:t xml:space="preserve"> направ</w:t>
      </w:r>
      <w:r w:rsidR="003053BA">
        <w:t>ить</w:t>
      </w:r>
      <w:r>
        <w:t xml:space="preserve"> в основном на обеспечение деятельности органов исполнительной власти Волгоградской области.</w:t>
      </w:r>
    </w:p>
    <w:p w:rsidR="00806F08" w:rsidRPr="00537D29" w:rsidRDefault="00806F08" w:rsidP="0091626E">
      <w:pPr>
        <w:ind w:firstLine="708"/>
        <w:jc w:val="both"/>
      </w:pPr>
    </w:p>
    <w:p w:rsidR="00EA2C21" w:rsidRDefault="00EA2C21" w:rsidP="00EA2C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Расходы по разделу 0600 «Охрана окружающей среды».</w:t>
      </w:r>
    </w:p>
    <w:p w:rsidR="00EA2C21" w:rsidRDefault="00EA2C21" w:rsidP="00EA2C21">
      <w:pPr>
        <w:jc w:val="center"/>
        <w:rPr>
          <w:b/>
          <w:i/>
          <w:u w:val="single"/>
        </w:rPr>
      </w:pPr>
    </w:p>
    <w:p w:rsidR="00116162" w:rsidRDefault="00116162" w:rsidP="00116162">
      <w:pPr>
        <w:ind w:firstLine="720"/>
        <w:jc w:val="both"/>
        <w:rPr>
          <w:bCs/>
          <w:iCs/>
          <w:color w:val="000000"/>
          <w:spacing w:val="-1"/>
        </w:rPr>
      </w:pPr>
      <w:r w:rsidRPr="00880490">
        <w:t>По разделу 0600 «Охрана окружающей среды»</w:t>
      </w:r>
      <w:r w:rsidRPr="00A67049">
        <w:rPr>
          <w:b/>
          <w:i/>
        </w:rPr>
        <w:t xml:space="preserve"> </w:t>
      </w:r>
      <w:r>
        <w:t>комитету</w:t>
      </w:r>
      <w:r w:rsidRPr="00196AC5">
        <w:t xml:space="preserve"> природных ресурсов</w:t>
      </w:r>
      <w:r>
        <w:t>, лесного хозяйства</w:t>
      </w:r>
      <w:r w:rsidRPr="00196AC5">
        <w:t xml:space="preserve"> и экологии Волгоградской области </w:t>
      </w:r>
      <w:r w:rsidRPr="00A67049">
        <w:t xml:space="preserve">предусмотрены </w:t>
      </w:r>
      <w:r>
        <w:t>а</w:t>
      </w:r>
      <w:r w:rsidRPr="00196AC5">
        <w:t>ссигнования на 201</w:t>
      </w:r>
      <w:r>
        <w:t>9</w:t>
      </w:r>
      <w:r w:rsidRPr="00196AC5">
        <w:t xml:space="preserve"> год в размере </w:t>
      </w:r>
      <w:r>
        <w:t>698</w:t>
      </w:r>
      <w:r w:rsidRPr="00423EAE">
        <w:rPr>
          <w:b/>
        </w:rPr>
        <w:t xml:space="preserve"> </w:t>
      </w:r>
      <w:r w:rsidRPr="00B74325">
        <w:t xml:space="preserve">млн. руб., что составляет </w:t>
      </w:r>
      <w:r>
        <w:t>95,7</w:t>
      </w:r>
      <w:r w:rsidRPr="00B74325">
        <w:t>%</w:t>
      </w:r>
      <w:r>
        <w:t xml:space="preserve"> от </w:t>
      </w:r>
      <w:r w:rsidR="00B72E25">
        <w:t>ассигнований</w:t>
      </w:r>
      <w:r w:rsidRPr="00B74325">
        <w:t xml:space="preserve"> 201</w:t>
      </w:r>
      <w:r>
        <w:t>8</w:t>
      </w:r>
      <w:r w:rsidRPr="00B74325">
        <w:t xml:space="preserve"> года (</w:t>
      </w:r>
      <w:r>
        <w:t>729,3</w:t>
      </w:r>
      <w:r w:rsidRPr="00B74325">
        <w:t xml:space="preserve"> млн. руб.)</w:t>
      </w:r>
      <w:r>
        <w:t>.</w:t>
      </w:r>
      <w:r w:rsidRPr="00B74325">
        <w:t xml:space="preserve"> </w:t>
      </w:r>
      <w:r>
        <w:tab/>
        <w:t xml:space="preserve">Расходы на реализацию госпрограммы </w:t>
      </w:r>
      <w:r w:rsidRPr="00196AC5">
        <w:t>«Охрана окружающей среды на территории Волгоградской области»</w:t>
      </w:r>
      <w:r>
        <w:t xml:space="preserve"> на 2019 год предусмотрены в размере 556,4 млн. руб., т. е. уменьшены по сравнению с текущим годом на 17,3 млн. руб. (573,7 млн. руб.). </w:t>
      </w:r>
    </w:p>
    <w:p w:rsidR="00116162" w:rsidRPr="00B81562" w:rsidRDefault="00116162" w:rsidP="00116162">
      <w:pPr>
        <w:ind w:firstLine="720"/>
        <w:jc w:val="both"/>
      </w:pPr>
      <w:r>
        <w:t xml:space="preserve">Основную долю по данному разделу в рамках госпрограммы составляют расходы на подпрограмму </w:t>
      </w:r>
      <w:r w:rsidRPr="00977225">
        <w:t>«Обращение с твердыми коммунальными отходами на территории Волгоградской области» - 460,7 млн. руб.</w:t>
      </w:r>
      <w:r w:rsidR="00977225">
        <w:t xml:space="preserve"> (82,8%)</w:t>
      </w:r>
      <w:r w:rsidRPr="009C6940">
        <w:rPr>
          <w:u w:val="single"/>
        </w:rPr>
        <w:t>,</w:t>
      </w:r>
      <w:r w:rsidRPr="00DB7B78">
        <w:t xml:space="preserve"> </w:t>
      </w:r>
      <w:r w:rsidRPr="00B81562">
        <w:t>из них средства федерального бюджета – 349</w:t>
      </w:r>
      <w:r>
        <w:t xml:space="preserve"> млн. рублей</w:t>
      </w:r>
      <w:r w:rsidRPr="00B81562">
        <w:t>.</w:t>
      </w:r>
      <w:r>
        <w:t xml:space="preserve"> </w:t>
      </w:r>
      <w:r w:rsidRPr="00B81562">
        <w:t xml:space="preserve"> </w:t>
      </w:r>
    </w:p>
    <w:p w:rsidR="00116162" w:rsidRPr="00E90DAF" w:rsidRDefault="00116162" w:rsidP="00116162">
      <w:pPr>
        <w:ind w:firstLine="720"/>
        <w:jc w:val="both"/>
      </w:pPr>
      <w:r w:rsidRPr="00E90DAF">
        <w:rPr>
          <w:bCs/>
          <w:iCs/>
          <w:color w:val="000000"/>
          <w:spacing w:val="-1"/>
        </w:rPr>
        <w:t xml:space="preserve">По информации </w:t>
      </w:r>
      <w:r w:rsidRPr="00E90DAF">
        <w:t xml:space="preserve">комитета природных ресурсов, лесного хозяйства и экологии Волгоградской </w:t>
      </w:r>
      <w:proofErr w:type="gramStart"/>
      <w:r w:rsidRPr="00E90DAF">
        <w:t>области</w:t>
      </w:r>
      <w:proofErr w:type="gramEnd"/>
      <w:r w:rsidRPr="00E90DAF">
        <w:t xml:space="preserve"> данные средства предусмотрено направить на следующие мероприятия:</w:t>
      </w:r>
    </w:p>
    <w:p w:rsidR="00116162" w:rsidRDefault="00116162" w:rsidP="00116162">
      <w:pPr>
        <w:ind w:firstLine="720"/>
        <w:jc w:val="both"/>
        <w:rPr>
          <w:bCs/>
          <w:iCs/>
          <w:color w:val="000000"/>
          <w:spacing w:val="-1"/>
        </w:rPr>
      </w:pPr>
      <w:r w:rsidRPr="009C6940">
        <w:rPr>
          <w:bCs/>
          <w:iCs/>
          <w:color w:val="000000"/>
          <w:spacing w:val="-1"/>
        </w:rPr>
        <w:t>-создание и дооснащение мусороперерабатывающего комплекса на территории Волгоградской области (</w:t>
      </w:r>
      <w:proofErr w:type="gramStart"/>
      <w:r w:rsidRPr="009C6940">
        <w:rPr>
          <w:bCs/>
          <w:iCs/>
          <w:color w:val="000000"/>
          <w:spacing w:val="-1"/>
        </w:rPr>
        <w:t>г</w:t>
      </w:r>
      <w:proofErr w:type="gramEnd"/>
      <w:r w:rsidRPr="009C6940">
        <w:rPr>
          <w:bCs/>
          <w:iCs/>
          <w:color w:val="000000"/>
          <w:spacing w:val="-1"/>
        </w:rPr>
        <w:t xml:space="preserve">. Михайловка) </w:t>
      </w:r>
      <w:r w:rsidRPr="00D7075D">
        <w:rPr>
          <w:bCs/>
          <w:iCs/>
          <w:color w:val="000000"/>
          <w:spacing w:val="-1"/>
        </w:rPr>
        <w:t>в рамках федерального проекта «Комплексная система обращения с ТКО» – 217,6 млн. руб.,</w:t>
      </w:r>
      <w:r w:rsidRPr="009C6940">
        <w:rPr>
          <w:bCs/>
          <w:iCs/>
          <w:color w:val="000000"/>
          <w:spacing w:val="-1"/>
        </w:rPr>
        <w:t xml:space="preserve"> в том числе за счет средств федерального бюджета – 187,1 млн. руб. </w:t>
      </w:r>
      <w:r>
        <w:rPr>
          <w:bCs/>
          <w:iCs/>
          <w:color w:val="000000"/>
          <w:spacing w:val="-1"/>
        </w:rPr>
        <w:t xml:space="preserve">(86%) </w:t>
      </w:r>
      <w:r w:rsidRPr="009C6940">
        <w:rPr>
          <w:bCs/>
          <w:iCs/>
          <w:color w:val="000000"/>
          <w:spacing w:val="-1"/>
        </w:rPr>
        <w:t>и областного бюджета – 30,5 млн. руб.</w:t>
      </w:r>
      <w:r>
        <w:rPr>
          <w:bCs/>
          <w:iCs/>
          <w:color w:val="000000"/>
          <w:spacing w:val="-1"/>
        </w:rPr>
        <w:t xml:space="preserve"> (14%)</w:t>
      </w:r>
      <w:r w:rsidRPr="009C6940">
        <w:rPr>
          <w:bCs/>
          <w:iCs/>
          <w:color w:val="000000"/>
          <w:spacing w:val="-1"/>
        </w:rPr>
        <w:t>;</w:t>
      </w:r>
    </w:p>
    <w:p w:rsidR="00116162" w:rsidRPr="009C6940" w:rsidRDefault="00116162" w:rsidP="00116162">
      <w:pPr>
        <w:ind w:firstLine="720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 xml:space="preserve">-ведение регионального кадастра отходов (схемы обращения с отходами) за счет средств областного бюджета – 4,5 млн. руб.; </w:t>
      </w:r>
    </w:p>
    <w:p w:rsidR="00116162" w:rsidRPr="00D7075D" w:rsidRDefault="00116162" w:rsidP="00116162">
      <w:pPr>
        <w:ind w:firstLine="720"/>
        <w:jc w:val="both"/>
        <w:rPr>
          <w:bCs/>
          <w:iCs/>
          <w:color w:val="000000"/>
          <w:spacing w:val="-1"/>
          <w:u w:val="single"/>
        </w:rPr>
      </w:pPr>
      <w:r w:rsidRPr="00491127">
        <w:rPr>
          <w:bCs/>
          <w:iCs/>
          <w:color w:val="000000"/>
          <w:spacing w:val="-1"/>
        </w:rPr>
        <w:t xml:space="preserve">-ликвидацию накопленного экологического ущерба в </w:t>
      </w:r>
      <w:proofErr w:type="spellStart"/>
      <w:r w:rsidRPr="00491127">
        <w:rPr>
          <w:bCs/>
          <w:iCs/>
          <w:color w:val="000000"/>
          <w:spacing w:val="-1"/>
        </w:rPr>
        <w:t>Среднеахтубинском</w:t>
      </w:r>
      <w:proofErr w:type="spellEnd"/>
      <w:r w:rsidRPr="00491127">
        <w:rPr>
          <w:bCs/>
          <w:iCs/>
          <w:color w:val="000000"/>
          <w:spacing w:val="-1"/>
        </w:rPr>
        <w:t xml:space="preserve"> муниципальном районе</w:t>
      </w:r>
      <w:r>
        <w:rPr>
          <w:bCs/>
          <w:iCs/>
          <w:color w:val="000000"/>
          <w:spacing w:val="-1"/>
        </w:rPr>
        <w:t xml:space="preserve"> и </w:t>
      </w:r>
      <w:r w:rsidRPr="00491127">
        <w:rPr>
          <w:bCs/>
          <w:iCs/>
          <w:color w:val="000000"/>
          <w:spacing w:val="-1"/>
        </w:rPr>
        <w:t xml:space="preserve"> г</w:t>
      </w:r>
      <w:proofErr w:type="gramStart"/>
      <w:r w:rsidRPr="00491127">
        <w:rPr>
          <w:bCs/>
          <w:iCs/>
          <w:color w:val="000000"/>
          <w:spacing w:val="-1"/>
        </w:rPr>
        <w:t>.У</w:t>
      </w:r>
      <w:proofErr w:type="gramEnd"/>
      <w:r w:rsidRPr="00491127">
        <w:rPr>
          <w:bCs/>
          <w:iCs/>
          <w:color w:val="000000"/>
          <w:spacing w:val="-1"/>
        </w:rPr>
        <w:t xml:space="preserve">рюпинске </w:t>
      </w:r>
      <w:r w:rsidRPr="00D7075D">
        <w:rPr>
          <w:bCs/>
          <w:iCs/>
          <w:color w:val="000000"/>
          <w:spacing w:val="-1"/>
        </w:rPr>
        <w:t>в рамках федерального проекта «Чистая страна» - 179,3 млн. руб.,</w:t>
      </w:r>
      <w:r w:rsidRPr="00826400">
        <w:rPr>
          <w:bCs/>
          <w:iCs/>
          <w:color w:val="000000"/>
          <w:spacing w:val="-1"/>
        </w:rPr>
        <w:t xml:space="preserve"> в том числе за счет средств федерального бюджета – 161,8 млн. руб.</w:t>
      </w:r>
      <w:r w:rsidR="00D7075D">
        <w:rPr>
          <w:bCs/>
          <w:iCs/>
          <w:color w:val="000000"/>
          <w:spacing w:val="-1"/>
        </w:rPr>
        <w:t>,</w:t>
      </w:r>
      <w:r w:rsidRPr="00826400">
        <w:rPr>
          <w:bCs/>
          <w:iCs/>
          <w:color w:val="000000"/>
          <w:spacing w:val="-1"/>
        </w:rPr>
        <w:t xml:space="preserve"> областного бюджета – 17,5 млн. руб.</w:t>
      </w:r>
      <w:r>
        <w:rPr>
          <w:bCs/>
          <w:iCs/>
          <w:color w:val="000000"/>
          <w:spacing w:val="-1"/>
        </w:rPr>
        <w:t xml:space="preserve"> (9,8% к общей сумме расходов). При этом </w:t>
      </w:r>
      <w:r w:rsidRPr="00D7075D">
        <w:rPr>
          <w:bCs/>
          <w:iCs/>
          <w:color w:val="000000"/>
          <w:spacing w:val="-1"/>
          <w:u w:val="single"/>
        </w:rPr>
        <w:t xml:space="preserve">для обеспечения </w:t>
      </w:r>
      <w:proofErr w:type="spellStart"/>
      <w:r w:rsidRPr="00D7075D">
        <w:rPr>
          <w:bCs/>
          <w:iCs/>
          <w:color w:val="000000"/>
          <w:spacing w:val="-1"/>
          <w:u w:val="single"/>
        </w:rPr>
        <w:t>софинансирования</w:t>
      </w:r>
      <w:proofErr w:type="spellEnd"/>
      <w:r w:rsidRPr="00D7075D">
        <w:rPr>
          <w:bCs/>
          <w:iCs/>
          <w:color w:val="000000"/>
          <w:spacing w:val="-1"/>
          <w:u w:val="single"/>
        </w:rPr>
        <w:t xml:space="preserve"> из областного бюджета в размере 14% необходимы дополнительные бюджетные ассигнования на сумму 8,8 млн. рублей.</w:t>
      </w:r>
      <w:r>
        <w:rPr>
          <w:bCs/>
          <w:iCs/>
          <w:color w:val="000000"/>
          <w:spacing w:val="-1"/>
        </w:rPr>
        <w:t xml:space="preserve"> На </w:t>
      </w:r>
      <w:r w:rsidRPr="00491127">
        <w:rPr>
          <w:bCs/>
          <w:iCs/>
          <w:color w:val="000000"/>
          <w:spacing w:val="-1"/>
        </w:rPr>
        <w:t xml:space="preserve">ликвидацию накопленного экологического ущерба </w:t>
      </w:r>
      <w:r>
        <w:rPr>
          <w:bCs/>
          <w:iCs/>
          <w:color w:val="000000"/>
          <w:spacing w:val="-1"/>
        </w:rPr>
        <w:t xml:space="preserve">в </w:t>
      </w:r>
      <w:r w:rsidRPr="00491127">
        <w:rPr>
          <w:bCs/>
          <w:iCs/>
          <w:color w:val="000000"/>
          <w:spacing w:val="-1"/>
        </w:rPr>
        <w:t>г</w:t>
      </w:r>
      <w:proofErr w:type="gramStart"/>
      <w:r w:rsidRPr="00491127">
        <w:rPr>
          <w:bCs/>
          <w:iCs/>
          <w:color w:val="000000"/>
          <w:spacing w:val="-1"/>
        </w:rPr>
        <w:t>.К</w:t>
      </w:r>
      <w:proofErr w:type="gramEnd"/>
      <w:r w:rsidRPr="00491127">
        <w:rPr>
          <w:bCs/>
          <w:iCs/>
          <w:color w:val="000000"/>
          <w:spacing w:val="-1"/>
        </w:rPr>
        <w:t>амышине и Дубовском муниципальном районе</w:t>
      </w:r>
      <w:r>
        <w:rPr>
          <w:bCs/>
          <w:iCs/>
          <w:color w:val="000000"/>
          <w:spacing w:val="-1"/>
        </w:rPr>
        <w:t xml:space="preserve">, по которым также в 2017 году уже разработаны проекты, по сведениям комитета в 2019 году планируется дополнительно привлечь 239,4 млн. руб. федеральных средств (при поправках федерального бюджета во втором чтении), </w:t>
      </w:r>
      <w:r w:rsidRPr="00D7075D">
        <w:rPr>
          <w:bCs/>
          <w:iCs/>
          <w:color w:val="000000"/>
          <w:spacing w:val="-1"/>
          <w:u w:val="single"/>
        </w:rPr>
        <w:t xml:space="preserve">что потребует </w:t>
      </w:r>
      <w:proofErr w:type="spellStart"/>
      <w:r w:rsidRPr="00D7075D">
        <w:rPr>
          <w:bCs/>
          <w:iCs/>
          <w:color w:val="000000"/>
          <w:spacing w:val="-1"/>
          <w:u w:val="single"/>
        </w:rPr>
        <w:t>софинансирования</w:t>
      </w:r>
      <w:proofErr w:type="spellEnd"/>
      <w:r w:rsidRPr="00D7075D">
        <w:rPr>
          <w:bCs/>
          <w:iCs/>
          <w:color w:val="000000"/>
          <w:spacing w:val="-1"/>
          <w:u w:val="single"/>
        </w:rPr>
        <w:t xml:space="preserve"> из областного бюджета (14%) в сумме 38,9 млн. рублей.</w:t>
      </w:r>
    </w:p>
    <w:p w:rsidR="00116162" w:rsidRPr="00C06C1C" w:rsidRDefault="00116162" w:rsidP="00116162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C06C1C">
        <w:t>-субсидии муниципальным образованиям на разработку проектной документаци</w:t>
      </w:r>
      <w:r>
        <w:t>и</w:t>
      </w:r>
      <w:r w:rsidRPr="00C06C1C"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-1"/>
        </w:rPr>
        <w:t xml:space="preserve">по </w:t>
      </w:r>
      <w:r w:rsidRPr="00491127">
        <w:rPr>
          <w:bCs/>
          <w:iCs/>
          <w:color w:val="000000"/>
          <w:spacing w:val="-1"/>
        </w:rPr>
        <w:t>ликвидаци</w:t>
      </w:r>
      <w:r>
        <w:rPr>
          <w:bCs/>
          <w:iCs/>
          <w:color w:val="000000"/>
          <w:spacing w:val="-1"/>
        </w:rPr>
        <w:t>и</w:t>
      </w:r>
      <w:r w:rsidRPr="00491127">
        <w:rPr>
          <w:bCs/>
          <w:iCs/>
          <w:color w:val="000000"/>
          <w:spacing w:val="-1"/>
        </w:rPr>
        <w:t xml:space="preserve"> накопленного экологического ущерба</w:t>
      </w:r>
      <w:r>
        <w:rPr>
          <w:bCs/>
          <w:iCs/>
          <w:color w:val="000000"/>
          <w:spacing w:val="-1"/>
        </w:rPr>
        <w:t xml:space="preserve"> за счет областного бюджета – 56 млн. руб.;</w:t>
      </w:r>
    </w:p>
    <w:p w:rsidR="00116162" w:rsidRDefault="00116162" w:rsidP="00116162">
      <w:pPr>
        <w:ind w:firstLine="720"/>
        <w:jc w:val="both"/>
        <w:rPr>
          <w:bCs/>
          <w:iCs/>
          <w:color w:val="000000"/>
          <w:spacing w:val="-1"/>
        </w:rPr>
      </w:pPr>
      <w:r w:rsidRPr="00491127">
        <w:rPr>
          <w:bCs/>
          <w:iCs/>
          <w:color w:val="000000"/>
          <w:spacing w:val="-1"/>
        </w:rPr>
        <w:t>-рекультивацию нарушенных земель на территории бывшей Кировской свалки за счет средств областного бюджета – 3,</w:t>
      </w:r>
      <w:r>
        <w:rPr>
          <w:bCs/>
          <w:iCs/>
          <w:color w:val="000000"/>
          <w:spacing w:val="-1"/>
        </w:rPr>
        <w:t>3 млн. рублей.</w:t>
      </w:r>
    </w:p>
    <w:p w:rsidR="00BA048E" w:rsidRDefault="00BA048E" w:rsidP="00116162">
      <w:pPr>
        <w:ind w:firstLine="720"/>
        <w:jc w:val="both"/>
        <w:rPr>
          <w:bCs/>
          <w:iCs/>
          <w:color w:val="000000"/>
          <w:spacing w:val="-1"/>
        </w:rPr>
      </w:pPr>
    </w:p>
    <w:p w:rsidR="00EA2C21" w:rsidRDefault="00EA2C21" w:rsidP="00EA2C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Расходы по разделу 0700 «Образование.</w:t>
      </w:r>
    </w:p>
    <w:p w:rsidR="00EA2C21" w:rsidRDefault="00EA2C21" w:rsidP="00EA2C21">
      <w:pPr>
        <w:jc w:val="center"/>
      </w:pPr>
    </w:p>
    <w:p w:rsidR="00267123" w:rsidRPr="00267123" w:rsidRDefault="000E2C5A" w:rsidP="002671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123" w:rsidRPr="00267123">
        <w:rPr>
          <w:rFonts w:ascii="Times New Roman" w:hAnsi="Times New Roman" w:cs="Times New Roman"/>
          <w:sz w:val="24"/>
          <w:szCs w:val="24"/>
        </w:rPr>
        <w:t xml:space="preserve">По разделу 0700 «Образование» на 2019 год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267123" w:rsidRPr="00267123">
        <w:rPr>
          <w:rFonts w:ascii="Times New Roman" w:hAnsi="Times New Roman" w:cs="Times New Roman"/>
          <w:sz w:val="24"/>
          <w:szCs w:val="24"/>
        </w:rPr>
        <w:t>в сумме 22721,4 млн. руб., что меньше ассигнований</w:t>
      </w:r>
      <w:r w:rsidR="00A42958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267123" w:rsidRPr="00267123">
        <w:rPr>
          <w:rFonts w:ascii="Times New Roman" w:hAnsi="Times New Roman" w:cs="Times New Roman"/>
          <w:sz w:val="24"/>
          <w:szCs w:val="24"/>
        </w:rPr>
        <w:t xml:space="preserve"> год</w:t>
      </w:r>
      <w:r w:rsidR="00A42958">
        <w:rPr>
          <w:rFonts w:ascii="Times New Roman" w:hAnsi="Times New Roman" w:cs="Times New Roman"/>
          <w:sz w:val="24"/>
          <w:szCs w:val="24"/>
        </w:rPr>
        <w:t>а</w:t>
      </w:r>
      <w:r w:rsidR="00267123" w:rsidRPr="00267123">
        <w:rPr>
          <w:rFonts w:ascii="Times New Roman" w:hAnsi="Times New Roman" w:cs="Times New Roman"/>
          <w:sz w:val="24"/>
          <w:szCs w:val="24"/>
        </w:rPr>
        <w:t xml:space="preserve"> (</w:t>
      </w:r>
      <w:r w:rsidR="00A42958">
        <w:rPr>
          <w:rFonts w:ascii="Times New Roman" w:hAnsi="Times New Roman" w:cs="Times New Roman"/>
          <w:sz w:val="24"/>
          <w:szCs w:val="24"/>
        </w:rPr>
        <w:t xml:space="preserve">с учетом поправок, внесенных в закон о бюджете в </w:t>
      </w:r>
      <w:r w:rsidR="00267123" w:rsidRPr="00267123">
        <w:rPr>
          <w:rFonts w:ascii="Times New Roman" w:hAnsi="Times New Roman" w:cs="Times New Roman"/>
          <w:sz w:val="24"/>
          <w:szCs w:val="24"/>
        </w:rPr>
        <w:t>ноябр</w:t>
      </w:r>
      <w:r w:rsidR="00A42958">
        <w:rPr>
          <w:rFonts w:ascii="Times New Roman" w:hAnsi="Times New Roman" w:cs="Times New Roman"/>
          <w:sz w:val="24"/>
          <w:szCs w:val="24"/>
        </w:rPr>
        <w:t>е</w:t>
      </w:r>
      <w:r w:rsidR="00267123" w:rsidRPr="00267123">
        <w:rPr>
          <w:rFonts w:ascii="Times New Roman" w:hAnsi="Times New Roman" w:cs="Times New Roman"/>
          <w:sz w:val="24"/>
          <w:szCs w:val="24"/>
        </w:rPr>
        <w:t xml:space="preserve"> 2018</w:t>
      </w:r>
      <w:r w:rsidR="00A429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7123" w:rsidRPr="00267123">
        <w:rPr>
          <w:rFonts w:ascii="Times New Roman" w:hAnsi="Times New Roman" w:cs="Times New Roman"/>
          <w:sz w:val="24"/>
          <w:szCs w:val="24"/>
        </w:rPr>
        <w:t>)</w:t>
      </w:r>
      <w:r w:rsidR="00267123" w:rsidRPr="00267123">
        <w:rPr>
          <w:sz w:val="24"/>
          <w:szCs w:val="24"/>
        </w:rPr>
        <w:t xml:space="preserve"> </w:t>
      </w:r>
      <w:r w:rsidR="00267123" w:rsidRPr="00267123">
        <w:rPr>
          <w:rFonts w:ascii="Times New Roman" w:hAnsi="Times New Roman" w:cs="Times New Roman"/>
          <w:sz w:val="24"/>
          <w:szCs w:val="24"/>
        </w:rPr>
        <w:t xml:space="preserve">на 1217,7 млн. руб., или на 5,1 процента. </w:t>
      </w:r>
    </w:p>
    <w:p w:rsidR="00267123" w:rsidRPr="00267123" w:rsidRDefault="00AD6F3B" w:rsidP="00093532">
      <w:pPr>
        <w:ind w:firstLine="708"/>
        <w:jc w:val="both"/>
      </w:pPr>
      <w:r>
        <w:lastRenderedPageBreak/>
        <w:t>С</w:t>
      </w:r>
      <w:r w:rsidR="00267123" w:rsidRPr="00267123">
        <w:t>нижение расходов запланировано по 7 из 15</w:t>
      </w:r>
      <w:r>
        <w:t xml:space="preserve"> главных распорядителей бюджетных средств, задействованных в данном разделе</w:t>
      </w:r>
      <w:r w:rsidR="00267123" w:rsidRPr="00267123">
        <w:t xml:space="preserve">. </w:t>
      </w:r>
      <w:r>
        <w:t>При этом о</w:t>
      </w:r>
      <w:r w:rsidR="00267123" w:rsidRPr="00267123">
        <w:t xml:space="preserve">сновное уменьшение ассигнований </w:t>
      </w:r>
      <w:r>
        <w:t>запланировано</w:t>
      </w:r>
      <w:r w:rsidR="00267123" w:rsidRPr="00267123">
        <w:t xml:space="preserve"> по комитету строительства</w:t>
      </w:r>
      <w:r>
        <w:t xml:space="preserve"> и</w:t>
      </w:r>
      <w:r w:rsidR="00267123" w:rsidRPr="00267123">
        <w:t xml:space="preserve"> комитету сельского хозяйства в связи с завершением строительства объектов</w:t>
      </w:r>
      <w:r>
        <w:t xml:space="preserve"> и</w:t>
      </w:r>
      <w:r w:rsidR="00267123" w:rsidRPr="00267123">
        <w:t xml:space="preserve"> корректировкой расходов с учетом фактических затрат (775,5 млн</w:t>
      </w:r>
      <w:proofErr w:type="gramStart"/>
      <w:r w:rsidR="00267123" w:rsidRPr="00267123">
        <w:t>.р</w:t>
      </w:r>
      <w:proofErr w:type="gramEnd"/>
      <w:r w:rsidR="00267123" w:rsidRPr="00267123">
        <w:t xml:space="preserve">уб. и 113,4 млн.руб. соответственно), комитету образования, науки и молодежной политики Волгоградской области (далее </w:t>
      </w:r>
      <w:proofErr w:type="spellStart"/>
      <w:r w:rsidR="00267123" w:rsidRPr="00267123">
        <w:t>Облком</w:t>
      </w:r>
      <w:r>
        <w:t>о</w:t>
      </w:r>
      <w:r w:rsidR="00267123" w:rsidRPr="00267123">
        <w:t>бразования</w:t>
      </w:r>
      <w:proofErr w:type="spellEnd"/>
      <w:r w:rsidR="00267123" w:rsidRPr="00267123">
        <w:t xml:space="preserve">) в связи с передачей в ведомственное подчинение комитету социальной защиты населения детских домов (161,2 млн. руб.), а также </w:t>
      </w:r>
      <w:proofErr w:type="gramStart"/>
      <w:r>
        <w:t xml:space="preserve">в связи </w:t>
      </w:r>
      <w:r w:rsidR="00267123" w:rsidRPr="00267123">
        <w:t>с уменьшением расходов на субвенцию на образовательный процесс по реализации</w:t>
      </w:r>
      <w:proofErr w:type="gramEnd"/>
      <w:r w:rsidR="00267123" w:rsidRPr="00267123">
        <w:t xml:space="preserve"> программ общего образования (342,9 млн. руб.).</w:t>
      </w:r>
    </w:p>
    <w:p w:rsidR="00267123" w:rsidRPr="00267123" w:rsidRDefault="00267123" w:rsidP="00093532">
      <w:pPr>
        <w:ind w:firstLine="709"/>
        <w:jc w:val="both"/>
        <w:rPr>
          <w:rFonts w:eastAsia="Calibri"/>
        </w:rPr>
      </w:pPr>
      <w:r w:rsidRPr="00093532">
        <w:rPr>
          <w:b/>
          <w:i/>
          <w:u w:val="single"/>
        </w:rPr>
        <w:t>По подразделу 0701</w:t>
      </w:r>
      <w:r w:rsidRPr="00093532">
        <w:rPr>
          <w:i/>
          <w:u w:val="single"/>
        </w:rPr>
        <w:t xml:space="preserve"> </w:t>
      </w:r>
      <w:r w:rsidRPr="00093532">
        <w:rPr>
          <w:b/>
          <w:i/>
          <w:u w:val="single"/>
        </w:rPr>
        <w:t>«Дошкольное образование»</w:t>
      </w:r>
      <w:r w:rsidRPr="00267123">
        <w:t xml:space="preserve"> </w:t>
      </w:r>
      <w:r w:rsidRPr="00267123">
        <w:rPr>
          <w:rFonts w:eastAsia="Calibri"/>
        </w:rPr>
        <w:t>на 2019 год законопроектом предусмотрены ассигнования в сумме 5658,5 млн. руб., что меньше уточненных бюджетных ассигнований на 2018 год на 368,4 млн. руб., или на 6,1</w:t>
      </w:r>
      <w:r w:rsidR="00093532">
        <w:rPr>
          <w:rFonts w:eastAsia="Calibri"/>
        </w:rPr>
        <w:t>%, в том числе:</w:t>
      </w:r>
      <w:r w:rsidRPr="00267123">
        <w:rPr>
          <w:rFonts w:eastAsia="Calibri"/>
        </w:rPr>
        <w:t xml:space="preserve"> </w:t>
      </w:r>
    </w:p>
    <w:p w:rsidR="00267123" w:rsidRPr="00267123" w:rsidRDefault="00093532" w:rsidP="00267123">
      <w:pPr>
        <w:ind w:firstLine="709"/>
        <w:jc w:val="both"/>
      </w:pPr>
      <w:r>
        <w:t>-</w:t>
      </w:r>
      <w:r w:rsidR="00267123" w:rsidRPr="00075273">
        <w:rPr>
          <w:u w:val="single"/>
        </w:rPr>
        <w:t>комитету строительства</w:t>
      </w:r>
      <w:r w:rsidR="00267123" w:rsidRPr="00267123">
        <w:t xml:space="preserve"> </w:t>
      </w:r>
      <w:r>
        <w:t xml:space="preserve">ассигнования сокращены </w:t>
      </w:r>
      <w:r w:rsidR="00267123" w:rsidRPr="00267123">
        <w:t>на 514,1 млн. руб., или на 52,2% в связи с завершением строительства дошкольных организаций</w:t>
      </w:r>
      <w:r>
        <w:t>;</w:t>
      </w:r>
      <w:r w:rsidR="00267123" w:rsidRPr="00267123">
        <w:t xml:space="preserve"> </w:t>
      </w:r>
    </w:p>
    <w:p w:rsidR="00267123" w:rsidRPr="00267123" w:rsidRDefault="00093532" w:rsidP="00267123">
      <w:pPr>
        <w:ind w:firstLine="709"/>
        <w:jc w:val="both"/>
      </w:pPr>
      <w:proofErr w:type="gramStart"/>
      <w:r>
        <w:t>-</w:t>
      </w:r>
      <w:proofErr w:type="spellStart"/>
      <w:r w:rsidR="00267123" w:rsidRPr="00075273">
        <w:rPr>
          <w:u w:val="single"/>
        </w:rPr>
        <w:t>Облком</w:t>
      </w:r>
      <w:r w:rsidRPr="00075273">
        <w:rPr>
          <w:u w:val="single"/>
        </w:rPr>
        <w:t>о</w:t>
      </w:r>
      <w:r w:rsidR="00267123" w:rsidRPr="00075273">
        <w:rPr>
          <w:u w:val="single"/>
        </w:rPr>
        <w:t>бразовани</w:t>
      </w:r>
      <w:r w:rsidRPr="00075273">
        <w:rPr>
          <w:u w:val="single"/>
        </w:rPr>
        <w:t>я</w:t>
      </w:r>
      <w:proofErr w:type="spellEnd"/>
      <w:r w:rsidR="00267123" w:rsidRPr="00267123">
        <w:t xml:space="preserve"> ассигнования</w:t>
      </w:r>
      <w:r>
        <w:t xml:space="preserve"> увеличены</w:t>
      </w:r>
      <w:r w:rsidR="00267123" w:rsidRPr="00267123">
        <w:t xml:space="preserve"> на 145,7 млн. руб., или на 2,9%, </w:t>
      </w:r>
      <w:r>
        <w:t xml:space="preserve"> из них</w:t>
      </w:r>
      <w:r w:rsidR="00267123" w:rsidRPr="00267123">
        <w:t xml:space="preserve"> на субвенцию на образовательный процесс по программам дошкольного образования </w:t>
      </w:r>
      <w:r>
        <w:t xml:space="preserve">- </w:t>
      </w:r>
      <w:r w:rsidR="00267123" w:rsidRPr="00267123">
        <w:t>на 142,2 млн. руб.</w:t>
      </w:r>
      <w:r>
        <w:t>,</w:t>
      </w:r>
      <w:r w:rsidR="00267123" w:rsidRPr="00267123">
        <w:t xml:space="preserve"> на субсидии муниципальным образованиям Волгоградской области </w:t>
      </w:r>
      <w:r>
        <w:t xml:space="preserve">- </w:t>
      </w:r>
      <w:r w:rsidR="00267123" w:rsidRPr="00267123">
        <w:t xml:space="preserve">на 3,5 млн. руб. </w:t>
      </w:r>
      <w:r>
        <w:t>(</w:t>
      </w:r>
      <w:r w:rsidR="00267123" w:rsidRPr="00267123">
        <w:t>введен</w:t>
      </w:r>
      <w:r>
        <w:t>а</w:t>
      </w:r>
      <w:r w:rsidR="00267123" w:rsidRPr="00267123">
        <w:t xml:space="preserve"> нов</w:t>
      </w:r>
      <w:r>
        <w:t>ая</w:t>
      </w:r>
      <w:r w:rsidR="00267123" w:rsidRPr="00267123">
        <w:t xml:space="preserve"> субсиди</w:t>
      </w:r>
      <w:r>
        <w:t>я</w:t>
      </w:r>
      <w:r w:rsidR="00267123" w:rsidRPr="00267123">
        <w:t xml:space="preserve"> на проведение ремонта, приобретение оборудования и (или) оснащение с целью открытия мест для детей в возрасте от 2 месяцев до 3 лет</w:t>
      </w:r>
      <w:proofErr w:type="gramEnd"/>
      <w:r w:rsidR="00267123" w:rsidRPr="00267123">
        <w:t xml:space="preserve"> в образовательных организациях, реализующих программы дошкольного образования</w:t>
      </w:r>
      <w:r>
        <w:t xml:space="preserve">, ассигнования по которой предусмотрены в сумме </w:t>
      </w:r>
      <w:r w:rsidR="00267123" w:rsidRPr="00267123">
        <w:t>24,6 млн. руб.</w:t>
      </w:r>
      <w:r>
        <w:t>, при этом</w:t>
      </w:r>
      <w:r w:rsidR="00267123" w:rsidRPr="00267123">
        <w:t xml:space="preserve"> уменьшен</w:t>
      </w:r>
      <w:r>
        <w:t>ы</w:t>
      </w:r>
      <w:r w:rsidR="00267123" w:rsidRPr="00267123">
        <w:t xml:space="preserve"> ассигновани</w:t>
      </w:r>
      <w:r>
        <w:t>я</w:t>
      </w:r>
      <w:r w:rsidR="00267123" w:rsidRPr="00267123">
        <w:t xml:space="preserve"> на иные субсидии</w:t>
      </w:r>
      <w:r w:rsidR="005925C9">
        <w:t>,</w:t>
      </w:r>
      <w:r>
        <w:t xml:space="preserve"> в том числе</w:t>
      </w:r>
      <w:r w:rsidR="00267123" w:rsidRPr="00267123">
        <w:t xml:space="preserve"> на создание условий для получения детьми-инвалидами качественного образования, </w:t>
      </w:r>
      <w:r>
        <w:t xml:space="preserve">на </w:t>
      </w:r>
      <w:r w:rsidR="00267123" w:rsidRPr="00267123">
        <w:t>проведение капитального ремонта бассейнов</w:t>
      </w:r>
      <w:r>
        <w:t>, замену окон</w:t>
      </w:r>
      <w:r w:rsidR="00267123" w:rsidRPr="00267123">
        <w:t xml:space="preserve"> и др.</w:t>
      </w:r>
      <w:r w:rsidR="005925C9">
        <w:t xml:space="preserve">, на </w:t>
      </w:r>
      <w:r w:rsidR="005925C9" w:rsidRPr="00267123">
        <w:t>21,1 млн. руб</w:t>
      </w:r>
      <w:r w:rsidR="005925C9">
        <w:t>.</w:t>
      </w:r>
      <w:r w:rsidR="00267123" w:rsidRPr="00267123">
        <w:t xml:space="preserve">). </w:t>
      </w:r>
    </w:p>
    <w:p w:rsidR="00267123" w:rsidRPr="00075273" w:rsidRDefault="00267123" w:rsidP="00075273">
      <w:pPr>
        <w:ind w:firstLine="709"/>
        <w:jc w:val="both"/>
        <w:rPr>
          <w:u w:val="single"/>
        </w:rPr>
      </w:pPr>
      <w:r w:rsidRPr="00267123">
        <w:t>Предусмотренный законопроектом объем субвенции на 2019 год в сумме 5115,3 млн. руб. больше ассигнований 2018 года на 142,2 млн. руб.</w:t>
      </w:r>
      <w:r w:rsidR="004E44B2">
        <w:t>, при этом он</w:t>
      </w:r>
      <w:r w:rsidRPr="00267123">
        <w:t xml:space="preserve"> на 108 млн. руб., или на 2% меньше нормативного размера субвенции, рассчитанного в соответствии с утвержденными нормативами финансового обеспечения. С учетом потребности обеспеченность по </w:t>
      </w:r>
      <w:r w:rsidR="00A65810">
        <w:t>расходам на оплату труда педагогическим работникам</w:t>
      </w:r>
      <w:r w:rsidRPr="00267123">
        <w:t>, предусмотренны</w:t>
      </w:r>
      <w:r w:rsidR="00A65810">
        <w:t>м</w:t>
      </w:r>
      <w:r w:rsidRPr="00267123">
        <w:t xml:space="preserve"> Указом Президента РФ от 07.05.2012 №597 «О мероприятиях по реализации государственной социальной политики» (далее Указ Президента №597)</w:t>
      </w:r>
      <w:r w:rsidR="005C1374">
        <w:t>, а также прочему персоналу</w:t>
      </w:r>
      <w:r w:rsidR="00A65810">
        <w:t xml:space="preserve"> составляет 100%</w:t>
      </w:r>
      <w:r w:rsidRPr="00267123">
        <w:t xml:space="preserve">, </w:t>
      </w:r>
      <w:r w:rsidR="005C1374" w:rsidRPr="00075273">
        <w:rPr>
          <w:u w:val="single"/>
        </w:rPr>
        <w:t>обеспеченность по</w:t>
      </w:r>
      <w:r w:rsidRPr="00075273">
        <w:rPr>
          <w:u w:val="single"/>
        </w:rPr>
        <w:t xml:space="preserve"> учебн</w:t>
      </w:r>
      <w:r w:rsidR="005C1374" w:rsidRPr="00075273">
        <w:rPr>
          <w:u w:val="single"/>
        </w:rPr>
        <w:t>ым</w:t>
      </w:r>
      <w:r w:rsidRPr="00075273">
        <w:rPr>
          <w:u w:val="single"/>
        </w:rPr>
        <w:t xml:space="preserve"> </w:t>
      </w:r>
      <w:r w:rsidR="005C1374" w:rsidRPr="00075273">
        <w:rPr>
          <w:u w:val="single"/>
        </w:rPr>
        <w:t>расходам</w:t>
      </w:r>
      <w:r w:rsidRPr="00075273">
        <w:rPr>
          <w:u w:val="single"/>
        </w:rPr>
        <w:t xml:space="preserve"> в дошкольных группах в муниципальных общеобразовательных организациях</w:t>
      </w:r>
      <w:r w:rsidR="00A65810" w:rsidRPr="00075273">
        <w:rPr>
          <w:u w:val="single"/>
        </w:rPr>
        <w:t xml:space="preserve"> – 18,1 процента</w:t>
      </w:r>
      <w:r w:rsidRPr="00075273">
        <w:rPr>
          <w:u w:val="single"/>
        </w:rPr>
        <w:t>.</w:t>
      </w:r>
    </w:p>
    <w:p w:rsidR="00267123" w:rsidRPr="00267123" w:rsidRDefault="00267123" w:rsidP="00075273">
      <w:pPr>
        <w:ind w:firstLine="709"/>
        <w:jc w:val="both"/>
      </w:pPr>
      <w:r w:rsidRPr="00075273">
        <w:rPr>
          <w:b/>
          <w:i/>
          <w:u w:val="single"/>
        </w:rPr>
        <w:t>По подразделу 0702 «Общее образование»</w:t>
      </w:r>
      <w:r w:rsidRPr="00267123">
        <w:t xml:space="preserve"> на 2019 год </w:t>
      </w:r>
      <w:r w:rsidR="00075273">
        <w:t>п</w:t>
      </w:r>
      <w:r w:rsidRPr="00267123">
        <w:t xml:space="preserve">редусмотрены ассигнования в сумме 13014,6 млн. руб., что меньше уточненных бюджетных ассигнований на 2018 год на 441,8 млн. руб., или на 3,3 процента. </w:t>
      </w:r>
    </w:p>
    <w:p w:rsidR="00267123" w:rsidRPr="00267123" w:rsidRDefault="00267123" w:rsidP="00267123">
      <w:pPr>
        <w:ind w:firstLine="709"/>
        <w:jc w:val="both"/>
      </w:pPr>
      <w:r w:rsidRPr="00267123">
        <w:t xml:space="preserve">Основное уменьшение ассигнований по подразделу сложилось по </w:t>
      </w:r>
      <w:proofErr w:type="spellStart"/>
      <w:r w:rsidRPr="00267123">
        <w:t>Облкомобразовани</w:t>
      </w:r>
      <w:r w:rsidR="00FA085F">
        <w:t>я</w:t>
      </w:r>
      <w:proofErr w:type="spellEnd"/>
      <w:r w:rsidRPr="00267123">
        <w:t xml:space="preserve"> </w:t>
      </w:r>
      <w:r w:rsidR="00FA085F">
        <w:t xml:space="preserve">- </w:t>
      </w:r>
      <w:r w:rsidRPr="00267123">
        <w:t xml:space="preserve">на </w:t>
      </w:r>
      <w:r w:rsidRPr="00FA085F">
        <w:t>240,3 млн. руб</w:t>
      </w:r>
      <w:r w:rsidRPr="00267123">
        <w:rPr>
          <w:b/>
        </w:rPr>
        <w:t>.</w:t>
      </w:r>
      <w:r w:rsidRPr="00267123">
        <w:t xml:space="preserve">, или </w:t>
      </w:r>
      <w:r w:rsidR="00FA085F">
        <w:t xml:space="preserve">на </w:t>
      </w:r>
      <w:r w:rsidRPr="00267123">
        <w:t xml:space="preserve">1,9 %, в том числе в связи </w:t>
      </w:r>
      <w:proofErr w:type="gramStart"/>
      <w:r w:rsidRPr="00267123">
        <w:t>с</w:t>
      </w:r>
      <w:proofErr w:type="gramEnd"/>
      <w:r w:rsidRPr="00267123">
        <w:t>:</w:t>
      </w:r>
    </w:p>
    <w:p w:rsidR="00267123" w:rsidRPr="00267123" w:rsidRDefault="00267123" w:rsidP="00267123">
      <w:pPr>
        <w:ind w:firstLine="709"/>
        <w:jc w:val="both"/>
      </w:pPr>
      <w:r w:rsidRPr="00267123">
        <w:t xml:space="preserve">-уменьшением ассигнований на субвенцию на образовательный процесс по реализации программ общего образования </w:t>
      </w:r>
      <w:r w:rsidR="00BA40CA">
        <w:t xml:space="preserve"> на </w:t>
      </w:r>
      <w:r w:rsidRPr="00267123">
        <w:t>342,9 млн. руб., или на 3,1</w:t>
      </w:r>
      <w:r w:rsidR="00BA40CA">
        <w:t xml:space="preserve"> процента</w:t>
      </w:r>
      <w:r w:rsidRPr="00267123">
        <w:t xml:space="preserve">. Предусмотренный законопроектом на 2019 год объем ассигнований (10593,3  млн. руб.) меньше нормативного размера субвенции, рассчитанного в соответствии с утвержденными нормативами финансового обеспечения  на 246,7 млн. руб., или на 2,3 процента. Обеспеченность по видам расходов составляет 100% для категорий, предусмотренных Указом Президента №597, а именно на оплату труда педагогических работников, </w:t>
      </w:r>
      <w:r w:rsidRPr="00BA40CA">
        <w:rPr>
          <w:u w:val="single"/>
        </w:rPr>
        <w:t xml:space="preserve">67,3% </w:t>
      </w:r>
      <w:r w:rsidR="00BA40CA">
        <w:rPr>
          <w:u w:val="single"/>
        </w:rPr>
        <w:t xml:space="preserve">- </w:t>
      </w:r>
      <w:r w:rsidRPr="00BA40CA">
        <w:rPr>
          <w:u w:val="single"/>
        </w:rPr>
        <w:t>на обеспечение учебного процесса в муниципальных общеобразовательных организациях</w:t>
      </w:r>
      <w:r w:rsidRPr="00267123">
        <w:t>;</w:t>
      </w:r>
    </w:p>
    <w:p w:rsidR="00267123" w:rsidRPr="00267123" w:rsidRDefault="00267123" w:rsidP="00267123">
      <w:pPr>
        <w:ind w:firstLine="709"/>
        <w:jc w:val="both"/>
      </w:pPr>
      <w:r w:rsidRPr="00267123">
        <w:t xml:space="preserve">-увеличением ассигнований </w:t>
      </w:r>
      <w:r w:rsidR="00BA40CA">
        <w:t xml:space="preserve">на субвенцию </w:t>
      </w:r>
      <w:r w:rsidRPr="00267123">
        <w:t xml:space="preserve">на реализацию Закона Волгоградской области от 10.11.2005 №1111-ОД «Об организации питания обучающихся (1-11 классы) в общеобразовательных организациях Волгоградской области» на 260,7 млн. руб., или в 2,1 раза. Уточненные бюджетные ассигнования на 2019 год в сумме 496 млн. руб. предусмотрены на действующие меры социальной поддержки (322,7 млн. руб.) и на новые меры поддержки семей с детьми в части обеспечения с </w:t>
      </w:r>
      <w:r w:rsidR="00BA40CA">
        <w:t>01.01.2019</w:t>
      </w:r>
      <w:r w:rsidRPr="00267123">
        <w:t xml:space="preserve"> всех первоклассников бесплатными школьными завтраками, а также увеличения размера компенсации стоимости питания школьникам из семей, имеющих право на такую поддержку (173,3 млн</w:t>
      </w:r>
      <w:proofErr w:type="gramStart"/>
      <w:r w:rsidRPr="00267123">
        <w:t>.р</w:t>
      </w:r>
      <w:proofErr w:type="gramEnd"/>
      <w:r w:rsidRPr="00267123">
        <w:t>уб.).</w:t>
      </w:r>
    </w:p>
    <w:p w:rsidR="00267123" w:rsidRPr="00267123" w:rsidRDefault="008F1B60" w:rsidP="00267123">
      <w:pPr>
        <w:ind w:firstLine="709"/>
        <w:jc w:val="both"/>
      </w:pPr>
      <w:proofErr w:type="gramStart"/>
      <w:r>
        <w:lastRenderedPageBreak/>
        <w:t>В этой связи н</w:t>
      </w:r>
      <w:r w:rsidR="00267123" w:rsidRPr="00267123">
        <w:t xml:space="preserve">еобходимо отметить, что для расчета размера субвенции на действующие меры социальной поддержки (322,7 млн. руб.) </w:t>
      </w:r>
      <w:proofErr w:type="spellStart"/>
      <w:r w:rsidR="00267123" w:rsidRPr="00267123">
        <w:t>Облкомобразования</w:t>
      </w:r>
      <w:proofErr w:type="spellEnd"/>
      <w:r w:rsidR="00267123" w:rsidRPr="00267123">
        <w:t xml:space="preserve"> используются данные, представленные органами местного самоуправления муниципальных районов и городских округов Волгоградской области (далее ОМСУ), согласно которым доля численности обучающихся, имеющих право на частичную компенсацию стоимости питания в общей численности обучающихся, варьируется от 18% в г. Волжском до 98% в г</w:t>
      </w:r>
      <w:proofErr w:type="gramEnd"/>
      <w:r w:rsidR="00267123" w:rsidRPr="00267123">
        <w:t>.Урюпинск, а в отдельных муниципальных районах при расчете размера субвенции остается неизменной в течение ряда лет (</w:t>
      </w:r>
      <w:proofErr w:type="spellStart"/>
      <w:r w:rsidR="00267123" w:rsidRPr="00267123">
        <w:t>Городищенский</w:t>
      </w:r>
      <w:proofErr w:type="spellEnd"/>
      <w:r w:rsidR="00267123" w:rsidRPr="00267123">
        <w:t xml:space="preserve"> - 62%, </w:t>
      </w:r>
      <w:proofErr w:type="spellStart"/>
      <w:r w:rsidR="00267123" w:rsidRPr="00267123">
        <w:t>Калачевский</w:t>
      </w:r>
      <w:proofErr w:type="spellEnd"/>
      <w:r w:rsidR="00267123" w:rsidRPr="00267123">
        <w:t xml:space="preserve"> - 66%, </w:t>
      </w:r>
      <w:proofErr w:type="spellStart"/>
      <w:r w:rsidR="00267123" w:rsidRPr="00267123">
        <w:t>Камышинский</w:t>
      </w:r>
      <w:proofErr w:type="spellEnd"/>
      <w:r w:rsidR="00267123" w:rsidRPr="00267123">
        <w:t xml:space="preserve"> - 82%, Ольховский -78%), что вызывает сомнение в достоверности данных ОМСУ в части отнесения детей к льготной категории при планировании расходов</w:t>
      </w:r>
      <w:r>
        <w:t>.</w:t>
      </w:r>
      <w:r w:rsidR="00267123" w:rsidRPr="00267123">
        <w:t xml:space="preserve"> </w:t>
      </w:r>
      <w:r>
        <w:t>В</w:t>
      </w:r>
      <w:r w:rsidR="00267123" w:rsidRPr="00267123">
        <w:t xml:space="preserve"> последующем </w:t>
      </w:r>
      <w:r>
        <w:t xml:space="preserve">заявленные данные не </w:t>
      </w:r>
      <w:r w:rsidR="00267123" w:rsidRPr="00267123">
        <w:t>подтвержда</w:t>
      </w:r>
      <w:r>
        <w:t>ю</w:t>
      </w:r>
      <w:r w:rsidR="00267123" w:rsidRPr="00267123">
        <w:t xml:space="preserve">тся фактическими расходами. Так, по данным </w:t>
      </w:r>
      <w:proofErr w:type="spellStart"/>
      <w:r>
        <w:t>Облкомобразования</w:t>
      </w:r>
      <w:proofErr w:type="spellEnd"/>
      <w:r w:rsidR="00267123" w:rsidRPr="00267123">
        <w:t xml:space="preserve"> при плановом расчете на 2017 год в сумме 389,2 млн. руб. фактические расходы составили 237,1 млн. руб.</w:t>
      </w:r>
      <w:r>
        <w:t xml:space="preserve"> (-152,1 млн. руб.)</w:t>
      </w:r>
      <w:r w:rsidR="00267123" w:rsidRPr="00267123">
        <w:t>, на 2018 год потребность с учетом фактических расходов уменьшена с 356,3 до 235,3 млн. руб.</w:t>
      </w:r>
      <w:r>
        <w:t>, или на 121 млн. рублей.</w:t>
      </w:r>
      <w:r w:rsidR="00267123" w:rsidRPr="00267123">
        <w:t xml:space="preserve"> </w:t>
      </w:r>
      <w:r>
        <w:t>По оценке КСП,</w:t>
      </w:r>
      <w:r w:rsidR="00267123" w:rsidRPr="00267123">
        <w:t xml:space="preserve"> </w:t>
      </w:r>
      <w:r w:rsidR="00267123" w:rsidRPr="008F1B60">
        <w:rPr>
          <w:u w:val="single"/>
        </w:rPr>
        <w:t xml:space="preserve">расчетная потребность </w:t>
      </w:r>
      <w:proofErr w:type="spellStart"/>
      <w:r w:rsidR="00267123" w:rsidRPr="008F1B60">
        <w:rPr>
          <w:u w:val="single"/>
        </w:rPr>
        <w:t>Облкомобразования</w:t>
      </w:r>
      <w:proofErr w:type="spellEnd"/>
      <w:r w:rsidR="00267123" w:rsidRPr="008F1B60">
        <w:rPr>
          <w:u w:val="single"/>
        </w:rPr>
        <w:t xml:space="preserve"> на действующие меры социальной поддержки </w:t>
      </w:r>
      <w:r>
        <w:rPr>
          <w:u w:val="single"/>
        </w:rPr>
        <w:t xml:space="preserve">по организации питания обучающихся </w:t>
      </w:r>
      <w:r w:rsidR="00267123" w:rsidRPr="008F1B60">
        <w:rPr>
          <w:u w:val="single"/>
        </w:rPr>
        <w:t>(322,7 млн. руб.) с учетом фактических расходов за 2017-2018 годы завышена не менее чем на 80 млн. рублей.</w:t>
      </w:r>
      <w:r w:rsidR="00267123" w:rsidRPr="00267123">
        <w:t xml:space="preserve"> </w:t>
      </w:r>
    </w:p>
    <w:p w:rsidR="00267123" w:rsidRPr="00267123" w:rsidRDefault="00267123" w:rsidP="00267123">
      <w:pPr>
        <w:ind w:firstLine="709"/>
        <w:jc w:val="both"/>
      </w:pPr>
      <w:r w:rsidRPr="00267123">
        <w:t>-передачей с 01.01.2019 функций и полномочий учредителя детских домов комитету социальной защиты населения Волгоградской области в соответствии с постановлением Губернатора Волгоградской области от 02.10.2018 №656 (-161,2 млн. руб.);</w:t>
      </w:r>
    </w:p>
    <w:p w:rsidR="00267123" w:rsidRPr="00267123" w:rsidRDefault="00267123" w:rsidP="00267123">
      <w:pPr>
        <w:ind w:firstLine="709"/>
        <w:jc w:val="both"/>
      </w:pPr>
      <w:r w:rsidRPr="00267123">
        <w:t>-уменьшением ассигнований на обеспечение деятельности подведомственных казенных организаций (-4,5 млн. руб.) и на предоставление субсидий бюджетным организациям (-14,5 млн.</w:t>
      </w:r>
      <w:r w:rsidR="00F924BA">
        <w:t xml:space="preserve"> </w:t>
      </w:r>
      <w:r w:rsidRPr="00267123">
        <w:t>руб.);</w:t>
      </w:r>
    </w:p>
    <w:p w:rsidR="00267123" w:rsidRPr="00267123" w:rsidRDefault="00267123" w:rsidP="00267123">
      <w:pPr>
        <w:ind w:firstLine="709"/>
        <w:jc w:val="both"/>
      </w:pPr>
      <w:r w:rsidRPr="00267123">
        <w:t>-выделением ассигнований на оснащение дополнительным оборудованием в целях прохождения лицензирования строящейся школы в г</w:t>
      </w:r>
      <w:proofErr w:type="gramStart"/>
      <w:r w:rsidRPr="00267123">
        <w:t>.К</w:t>
      </w:r>
      <w:proofErr w:type="gramEnd"/>
      <w:r w:rsidRPr="00267123">
        <w:t>амышине на 1000 мест (+11 млн. руб.), что соответствует расчетной потребности на эти цели;</w:t>
      </w:r>
    </w:p>
    <w:p w:rsidR="00267123" w:rsidRPr="00267123" w:rsidRDefault="00267123" w:rsidP="00267123">
      <w:pPr>
        <w:ind w:firstLine="709"/>
        <w:jc w:val="both"/>
      </w:pPr>
      <w:r w:rsidRPr="00267123">
        <w:t>-увеличением ассигнований на субсидии муниципальным образованиям на установку и замену пластиковых окон (+9,7 млн. руб.) в связи с уточнением типов образовательных организаций;</w:t>
      </w:r>
    </w:p>
    <w:p w:rsidR="00267123" w:rsidRPr="00267123" w:rsidRDefault="00F924BA" w:rsidP="00267123">
      <w:pPr>
        <w:autoSpaceDE w:val="0"/>
        <w:autoSpaceDN w:val="0"/>
        <w:adjustRightInd w:val="0"/>
        <w:jc w:val="both"/>
      </w:pPr>
      <w:r>
        <w:tab/>
      </w:r>
      <w:r w:rsidR="00267123" w:rsidRPr="00267123">
        <w:t xml:space="preserve">-включением </w:t>
      </w:r>
      <w:proofErr w:type="spellStart"/>
      <w:r w:rsidR="00BA048E">
        <w:t>Облкомобразования</w:t>
      </w:r>
      <w:proofErr w:type="spellEnd"/>
      <w:r w:rsidR="00BA048E">
        <w:t xml:space="preserve"> в перечень</w:t>
      </w:r>
      <w:r w:rsidR="00267123" w:rsidRPr="00267123">
        <w:t xml:space="preserve"> соисполнителей </w:t>
      </w:r>
      <w:r w:rsidR="0016226C">
        <w:t xml:space="preserve">по </w:t>
      </w:r>
      <w:r w:rsidR="00267123" w:rsidRPr="00267123">
        <w:t>государственной программ</w:t>
      </w:r>
      <w:r w:rsidR="0016226C">
        <w:t>е</w:t>
      </w:r>
      <w:r w:rsidR="00267123" w:rsidRPr="00267123">
        <w:t xml:space="preserve"> «Управление государственными финансами Волгоградской области» и выделением ассигнований на реализацию ее мероприятий</w:t>
      </w:r>
      <w:r w:rsidR="00AE123E">
        <w:t xml:space="preserve"> -</w:t>
      </w:r>
      <w:r w:rsidR="00267123" w:rsidRPr="00267123">
        <w:t xml:space="preserve"> средства планируется направить на гранты общеобразовательным организациям с целью </w:t>
      </w:r>
      <w:r w:rsidR="00267123" w:rsidRPr="00267123">
        <w:rPr>
          <w:rFonts w:eastAsia="Calibri"/>
        </w:rPr>
        <w:t xml:space="preserve">проведения мероприятий по финансовой грамотности учащихся </w:t>
      </w:r>
      <w:r w:rsidR="00267123" w:rsidRPr="00267123">
        <w:t>(+1,5 млн. руб.).</w:t>
      </w:r>
    </w:p>
    <w:p w:rsidR="00590536" w:rsidRDefault="00267123" w:rsidP="00267123">
      <w:pPr>
        <w:ind w:firstLine="709"/>
        <w:jc w:val="both"/>
      </w:pPr>
      <w:r w:rsidRPr="00267123">
        <w:t xml:space="preserve">Кроме того, </w:t>
      </w:r>
      <w:r w:rsidR="008E583A">
        <w:t xml:space="preserve">подразделом 0702 «Общее образование» </w:t>
      </w:r>
      <w:r w:rsidRPr="00267123">
        <w:t xml:space="preserve">уменьшены ассигнования </w:t>
      </w:r>
      <w:r w:rsidRPr="00A0078C">
        <w:rPr>
          <w:u w:val="single"/>
        </w:rPr>
        <w:t xml:space="preserve">комитету сельского хозяйства </w:t>
      </w:r>
      <w:r w:rsidR="008E583A" w:rsidRPr="00A0078C">
        <w:rPr>
          <w:u w:val="single"/>
        </w:rPr>
        <w:t>Волгоградской области</w:t>
      </w:r>
      <w:r w:rsidR="008E583A">
        <w:t xml:space="preserve"> </w:t>
      </w:r>
      <w:r w:rsidRPr="00267123">
        <w:t xml:space="preserve">по госпрограмме «Устойчивое развитие сельских территорий» на </w:t>
      </w:r>
      <w:r w:rsidRPr="00065743">
        <w:t>113,4 млн. руб</w:t>
      </w:r>
      <w:r w:rsidRPr="00267123">
        <w:rPr>
          <w:b/>
        </w:rPr>
        <w:t>.</w:t>
      </w:r>
      <w:r w:rsidRPr="00267123">
        <w:t>, или на 100%</w:t>
      </w:r>
      <w:r w:rsidR="00590536">
        <w:t>,</w:t>
      </w:r>
      <w:r w:rsidRPr="00267123">
        <w:t xml:space="preserve"> в связи с завершением строительства школы в п</w:t>
      </w:r>
      <w:proofErr w:type="gramStart"/>
      <w:r w:rsidRPr="00267123">
        <w:t>.К</w:t>
      </w:r>
      <w:proofErr w:type="gramEnd"/>
      <w:r w:rsidRPr="00267123">
        <w:t xml:space="preserve">расный октябрь </w:t>
      </w:r>
      <w:proofErr w:type="spellStart"/>
      <w:r w:rsidRPr="00267123">
        <w:t>Палласовского</w:t>
      </w:r>
      <w:proofErr w:type="spellEnd"/>
      <w:r w:rsidRPr="00267123">
        <w:t xml:space="preserve"> района</w:t>
      </w:r>
      <w:r w:rsidR="00590536">
        <w:t xml:space="preserve">. </w:t>
      </w:r>
    </w:p>
    <w:p w:rsidR="00267123" w:rsidRPr="00267123" w:rsidRDefault="00590536" w:rsidP="00267123">
      <w:pPr>
        <w:ind w:firstLine="709"/>
        <w:jc w:val="both"/>
      </w:pPr>
      <w:r>
        <w:t xml:space="preserve">Также сокращены относительно текущего года ассигнования </w:t>
      </w:r>
      <w:r w:rsidR="00267123" w:rsidRPr="00A0078C">
        <w:rPr>
          <w:u w:val="single"/>
        </w:rPr>
        <w:t>комитету строительства</w:t>
      </w:r>
      <w:r w:rsidRPr="00A0078C">
        <w:rPr>
          <w:u w:val="single"/>
        </w:rPr>
        <w:t xml:space="preserve"> Волгоградской области</w:t>
      </w:r>
      <w:r w:rsidR="00267123" w:rsidRPr="00267123">
        <w:t xml:space="preserve"> </w:t>
      </w:r>
      <w:r>
        <w:t xml:space="preserve">- </w:t>
      </w:r>
      <w:r w:rsidR="00267123" w:rsidRPr="00267123">
        <w:t xml:space="preserve">на </w:t>
      </w:r>
      <w:r w:rsidR="00267123" w:rsidRPr="00065743">
        <w:t>91,9 млн.</w:t>
      </w:r>
      <w:r w:rsidR="00065743">
        <w:t xml:space="preserve"> </w:t>
      </w:r>
      <w:r w:rsidR="00267123" w:rsidRPr="00065743">
        <w:t>руб</w:t>
      </w:r>
      <w:r w:rsidR="00267123" w:rsidRPr="00590536">
        <w:t>.</w:t>
      </w:r>
      <w:r w:rsidRPr="00590536">
        <w:t>, или</w:t>
      </w:r>
      <w:r>
        <w:rPr>
          <w:b/>
        </w:rPr>
        <w:t xml:space="preserve"> </w:t>
      </w:r>
      <w:r w:rsidRPr="00590536">
        <w:t xml:space="preserve">на </w:t>
      </w:r>
      <w:r w:rsidR="00267123" w:rsidRPr="00590536">
        <w:t>1</w:t>
      </w:r>
      <w:r w:rsidR="00267123" w:rsidRPr="00267123">
        <w:t xml:space="preserve">7,7%, в том числе: </w:t>
      </w:r>
    </w:p>
    <w:p w:rsidR="00267123" w:rsidRPr="00267123" w:rsidRDefault="00A0078C" w:rsidP="00267123">
      <w:pPr>
        <w:autoSpaceDE w:val="0"/>
        <w:autoSpaceDN w:val="0"/>
        <w:adjustRightInd w:val="0"/>
        <w:ind w:firstLine="539"/>
        <w:jc w:val="both"/>
      </w:pPr>
      <w:r>
        <w:tab/>
      </w:r>
      <w:r w:rsidR="00267123" w:rsidRPr="00267123">
        <w:t>-увеличены ассигнования на пристройку к школе (спортзал) в с.</w:t>
      </w:r>
      <w:r w:rsidR="004E523C">
        <w:t xml:space="preserve"> </w:t>
      </w:r>
      <w:proofErr w:type="spellStart"/>
      <w:r w:rsidR="00267123" w:rsidRPr="00267123">
        <w:t>Веселово</w:t>
      </w:r>
      <w:proofErr w:type="spellEnd"/>
      <w:r w:rsidR="00267123" w:rsidRPr="00267123">
        <w:t xml:space="preserve"> </w:t>
      </w:r>
      <w:proofErr w:type="spellStart"/>
      <w:r w:rsidR="00267123" w:rsidRPr="00267123">
        <w:t>Камышинского</w:t>
      </w:r>
      <w:proofErr w:type="spellEnd"/>
      <w:r w:rsidR="00267123" w:rsidRPr="00267123">
        <w:t xml:space="preserve"> муниципального района (+76,1 млн</w:t>
      </w:r>
      <w:proofErr w:type="gramStart"/>
      <w:r w:rsidR="00267123" w:rsidRPr="00267123">
        <w:t>.р</w:t>
      </w:r>
      <w:proofErr w:type="gramEnd"/>
      <w:r w:rsidR="00267123" w:rsidRPr="00267123">
        <w:t xml:space="preserve">уб.), на строительство </w:t>
      </w:r>
      <w:proofErr w:type="spellStart"/>
      <w:r w:rsidR="00267123" w:rsidRPr="00267123">
        <w:t>Россошинской</w:t>
      </w:r>
      <w:proofErr w:type="spellEnd"/>
      <w:r w:rsidR="00267123" w:rsidRPr="00267123">
        <w:t xml:space="preserve"> СОШ на 500 мест </w:t>
      </w:r>
      <w:proofErr w:type="spellStart"/>
      <w:r w:rsidR="00267123" w:rsidRPr="00267123">
        <w:t>Городищенского</w:t>
      </w:r>
      <w:proofErr w:type="spellEnd"/>
      <w:r w:rsidR="00267123" w:rsidRPr="00267123">
        <w:t xml:space="preserve"> района (+140,3 млн.руб.), на подготовку проектной документации на строительство школ на 250 чел. и 150 чел. (+14,5 млн.руб.); </w:t>
      </w:r>
    </w:p>
    <w:p w:rsidR="00267123" w:rsidRPr="00267123" w:rsidRDefault="00A0078C" w:rsidP="00267123">
      <w:pPr>
        <w:autoSpaceDE w:val="0"/>
        <w:autoSpaceDN w:val="0"/>
        <w:adjustRightInd w:val="0"/>
        <w:ind w:firstLine="539"/>
        <w:jc w:val="both"/>
      </w:pPr>
      <w:r>
        <w:tab/>
      </w:r>
      <w:r w:rsidR="00267123" w:rsidRPr="00267123">
        <w:t>-</w:t>
      </w:r>
      <w:r w:rsidR="00590536">
        <w:t xml:space="preserve">уменьшены ассигнования </w:t>
      </w:r>
      <w:r w:rsidR="00267123" w:rsidRPr="00267123">
        <w:t>в связи с завершением строительства общеобразовательной школы на 1000 мест в жилом районе «Родниковая долина» г</w:t>
      </w:r>
      <w:proofErr w:type="gramStart"/>
      <w:r w:rsidR="00267123" w:rsidRPr="00267123">
        <w:t>.В</w:t>
      </w:r>
      <w:proofErr w:type="gramEnd"/>
      <w:r w:rsidR="00267123" w:rsidRPr="00267123">
        <w:t xml:space="preserve">олгограда (-44,8 млн. руб.), </w:t>
      </w:r>
      <w:r w:rsidR="00590536">
        <w:t xml:space="preserve">в связи </w:t>
      </w:r>
      <w:r w:rsidR="00267123" w:rsidRPr="00267123">
        <w:t>с планируемым завершением строительства (31.12.2018) школы на 1000 мест в 7 микрорайоне г. Камышина (-278 млн. руб.).</w:t>
      </w:r>
    </w:p>
    <w:p w:rsidR="00267123" w:rsidRPr="00267123" w:rsidRDefault="00A0078C" w:rsidP="00207C1A">
      <w:pPr>
        <w:autoSpaceDE w:val="0"/>
        <w:autoSpaceDN w:val="0"/>
        <w:adjustRightInd w:val="0"/>
        <w:ind w:firstLine="539"/>
        <w:jc w:val="both"/>
      </w:pPr>
      <w:r>
        <w:tab/>
      </w:r>
      <w:r w:rsidR="00267123" w:rsidRPr="00267123">
        <w:t xml:space="preserve">Увеличены ассигнования </w:t>
      </w:r>
      <w:r w:rsidR="00267123" w:rsidRPr="00A0078C">
        <w:rPr>
          <w:u w:val="single"/>
        </w:rPr>
        <w:t xml:space="preserve">комитету физической культуры и спорта </w:t>
      </w:r>
      <w:r w:rsidRPr="00A0078C">
        <w:rPr>
          <w:u w:val="single"/>
        </w:rPr>
        <w:t>Волгоградской области</w:t>
      </w:r>
      <w:r>
        <w:t xml:space="preserve"> </w:t>
      </w:r>
      <w:r w:rsidR="00267123" w:rsidRPr="00267123">
        <w:t xml:space="preserve">на </w:t>
      </w:r>
      <w:r w:rsidR="00267123" w:rsidRPr="00A0078C">
        <w:t>3,8 млн. руб.,</w:t>
      </w:r>
      <w:r w:rsidR="00267123" w:rsidRPr="00267123">
        <w:t xml:space="preserve"> или </w:t>
      </w:r>
      <w:r>
        <w:t xml:space="preserve">на </w:t>
      </w:r>
      <w:r w:rsidR="00267123" w:rsidRPr="00267123">
        <w:t>49,4% по подпрограмме «Развитие спорта высших достижений и подготовка спортивного резерва, в том числе по адаптивным видам спорта, в Волгоградской области» на предоставление субсидии бюджетным, автономным образовательным учреждениям и иным некоммерческим организациям.</w:t>
      </w:r>
    </w:p>
    <w:p w:rsidR="00267123" w:rsidRPr="00267123" w:rsidRDefault="00267123" w:rsidP="00207C1A">
      <w:pPr>
        <w:ind w:firstLine="709"/>
        <w:jc w:val="both"/>
      </w:pPr>
      <w:r w:rsidRPr="00207C1A">
        <w:rPr>
          <w:rFonts w:eastAsia="Calibri"/>
          <w:b/>
          <w:i/>
          <w:u w:val="single"/>
        </w:rPr>
        <w:lastRenderedPageBreak/>
        <w:t>По подразделу 0703 «Дополнительное образование»</w:t>
      </w:r>
      <w:r w:rsidRPr="00267123">
        <w:rPr>
          <w:rFonts w:eastAsia="Calibri"/>
          <w:b/>
        </w:rPr>
        <w:t xml:space="preserve"> </w:t>
      </w:r>
      <w:r w:rsidRPr="00267123">
        <w:t xml:space="preserve">на 2019 год предусмотрены ассигнования в сумме 61,3 млн. руб., что меньше уточненных бюджетных ассигнований на 2018 год на 245,8 млн. руб., или на 80,1 процента. </w:t>
      </w:r>
    </w:p>
    <w:p w:rsidR="00267123" w:rsidRPr="00267123" w:rsidRDefault="00267123" w:rsidP="00F3153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67123">
        <w:t xml:space="preserve">Уменьшение ассигнований по подразделу сложилось по комитету строительства на </w:t>
      </w:r>
      <w:r w:rsidRPr="00207C1A">
        <w:t>165,2 млн. руб.,</w:t>
      </w:r>
      <w:r w:rsidRPr="00267123">
        <w:t xml:space="preserve"> или </w:t>
      </w:r>
      <w:r w:rsidR="00207C1A">
        <w:t xml:space="preserve">на 100% </w:t>
      </w:r>
      <w:r w:rsidRPr="00267123">
        <w:t>в связи с завершением реконструкция здания ДЮЦ в Центральном районе г</w:t>
      </w:r>
      <w:proofErr w:type="gramStart"/>
      <w:r w:rsidRPr="00267123">
        <w:t>.В</w:t>
      </w:r>
      <w:proofErr w:type="gramEnd"/>
      <w:r w:rsidRPr="00267123">
        <w:t xml:space="preserve">олгограда и по </w:t>
      </w:r>
      <w:proofErr w:type="spellStart"/>
      <w:r w:rsidRPr="00267123">
        <w:t>Облкомобразовани</w:t>
      </w:r>
      <w:r w:rsidR="00207C1A">
        <w:t>я</w:t>
      </w:r>
      <w:proofErr w:type="spellEnd"/>
      <w:r w:rsidRPr="00267123">
        <w:t xml:space="preserve"> на </w:t>
      </w:r>
      <w:r w:rsidRPr="00207C1A">
        <w:t>81,8 млн. руб.,</w:t>
      </w:r>
      <w:r w:rsidRPr="00267123">
        <w:t xml:space="preserve"> или </w:t>
      </w:r>
      <w:r w:rsidR="00207C1A">
        <w:t xml:space="preserve">на </w:t>
      </w:r>
      <w:r w:rsidRPr="00267123">
        <w:t xml:space="preserve">65,7% в основном в связи с отсутствием средств федерального бюджета (в 2018 году предусмотрены федеральные средства в сумме </w:t>
      </w:r>
      <w:r w:rsidRPr="00267123">
        <w:rPr>
          <w:rFonts w:eastAsia="Calibri"/>
        </w:rPr>
        <w:t xml:space="preserve">71,8 млн.руб. </w:t>
      </w:r>
      <w:r w:rsidRPr="00267123">
        <w:t>на</w:t>
      </w:r>
      <w:r w:rsidRPr="00267123">
        <w:rPr>
          <w:rFonts w:eastAsia="Calibri"/>
        </w:rPr>
        <w:t xml:space="preserve"> создание детского технопарка «</w:t>
      </w:r>
      <w:proofErr w:type="spellStart"/>
      <w:r w:rsidRPr="00267123">
        <w:rPr>
          <w:rFonts w:eastAsia="Calibri"/>
        </w:rPr>
        <w:t>Кванториум</w:t>
      </w:r>
      <w:proofErr w:type="spellEnd"/>
      <w:r w:rsidRPr="00267123">
        <w:rPr>
          <w:rFonts w:eastAsia="Calibri"/>
        </w:rPr>
        <w:t>»).</w:t>
      </w:r>
    </w:p>
    <w:p w:rsidR="00267123" w:rsidRPr="00267123" w:rsidRDefault="00267123" w:rsidP="00F31530">
      <w:pPr>
        <w:ind w:firstLine="709"/>
        <w:jc w:val="both"/>
        <w:rPr>
          <w:color w:val="000099"/>
        </w:rPr>
      </w:pPr>
      <w:r w:rsidRPr="00F31530">
        <w:rPr>
          <w:rFonts w:eastAsia="Calibri"/>
          <w:b/>
          <w:i/>
          <w:u w:val="single"/>
        </w:rPr>
        <w:t>По подразделу 0704 «Среднее профессиональное образование»</w:t>
      </w:r>
      <w:r w:rsidRPr="00267123">
        <w:rPr>
          <w:rFonts w:eastAsia="Calibri"/>
        </w:rPr>
        <w:t xml:space="preserve"> на 2019 год предусмотрены ассигнования </w:t>
      </w:r>
      <w:r w:rsidRPr="00267123">
        <w:t xml:space="preserve">в сумме 2830,2 млн. руб., что меньше уточненных бюджетных ассигнований  на 2018 год  на 181,6 млн. руб., или на 6%, в том числе в связи </w:t>
      </w:r>
      <w:proofErr w:type="gramStart"/>
      <w:r w:rsidRPr="00267123">
        <w:t>с</w:t>
      </w:r>
      <w:proofErr w:type="gramEnd"/>
      <w:r w:rsidRPr="00267123">
        <w:t>:</w:t>
      </w:r>
      <w:r w:rsidRPr="00267123">
        <w:rPr>
          <w:color w:val="000099"/>
        </w:rPr>
        <w:t xml:space="preserve"> </w:t>
      </w:r>
    </w:p>
    <w:p w:rsidR="00267123" w:rsidRPr="00267123" w:rsidRDefault="00267123" w:rsidP="00267123">
      <w:pPr>
        <w:ind w:firstLine="709"/>
        <w:jc w:val="both"/>
      </w:pPr>
      <w:r w:rsidRPr="00267123">
        <w:t>-уменьшением ассигнований на предоставление субсидий бюджетным</w:t>
      </w:r>
      <w:r w:rsidR="00A17B2E">
        <w:t xml:space="preserve"> и</w:t>
      </w:r>
      <w:r w:rsidRPr="00267123">
        <w:t xml:space="preserve"> автономным учреждениям </w:t>
      </w:r>
      <w:r w:rsidR="00F31530">
        <w:t>(-</w:t>
      </w:r>
      <w:r w:rsidRPr="00F31530">
        <w:t>246,3 млн. руб.</w:t>
      </w:r>
      <w:r w:rsidR="00F31530">
        <w:t>)</w:t>
      </w:r>
      <w:r w:rsidRPr="00F31530">
        <w:t>,</w:t>
      </w:r>
      <w:r w:rsidRPr="00267123">
        <w:t xml:space="preserve"> подведомственным </w:t>
      </w:r>
      <w:proofErr w:type="spellStart"/>
      <w:r w:rsidRPr="00267123">
        <w:t>Облкомобразования</w:t>
      </w:r>
      <w:proofErr w:type="spellEnd"/>
      <w:r w:rsidRPr="00267123">
        <w:t xml:space="preserve"> (</w:t>
      </w:r>
      <w:r w:rsidR="00F31530">
        <w:t>-</w:t>
      </w:r>
      <w:r w:rsidRPr="00267123">
        <w:t>197,4 млн. руб.</w:t>
      </w:r>
      <w:r w:rsidR="00A17B2E">
        <w:t>)</w:t>
      </w:r>
      <w:r w:rsidRPr="00267123">
        <w:t>,  комитету физической культуры и спорта (</w:t>
      </w:r>
      <w:r w:rsidR="00A17B2E">
        <w:t>-</w:t>
      </w:r>
      <w:r w:rsidRPr="00267123">
        <w:t>37,4 млн. руб.), комитету здравоохранения (</w:t>
      </w:r>
      <w:r w:rsidR="00A17B2E">
        <w:t>-</w:t>
      </w:r>
      <w:r w:rsidRPr="00267123">
        <w:t>11,5 млн. руб.);</w:t>
      </w:r>
    </w:p>
    <w:p w:rsidR="00267123" w:rsidRPr="00267123" w:rsidRDefault="00267123" w:rsidP="00267123">
      <w:pPr>
        <w:ind w:firstLine="709"/>
        <w:jc w:val="both"/>
      </w:pPr>
      <w:r w:rsidRPr="00267123">
        <w:t xml:space="preserve">-уменьшением ассигнований  комитету строительства на </w:t>
      </w:r>
      <w:r w:rsidRPr="00A17B2E">
        <w:t>4,3 млн. руб.,</w:t>
      </w:r>
      <w:r w:rsidRPr="00267123">
        <w:t xml:space="preserve"> или </w:t>
      </w:r>
      <w:r w:rsidR="00A17B2E">
        <w:t xml:space="preserve">на </w:t>
      </w:r>
      <w:r w:rsidRPr="00267123">
        <w:t xml:space="preserve">13,3% на строительство объекта «Учебный корпус «Профессиональное училище №13» в городе </w:t>
      </w:r>
      <w:proofErr w:type="spellStart"/>
      <w:r w:rsidRPr="00267123">
        <w:t>Калач-на-Дону</w:t>
      </w:r>
      <w:proofErr w:type="spellEnd"/>
      <w:r w:rsidRPr="00267123">
        <w:t xml:space="preserve"> с учетом фактических расходов (- 7,3 млн. руб.) и выделением ассигнований (+3 млн. руб.) на проектирование объекта </w:t>
      </w:r>
      <w:r w:rsidR="00A17B2E">
        <w:t>«</w:t>
      </w:r>
      <w:r w:rsidRPr="00267123">
        <w:t xml:space="preserve">Учебно-спортивный корпус ГАПОУ «Волгоградский медицинский колледж» в </w:t>
      </w:r>
      <w:proofErr w:type="gramStart"/>
      <w:r w:rsidRPr="00267123">
        <w:t>г</w:t>
      </w:r>
      <w:proofErr w:type="gramEnd"/>
      <w:r w:rsidRPr="00267123">
        <w:t>. Волгоград</w:t>
      </w:r>
      <w:r w:rsidR="00A17B2E">
        <w:t>»</w:t>
      </w:r>
      <w:r w:rsidRPr="00267123">
        <w:t>);</w:t>
      </w:r>
    </w:p>
    <w:p w:rsidR="00267123" w:rsidRPr="00267123" w:rsidRDefault="00267123" w:rsidP="00DB3600">
      <w:pPr>
        <w:ind w:firstLine="709"/>
        <w:jc w:val="both"/>
      </w:pPr>
      <w:r w:rsidRPr="00267123">
        <w:t xml:space="preserve">-увеличением ассигнования на </w:t>
      </w:r>
      <w:r w:rsidRPr="008B0C2C">
        <w:t>68,8 млн. руб</w:t>
      </w:r>
      <w:r w:rsidRPr="00267123">
        <w:rPr>
          <w:b/>
        </w:rPr>
        <w:t>.</w:t>
      </w:r>
      <w:r w:rsidRPr="00267123">
        <w:t xml:space="preserve"> на социальное обеспечение и иные выплаты в соответствии с Федеральным законом от 21.12.1996 №159-ФЗ «О дополнительных гарантиях по социальной поддержке детей-сирот…» и Законом Волгоградской области от 19.12.2013 №172-ОД «О стипендиях и мерах социальной поддержки обучающихся в Волгоградской области»  </w:t>
      </w:r>
      <w:proofErr w:type="spellStart"/>
      <w:r w:rsidRPr="00267123">
        <w:t>Облкомобразования</w:t>
      </w:r>
      <w:proofErr w:type="spellEnd"/>
      <w:r w:rsidRPr="00267123">
        <w:t xml:space="preserve"> (</w:t>
      </w:r>
      <w:r w:rsidR="008B0C2C">
        <w:t>+</w:t>
      </w:r>
      <w:r w:rsidRPr="00267123">
        <w:t>61,1 млн. руб.), комитету культуры (</w:t>
      </w:r>
      <w:r w:rsidR="008B0C2C">
        <w:t>+</w:t>
      </w:r>
      <w:r w:rsidRPr="00267123">
        <w:t>1,4 млн. руб.), комитету здравоохранения (</w:t>
      </w:r>
      <w:r w:rsidR="008B0C2C">
        <w:t>+</w:t>
      </w:r>
      <w:r w:rsidRPr="00267123">
        <w:t>6,4 млн</w:t>
      </w:r>
      <w:proofErr w:type="gramStart"/>
      <w:r w:rsidRPr="00267123">
        <w:t>.р</w:t>
      </w:r>
      <w:proofErr w:type="gramEnd"/>
      <w:r w:rsidRPr="00267123">
        <w:t>уб.)</w:t>
      </w:r>
      <w:r w:rsidR="008B0C2C">
        <w:t>. Запланированные ассигнования</w:t>
      </w:r>
      <w:r w:rsidRPr="00267123">
        <w:t xml:space="preserve"> покрыва</w:t>
      </w:r>
      <w:r w:rsidR="008B0C2C">
        <w:t>ю</w:t>
      </w:r>
      <w:r w:rsidRPr="00267123">
        <w:t xml:space="preserve">т потребность </w:t>
      </w:r>
      <w:proofErr w:type="spellStart"/>
      <w:r w:rsidRPr="00267123">
        <w:t>Облкомобразования</w:t>
      </w:r>
      <w:proofErr w:type="spellEnd"/>
      <w:r w:rsidRPr="00267123">
        <w:t xml:space="preserve"> (361,8 млн. руб.) и комитета здравоохранения (34,7 млн. руб.)</w:t>
      </w:r>
      <w:r w:rsidR="008B0C2C">
        <w:t xml:space="preserve"> в выплатах, предусмотренных вышеназванными законами</w:t>
      </w:r>
      <w:r w:rsidRPr="00267123">
        <w:t>, но не покрыва</w:t>
      </w:r>
      <w:r w:rsidR="008B0C2C">
        <w:t>ю</w:t>
      </w:r>
      <w:r w:rsidRPr="00267123">
        <w:t>т расчетную потребность комитета культуры (12,5 млн. руб.)</w:t>
      </w:r>
      <w:r w:rsidR="008B0C2C">
        <w:t xml:space="preserve"> на </w:t>
      </w:r>
      <w:r w:rsidR="008B0C2C" w:rsidRPr="00267123">
        <w:t xml:space="preserve">2,3 млн. руб., или на </w:t>
      </w:r>
      <w:r w:rsidR="008B0C2C">
        <w:t>18,4 процента.</w:t>
      </w:r>
      <w:r w:rsidR="008B0C2C" w:rsidRPr="00267123">
        <w:t xml:space="preserve"> </w:t>
      </w:r>
      <w:r w:rsidR="008B0C2C">
        <w:t>В результате предусмотренные в законопроекте ассигнования комитету культуры позволят</w:t>
      </w:r>
      <w:r w:rsidRPr="00267123">
        <w:t xml:space="preserve"> обеспечить выплаты</w:t>
      </w:r>
      <w:r w:rsidR="008B0C2C">
        <w:t xml:space="preserve"> стипендий и мер социальной поддержки</w:t>
      </w:r>
      <w:r w:rsidRPr="00267123">
        <w:t xml:space="preserve"> в течение 8 месяцев.</w:t>
      </w:r>
    </w:p>
    <w:p w:rsidR="00267123" w:rsidRPr="00267123" w:rsidRDefault="00267123" w:rsidP="00CD762C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B3600">
        <w:rPr>
          <w:rFonts w:ascii="Times New Roman" w:eastAsia="Calibri" w:hAnsi="Times New Roman" w:cs="Times New Roman"/>
          <w:i/>
          <w:color w:val="auto"/>
          <w:u w:val="single"/>
        </w:rPr>
        <w:t>По подразделу 0705 «Профессиональная подготовка, переподготовка, и повышение квалификации»</w:t>
      </w:r>
      <w:r w:rsidRPr="00267123">
        <w:rPr>
          <w:rFonts w:ascii="Times New Roman" w:eastAsia="Calibri" w:hAnsi="Times New Roman" w:cs="Times New Roman"/>
          <w:b w:val="0"/>
          <w:color w:val="auto"/>
        </w:rPr>
        <w:t xml:space="preserve"> на 2019 год предусмотрены ассигнования в сумме 138,6 млн. руб., что на 55,5 млн. руб., или </w:t>
      </w:r>
      <w:r w:rsidR="00DB3600">
        <w:rPr>
          <w:rFonts w:ascii="Times New Roman" w:eastAsia="Calibri" w:hAnsi="Times New Roman" w:cs="Times New Roman"/>
          <w:b w:val="0"/>
          <w:color w:val="auto"/>
        </w:rPr>
        <w:t xml:space="preserve">на </w:t>
      </w:r>
      <w:r w:rsidRPr="00267123">
        <w:rPr>
          <w:rFonts w:ascii="Times New Roman" w:eastAsia="Calibri" w:hAnsi="Times New Roman" w:cs="Times New Roman"/>
          <w:b w:val="0"/>
          <w:color w:val="auto"/>
        </w:rPr>
        <w:t xml:space="preserve">28,6% меньше ассигнований 2018 года. Уменьшение ассигнований обусловлено погашением </w:t>
      </w:r>
      <w:r w:rsidRPr="00267123">
        <w:rPr>
          <w:rFonts w:ascii="Times New Roman" w:hAnsi="Times New Roman" w:cs="Times New Roman"/>
          <w:b w:val="0"/>
          <w:color w:val="auto"/>
        </w:rPr>
        <w:t>в 2018 году</w:t>
      </w:r>
      <w:r w:rsidRPr="00267123">
        <w:rPr>
          <w:rFonts w:ascii="Times New Roman" w:eastAsia="Calibri" w:hAnsi="Times New Roman" w:cs="Times New Roman"/>
          <w:b w:val="0"/>
          <w:color w:val="auto"/>
        </w:rPr>
        <w:t xml:space="preserve"> кредиторской задолженности </w:t>
      </w:r>
      <w:r w:rsidRPr="00267123">
        <w:rPr>
          <w:rFonts w:ascii="Times New Roman" w:hAnsi="Times New Roman" w:cs="Times New Roman"/>
          <w:b w:val="0"/>
          <w:color w:val="auto"/>
        </w:rPr>
        <w:t>за 2017 год ГАУ «Волгоградская государственная академия последипломного образования».</w:t>
      </w:r>
    </w:p>
    <w:p w:rsidR="00267123" w:rsidRPr="00267123" w:rsidRDefault="00267123" w:rsidP="00DA4C82">
      <w:pPr>
        <w:autoSpaceDE w:val="0"/>
        <w:autoSpaceDN w:val="0"/>
        <w:adjustRightInd w:val="0"/>
        <w:ind w:firstLine="709"/>
        <w:jc w:val="both"/>
      </w:pPr>
      <w:r w:rsidRPr="00CD762C">
        <w:rPr>
          <w:rFonts w:eastAsia="Calibri"/>
          <w:b/>
          <w:i/>
          <w:u w:val="single"/>
        </w:rPr>
        <w:t>По подразделу 0706 «Высшее образование»</w:t>
      </w:r>
      <w:r w:rsidRPr="00267123">
        <w:rPr>
          <w:rFonts w:eastAsia="Calibri"/>
        </w:rPr>
        <w:t xml:space="preserve"> на 2019 год комитету культуры Волгоградской области законопроектом предусмотрены ассигнования </w:t>
      </w:r>
      <w:r w:rsidRPr="00267123">
        <w:t xml:space="preserve">на содержание ГОБУК «Волгоградский государственный институт искусств и культуры» в сумме 112,2 млн. руб., что больше ассигнований 2018 года на 5,3 млн. руб. (5%) в связи с необходимостью </w:t>
      </w:r>
      <w:proofErr w:type="gramStart"/>
      <w:r w:rsidR="00CD762C">
        <w:t>повышения</w:t>
      </w:r>
      <w:r w:rsidRPr="00267123">
        <w:t xml:space="preserve"> фонда оплаты труда педагогических работников</w:t>
      </w:r>
      <w:proofErr w:type="gramEnd"/>
      <w:r w:rsidR="00CD762C">
        <w:t>. Запланированные ассигнования составляют</w:t>
      </w:r>
      <w:r w:rsidRPr="00267123">
        <w:t xml:space="preserve"> 9</w:t>
      </w:r>
      <w:r w:rsidR="00CD762C">
        <w:t>3</w:t>
      </w:r>
      <w:r w:rsidRPr="00267123">
        <w:t>,</w:t>
      </w:r>
      <w:r w:rsidR="00CD762C">
        <w:t>7%</w:t>
      </w:r>
      <w:r w:rsidRPr="00267123">
        <w:t xml:space="preserve">  от потребности, определенной комитетом </w:t>
      </w:r>
      <w:r w:rsidRPr="00267123">
        <w:rPr>
          <w:rFonts w:eastAsia="Calibri"/>
        </w:rPr>
        <w:t>культуры</w:t>
      </w:r>
      <w:r w:rsidRPr="00267123">
        <w:t xml:space="preserve"> в размере 119,7 млн. руб</w:t>
      </w:r>
      <w:r w:rsidR="00CD762C">
        <w:t>лей</w:t>
      </w:r>
      <w:r w:rsidRPr="00267123">
        <w:t>.</w:t>
      </w:r>
    </w:p>
    <w:p w:rsidR="00267123" w:rsidRPr="00267123" w:rsidRDefault="00267123" w:rsidP="00DA4C82">
      <w:pPr>
        <w:ind w:firstLine="709"/>
        <w:jc w:val="both"/>
        <w:rPr>
          <w:bCs/>
        </w:rPr>
      </w:pPr>
      <w:r w:rsidRPr="00DA4C82">
        <w:rPr>
          <w:b/>
          <w:i/>
          <w:u w:val="single"/>
        </w:rPr>
        <w:t>По подразделу 0707 «Молодежная политика»</w:t>
      </w:r>
      <w:r w:rsidRPr="00267123">
        <w:t xml:space="preserve"> на 2019 год предусмотрены </w:t>
      </w:r>
      <w:r w:rsidRPr="00267123">
        <w:rPr>
          <w:rFonts w:eastAsia="Calibri"/>
        </w:rPr>
        <w:t>а</w:t>
      </w:r>
      <w:r w:rsidRPr="00267123">
        <w:t xml:space="preserve">ссигнования в сумме 713,9 млн. руб. на реализацию мероприятий подпрограммы «Организация отдыха и оздоровления детей…» государственной программы «Развитие образования…», </w:t>
      </w:r>
      <w:r w:rsidRPr="00267123">
        <w:rPr>
          <w:bCs/>
        </w:rPr>
        <w:t xml:space="preserve">что больше уточненных бюджетных ассигнований 2018 года на 57,9 млн. руб., или </w:t>
      </w:r>
      <w:r w:rsidR="00DA4C82">
        <w:rPr>
          <w:bCs/>
        </w:rPr>
        <w:t xml:space="preserve">на </w:t>
      </w:r>
      <w:r w:rsidRPr="00267123">
        <w:rPr>
          <w:bCs/>
        </w:rPr>
        <w:t>8,8 процент</w:t>
      </w:r>
      <w:r w:rsidR="00DA4C82">
        <w:rPr>
          <w:bCs/>
        </w:rPr>
        <w:t>а</w:t>
      </w:r>
      <w:r w:rsidRPr="00267123">
        <w:rPr>
          <w:bCs/>
        </w:rPr>
        <w:t>.</w:t>
      </w:r>
    </w:p>
    <w:p w:rsidR="00267123" w:rsidRPr="00267123" w:rsidRDefault="00267123" w:rsidP="00267123">
      <w:pPr>
        <w:ind w:firstLine="709"/>
        <w:jc w:val="both"/>
        <w:rPr>
          <w:bCs/>
        </w:rPr>
      </w:pPr>
      <w:proofErr w:type="gramStart"/>
      <w:r w:rsidRPr="00267123">
        <w:rPr>
          <w:bCs/>
        </w:rPr>
        <w:t xml:space="preserve">Ассигнования увеличены </w:t>
      </w:r>
      <w:r w:rsidRPr="00267123">
        <w:t xml:space="preserve">комитету строительства </w:t>
      </w:r>
      <w:r w:rsidRPr="00267123">
        <w:rPr>
          <w:bCs/>
        </w:rPr>
        <w:t xml:space="preserve">на </w:t>
      </w:r>
      <w:r w:rsidRPr="00267123">
        <w:t xml:space="preserve">проектирование строительства зданий ГБДОУ Волгоградской </w:t>
      </w:r>
      <w:r w:rsidRPr="00267123">
        <w:rPr>
          <w:bCs/>
        </w:rPr>
        <w:t>области «Зеленая волна»</w:t>
      </w:r>
      <w:r w:rsidRPr="00267123">
        <w:t xml:space="preserve"> (+</w:t>
      </w:r>
      <w:r w:rsidRPr="00267123">
        <w:rPr>
          <w:bCs/>
        </w:rPr>
        <w:t>47,5 млн. руб.)</w:t>
      </w:r>
      <w:r w:rsidR="00DA4C82">
        <w:rPr>
          <w:bCs/>
        </w:rPr>
        <w:t xml:space="preserve"> и</w:t>
      </w:r>
      <w:r w:rsidRPr="00267123">
        <w:rPr>
          <w:bCs/>
        </w:rPr>
        <w:t xml:space="preserve"> </w:t>
      </w:r>
      <w:proofErr w:type="spellStart"/>
      <w:r w:rsidRPr="00267123">
        <w:rPr>
          <w:bCs/>
        </w:rPr>
        <w:t>Облкомобразовани</w:t>
      </w:r>
      <w:r w:rsidR="00DA4C82">
        <w:rPr>
          <w:bCs/>
        </w:rPr>
        <w:t>я</w:t>
      </w:r>
      <w:proofErr w:type="spellEnd"/>
      <w:r w:rsidRPr="00267123">
        <w:rPr>
          <w:bCs/>
        </w:rPr>
        <w:t xml:space="preserve">  на реализацию сертификатов на отдых и оздоровление отдельных </w:t>
      </w:r>
      <w:r w:rsidRPr="00267123">
        <w:rPr>
          <w:bCs/>
        </w:rPr>
        <w:lastRenderedPageBreak/>
        <w:t xml:space="preserve">категорий детей (+38,4 млн. руб.), на приобретение путевок (+22,1 млн. руб.), на субсидию </w:t>
      </w:r>
      <w:r w:rsidR="00DA4C82">
        <w:rPr>
          <w:bCs/>
        </w:rPr>
        <w:t>органам местного самоуправления на</w:t>
      </w:r>
      <w:r w:rsidRPr="00267123">
        <w:rPr>
          <w:bCs/>
        </w:rPr>
        <w:t xml:space="preserve"> организацию отдыха в лагерях дневного пребывания (+1,2 млн. руб.).</w:t>
      </w:r>
      <w:proofErr w:type="gramEnd"/>
      <w:r w:rsidRPr="00267123">
        <w:rPr>
          <w:bCs/>
        </w:rPr>
        <w:t xml:space="preserve"> Уменьшены ассигнования на предоставление субсидий бюджетным и автономным учреждениям, подведомственным </w:t>
      </w:r>
      <w:proofErr w:type="spellStart"/>
      <w:r w:rsidRPr="00267123">
        <w:rPr>
          <w:bCs/>
        </w:rPr>
        <w:t>Облкомобразовани</w:t>
      </w:r>
      <w:r w:rsidR="00DA4C82">
        <w:rPr>
          <w:bCs/>
        </w:rPr>
        <w:t>я</w:t>
      </w:r>
      <w:proofErr w:type="spellEnd"/>
      <w:r w:rsidRPr="00267123">
        <w:rPr>
          <w:bCs/>
        </w:rPr>
        <w:t xml:space="preserve">, реализующим услуги по отдыху и оздоровлению детей (-51,3 млн. руб.). </w:t>
      </w:r>
    </w:p>
    <w:p w:rsidR="00267123" w:rsidRPr="003B58A9" w:rsidRDefault="00267123" w:rsidP="002A6060">
      <w:pPr>
        <w:ind w:firstLine="709"/>
        <w:jc w:val="both"/>
        <w:rPr>
          <w:rFonts w:eastAsia="Calibri"/>
        </w:rPr>
      </w:pPr>
      <w:r w:rsidRPr="00267123">
        <w:rPr>
          <w:bCs/>
        </w:rPr>
        <w:t xml:space="preserve">Кроме того, в пределах подраздела ассигнования </w:t>
      </w:r>
      <w:r w:rsidRPr="00267123">
        <w:t xml:space="preserve">на организацию отдыха и оздоровления </w:t>
      </w:r>
      <w:r w:rsidRPr="00267123">
        <w:rPr>
          <w:rFonts w:eastAsia="Calibri"/>
        </w:rPr>
        <w:t xml:space="preserve">отдельных категорий детей в сумме </w:t>
      </w:r>
      <w:r w:rsidRPr="00267123">
        <w:t>1</w:t>
      </w:r>
      <w:r w:rsidRPr="00267123">
        <w:rPr>
          <w:bCs/>
        </w:rPr>
        <w:t xml:space="preserve">82,1 млн. руб. перемещены </w:t>
      </w:r>
      <w:r w:rsidRPr="00267123">
        <w:rPr>
          <w:rFonts w:eastAsia="Calibri"/>
        </w:rPr>
        <w:t>с комитета социальной защиты населения</w:t>
      </w:r>
      <w:r w:rsidRPr="00267123">
        <w:t xml:space="preserve"> </w:t>
      </w:r>
      <w:proofErr w:type="spellStart"/>
      <w:r w:rsidRPr="00267123">
        <w:rPr>
          <w:bCs/>
        </w:rPr>
        <w:t>Облкомобразовани</w:t>
      </w:r>
      <w:r w:rsidR="00DA4C82">
        <w:rPr>
          <w:bCs/>
        </w:rPr>
        <w:t>я</w:t>
      </w:r>
      <w:proofErr w:type="spellEnd"/>
      <w:r w:rsidRPr="00267123">
        <w:rPr>
          <w:bCs/>
        </w:rPr>
        <w:t xml:space="preserve">, в </w:t>
      </w:r>
      <w:proofErr w:type="gramStart"/>
      <w:r w:rsidRPr="00267123">
        <w:rPr>
          <w:bCs/>
        </w:rPr>
        <w:t>связи</w:t>
      </w:r>
      <w:proofErr w:type="gramEnd"/>
      <w:r w:rsidRPr="00267123">
        <w:rPr>
          <w:bCs/>
        </w:rPr>
        <w:t xml:space="preserve"> с чем </w:t>
      </w:r>
      <w:r w:rsidRPr="003B58A9">
        <w:rPr>
          <w:bCs/>
        </w:rPr>
        <w:t xml:space="preserve">необходимо внесение изменений в </w:t>
      </w:r>
      <w:r w:rsidRPr="003B58A9">
        <w:rPr>
          <w:rFonts w:eastAsia="Calibri"/>
        </w:rPr>
        <w:t xml:space="preserve">постановление Администрации Волгоградской области от 18.05.2018 №219-п «О мерах по реализации Закона Волгоградской области от 16.02.2018 №16-ОД «Об организации отдыха и оздоровления детей…» в части уточнения уполномоченных органов по указанной категории детей, а также в постановление Губернатора Волгоградской области от 13.12.2017 №849 «Об утверждении положения о комитете образования…» в части установления соответствующих полномочий. </w:t>
      </w:r>
    </w:p>
    <w:p w:rsidR="00267123" w:rsidRPr="00267123" w:rsidRDefault="00267123" w:rsidP="002A6060">
      <w:pPr>
        <w:autoSpaceDE w:val="0"/>
        <w:autoSpaceDN w:val="0"/>
        <w:adjustRightInd w:val="0"/>
        <w:ind w:firstLine="709"/>
        <w:jc w:val="both"/>
      </w:pPr>
      <w:r w:rsidRPr="002A6060">
        <w:rPr>
          <w:b/>
          <w:i/>
          <w:u w:val="single"/>
        </w:rPr>
        <w:t>По подразделу 0709 «</w:t>
      </w:r>
      <w:r w:rsidRPr="002A6060">
        <w:rPr>
          <w:rFonts w:eastAsia="Calibri"/>
          <w:b/>
          <w:bCs/>
          <w:i/>
          <w:iCs/>
          <w:u w:val="single"/>
          <w:lang w:eastAsia="en-US"/>
        </w:rPr>
        <w:t>Другие вопросы в области образования</w:t>
      </w:r>
      <w:r w:rsidRPr="002A6060">
        <w:rPr>
          <w:b/>
          <w:i/>
          <w:u w:val="single"/>
        </w:rPr>
        <w:t>»</w:t>
      </w:r>
      <w:r w:rsidRPr="00267123">
        <w:t xml:space="preserve"> на 2019 год предусмотрены </w:t>
      </w:r>
      <w:r w:rsidRPr="00267123">
        <w:rPr>
          <w:rFonts w:eastAsia="Calibri"/>
        </w:rPr>
        <w:t>а</w:t>
      </w:r>
      <w:r w:rsidRPr="00267123">
        <w:t xml:space="preserve">ссигнования </w:t>
      </w:r>
      <w:proofErr w:type="spellStart"/>
      <w:r w:rsidRPr="00267123">
        <w:t>Облкомобразовани</w:t>
      </w:r>
      <w:r w:rsidR="002A6060">
        <w:t>я</w:t>
      </w:r>
      <w:proofErr w:type="spellEnd"/>
      <w:r w:rsidRPr="00267123">
        <w:t xml:space="preserve"> в сумме 192,2 млн. руб., что больше уточненных ассигнований 2018 года на 12,3 млн. руб., или </w:t>
      </w:r>
      <w:r w:rsidR="002A6060">
        <w:t>на 6</w:t>
      </w:r>
      <w:r w:rsidRPr="00267123">
        <w:t>,8 процентов.</w:t>
      </w:r>
    </w:p>
    <w:p w:rsidR="00267123" w:rsidRPr="00267123" w:rsidRDefault="00267123" w:rsidP="002671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67123">
        <w:t xml:space="preserve">Основное увеличение </w:t>
      </w:r>
      <w:r w:rsidR="002A6060">
        <w:t>запланировано</w:t>
      </w:r>
      <w:r w:rsidRPr="00267123">
        <w:t xml:space="preserve"> по </w:t>
      </w:r>
      <w:proofErr w:type="spellStart"/>
      <w:r w:rsidRPr="00267123">
        <w:t>Облкомобразовани</w:t>
      </w:r>
      <w:r w:rsidR="002A6060">
        <w:t>я</w:t>
      </w:r>
      <w:proofErr w:type="spellEnd"/>
      <w:r w:rsidRPr="00267123">
        <w:t xml:space="preserve"> </w:t>
      </w:r>
      <w:r w:rsidR="002A6060">
        <w:t xml:space="preserve">(на 6,6 млн. руб.) </w:t>
      </w:r>
      <w:r w:rsidRPr="00267123">
        <w:t xml:space="preserve">в связи с передачей </w:t>
      </w:r>
      <w:r w:rsidR="002A6060">
        <w:t xml:space="preserve">ему </w:t>
      </w:r>
      <w:r w:rsidRPr="00267123">
        <w:t xml:space="preserve">полномочий комитета молодежной политики с 01.01.2018 и внесением </w:t>
      </w:r>
      <w:r w:rsidR="002A6060">
        <w:t>соответствующих</w:t>
      </w:r>
      <w:r w:rsidRPr="00267123">
        <w:t xml:space="preserve"> изменений по выплате </w:t>
      </w:r>
      <w:r w:rsidRPr="00267123">
        <w:rPr>
          <w:rFonts w:eastAsia="Calibri"/>
        </w:rPr>
        <w:t xml:space="preserve">именных стипендий </w:t>
      </w:r>
      <w:r w:rsidRPr="00267123">
        <w:t xml:space="preserve">в </w:t>
      </w:r>
      <w:r w:rsidRPr="00267123">
        <w:rPr>
          <w:rFonts w:eastAsia="Calibri"/>
        </w:rPr>
        <w:t xml:space="preserve">Закон Волгоградской области от 19.12.2013 №172-ОД «О стипендиях и мерах социальной поддержки обучающихся в Волгоградской области». </w:t>
      </w:r>
    </w:p>
    <w:p w:rsidR="00EA3909" w:rsidRDefault="00267123" w:rsidP="00EA3909">
      <w:pPr>
        <w:autoSpaceDE w:val="0"/>
        <w:autoSpaceDN w:val="0"/>
        <w:adjustRightInd w:val="0"/>
        <w:ind w:firstLine="708"/>
        <w:jc w:val="both"/>
      </w:pPr>
      <w:r w:rsidRPr="00267123">
        <w:rPr>
          <w:rFonts w:eastAsia="Calibri"/>
        </w:rPr>
        <w:t xml:space="preserve">Помимо этого увеличены ассигнования </w:t>
      </w:r>
      <w:r w:rsidRPr="00267123">
        <w:t xml:space="preserve">на реализацию мероприятий госпрограммы «Социальная поддержка и защита населения…» на 2,5 млн. руб., на обеспечение </w:t>
      </w:r>
      <w:r w:rsidR="002A6060">
        <w:t xml:space="preserve">деятельности </w:t>
      </w:r>
      <w:r w:rsidRPr="00267123">
        <w:t xml:space="preserve">подведомственных казенных учреждений </w:t>
      </w:r>
      <w:r w:rsidR="002A6060">
        <w:t xml:space="preserve">- </w:t>
      </w:r>
      <w:r w:rsidRPr="00267123">
        <w:t xml:space="preserve">на 1,9 млн. руб., на </w:t>
      </w:r>
      <w:proofErr w:type="spellStart"/>
      <w:r w:rsidRPr="00267123">
        <w:t>непрограммные</w:t>
      </w:r>
      <w:proofErr w:type="spellEnd"/>
      <w:r w:rsidRPr="00267123">
        <w:t xml:space="preserve"> направления обеспечения деятельности государственных органов </w:t>
      </w:r>
      <w:r w:rsidR="002A6060">
        <w:t xml:space="preserve">власти </w:t>
      </w:r>
      <w:r w:rsidRPr="00267123">
        <w:t xml:space="preserve">Волгоградской области </w:t>
      </w:r>
      <w:r w:rsidR="002A6060">
        <w:t xml:space="preserve">- </w:t>
      </w:r>
      <w:r w:rsidRPr="00267123">
        <w:t>на 1,3 млн. рублей.</w:t>
      </w:r>
    </w:p>
    <w:p w:rsidR="00D05E6C" w:rsidRPr="00EA3909" w:rsidRDefault="00D05E6C" w:rsidP="00EA390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A3909">
        <w:rPr>
          <w:bCs/>
          <w:color w:val="000000"/>
        </w:rPr>
        <w:t xml:space="preserve">Перечнем объектов строительства (реконструкции, в том числе с элементами реставрации, технического перевооружения) для областных государственных нужд, строительство которых начато </w:t>
      </w:r>
      <w:r w:rsidRPr="00E155D1">
        <w:rPr>
          <w:bCs/>
          <w:color w:val="000000"/>
        </w:rPr>
        <w:t>в целях ликвидации последствий природных пожаров 2-3 сентября 2010 года</w:t>
      </w:r>
      <w:r w:rsidRPr="00EA3909">
        <w:rPr>
          <w:bCs/>
          <w:color w:val="000000"/>
        </w:rPr>
        <w:t xml:space="preserve"> </w:t>
      </w:r>
      <w:r w:rsidRPr="00EA3909">
        <w:rPr>
          <w:color w:val="000000"/>
          <w:sz w:val="28"/>
          <w:szCs w:val="28"/>
        </w:rPr>
        <w:t>(</w:t>
      </w:r>
      <w:r w:rsidRPr="00EA3909">
        <w:t>приложение 17</w:t>
      </w:r>
      <w:r w:rsidR="00E155D1">
        <w:t xml:space="preserve"> к законопроекту</w:t>
      </w:r>
      <w:r w:rsidRPr="00EA3909">
        <w:t>)</w:t>
      </w:r>
      <w:r w:rsidR="00E155D1">
        <w:t>,</w:t>
      </w:r>
      <w:r w:rsidRPr="00EA3909">
        <w:t xml:space="preserve"> предусмотрено строительство пристройки к школе (спортзал) </w:t>
      </w:r>
      <w:proofErr w:type="gramStart"/>
      <w:r w:rsidRPr="00EA3909">
        <w:t>в</w:t>
      </w:r>
      <w:proofErr w:type="gramEnd"/>
      <w:r w:rsidRPr="00EA3909">
        <w:t xml:space="preserve"> с.</w:t>
      </w:r>
      <w:r w:rsidR="00E155D1">
        <w:t xml:space="preserve"> </w:t>
      </w:r>
      <w:proofErr w:type="spellStart"/>
      <w:r w:rsidRPr="00EA3909">
        <w:t>Веселово</w:t>
      </w:r>
      <w:proofErr w:type="spellEnd"/>
      <w:r w:rsidRPr="00EA3909">
        <w:t xml:space="preserve"> </w:t>
      </w:r>
      <w:proofErr w:type="spellStart"/>
      <w:r w:rsidRPr="00EA3909">
        <w:t>Камышинского</w:t>
      </w:r>
      <w:proofErr w:type="spellEnd"/>
      <w:r w:rsidRPr="00EA3909">
        <w:t xml:space="preserve"> района </w:t>
      </w:r>
      <w:r w:rsidR="00E155D1">
        <w:t>-</w:t>
      </w:r>
      <w:r w:rsidRPr="00EA3909">
        <w:t xml:space="preserve"> </w:t>
      </w:r>
      <w:r w:rsidRPr="00E155D1">
        <w:t>78,4 млн. рублей</w:t>
      </w:r>
      <w:r w:rsidRPr="00EA3909">
        <w:rPr>
          <w:u w:val="single"/>
        </w:rPr>
        <w:t>.</w:t>
      </w:r>
    </w:p>
    <w:p w:rsidR="00D05E6C" w:rsidRPr="00A10CA3" w:rsidRDefault="00D05E6C" w:rsidP="00D05E6C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EA3909">
        <w:t xml:space="preserve">При этом проверка КСП, проведенная в октябре 2018 года, показала, что до конца 2018 года строительство 2 детских садов </w:t>
      </w:r>
      <w:proofErr w:type="gramStart"/>
      <w:r w:rsidRPr="00EA3909">
        <w:t>в</w:t>
      </w:r>
      <w:proofErr w:type="gramEnd"/>
      <w:r w:rsidRPr="00EA3909">
        <w:t xml:space="preserve"> с. </w:t>
      </w:r>
      <w:proofErr w:type="spellStart"/>
      <w:r w:rsidRPr="00EA3909">
        <w:t>Бундевка</w:t>
      </w:r>
      <w:proofErr w:type="spellEnd"/>
      <w:r w:rsidRPr="00EA3909">
        <w:t xml:space="preserve"> </w:t>
      </w:r>
      <w:proofErr w:type="spellStart"/>
      <w:r w:rsidRPr="00EA3909">
        <w:t>Руднянского</w:t>
      </w:r>
      <w:proofErr w:type="spellEnd"/>
      <w:r w:rsidRPr="00EA3909">
        <w:t xml:space="preserve"> </w:t>
      </w:r>
      <w:proofErr w:type="gramStart"/>
      <w:r w:rsidRPr="00EA3909">
        <w:t>района</w:t>
      </w:r>
      <w:proofErr w:type="gramEnd"/>
      <w:r w:rsidRPr="00EA3909">
        <w:t xml:space="preserve"> и </w:t>
      </w:r>
      <w:r w:rsidR="00E155D1">
        <w:t xml:space="preserve">на </w:t>
      </w:r>
      <w:r w:rsidRPr="00EA3909">
        <w:t xml:space="preserve">ст. </w:t>
      </w:r>
      <w:proofErr w:type="spellStart"/>
      <w:r w:rsidRPr="00EA3909">
        <w:t>Лапшинская</w:t>
      </w:r>
      <w:proofErr w:type="spellEnd"/>
      <w:r w:rsidRPr="00EA3909">
        <w:t xml:space="preserve"> Котовского района</w:t>
      </w:r>
      <w:r w:rsidR="00E155D1">
        <w:t xml:space="preserve"> </w:t>
      </w:r>
      <w:r w:rsidR="00E155D1" w:rsidRPr="00EA3909">
        <w:t>не будет завершено</w:t>
      </w:r>
      <w:r w:rsidRPr="00EA3909">
        <w:t>. В</w:t>
      </w:r>
      <w:r w:rsidR="00E155D1">
        <w:t xml:space="preserve"> то же время</w:t>
      </w:r>
      <w:r w:rsidRPr="00EA3909">
        <w:t xml:space="preserve"> </w:t>
      </w:r>
      <w:r w:rsidRPr="00A10CA3">
        <w:rPr>
          <w:u w:val="single"/>
        </w:rPr>
        <w:t xml:space="preserve">законопроектом на 2019 год завершение строительства этих объектов не предусмотрено, ориентировочно расходы на указанные цели в 2019 году составят около 100 млн. рублей. </w:t>
      </w:r>
    </w:p>
    <w:p w:rsidR="00D05E6C" w:rsidRDefault="00D05E6C" w:rsidP="00D05E6C">
      <w:pPr>
        <w:ind w:firstLine="720"/>
        <w:jc w:val="both"/>
        <w:rPr>
          <w:b/>
          <w:bCs/>
          <w:iCs/>
          <w:color w:val="000000"/>
          <w:spacing w:val="-1"/>
        </w:rPr>
      </w:pPr>
    </w:p>
    <w:p w:rsidR="00EA2C21" w:rsidRDefault="00EA2C21" w:rsidP="00FD3A0E">
      <w:pPr>
        <w:jc w:val="center"/>
        <w:rPr>
          <w:b/>
          <w:i/>
          <w:u w:val="single"/>
        </w:rPr>
      </w:pPr>
      <w:r w:rsidRPr="002E1765">
        <w:rPr>
          <w:b/>
          <w:i/>
          <w:u w:val="single"/>
        </w:rPr>
        <w:t>Расходы по разделу 0800 «Культура и кинематография».</w:t>
      </w:r>
    </w:p>
    <w:p w:rsidR="00FD3A0E" w:rsidRDefault="00FD3A0E" w:rsidP="00FD3A0E">
      <w:pPr>
        <w:jc w:val="center"/>
        <w:rPr>
          <w:b/>
          <w:i/>
          <w:u w:val="single"/>
        </w:rPr>
      </w:pPr>
    </w:p>
    <w:p w:rsidR="008F20E2" w:rsidRPr="008F20E2" w:rsidRDefault="008F20E2" w:rsidP="008F20E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F20E2">
        <w:rPr>
          <w:rFonts w:ascii="Times New Roman" w:hAnsi="Times New Roman" w:cs="Times New Roman"/>
          <w:sz w:val="24"/>
          <w:szCs w:val="24"/>
        </w:rPr>
        <w:tab/>
        <w:t>По разделу 0800 «Культура, кинематография» на 2019 год предусмотрены ассигнования в сумме 1</w:t>
      </w:r>
      <w:r w:rsidR="00C13416">
        <w:rPr>
          <w:rFonts w:ascii="Times New Roman" w:hAnsi="Times New Roman" w:cs="Times New Roman"/>
          <w:sz w:val="24"/>
          <w:szCs w:val="24"/>
        </w:rPr>
        <w:t>628</w:t>
      </w:r>
      <w:r w:rsidRPr="008F20E2">
        <w:rPr>
          <w:rFonts w:ascii="Times New Roman" w:hAnsi="Times New Roman" w:cs="Times New Roman"/>
          <w:sz w:val="24"/>
          <w:szCs w:val="24"/>
        </w:rPr>
        <w:t>,</w:t>
      </w:r>
      <w:r w:rsidR="00C13416">
        <w:rPr>
          <w:rFonts w:ascii="Times New Roman" w:hAnsi="Times New Roman" w:cs="Times New Roman"/>
          <w:sz w:val="24"/>
          <w:szCs w:val="24"/>
        </w:rPr>
        <w:t>5</w:t>
      </w:r>
      <w:r w:rsidRPr="008F20E2">
        <w:rPr>
          <w:rFonts w:ascii="Times New Roman" w:hAnsi="Times New Roman" w:cs="Times New Roman"/>
          <w:sz w:val="24"/>
          <w:szCs w:val="24"/>
        </w:rPr>
        <w:t xml:space="preserve"> млн. руб., что меньше уточненных бюджетных ассигнований на 2018 год на 336,5 млн. руб., или на 17 процентов.</w:t>
      </w:r>
    </w:p>
    <w:p w:rsidR="008F20E2" w:rsidRPr="008F20E2" w:rsidRDefault="008F20E2" w:rsidP="009365AF">
      <w:pPr>
        <w:ind w:firstLine="709"/>
        <w:jc w:val="both"/>
      </w:pPr>
      <w:r w:rsidRPr="008F20E2">
        <w:t xml:space="preserve">Наибольшая сумма снижения ассигнований </w:t>
      </w:r>
      <w:r w:rsidRPr="009365AF">
        <w:rPr>
          <w:b/>
          <w:i/>
          <w:u w:val="single"/>
        </w:rPr>
        <w:t>по подразделу 0801 «Культура»</w:t>
      </w:r>
      <w:r w:rsidRPr="008F20E2">
        <w:rPr>
          <w:b/>
        </w:rPr>
        <w:t xml:space="preserve"> </w:t>
      </w:r>
      <w:r w:rsidRPr="008F20E2">
        <w:t xml:space="preserve">запланирована по комитету культуры Волгоградской области (далее </w:t>
      </w:r>
      <w:proofErr w:type="spellStart"/>
      <w:r w:rsidRPr="008F20E2">
        <w:t>Облкомкультуры</w:t>
      </w:r>
      <w:proofErr w:type="spellEnd"/>
      <w:r w:rsidRPr="008F20E2">
        <w:t xml:space="preserve">) – на 227,1 млн. руб. </w:t>
      </w:r>
      <w:r w:rsidR="009365AF">
        <w:t>(</w:t>
      </w:r>
      <w:r w:rsidRPr="008F20E2">
        <w:t>с 1434,5 млн. руб. до 1207,4 млн. руб.</w:t>
      </w:r>
      <w:r w:rsidR="009365AF">
        <w:t>)</w:t>
      </w:r>
      <w:r w:rsidRPr="008F20E2">
        <w:t>, или на 16</w:t>
      </w:r>
      <w:r w:rsidR="009365AF">
        <w:t xml:space="preserve">%, что </w:t>
      </w:r>
      <w:r w:rsidRPr="008F20E2">
        <w:t>связано в основном:</w:t>
      </w:r>
    </w:p>
    <w:p w:rsidR="008F20E2" w:rsidRPr="008F20E2" w:rsidRDefault="008F20E2" w:rsidP="008F20E2">
      <w:pPr>
        <w:ind w:firstLine="708"/>
        <w:jc w:val="both"/>
      </w:pPr>
      <w:r w:rsidRPr="008F20E2">
        <w:t>-с завершением мероприятий</w:t>
      </w:r>
      <w:r w:rsidR="009365AF">
        <w:t xml:space="preserve"> к</w:t>
      </w:r>
      <w:r w:rsidRPr="008F20E2">
        <w:t xml:space="preserve"> чемпионату мира по футболу (-277,9 млн. руб.);</w:t>
      </w:r>
    </w:p>
    <w:p w:rsidR="008F20E2" w:rsidRPr="008F20E2" w:rsidRDefault="008F20E2" w:rsidP="008F20E2">
      <w:pPr>
        <w:ind w:firstLine="708"/>
        <w:jc w:val="both"/>
      </w:pPr>
      <w:r w:rsidRPr="008F20E2">
        <w:t>-с передачей ф</w:t>
      </w:r>
      <w:r w:rsidR="009365AF">
        <w:t>ункций и полномочий учредителя ГАУ</w:t>
      </w:r>
      <w:r w:rsidRPr="008F20E2">
        <w:t xml:space="preserve"> «Агентство развития туризма» комитету по развитию туризма Волгоградской области и соответственно перемещением расходов на его содержание в подраздел 0412 «Другие вопросы в области национальной экономики» (- 10,8 млн. руб.);</w:t>
      </w:r>
    </w:p>
    <w:p w:rsidR="008F20E2" w:rsidRPr="008F20E2" w:rsidRDefault="008F20E2" w:rsidP="008F20E2">
      <w:pPr>
        <w:ind w:firstLine="708"/>
        <w:jc w:val="both"/>
      </w:pPr>
      <w:r w:rsidRPr="008F20E2">
        <w:t xml:space="preserve">-с увеличением ассигнований </w:t>
      </w:r>
      <w:r w:rsidR="00FB717F">
        <w:t xml:space="preserve">(+2 млн. руб.) </w:t>
      </w:r>
      <w:r w:rsidRPr="008F20E2">
        <w:t xml:space="preserve">в связи с включением </w:t>
      </w:r>
      <w:proofErr w:type="spellStart"/>
      <w:r w:rsidRPr="008F20E2">
        <w:t>Облкомкультуры</w:t>
      </w:r>
      <w:proofErr w:type="spellEnd"/>
      <w:r w:rsidRPr="008F20E2">
        <w:t xml:space="preserve"> в перечень соисполнителей госпрограммы «Управление государственными финансами </w:t>
      </w:r>
      <w:r w:rsidRPr="008F20E2">
        <w:lastRenderedPageBreak/>
        <w:t xml:space="preserve">Волгоградской области», средства планируется направить на постановку спектакля по финансовой грамотности ГБУК </w:t>
      </w:r>
      <w:r w:rsidR="00FB717F">
        <w:t>«</w:t>
      </w:r>
      <w:r w:rsidRPr="008F20E2">
        <w:t>Волгоградский областной театр кукол</w:t>
      </w:r>
      <w:r w:rsidR="00FB717F">
        <w:t>»</w:t>
      </w:r>
      <w:r w:rsidRPr="008F20E2">
        <w:t>;</w:t>
      </w:r>
    </w:p>
    <w:p w:rsidR="008F20E2" w:rsidRPr="008F20E2" w:rsidRDefault="008F20E2" w:rsidP="008F20E2">
      <w:pPr>
        <w:ind w:firstLine="708"/>
        <w:jc w:val="both"/>
      </w:pPr>
      <w:r w:rsidRPr="008F20E2">
        <w:t xml:space="preserve">-с принятием в ведомство ГБУК «Волгоградский планетарий» </w:t>
      </w:r>
      <w:r w:rsidR="00FB717F">
        <w:t>(+</w:t>
      </w:r>
      <w:r w:rsidRPr="008F20E2">
        <w:t>11,3 млн. руб.</w:t>
      </w:r>
      <w:r w:rsidR="00FB717F">
        <w:t>)</w:t>
      </w:r>
      <w:r w:rsidRPr="008F20E2">
        <w:t>;</w:t>
      </w:r>
    </w:p>
    <w:p w:rsidR="008F20E2" w:rsidRPr="008F20E2" w:rsidRDefault="008F20E2" w:rsidP="008F20E2">
      <w:pPr>
        <w:ind w:firstLine="708"/>
        <w:jc w:val="both"/>
      </w:pPr>
      <w:r w:rsidRPr="008F20E2">
        <w:t xml:space="preserve">-с увеличением ассигнований </w:t>
      </w:r>
      <w:r w:rsidRPr="008F20E2">
        <w:rPr>
          <w:bCs/>
        </w:rPr>
        <w:t>на предоставление субсидий бюджетным и автономным учреждениям</w:t>
      </w:r>
      <w:r w:rsidRPr="008F20E2">
        <w:t xml:space="preserve"> в целях обеспечения уровня средней заработной платы работников учреждений культуры, установленного Указом Президента №597</w:t>
      </w:r>
      <w:r w:rsidR="00FB717F">
        <w:t>, (+</w:t>
      </w:r>
      <w:r w:rsidRPr="008F20E2">
        <w:t xml:space="preserve"> 48,3 млн. руб.</w:t>
      </w:r>
      <w:r w:rsidR="00FB717F">
        <w:t>).</w:t>
      </w:r>
    </w:p>
    <w:p w:rsidR="008F20E2" w:rsidRPr="008F20E2" w:rsidRDefault="008F20E2" w:rsidP="008F20E2">
      <w:pPr>
        <w:ind w:firstLine="708"/>
        <w:jc w:val="both"/>
        <w:rPr>
          <w:color w:val="020C22"/>
          <w:shd w:val="clear" w:color="auto" w:fill="FEFEFE"/>
        </w:rPr>
      </w:pPr>
      <w:r w:rsidRPr="008F20E2">
        <w:t>Необходимо отметить, что Указом Президента РФ от 28.04.2018 №181</w:t>
      </w:r>
      <w:r w:rsidRPr="008F20E2">
        <w:rPr>
          <w:color w:val="020C22"/>
          <w:shd w:val="clear" w:color="auto" w:fill="FEFEFE"/>
        </w:rPr>
        <w:t xml:space="preserve"> </w:t>
      </w:r>
      <w:r w:rsidR="001E4D7A" w:rsidRPr="008F20E2">
        <w:rPr>
          <w:color w:val="020C22"/>
          <w:shd w:val="clear" w:color="auto" w:fill="FEFEFE"/>
        </w:rPr>
        <w:t>2019 год</w:t>
      </w:r>
      <w:r w:rsidR="001E4D7A" w:rsidRPr="008F20E2">
        <w:t xml:space="preserve"> </w:t>
      </w:r>
      <w:r w:rsidRPr="008F20E2">
        <w:rPr>
          <w:color w:val="020C22"/>
          <w:shd w:val="clear" w:color="auto" w:fill="FEFEFE"/>
        </w:rPr>
        <w:t>объявлен Годом театра, и органам исполнительной власти субъектов РФ рекомендовано осуществлять необходимые мероприятия в рамках проводимого в Р</w:t>
      </w:r>
      <w:r w:rsidR="001E4D7A">
        <w:rPr>
          <w:color w:val="020C22"/>
          <w:shd w:val="clear" w:color="auto" w:fill="FEFEFE"/>
        </w:rPr>
        <w:t xml:space="preserve">оссийской Федерации </w:t>
      </w:r>
      <w:r w:rsidRPr="008F20E2">
        <w:rPr>
          <w:color w:val="020C22"/>
          <w:shd w:val="clear" w:color="auto" w:fill="FEFEFE"/>
        </w:rPr>
        <w:t xml:space="preserve">  Года театра.  Однако представленным</w:t>
      </w:r>
      <w:r w:rsidR="001E4D7A">
        <w:rPr>
          <w:color w:val="020C22"/>
          <w:shd w:val="clear" w:color="auto" w:fill="FEFEFE"/>
        </w:rPr>
        <w:t xml:space="preserve"> з</w:t>
      </w:r>
      <w:r w:rsidRPr="008F20E2">
        <w:rPr>
          <w:color w:val="020C22"/>
          <w:shd w:val="clear" w:color="auto" w:fill="FEFEFE"/>
        </w:rPr>
        <w:t>аконопроектом бюджетные средства на данные цели не предусмотрены.</w:t>
      </w:r>
    </w:p>
    <w:p w:rsidR="008F20E2" w:rsidRPr="008F20E2" w:rsidRDefault="008F20E2" w:rsidP="008F20E2">
      <w:pPr>
        <w:ind w:firstLine="709"/>
        <w:jc w:val="both"/>
      </w:pPr>
      <w:r w:rsidRPr="008F20E2">
        <w:t xml:space="preserve">Значительное снижение ассигнований по подразделу 0801 </w:t>
      </w:r>
      <w:r w:rsidR="001E4D7A">
        <w:t xml:space="preserve">«Культура» </w:t>
      </w:r>
      <w:r w:rsidRPr="008F20E2">
        <w:t xml:space="preserve">предусмотрено также по комитету строительства </w:t>
      </w:r>
      <w:r w:rsidR="001E4D7A">
        <w:t xml:space="preserve">Волгоградской области </w:t>
      </w:r>
      <w:r w:rsidRPr="008F20E2">
        <w:t>– с 475,5 млн. руб. до 366,4 млн. руб., или на 23%, что обусловлено завершением в 2018 году строительства центра культурного развития в г</w:t>
      </w:r>
      <w:proofErr w:type="gramStart"/>
      <w:r w:rsidRPr="008F20E2">
        <w:t>.У</w:t>
      </w:r>
      <w:proofErr w:type="gramEnd"/>
      <w:r w:rsidRPr="008F20E2">
        <w:t xml:space="preserve">рюпинск. </w:t>
      </w:r>
    </w:p>
    <w:p w:rsidR="008F20E2" w:rsidRPr="008F20E2" w:rsidRDefault="008F20E2" w:rsidP="008F20E2">
      <w:pPr>
        <w:ind w:firstLine="708"/>
        <w:jc w:val="both"/>
      </w:pPr>
      <w:r w:rsidRPr="008F20E2">
        <w:t>Ассигнования в сумме 366,</w:t>
      </w:r>
      <w:r w:rsidR="00E15666">
        <w:t>5</w:t>
      </w:r>
      <w:r w:rsidRPr="008F20E2">
        <w:t xml:space="preserve"> млн. руб. запланированы комитету строительства на следующие направления: </w:t>
      </w:r>
    </w:p>
    <w:p w:rsidR="008F20E2" w:rsidRPr="008F20E2" w:rsidRDefault="008F20E2" w:rsidP="008F20E2">
      <w:pPr>
        <w:ind w:firstLine="708"/>
        <w:jc w:val="both"/>
      </w:pPr>
      <w:r w:rsidRPr="008F20E2">
        <w:t>-135,9 млн. руб. - на реставрацию и приспособление под здание музея объекта культурного значения регионального значения «Пожарная часть «Общество «Труд», расположенного по адресу: г</w:t>
      </w:r>
      <w:proofErr w:type="gramStart"/>
      <w:r w:rsidRPr="008F20E2">
        <w:t>.В</w:t>
      </w:r>
      <w:proofErr w:type="gramEnd"/>
      <w:r w:rsidRPr="008F20E2">
        <w:t xml:space="preserve">олгоград, ул.Коммунистическая, 5; </w:t>
      </w:r>
    </w:p>
    <w:p w:rsidR="008F20E2" w:rsidRPr="008F20E2" w:rsidRDefault="008F20E2" w:rsidP="008F20E2">
      <w:pPr>
        <w:ind w:firstLine="708"/>
        <w:jc w:val="both"/>
        <w:rPr>
          <w:rFonts w:eastAsia="Calibri"/>
          <w:lang w:eastAsia="en-US"/>
        </w:rPr>
      </w:pPr>
      <w:r w:rsidRPr="008F20E2">
        <w:t xml:space="preserve">-123 млн. руб. – на сохранение и приспособление </w:t>
      </w:r>
      <w:r w:rsidRPr="008F20E2">
        <w:rPr>
          <w:rFonts w:eastAsia="Calibri"/>
          <w:lang w:eastAsia="en-US"/>
        </w:rPr>
        <w:t xml:space="preserve">для размещения кукольного театра объекта культурного наследия регионального значения «Училище Кулибина/кинотеатр «Победа», расположенного по адресу: Волгоград, </w:t>
      </w:r>
      <w:proofErr w:type="gramStart"/>
      <w:r w:rsidRPr="008F20E2">
        <w:rPr>
          <w:rFonts w:eastAsia="Calibri"/>
          <w:lang w:eastAsia="en-US"/>
        </w:rPr>
        <w:t>Коммунистическая</w:t>
      </w:r>
      <w:proofErr w:type="gramEnd"/>
      <w:r w:rsidRPr="008F20E2">
        <w:rPr>
          <w:rFonts w:eastAsia="Calibri"/>
          <w:lang w:eastAsia="en-US"/>
        </w:rPr>
        <w:t xml:space="preserve"> ул., 1; </w:t>
      </w:r>
    </w:p>
    <w:p w:rsidR="008F20E2" w:rsidRPr="008F20E2" w:rsidRDefault="008F20E2" w:rsidP="00DD14AF">
      <w:pPr>
        <w:ind w:firstLine="708"/>
        <w:jc w:val="both"/>
      </w:pPr>
      <w:r w:rsidRPr="008F20E2">
        <w:rPr>
          <w:rFonts w:eastAsia="Calibri"/>
          <w:lang w:eastAsia="en-US"/>
        </w:rPr>
        <w:t>-</w:t>
      </w:r>
      <w:r w:rsidRPr="008F20E2">
        <w:t>107,6 млн. руб. - на объекты, строительство которых начато в целях ликвидации последствий природных пожаров 2-3 сентября 2010 года.</w:t>
      </w:r>
    </w:p>
    <w:p w:rsidR="008F20E2" w:rsidRPr="008F20E2" w:rsidRDefault="008F20E2" w:rsidP="00DD14AF">
      <w:pPr>
        <w:ind w:firstLine="709"/>
        <w:jc w:val="both"/>
      </w:pPr>
      <w:proofErr w:type="gramStart"/>
      <w:r w:rsidRPr="008F20E2">
        <w:t xml:space="preserve">Комитету государственной охраны объектов культурного наследия (далее </w:t>
      </w:r>
      <w:proofErr w:type="spellStart"/>
      <w:r w:rsidRPr="008F20E2">
        <w:t>Облкультнаследие</w:t>
      </w:r>
      <w:proofErr w:type="spellEnd"/>
      <w:r w:rsidRPr="008F20E2">
        <w:t xml:space="preserve">) запланировано снижение ассигнований на 2019 год на 3,1 млн. руб., или на 8%, в том числе по подразделу 0801 «Культура» </w:t>
      </w:r>
      <w:r w:rsidR="00DD14AF">
        <w:t xml:space="preserve">- </w:t>
      </w:r>
      <w:r w:rsidRPr="008F20E2">
        <w:t>на содержание ГБУ «Волгоградский областной научно-производственный центр по охране памятников истории и культуры»</w:t>
      </w:r>
      <w:r w:rsidR="00DD14AF">
        <w:t xml:space="preserve"> на </w:t>
      </w:r>
      <w:r w:rsidRPr="008F20E2">
        <w:t xml:space="preserve">1,7 млн. руб. (12%), по подразделу 0804 «Другие вопросы в области культуры, кинематографии» на </w:t>
      </w:r>
      <w:r w:rsidR="00DD14AF">
        <w:t xml:space="preserve">содержание </w:t>
      </w:r>
      <w:r w:rsidRPr="008F20E2">
        <w:t>аппарат</w:t>
      </w:r>
      <w:r w:rsidR="00DD14AF">
        <w:t>а</w:t>
      </w:r>
      <w:r w:rsidRPr="008F20E2">
        <w:t xml:space="preserve"> управления – на</w:t>
      </w:r>
      <w:proofErr w:type="gramEnd"/>
      <w:r w:rsidRPr="008F20E2">
        <w:t xml:space="preserve"> 1,4 млн. руб.</w:t>
      </w:r>
      <w:r w:rsidR="00DD14AF">
        <w:t xml:space="preserve"> (</w:t>
      </w:r>
      <w:r w:rsidRPr="008F20E2">
        <w:t>5,3</w:t>
      </w:r>
      <w:r w:rsidR="00DD14AF">
        <w:t>%)</w:t>
      </w:r>
      <w:r w:rsidRPr="008F20E2">
        <w:t xml:space="preserve">. </w:t>
      </w:r>
    </w:p>
    <w:p w:rsidR="008F20E2" w:rsidRPr="008F20E2" w:rsidRDefault="008F20E2" w:rsidP="00E155D1">
      <w:pPr>
        <w:ind w:firstLine="709"/>
        <w:jc w:val="both"/>
      </w:pPr>
      <w:proofErr w:type="gramStart"/>
      <w:r w:rsidRPr="008F20E2">
        <w:t>Следует отметить, что в соответствии с распоряжением Правительства РФ от 31.01.2017 №147-р «О целевых моделях упрощения процедур ведения бизнеса и повышения инвестиционной привлекательности субъектов РФ» и разработанной во исполнение указанного распоряжения Дорожной картой по внедрению в Волгоградской области целевой модели «Постановка на кадастровый учет земельных участков и объектов недвижимого имущества» (утверждена на заседании Совета по улучшению инвестиционного климата Волгоградской области</w:t>
      </w:r>
      <w:proofErr w:type="gramEnd"/>
      <w:r w:rsidRPr="008F20E2">
        <w:t xml:space="preserve"> </w:t>
      </w:r>
      <w:proofErr w:type="gramStart"/>
      <w:r w:rsidRPr="008F20E2">
        <w:t xml:space="preserve">при Губернаторе Волгоградской области 15.06.2018) </w:t>
      </w:r>
      <w:proofErr w:type="spellStart"/>
      <w:r w:rsidRPr="008F20E2">
        <w:t>Облкультнаследие</w:t>
      </w:r>
      <w:proofErr w:type="spellEnd"/>
      <w:r w:rsidRPr="008F20E2">
        <w:t xml:space="preserve"> определен ответственным за проведение работ по определению границ территорий объектов культурного наследия, границ зон охраны таких объектов и включение в Единый государственный реестр недвижимости таких сведений, а также актуализацию сведений об объектах культурного наследия в части определения их статуса</w:t>
      </w:r>
      <w:r w:rsidR="002B3545">
        <w:t xml:space="preserve"> и</w:t>
      </w:r>
      <w:r w:rsidRPr="008F20E2">
        <w:t xml:space="preserve"> принадлежности к объектам культурного наследия.</w:t>
      </w:r>
      <w:proofErr w:type="gramEnd"/>
      <w:r w:rsidRPr="008F20E2">
        <w:t xml:space="preserve"> Согласно информации </w:t>
      </w:r>
      <w:proofErr w:type="spellStart"/>
      <w:r w:rsidRPr="008F20E2">
        <w:t>Облкультнаследия</w:t>
      </w:r>
      <w:proofErr w:type="spellEnd"/>
      <w:r w:rsidRPr="008F20E2">
        <w:t xml:space="preserve"> объем бюджетных средств, необходимых </w:t>
      </w:r>
      <w:r w:rsidRPr="00296B73">
        <w:rPr>
          <w:u w:val="single"/>
        </w:rPr>
        <w:t xml:space="preserve">в 2019 году для достижения показателей, установленных Дорожной картой, составляет 231 млн. рублей. При этом представленным </w:t>
      </w:r>
      <w:r w:rsidR="002B3545" w:rsidRPr="00296B73">
        <w:rPr>
          <w:u w:val="single"/>
        </w:rPr>
        <w:t>з</w:t>
      </w:r>
      <w:r w:rsidRPr="00296B73">
        <w:rPr>
          <w:u w:val="single"/>
        </w:rPr>
        <w:t>аконопроектом ассигнования на данные цели не запланированы</w:t>
      </w:r>
      <w:r w:rsidR="002B3545">
        <w:t>,</w:t>
      </w:r>
      <w:r w:rsidRPr="008F20E2">
        <w:t xml:space="preserve"> что ставит под сомнение успешное </w:t>
      </w:r>
      <w:r w:rsidR="002B3545">
        <w:t xml:space="preserve">и своевременное </w:t>
      </w:r>
      <w:r w:rsidRPr="008F20E2">
        <w:t>внедрение в Волгоградской области целевой модели «Постановка на кадастровый учет земельных участков и объектов недвижимого имущества».</w:t>
      </w:r>
    </w:p>
    <w:p w:rsidR="008F20E2" w:rsidRPr="008F20E2" w:rsidRDefault="008F20E2" w:rsidP="00E155D1">
      <w:pPr>
        <w:ind w:firstLine="709"/>
        <w:jc w:val="both"/>
      </w:pPr>
      <w:r w:rsidRPr="008F20E2">
        <w:t xml:space="preserve">Комитету по делам национальностей и казачества Волгоградской области ассигнования увеличены </w:t>
      </w:r>
      <w:r w:rsidR="00296B73">
        <w:t xml:space="preserve">относительно текущего года </w:t>
      </w:r>
      <w:r w:rsidRPr="008F20E2">
        <w:t>на 2,8 млн. руб. с целью доведения оплаты труда работников ГБУК «Государственный ансамбль песни и пляски «Казачья воля» до уровня, установленного Указом Президента №597.</w:t>
      </w:r>
    </w:p>
    <w:p w:rsidR="00B15F0C" w:rsidRDefault="00B15F0C" w:rsidP="00FD3A0E">
      <w:pPr>
        <w:jc w:val="center"/>
        <w:rPr>
          <w:b/>
          <w:i/>
          <w:u w:val="single"/>
        </w:rPr>
      </w:pPr>
    </w:p>
    <w:p w:rsidR="00EA2C21" w:rsidRDefault="00EA2C21" w:rsidP="00EA2C2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Расходы по разделу 0900 «Здравоохранение».</w:t>
      </w:r>
    </w:p>
    <w:p w:rsidR="00327C82" w:rsidRDefault="00327C82" w:rsidP="00EA2C2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5535" w:rsidRPr="00025535" w:rsidRDefault="00025535" w:rsidP="0002553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разделу 0900 «Здравоохранение» з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аконопроектом предусмотрены ассигнования на 2019 год в сумме 6254,8 млн. руб., что меньше 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ассигнований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2018 год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 уч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поправок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, внесенных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</w:t>
      </w:r>
      <w:r w:rsidR="0039030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25535">
        <w:rPr>
          <w:rFonts w:ascii="Times New Roman" w:eastAsiaTheme="minorHAnsi" w:hAnsi="Times New Roman" w:cs="Times New Roman"/>
          <w:sz w:val="24"/>
          <w:szCs w:val="24"/>
          <w:lang w:eastAsia="en-US"/>
        </w:rPr>
        <w:t>), на 1765,9 млн. руб., или на 22 процента.</w:t>
      </w:r>
    </w:p>
    <w:p w:rsidR="0039030F" w:rsidRDefault="0039030F" w:rsidP="0039030F">
      <w:pPr>
        <w:pStyle w:val="a9"/>
        <w:autoSpaceDE w:val="0"/>
        <w:autoSpaceDN w:val="0"/>
        <w:adjustRightInd w:val="0"/>
        <w:ind w:left="0" w:firstLine="709"/>
        <w:jc w:val="both"/>
      </w:pPr>
      <w:r>
        <w:t xml:space="preserve">При этом </w:t>
      </w:r>
      <w:r w:rsidRPr="00EF6954">
        <w:rPr>
          <w:u w:val="single"/>
        </w:rPr>
        <w:t>к</w:t>
      </w:r>
      <w:r w:rsidR="00025535" w:rsidRPr="00EF6954">
        <w:rPr>
          <w:u w:val="single"/>
        </w:rPr>
        <w:t>омитету здравоохранения Волгоградской области</w:t>
      </w:r>
      <w:r w:rsidR="00025535" w:rsidRPr="00025535">
        <w:t xml:space="preserve"> (далее </w:t>
      </w:r>
      <w:proofErr w:type="spellStart"/>
      <w:r w:rsidR="00025535" w:rsidRPr="00025535">
        <w:t>Облздрав</w:t>
      </w:r>
      <w:proofErr w:type="spellEnd"/>
      <w:r w:rsidR="00025535" w:rsidRPr="00025535">
        <w:t>) ассигнования уменьшены главным образом по следующим причинам:</w:t>
      </w:r>
    </w:p>
    <w:p w:rsidR="00025535" w:rsidRPr="00025535" w:rsidRDefault="00025535" w:rsidP="0039030F">
      <w:pPr>
        <w:pStyle w:val="a9"/>
        <w:autoSpaceDE w:val="0"/>
        <w:autoSpaceDN w:val="0"/>
        <w:adjustRightInd w:val="0"/>
        <w:ind w:left="0" w:firstLine="709"/>
        <w:jc w:val="both"/>
      </w:pPr>
      <w:r w:rsidRPr="0039030F">
        <w:rPr>
          <w:b/>
          <w:i/>
          <w:u w:val="single"/>
        </w:rPr>
        <w:t>по подразделу 0901 «Стационарная медицинская помощь»</w:t>
      </w:r>
      <w:r w:rsidRPr="00025535">
        <w:t xml:space="preserve"> расходы уменьшены на 1405,8 млн. руб., в том числе:</w:t>
      </w:r>
    </w:p>
    <w:p w:rsidR="00025535" w:rsidRPr="00025535" w:rsidRDefault="00025535" w:rsidP="00025535">
      <w:pPr>
        <w:autoSpaceDE w:val="0"/>
        <w:autoSpaceDN w:val="0"/>
        <w:adjustRightInd w:val="0"/>
        <w:ind w:firstLine="709"/>
        <w:jc w:val="both"/>
      </w:pPr>
      <w:r w:rsidRPr="00025535">
        <w:t>-сокращены расходы областного бюджета на 1206,4 млн. руб. (на 28,8%) на содержание подведомственных учреждений;</w:t>
      </w:r>
    </w:p>
    <w:p w:rsidR="00025535" w:rsidRPr="00025535" w:rsidRDefault="00025535" w:rsidP="00025535">
      <w:pPr>
        <w:autoSpaceDE w:val="0"/>
        <w:autoSpaceDN w:val="0"/>
        <w:adjustRightInd w:val="0"/>
        <w:ind w:firstLine="709"/>
        <w:jc w:val="both"/>
      </w:pPr>
      <w:r w:rsidRPr="00025535">
        <w:t>-отсутствует информация о размере средств федерального бюджета, предоставляемых Волгоградской области в 2019 году на развитие паллиативной медицинской помощи и материально-технической базы детских поликлинических отделений медицинских организаций, объем которых в 2018 году составил 91,7 млн. руб. и 128 млн. руб. соответственно;</w:t>
      </w:r>
    </w:p>
    <w:p w:rsidR="009C4FFC" w:rsidRDefault="00025535" w:rsidP="009C4FFC">
      <w:pPr>
        <w:autoSpaceDE w:val="0"/>
        <w:autoSpaceDN w:val="0"/>
        <w:adjustRightInd w:val="0"/>
        <w:ind w:firstLine="709"/>
        <w:jc w:val="both"/>
      </w:pPr>
      <w:r w:rsidRPr="00025535">
        <w:t xml:space="preserve">-увеличены ассигнования </w:t>
      </w:r>
      <w:r w:rsidR="009C4FFC">
        <w:t xml:space="preserve">из </w:t>
      </w:r>
      <w:r w:rsidRPr="00025535">
        <w:t>федерального бюджета на закупку диагностических сре</w:t>
      </w:r>
      <w:proofErr w:type="gramStart"/>
      <w:r w:rsidRPr="00025535">
        <w:t>дств дл</w:t>
      </w:r>
      <w:proofErr w:type="gramEnd"/>
      <w:r w:rsidRPr="00025535">
        <w:t>я выявления туберкулеза на 6,7 млн. руб. и оказание высокотехнологичной медицинской помощи на 13,6 млн. руб.</w:t>
      </w:r>
      <w:r w:rsidR="00E84266">
        <w:t>;</w:t>
      </w:r>
    </w:p>
    <w:p w:rsidR="00025535" w:rsidRPr="00025535" w:rsidRDefault="00025535" w:rsidP="009C4FFC">
      <w:pPr>
        <w:autoSpaceDE w:val="0"/>
        <w:autoSpaceDN w:val="0"/>
        <w:adjustRightInd w:val="0"/>
        <w:ind w:firstLine="709"/>
        <w:jc w:val="both"/>
      </w:pPr>
      <w:r w:rsidRPr="009C4FFC">
        <w:rPr>
          <w:b/>
          <w:i/>
          <w:u w:val="single"/>
        </w:rPr>
        <w:t>по подразделу 0902 «Амбулаторная помощь»</w:t>
      </w:r>
      <w:r w:rsidRPr="00025535">
        <w:rPr>
          <w:i/>
        </w:rPr>
        <w:t xml:space="preserve"> </w:t>
      </w:r>
      <w:r w:rsidRPr="009C4FFC">
        <w:t>расходы уменьшены на</w:t>
      </w:r>
      <w:r w:rsidRPr="00025535">
        <w:t xml:space="preserve"> 427,8 млн. руб., в том числе:</w:t>
      </w:r>
    </w:p>
    <w:p w:rsidR="00025535" w:rsidRPr="00025535" w:rsidRDefault="00025535" w:rsidP="00025535">
      <w:pPr>
        <w:autoSpaceDE w:val="0"/>
        <w:autoSpaceDN w:val="0"/>
        <w:adjustRightInd w:val="0"/>
        <w:ind w:firstLine="709"/>
        <w:jc w:val="both"/>
      </w:pPr>
      <w:r w:rsidRPr="00025535">
        <w:t>-сокращены расходы областного бюджета на 27,6 млн. руб. на содержание подведомственных учреждений;</w:t>
      </w:r>
    </w:p>
    <w:p w:rsidR="00025535" w:rsidRPr="00025535" w:rsidRDefault="00025535" w:rsidP="00025535">
      <w:pPr>
        <w:autoSpaceDE w:val="0"/>
        <w:autoSpaceDN w:val="0"/>
        <w:adjustRightInd w:val="0"/>
        <w:ind w:firstLine="709"/>
        <w:jc w:val="both"/>
      </w:pPr>
      <w:proofErr w:type="gramStart"/>
      <w:r w:rsidRPr="00025535">
        <w:t>-отсутствует информация о размере средств федерального бюджета, предоставляемых Волгоградской области в 2019 году на развитие паллиативной медицинской помощи, материально-технической базы детских поликлинических отделений медицинских организаций и лекарственное обеспечение отдельных категорий граждан, объем которых в 2018 году составил 402,3 млн. руб. (4,7 млн. руб., 42,4 млн. руб. и 355,2 млн. руб. соответственно);</w:t>
      </w:r>
      <w:proofErr w:type="gramEnd"/>
    </w:p>
    <w:p w:rsidR="00025535" w:rsidRPr="00025535" w:rsidRDefault="00025535" w:rsidP="00025535">
      <w:pPr>
        <w:autoSpaceDE w:val="0"/>
        <w:autoSpaceDN w:val="0"/>
        <w:adjustRightInd w:val="0"/>
        <w:ind w:firstLine="709"/>
        <w:jc w:val="both"/>
      </w:pPr>
      <w:r w:rsidRPr="00025535">
        <w:t xml:space="preserve">-сокращены ассигнования из федерального бюджета </w:t>
      </w:r>
      <w:r w:rsidR="00F52EFA">
        <w:t xml:space="preserve">(иные межбюджетные трансферты) </w:t>
      </w:r>
      <w:r w:rsidRPr="00025535">
        <w:t>на льготное лекарственное обеспечение на 5 млн. руб.;</w:t>
      </w:r>
    </w:p>
    <w:p w:rsidR="00E84266" w:rsidRDefault="00025535" w:rsidP="00E84266">
      <w:pPr>
        <w:autoSpaceDE w:val="0"/>
        <w:autoSpaceDN w:val="0"/>
        <w:adjustRightInd w:val="0"/>
        <w:ind w:firstLine="709"/>
        <w:jc w:val="both"/>
      </w:pPr>
      <w:r w:rsidRPr="00025535">
        <w:t xml:space="preserve">-увеличены ассигнования </w:t>
      </w:r>
      <w:r w:rsidR="00E84266">
        <w:t xml:space="preserve">из </w:t>
      </w:r>
      <w:r w:rsidRPr="00025535">
        <w:t>федерального бюджета на профилактику и закупку диагностических сре</w:t>
      </w:r>
      <w:proofErr w:type="gramStart"/>
      <w:r w:rsidRPr="00025535">
        <w:t>дств дл</w:t>
      </w:r>
      <w:proofErr w:type="gramEnd"/>
      <w:r w:rsidRPr="00025535">
        <w:t>я диагностики ВИЧ на 7,3 млн. руб.</w:t>
      </w:r>
      <w:r w:rsidR="00E84266">
        <w:t>;</w:t>
      </w:r>
    </w:p>
    <w:p w:rsidR="00025535" w:rsidRPr="00025535" w:rsidRDefault="00025535" w:rsidP="00E84266">
      <w:pPr>
        <w:autoSpaceDE w:val="0"/>
        <w:autoSpaceDN w:val="0"/>
        <w:adjustRightInd w:val="0"/>
        <w:ind w:firstLine="709"/>
        <w:jc w:val="both"/>
      </w:pPr>
      <w:r w:rsidRPr="00E84266">
        <w:rPr>
          <w:b/>
          <w:i/>
          <w:u w:val="single"/>
        </w:rPr>
        <w:t>по подразделу 0904 «</w:t>
      </w:r>
      <w:r w:rsidRPr="00E84266">
        <w:rPr>
          <w:rFonts w:eastAsia="Calibri"/>
          <w:b/>
          <w:i/>
          <w:u w:val="single"/>
        </w:rPr>
        <w:t>Скорая медицинская помощь</w:t>
      </w:r>
      <w:r w:rsidRPr="00E84266">
        <w:rPr>
          <w:b/>
          <w:i/>
          <w:u w:val="single"/>
        </w:rPr>
        <w:t>»</w:t>
      </w:r>
      <w:r w:rsidRPr="00025535">
        <w:rPr>
          <w:i/>
        </w:rPr>
        <w:t xml:space="preserve"> </w:t>
      </w:r>
      <w:r w:rsidRPr="00025535">
        <w:t>расходы уменьшены</w:t>
      </w:r>
      <w:r w:rsidRPr="00025535">
        <w:rPr>
          <w:i/>
        </w:rPr>
        <w:t xml:space="preserve"> </w:t>
      </w:r>
      <w:r w:rsidRPr="00025535">
        <w:t>на 117,9 млн. руб., в том числе:</w:t>
      </w:r>
    </w:p>
    <w:p w:rsidR="00025535" w:rsidRPr="00025535" w:rsidRDefault="00025535" w:rsidP="00025535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25535">
        <w:t>-сокращены расходы областного бюджета на 9,1 млн. руб. на содержание подведомственных учреждений и на 6,8 млн. руб. на закупку авиационной услуги</w:t>
      </w:r>
      <w:r w:rsidRPr="00025535">
        <w:rPr>
          <w:iCs/>
          <w:color w:val="000000"/>
        </w:rPr>
        <w:t xml:space="preserve"> для оказания медицинской помощи;</w:t>
      </w:r>
    </w:p>
    <w:p w:rsidR="00372860" w:rsidRDefault="00025535" w:rsidP="00372860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25535">
        <w:t>-отсутствует информация о размере средств федерального бюджета, предоставляемых Волгоградской области в 2019 году на закупку авиационной услуги</w:t>
      </w:r>
      <w:r w:rsidRPr="00025535">
        <w:rPr>
          <w:iCs/>
          <w:color w:val="000000"/>
        </w:rPr>
        <w:t xml:space="preserve"> для оказания медицинской помощи, </w:t>
      </w:r>
      <w:r w:rsidRPr="00025535">
        <w:t>объем которых в 2018 году составил 102 млн. руб</w:t>
      </w:r>
      <w:r w:rsidRPr="00025535">
        <w:rPr>
          <w:iCs/>
          <w:color w:val="000000"/>
        </w:rPr>
        <w:t>.;</w:t>
      </w:r>
    </w:p>
    <w:p w:rsidR="00372860" w:rsidRDefault="00025535" w:rsidP="00372860">
      <w:pPr>
        <w:autoSpaceDE w:val="0"/>
        <w:autoSpaceDN w:val="0"/>
        <w:adjustRightInd w:val="0"/>
        <w:ind w:firstLine="709"/>
        <w:jc w:val="both"/>
      </w:pPr>
      <w:r w:rsidRPr="00372860">
        <w:rPr>
          <w:b/>
          <w:i/>
          <w:u w:val="single"/>
        </w:rPr>
        <w:t>по подразделам 0905 «</w:t>
      </w:r>
      <w:r w:rsidRPr="00372860">
        <w:rPr>
          <w:rFonts w:eastAsia="Calibri"/>
          <w:b/>
          <w:i/>
          <w:u w:val="single"/>
        </w:rPr>
        <w:t>Санаторно-оздоровительная помощь</w:t>
      </w:r>
      <w:r w:rsidRPr="00372860">
        <w:rPr>
          <w:b/>
          <w:i/>
          <w:u w:val="single"/>
        </w:rPr>
        <w:t>» и 0908 «</w:t>
      </w:r>
      <w:r w:rsidRPr="00372860">
        <w:rPr>
          <w:rFonts w:eastAsia="Calibri"/>
          <w:b/>
          <w:i/>
          <w:u w:val="single"/>
        </w:rPr>
        <w:t>Прикладные научные исследования в области здравоохранения</w:t>
      </w:r>
      <w:r w:rsidRPr="00372860">
        <w:rPr>
          <w:b/>
          <w:i/>
          <w:u w:val="single"/>
        </w:rPr>
        <w:t>»</w:t>
      </w:r>
      <w:r w:rsidRPr="00025535">
        <w:rPr>
          <w:i/>
        </w:rPr>
        <w:t xml:space="preserve"> </w:t>
      </w:r>
      <w:r w:rsidRPr="00025535">
        <w:t xml:space="preserve">расходы увеличены за счет средств областного бюджета на 1,8 млн. руб. и 4,9 млн. руб. </w:t>
      </w:r>
      <w:r w:rsidR="00372860">
        <w:t xml:space="preserve">соответственно </w:t>
      </w:r>
      <w:r w:rsidRPr="00025535">
        <w:t>на содержание подведомственных учреждений</w:t>
      </w:r>
      <w:r w:rsidR="00372860">
        <w:t>;</w:t>
      </w:r>
    </w:p>
    <w:p w:rsidR="00801741" w:rsidRDefault="00025535" w:rsidP="00801741">
      <w:pPr>
        <w:autoSpaceDE w:val="0"/>
        <w:autoSpaceDN w:val="0"/>
        <w:adjustRightInd w:val="0"/>
        <w:ind w:firstLine="709"/>
        <w:jc w:val="both"/>
      </w:pPr>
      <w:r w:rsidRPr="00372860">
        <w:rPr>
          <w:b/>
          <w:i/>
          <w:u w:val="single"/>
        </w:rPr>
        <w:t>по подразделу 0906 «</w:t>
      </w:r>
      <w:r w:rsidRPr="00372860">
        <w:rPr>
          <w:rFonts w:eastAsia="Calibri"/>
          <w:b/>
          <w:i/>
          <w:u w:val="single"/>
        </w:rPr>
        <w:t>Заготовка, переработка, хранение и обеспечение</w:t>
      </w:r>
      <w:r w:rsidRPr="00372860">
        <w:rPr>
          <w:b/>
          <w:i/>
          <w:u w:val="single"/>
        </w:rPr>
        <w:t xml:space="preserve"> </w:t>
      </w:r>
      <w:r w:rsidRPr="00372860">
        <w:rPr>
          <w:rFonts w:eastAsia="Calibri"/>
          <w:b/>
          <w:i/>
          <w:u w:val="single"/>
        </w:rPr>
        <w:t>безопасности донорской крови и ее компонентов</w:t>
      </w:r>
      <w:r w:rsidRPr="00372860">
        <w:rPr>
          <w:b/>
          <w:i/>
          <w:u w:val="single"/>
        </w:rPr>
        <w:t>»</w:t>
      </w:r>
      <w:r w:rsidRPr="00025535">
        <w:rPr>
          <w:i/>
        </w:rPr>
        <w:t xml:space="preserve"> </w:t>
      </w:r>
      <w:r w:rsidRPr="00025535">
        <w:t>расходы уменьшены за  счет средств областного бюджета на 33,5 млн. руб. на содержание подведомственных учреждений</w:t>
      </w:r>
      <w:r w:rsidR="00801741">
        <w:t>;</w:t>
      </w:r>
    </w:p>
    <w:p w:rsidR="00801741" w:rsidRDefault="00025535" w:rsidP="00801741">
      <w:pPr>
        <w:autoSpaceDE w:val="0"/>
        <w:autoSpaceDN w:val="0"/>
        <w:adjustRightInd w:val="0"/>
        <w:ind w:firstLine="709"/>
        <w:jc w:val="both"/>
      </w:pPr>
      <w:r w:rsidRPr="00801741">
        <w:rPr>
          <w:b/>
          <w:i/>
          <w:u w:val="single"/>
        </w:rPr>
        <w:t>по подразделу  0907 «Санитарно-эпидемиологическое благополучие»</w:t>
      </w:r>
      <w:r w:rsidRPr="00025535">
        <w:t xml:space="preserve"> расходы уменьшены за  счет средств областного бюджета на 76,1 млн. руб. в связи с завершением мероприятий по дезинфекции, дезинсекции и дератизации, проводимых в 2018 году в рамках Чемпионата мира по футболу</w:t>
      </w:r>
      <w:r w:rsidR="00801741">
        <w:t>;</w:t>
      </w:r>
    </w:p>
    <w:p w:rsidR="0039030F" w:rsidRPr="00025535" w:rsidRDefault="00025535" w:rsidP="00EF6954">
      <w:pPr>
        <w:autoSpaceDE w:val="0"/>
        <w:autoSpaceDN w:val="0"/>
        <w:adjustRightInd w:val="0"/>
        <w:ind w:firstLine="709"/>
        <w:jc w:val="both"/>
      </w:pPr>
      <w:proofErr w:type="gramStart"/>
      <w:r w:rsidRPr="00801741">
        <w:rPr>
          <w:b/>
          <w:i/>
          <w:u w:val="single"/>
        </w:rPr>
        <w:t>по подразделу 0909 «</w:t>
      </w:r>
      <w:r w:rsidRPr="00801741">
        <w:rPr>
          <w:rFonts w:eastAsia="Calibri"/>
          <w:b/>
          <w:i/>
          <w:u w:val="single"/>
        </w:rPr>
        <w:t>Другие вопросы в области здравоохранения</w:t>
      </w:r>
      <w:r w:rsidRPr="00801741">
        <w:rPr>
          <w:b/>
          <w:i/>
          <w:u w:val="single"/>
        </w:rPr>
        <w:t>»</w:t>
      </w:r>
      <w:r w:rsidRPr="00025535">
        <w:rPr>
          <w:i/>
        </w:rPr>
        <w:t xml:space="preserve"> </w:t>
      </w:r>
      <w:r w:rsidRPr="00025535">
        <w:t xml:space="preserve">расходы уменьшены на 63,5 млн. руб. в связи с отсутствием информации о размере средств </w:t>
      </w:r>
      <w:r w:rsidRPr="00025535">
        <w:lastRenderedPageBreak/>
        <w:t>федерального бюджета, предоставляемых Волгоградской области в 201</w:t>
      </w:r>
      <w:r w:rsidR="00801741">
        <w:t>8</w:t>
      </w:r>
      <w:r w:rsidRPr="00025535">
        <w:t xml:space="preserve"> году из резервного фонда Правительства РФ на приобретение модульных конструкций врачебных амбулаторий, фельдшерских и фельдшерско-акушерских пунктов, а также приобретение передвижных медицинских комплексов</w:t>
      </w:r>
      <w:r w:rsidRPr="00025535">
        <w:rPr>
          <w:iCs/>
          <w:color w:val="000000"/>
        </w:rPr>
        <w:t xml:space="preserve">, </w:t>
      </w:r>
      <w:r w:rsidRPr="00025535">
        <w:t>объем которых в 2018 году составил 57,1 млн. руб</w:t>
      </w:r>
      <w:proofErr w:type="gramEnd"/>
      <w:r w:rsidRPr="00025535">
        <w:rPr>
          <w:iCs/>
          <w:color w:val="000000"/>
        </w:rPr>
        <w:t>. и 26,9 млн. руб</w:t>
      </w:r>
      <w:r w:rsidRPr="00025535">
        <w:t xml:space="preserve">. соответственно. Также необходимо отметить, что по подразделу увеличены ассигнования на обеспечение деятельности подведомственных </w:t>
      </w:r>
      <w:proofErr w:type="spellStart"/>
      <w:r w:rsidRPr="00025535">
        <w:t>Облздраву</w:t>
      </w:r>
      <w:proofErr w:type="spellEnd"/>
      <w:r w:rsidRPr="00025535">
        <w:t xml:space="preserve"> учреждений на 20,5 млн. рублей.</w:t>
      </w:r>
    </w:p>
    <w:p w:rsidR="00EF6954" w:rsidRDefault="00617034" w:rsidP="00EF695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EF6954">
        <w:rPr>
          <w:u w:val="single"/>
        </w:rPr>
        <w:t xml:space="preserve">Комитету строительства </w:t>
      </w:r>
      <w:r w:rsidR="00EF6954" w:rsidRPr="00EF6954">
        <w:rPr>
          <w:u w:val="single"/>
        </w:rPr>
        <w:t>Волгоградской области</w:t>
      </w:r>
      <w:r w:rsidR="00EF6954">
        <w:t xml:space="preserve"> по </w:t>
      </w:r>
      <w:r w:rsidRPr="00EF6954">
        <w:t>разделу</w:t>
      </w:r>
      <w:r w:rsidR="00EF6954">
        <w:t xml:space="preserve"> 0900 «Здравоохранение»</w:t>
      </w:r>
      <w:r w:rsidRPr="00EF6954">
        <w:t xml:space="preserve"> на 2019 год </w:t>
      </w:r>
      <w:r w:rsidRPr="00EF6954">
        <w:rPr>
          <w:bCs/>
          <w:color w:val="000000"/>
        </w:rPr>
        <w:t>предусмотрен</w:t>
      </w:r>
      <w:r w:rsidR="00EF6954">
        <w:rPr>
          <w:bCs/>
          <w:color w:val="000000"/>
        </w:rPr>
        <w:t>ы ассигнования в размере</w:t>
      </w:r>
      <w:r w:rsidRPr="00EF6954">
        <w:rPr>
          <w:bCs/>
          <w:color w:val="000000"/>
        </w:rPr>
        <w:t xml:space="preserve"> 572,6 млн. руб., в т</w:t>
      </w:r>
      <w:r w:rsidR="00EF6954">
        <w:rPr>
          <w:bCs/>
          <w:color w:val="000000"/>
        </w:rPr>
        <w:t xml:space="preserve">ом </w:t>
      </w:r>
      <w:r w:rsidRPr="00EF6954">
        <w:rPr>
          <w:bCs/>
          <w:color w:val="000000"/>
        </w:rPr>
        <w:t>ч</w:t>
      </w:r>
      <w:r w:rsidR="00EF6954">
        <w:rPr>
          <w:bCs/>
          <w:color w:val="000000"/>
        </w:rPr>
        <w:t>исле</w:t>
      </w:r>
      <w:r w:rsidRPr="00EF6954">
        <w:rPr>
          <w:bCs/>
          <w:color w:val="000000"/>
        </w:rPr>
        <w:t>:</w:t>
      </w:r>
    </w:p>
    <w:p w:rsidR="00617034" w:rsidRPr="00EF6954" w:rsidRDefault="00617034" w:rsidP="00EF6954">
      <w:pPr>
        <w:autoSpaceDE w:val="0"/>
        <w:autoSpaceDN w:val="0"/>
        <w:adjustRightInd w:val="0"/>
        <w:ind w:firstLine="709"/>
        <w:jc w:val="both"/>
        <w:rPr>
          <w:rFonts w:cstheme="minorBidi"/>
          <w:bCs/>
          <w:color w:val="000000"/>
        </w:rPr>
      </w:pPr>
      <w:r w:rsidRPr="00D9437D">
        <w:rPr>
          <w:bCs/>
          <w:color w:val="000000"/>
          <w:u w:val="single"/>
        </w:rPr>
        <w:t xml:space="preserve">на проектирование объектов здравоохранения </w:t>
      </w:r>
      <w:r w:rsidRPr="00D9437D">
        <w:rPr>
          <w:bCs/>
          <w:color w:val="000000"/>
        </w:rPr>
        <w:t>–</w:t>
      </w:r>
      <w:r w:rsidRPr="00EF6954">
        <w:rPr>
          <w:b/>
          <w:bCs/>
          <w:i/>
          <w:color w:val="000000"/>
        </w:rPr>
        <w:t xml:space="preserve"> </w:t>
      </w:r>
      <w:r w:rsidRPr="00EF6954">
        <w:rPr>
          <w:bCs/>
          <w:color w:val="000000"/>
        </w:rPr>
        <w:t>238,7 млн. руб., из них:</w:t>
      </w:r>
    </w:p>
    <w:p w:rsidR="00617034" w:rsidRPr="00EF6954" w:rsidRDefault="00617034" w:rsidP="00BD3EBC">
      <w:pPr>
        <w:ind w:firstLine="708"/>
        <w:jc w:val="both"/>
        <w:rPr>
          <w:color w:val="000000"/>
        </w:rPr>
      </w:pPr>
      <w:r w:rsidRPr="00EF6954">
        <w:t>-98,8 млн. руб.</w:t>
      </w:r>
      <w:r w:rsidRPr="00EF6954">
        <w:rPr>
          <w:i/>
        </w:rPr>
        <w:t xml:space="preserve"> - </w:t>
      </w:r>
      <w:r w:rsidRPr="00EF6954">
        <w:t>л</w:t>
      </w:r>
      <w:r w:rsidRPr="00EF6954">
        <w:rPr>
          <w:color w:val="000000"/>
        </w:rPr>
        <w:t xml:space="preserve">ечебно-консультационного центра по борьбе с туберкулезом на земельном участке по адресу: </w:t>
      </w:r>
      <w:r w:rsidR="00EF6954">
        <w:rPr>
          <w:color w:val="000000"/>
        </w:rPr>
        <w:t>г</w:t>
      </w:r>
      <w:proofErr w:type="gramStart"/>
      <w:r w:rsidR="00EF6954">
        <w:rPr>
          <w:color w:val="000000"/>
        </w:rPr>
        <w:t>.</w:t>
      </w:r>
      <w:r w:rsidRPr="00EF6954">
        <w:rPr>
          <w:color w:val="000000"/>
        </w:rPr>
        <w:t>В</w:t>
      </w:r>
      <w:proofErr w:type="gramEnd"/>
      <w:r w:rsidRPr="00EF6954">
        <w:rPr>
          <w:color w:val="000000"/>
        </w:rPr>
        <w:t>олгоград, ул. Николая Отрады, 29;</w:t>
      </w:r>
    </w:p>
    <w:p w:rsidR="00617034" w:rsidRPr="00EF6954" w:rsidRDefault="00617034" w:rsidP="00BD3EBC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 w:rsidRPr="00EF6954">
        <w:rPr>
          <w:bCs/>
          <w:color w:val="000000"/>
        </w:rPr>
        <w:t>-40,5 млн. руб. - инфекционной больницы на 160 взрослых инфекционных коек;</w:t>
      </w:r>
    </w:p>
    <w:p w:rsidR="00617034" w:rsidRPr="00EF6954" w:rsidRDefault="00617034" w:rsidP="00BD3EBC">
      <w:pPr>
        <w:ind w:firstLine="709"/>
        <w:jc w:val="both"/>
        <w:rPr>
          <w:color w:val="000000"/>
        </w:rPr>
      </w:pPr>
      <w:r w:rsidRPr="004B1A1E">
        <w:rPr>
          <w:bCs/>
          <w:color w:val="000000"/>
        </w:rPr>
        <w:t>-</w:t>
      </w:r>
      <w:r w:rsidRPr="004B1A1E">
        <w:rPr>
          <w:color w:val="000000"/>
        </w:rPr>
        <w:t>41,1 млн. руб.</w:t>
      </w:r>
      <w:r w:rsidRPr="00EF6954">
        <w:rPr>
          <w:color w:val="000000"/>
        </w:rPr>
        <w:t xml:space="preserve"> - инфекционного корпуса на 350 детских инфекционных коек круглосуточного пребывания на территории и в составе государственного учреждения здравоохранения «Клиническая больница скорой медицинской помощи №7» г. Волгоград;</w:t>
      </w:r>
    </w:p>
    <w:p w:rsidR="00617034" w:rsidRPr="00EF6954" w:rsidRDefault="00617034" w:rsidP="00BD3EBC">
      <w:pPr>
        <w:ind w:firstLine="709"/>
        <w:jc w:val="both"/>
        <w:rPr>
          <w:color w:val="000000"/>
        </w:rPr>
      </w:pPr>
      <w:r w:rsidRPr="004B1A1E">
        <w:t>-45,7 млн. руб.</w:t>
      </w:r>
      <w:r w:rsidRPr="00EF6954">
        <w:rPr>
          <w:i/>
        </w:rPr>
        <w:t xml:space="preserve"> - </w:t>
      </w:r>
      <w:r w:rsidRPr="00EF6954">
        <w:rPr>
          <w:color w:val="000000"/>
        </w:rPr>
        <w:t>родильного дома ГУЗ «Городская клиническая больница скорой медицинской помощи №25», г</w:t>
      </w:r>
      <w:proofErr w:type="gramStart"/>
      <w:r w:rsidRPr="00EF6954">
        <w:rPr>
          <w:color w:val="000000"/>
        </w:rPr>
        <w:t>.В</w:t>
      </w:r>
      <w:proofErr w:type="gramEnd"/>
      <w:r w:rsidRPr="00EF6954">
        <w:rPr>
          <w:color w:val="000000"/>
        </w:rPr>
        <w:t>олгоград;</w:t>
      </w:r>
    </w:p>
    <w:p w:rsidR="00617034" w:rsidRPr="00EF6954" w:rsidRDefault="00617034" w:rsidP="00BD3EBC">
      <w:pPr>
        <w:ind w:firstLine="709"/>
        <w:jc w:val="both"/>
        <w:rPr>
          <w:color w:val="000000"/>
        </w:rPr>
      </w:pPr>
      <w:r w:rsidRPr="004B1A1E">
        <w:t>-6,6 млн. руб.</w:t>
      </w:r>
      <w:r w:rsidRPr="00EF6954">
        <w:rPr>
          <w:i/>
        </w:rPr>
        <w:t xml:space="preserve"> - </w:t>
      </w:r>
      <w:r w:rsidRPr="00EF6954">
        <w:t>р</w:t>
      </w:r>
      <w:r w:rsidRPr="00EF6954">
        <w:rPr>
          <w:color w:val="000000"/>
        </w:rPr>
        <w:t>адиологического корпуса для лучевой терапии на территории ГБУЗ «Волгоградский областной клинический онкологический диспансер №1», г. Волгоград;</w:t>
      </w:r>
    </w:p>
    <w:p w:rsidR="00617034" w:rsidRPr="00EF6954" w:rsidRDefault="00617034" w:rsidP="00BD3EBC">
      <w:pPr>
        <w:ind w:firstLine="709"/>
        <w:jc w:val="both"/>
        <w:rPr>
          <w:rFonts w:cstheme="minorBidi"/>
          <w:bCs/>
          <w:color w:val="000000"/>
        </w:rPr>
      </w:pPr>
      <w:r w:rsidRPr="004B1A1E">
        <w:t>-3 млн. руб.</w:t>
      </w:r>
      <w:r w:rsidRPr="00EF6954">
        <w:rPr>
          <w:i/>
        </w:rPr>
        <w:t xml:space="preserve"> - </w:t>
      </w:r>
      <w:r w:rsidRPr="00EF6954">
        <w:t>р</w:t>
      </w:r>
      <w:r w:rsidRPr="00EF6954">
        <w:rPr>
          <w:color w:val="000000"/>
        </w:rPr>
        <w:t>еконструкции нежилого здания по ул. Юрьевская, 2 в Советском районе Волгограда под отделение ГУЗ «Детская клиническая поликлиника №31»;</w:t>
      </w:r>
    </w:p>
    <w:p w:rsidR="004B1A1E" w:rsidRDefault="00617034" w:rsidP="004B1A1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B1A1E">
        <w:rPr>
          <w:bCs/>
          <w:color w:val="000000"/>
        </w:rPr>
        <w:t>-3 млн. руб.</w:t>
      </w:r>
      <w:r w:rsidRPr="00EF6954">
        <w:rPr>
          <w:bCs/>
          <w:color w:val="000000"/>
        </w:rPr>
        <w:t xml:space="preserve"> - 25 фельдшерско-акушерских пунктов (по 0,12 млн. руб. каждый);</w:t>
      </w:r>
    </w:p>
    <w:p w:rsidR="00617034" w:rsidRPr="004B1A1E" w:rsidRDefault="00617034" w:rsidP="004B1A1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9437D">
        <w:rPr>
          <w:bCs/>
          <w:color w:val="000000"/>
          <w:u w:val="single"/>
        </w:rPr>
        <w:t xml:space="preserve">на строительство объектов здравоохранения </w:t>
      </w:r>
      <w:r w:rsidRPr="00D9437D">
        <w:rPr>
          <w:bCs/>
          <w:color w:val="000000"/>
        </w:rPr>
        <w:t>–</w:t>
      </w:r>
      <w:r w:rsidRPr="004B1A1E">
        <w:rPr>
          <w:bCs/>
          <w:color w:val="000000"/>
        </w:rPr>
        <w:t xml:space="preserve"> 333,9 млн. руб., из них:</w:t>
      </w:r>
    </w:p>
    <w:p w:rsidR="00617034" w:rsidRPr="00EF6954" w:rsidRDefault="00617034" w:rsidP="00617034">
      <w:pPr>
        <w:ind w:firstLine="709"/>
        <w:jc w:val="both"/>
        <w:rPr>
          <w:color w:val="000000"/>
        </w:rPr>
      </w:pPr>
      <w:r w:rsidRPr="004B1A1E">
        <w:t>-164 млн. руб.</w:t>
      </w:r>
      <w:r w:rsidRPr="00EF6954">
        <w:rPr>
          <w:i/>
        </w:rPr>
        <w:t xml:space="preserve"> - </w:t>
      </w:r>
      <w:r w:rsidRPr="00EF6954">
        <w:t>л</w:t>
      </w:r>
      <w:r w:rsidRPr="00EF6954">
        <w:rPr>
          <w:color w:val="000000"/>
        </w:rPr>
        <w:t>ечебно-консультационного центра ГБУЗ «Волгоградский областной клинический онкологический диспансер №1», г. Волгоград;</w:t>
      </w:r>
    </w:p>
    <w:p w:rsidR="00617034" w:rsidRPr="00EF6954" w:rsidRDefault="00617034" w:rsidP="00617034">
      <w:pPr>
        <w:ind w:firstLine="709"/>
        <w:jc w:val="both"/>
        <w:rPr>
          <w:color w:val="000000"/>
        </w:rPr>
      </w:pPr>
      <w:r w:rsidRPr="004B1A1E">
        <w:t>-36,9 млн. руб.</w:t>
      </w:r>
      <w:r w:rsidRPr="00EF6954">
        <w:rPr>
          <w:i/>
        </w:rPr>
        <w:t xml:space="preserve"> - </w:t>
      </w:r>
      <w:r w:rsidRPr="00EF6954">
        <w:rPr>
          <w:color w:val="000000"/>
        </w:rPr>
        <w:t>многопрофильного отделения третьего этапа медицинской реабилитации ГУЗ «Клиническая больница скорой медицинской помощи №7», г</w:t>
      </w:r>
      <w:proofErr w:type="gramStart"/>
      <w:r w:rsidRPr="00EF6954">
        <w:rPr>
          <w:color w:val="000000"/>
        </w:rPr>
        <w:t>.В</w:t>
      </w:r>
      <w:proofErr w:type="gramEnd"/>
      <w:r w:rsidRPr="00EF6954">
        <w:rPr>
          <w:color w:val="000000"/>
        </w:rPr>
        <w:t>олгоград;</w:t>
      </w:r>
    </w:p>
    <w:p w:rsidR="00617034" w:rsidRPr="00EF6954" w:rsidRDefault="00617034" w:rsidP="00617034">
      <w:pPr>
        <w:autoSpaceDE w:val="0"/>
        <w:autoSpaceDN w:val="0"/>
        <w:adjustRightInd w:val="0"/>
        <w:ind w:firstLine="709"/>
        <w:jc w:val="both"/>
        <w:rPr>
          <w:rFonts w:cstheme="minorBidi"/>
          <w:bCs/>
          <w:color w:val="000000"/>
        </w:rPr>
      </w:pPr>
      <w:r w:rsidRPr="004B1A1E">
        <w:rPr>
          <w:bCs/>
          <w:color w:val="000000"/>
        </w:rPr>
        <w:t>-133 млн. руб. -</w:t>
      </w:r>
      <w:r w:rsidRPr="00EF6954">
        <w:rPr>
          <w:bCs/>
          <w:color w:val="000000"/>
        </w:rPr>
        <w:t xml:space="preserve"> 19 фельдшерско-акушерских пунктов (по 7 млн. руб. каждый).</w:t>
      </w:r>
    </w:p>
    <w:p w:rsidR="00617034" w:rsidRDefault="00617034" w:rsidP="00617034">
      <w:pPr>
        <w:ind w:firstLine="709"/>
        <w:jc w:val="both"/>
        <w:rPr>
          <w:rFonts w:cstheme="minorBidi"/>
          <w:bCs/>
          <w:color w:val="000000"/>
        </w:rPr>
      </w:pPr>
      <w:r w:rsidRPr="00EF6954">
        <w:rPr>
          <w:u w:val="single"/>
        </w:rPr>
        <w:t xml:space="preserve">Комитету сельского </w:t>
      </w:r>
      <w:r w:rsidRPr="004B1A1E">
        <w:rPr>
          <w:u w:val="single"/>
        </w:rPr>
        <w:t>хозяйства</w:t>
      </w:r>
      <w:r w:rsidRPr="004B1A1E">
        <w:rPr>
          <w:i/>
          <w:u w:val="single"/>
        </w:rPr>
        <w:t xml:space="preserve"> </w:t>
      </w:r>
      <w:r w:rsidR="004B1A1E" w:rsidRPr="004B1A1E">
        <w:rPr>
          <w:u w:val="single"/>
        </w:rPr>
        <w:t>Волгоградской области</w:t>
      </w:r>
      <w:r w:rsidR="004B1A1E">
        <w:rPr>
          <w:i/>
        </w:rPr>
        <w:t xml:space="preserve"> </w:t>
      </w:r>
      <w:r w:rsidRPr="00EF6954">
        <w:rPr>
          <w:bCs/>
          <w:color w:val="000000"/>
        </w:rPr>
        <w:t xml:space="preserve">на 2019 год по данному разделу предусмотрено </w:t>
      </w:r>
      <w:r w:rsidRPr="004B1A1E">
        <w:rPr>
          <w:bCs/>
          <w:color w:val="000000"/>
        </w:rPr>
        <w:t>5,7 млн. руб</w:t>
      </w:r>
      <w:r w:rsidR="004B1A1E">
        <w:rPr>
          <w:bCs/>
          <w:color w:val="000000"/>
        </w:rPr>
        <w:t>.</w:t>
      </w:r>
      <w:r w:rsidRPr="00EF6954">
        <w:rPr>
          <w:bCs/>
          <w:color w:val="000000"/>
        </w:rPr>
        <w:t xml:space="preserve"> на строительство ф</w:t>
      </w:r>
      <w:r w:rsidRPr="00EF6954">
        <w:rPr>
          <w:color w:val="000000"/>
        </w:rPr>
        <w:t xml:space="preserve">ельдшерско-акушерского пункта </w:t>
      </w:r>
      <w:proofErr w:type="gramStart"/>
      <w:r w:rsidRPr="00EF6954">
        <w:rPr>
          <w:color w:val="000000"/>
        </w:rPr>
        <w:t>в</w:t>
      </w:r>
      <w:proofErr w:type="gramEnd"/>
      <w:r w:rsidRPr="00EF6954">
        <w:rPr>
          <w:color w:val="000000"/>
        </w:rPr>
        <w:t xml:space="preserve"> </w:t>
      </w:r>
      <w:proofErr w:type="gramStart"/>
      <w:r w:rsidRPr="00EF6954">
        <w:rPr>
          <w:color w:val="000000"/>
        </w:rPr>
        <w:t>х</w:t>
      </w:r>
      <w:proofErr w:type="gramEnd"/>
      <w:r w:rsidRPr="00EF6954">
        <w:rPr>
          <w:color w:val="000000"/>
        </w:rPr>
        <w:t xml:space="preserve">. Красный Сад </w:t>
      </w:r>
      <w:proofErr w:type="spellStart"/>
      <w:r w:rsidRPr="00EF6954">
        <w:rPr>
          <w:color w:val="000000"/>
        </w:rPr>
        <w:t>Среднеахтубинского</w:t>
      </w:r>
      <w:proofErr w:type="spellEnd"/>
      <w:r w:rsidRPr="00EF6954">
        <w:rPr>
          <w:color w:val="000000"/>
        </w:rPr>
        <w:t xml:space="preserve"> района в рамках госпрограммы «Устойчивое развитие сельских территорий».</w:t>
      </w:r>
      <w:r>
        <w:rPr>
          <w:color w:val="000000"/>
        </w:rPr>
        <w:t xml:space="preserve"> </w:t>
      </w:r>
    </w:p>
    <w:p w:rsidR="00617034" w:rsidRDefault="00617034" w:rsidP="00617034">
      <w:pPr>
        <w:ind w:firstLine="709"/>
        <w:jc w:val="both"/>
        <w:rPr>
          <w:rFonts w:eastAsiaTheme="minorHAnsi"/>
          <w:lang w:eastAsia="en-US"/>
        </w:rPr>
      </w:pPr>
    </w:p>
    <w:p w:rsidR="00EA2C21" w:rsidRDefault="00EA2C21" w:rsidP="00EA2C21">
      <w:pPr>
        <w:jc w:val="center"/>
        <w:rPr>
          <w:b/>
          <w:i/>
          <w:u w:val="single"/>
        </w:rPr>
      </w:pPr>
      <w:r w:rsidRPr="002E1765">
        <w:rPr>
          <w:b/>
          <w:i/>
          <w:u w:val="single"/>
        </w:rPr>
        <w:t>Расходы по разделу 1000 «Социальная политика»</w:t>
      </w:r>
      <w:r>
        <w:rPr>
          <w:b/>
          <w:i/>
          <w:u w:val="single"/>
        </w:rPr>
        <w:t>.</w:t>
      </w:r>
    </w:p>
    <w:p w:rsidR="00BF73BF" w:rsidRDefault="00BF73BF" w:rsidP="00BF73BF">
      <w:pPr>
        <w:autoSpaceDE w:val="0"/>
        <w:autoSpaceDN w:val="0"/>
        <w:adjustRightInd w:val="0"/>
        <w:ind w:firstLine="709"/>
        <w:jc w:val="both"/>
      </w:pPr>
    </w:p>
    <w:p w:rsidR="004C6E75" w:rsidRPr="004C6E75" w:rsidRDefault="004C6E75" w:rsidP="004C6E7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E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Законопроектом предусмотрены ассигнования </w:t>
      </w:r>
      <w:r w:rsidR="00DF59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разделу </w:t>
      </w:r>
      <w:r w:rsidR="001E47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1000 «Социальная политика» </w:t>
      </w:r>
      <w:r w:rsidRPr="004C6E7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2019 год в сумме 31962,2 млн. руб., что больше ассигнований</w:t>
      </w:r>
      <w:r w:rsidR="00DF59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текущего года</w:t>
      </w:r>
      <w:r w:rsidRPr="004C6E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2702,6 млн. руб., или на 9,</w:t>
      </w:r>
      <w:r w:rsidR="00DF599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C6E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процент</w:t>
      </w:r>
      <w:r w:rsidR="00DF599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C6E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C6E75" w:rsidRPr="004C6E75" w:rsidRDefault="001233DB" w:rsidP="001233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E75" w:rsidRPr="004C6E75">
        <w:rPr>
          <w:rFonts w:ascii="Times New Roman" w:hAnsi="Times New Roman" w:cs="Times New Roman"/>
          <w:sz w:val="24"/>
          <w:szCs w:val="24"/>
        </w:rPr>
        <w:t>По информации главных распорядителей бюджетных средств</w:t>
      </w:r>
      <w:r>
        <w:rPr>
          <w:rFonts w:ascii="Times New Roman" w:hAnsi="Times New Roman" w:cs="Times New Roman"/>
          <w:sz w:val="24"/>
          <w:szCs w:val="24"/>
        </w:rPr>
        <w:t>, задействованных в данном разделе,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 </w:t>
      </w:r>
      <w:r w:rsidR="004C6E75" w:rsidRPr="001233DB">
        <w:rPr>
          <w:rFonts w:ascii="Times New Roman" w:hAnsi="Times New Roman" w:cs="Times New Roman"/>
          <w:sz w:val="24"/>
          <w:szCs w:val="24"/>
          <w:u w:val="single"/>
        </w:rPr>
        <w:t>недостаток средств областного бюджета на меры социальной помощи и поддержки в 2019 году состав</w:t>
      </w:r>
      <w:r w:rsidR="00837626">
        <w:rPr>
          <w:rFonts w:ascii="Times New Roman" w:hAnsi="Times New Roman" w:cs="Times New Roman"/>
          <w:sz w:val="24"/>
          <w:szCs w:val="24"/>
          <w:u w:val="single"/>
        </w:rPr>
        <w:t>ляе</w:t>
      </w:r>
      <w:r w:rsidR="004C6E75" w:rsidRPr="001233DB">
        <w:rPr>
          <w:rFonts w:ascii="Times New Roman" w:hAnsi="Times New Roman" w:cs="Times New Roman"/>
          <w:sz w:val="24"/>
          <w:szCs w:val="24"/>
          <w:u w:val="single"/>
        </w:rPr>
        <w:t>т 252,1 млн. руб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., главным образом на предоставление органам местного самоуправления субвенций из областного бюджета:  </w:t>
      </w:r>
    </w:p>
    <w:p w:rsidR="004C6E75" w:rsidRPr="004C6E75" w:rsidRDefault="00837626" w:rsidP="0083762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E75" w:rsidRPr="004C6E75">
        <w:rPr>
          <w:rFonts w:ascii="Times New Roman" w:hAnsi="Times New Roman" w:cs="Times New Roman"/>
          <w:sz w:val="24"/>
          <w:szCs w:val="24"/>
        </w:rPr>
        <w:t>156,9 млн. руб. - субвенция на предоставление субсидий гражданам на оплату жилого помещения и коммунальных услуг в соответствии с Законом Волгоградской области от 12.12.2015 №1145-ОД;</w:t>
      </w:r>
    </w:p>
    <w:p w:rsidR="004C6E75" w:rsidRPr="004C6E75" w:rsidRDefault="00837626" w:rsidP="00837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E75" w:rsidRPr="004C6E75">
        <w:rPr>
          <w:rFonts w:ascii="Times New Roman" w:hAnsi="Times New Roman" w:cs="Times New Roman"/>
          <w:sz w:val="24"/>
          <w:szCs w:val="24"/>
        </w:rPr>
        <w:t>45,5 млн. руб. - субвенция на выплату пособий по опеке и попечительству;</w:t>
      </w:r>
    </w:p>
    <w:p w:rsidR="00771649" w:rsidRDefault="00837626" w:rsidP="0083762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E75" w:rsidRPr="004C6E75">
        <w:rPr>
          <w:rFonts w:ascii="Times New Roman" w:hAnsi="Times New Roman" w:cs="Times New Roman"/>
          <w:sz w:val="24"/>
          <w:szCs w:val="24"/>
        </w:rPr>
        <w:t>42,7 млн. руб. - субвенция на вознаграждение за труд приемным родителям (патронатному воспитателю) и предоставление им мер социальной поддержки</w:t>
      </w:r>
      <w:r w:rsidR="00771649">
        <w:rPr>
          <w:rFonts w:ascii="Times New Roman" w:hAnsi="Times New Roman" w:cs="Times New Roman"/>
          <w:sz w:val="24"/>
          <w:szCs w:val="24"/>
        </w:rPr>
        <w:t>;</w:t>
      </w:r>
    </w:p>
    <w:p w:rsidR="004C6E75" w:rsidRPr="004C6E75" w:rsidRDefault="00771649" w:rsidP="0083762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649">
        <w:rPr>
          <w:rFonts w:ascii="Times New Roman" w:hAnsi="Times New Roman" w:cs="Times New Roman"/>
          <w:sz w:val="24"/>
          <w:szCs w:val="24"/>
        </w:rPr>
        <w:t>5,3 млн. руб. - 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</w:r>
      <w:r w:rsidR="00837626">
        <w:rPr>
          <w:rFonts w:ascii="Times New Roman" w:hAnsi="Times New Roman" w:cs="Times New Roman"/>
          <w:sz w:val="24"/>
          <w:szCs w:val="24"/>
        </w:rPr>
        <w:t xml:space="preserve"> и др</w:t>
      </w:r>
      <w:r w:rsidR="00380317">
        <w:rPr>
          <w:rFonts w:ascii="Times New Roman" w:hAnsi="Times New Roman" w:cs="Times New Roman"/>
          <w:sz w:val="24"/>
          <w:szCs w:val="24"/>
        </w:rPr>
        <w:t>угие</w:t>
      </w:r>
      <w:r w:rsidR="00837626">
        <w:rPr>
          <w:rFonts w:ascii="Times New Roman" w:hAnsi="Times New Roman" w:cs="Times New Roman"/>
          <w:sz w:val="24"/>
          <w:szCs w:val="24"/>
        </w:rPr>
        <w:t>.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31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 подразделу 1001 «Пенсионное обеспечение»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486841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Pr="004C6E75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486841">
        <w:rPr>
          <w:rFonts w:ascii="Times New Roman" w:hAnsi="Times New Roman" w:cs="Times New Roman"/>
          <w:sz w:val="24"/>
          <w:szCs w:val="24"/>
        </w:rPr>
        <w:t xml:space="preserve">по сравнению с текущим годом </w:t>
      </w:r>
      <w:r w:rsidRPr="004C6E75">
        <w:rPr>
          <w:rFonts w:ascii="Times New Roman" w:hAnsi="Times New Roman" w:cs="Times New Roman"/>
          <w:sz w:val="24"/>
          <w:szCs w:val="24"/>
        </w:rPr>
        <w:t>на 29,1 млн. руб., в том числе: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75">
        <w:rPr>
          <w:rFonts w:ascii="Times New Roman" w:hAnsi="Times New Roman" w:cs="Times New Roman"/>
          <w:sz w:val="24"/>
          <w:szCs w:val="24"/>
        </w:rPr>
        <w:t xml:space="preserve">-комитету социальной защиты населения </w:t>
      </w:r>
      <w:r w:rsidR="002E5C2E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Pr="004C6E75">
        <w:rPr>
          <w:rFonts w:ascii="Times New Roman" w:hAnsi="Times New Roman" w:cs="Times New Roman"/>
          <w:sz w:val="24"/>
          <w:szCs w:val="24"/>
        </w:rPr>
        <w:t>увеличены на 40,5 млн. руб. за счет средств областного бюджета на доплаты к пенсиям государственных служащих субъекта РФ;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75">
        <w:rPr>
          <w:rFonts w:ascii="Times New Roman" w:hAnsi="Times New Roman" w:cs="Times New Roman"/>
          <w:sz w:val="24"/>
          <w:szCs w:val="24"/>
        </w:rPr>
        <w:t xml:space="preserve">-комитету по труду и занятости населения </w:t>
      </w:r>
      <w:r w:rsidR="00486841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Pr="004C6E75">
        <w:rPr>
          <w:rFonts w:ascii="Times New Roman" w:hAnsi="Times New Roman" w:cs="Times New Roman"/>
          <w:sz w:val="24"/>
          <w:szCs w:val="24"/>
        </w:rPr>
        <w:t>уменьшены на 11,4 млн. руб. за счет средств федерального бюджета на возмещение расходов Пенсионного фонда РФ, связанных с назначением пенсии безработным гражданам досрочно.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5E0E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подразделу 1002</w:t>
      </w:r>
      <w:r w:rsidRPr="00FA5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5E0E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«Социальное обслуживание населения»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FA5E0E" w:rsidRPr="004C6E75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4C6E75">
        <w:rPr>
          <w:rFonts w:ascii="Times New Roman" w:hAnsi="Times New Roman" w:cs="Times New Roman"/>
          <w:sz w:val="24"/>
          <w:szCs w:val="24"/>
        </w:rPr>
        <w:t>за счет средств областного бюджета на 148 млн. руб. комитету социальной защиты населения на предоставление услуг (работ) в сфере социального обслуживания населения.</w:t>
      </w:r>
    </w:p>
    <w:p w:rsidR="00985F02" w:rsidRDefault="004C6E75" w:rsidP="00985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0E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подразделу 1003</w:t>
      </w:r>
      <w:r w:rsidRPr="00FA5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5E0E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«Социальное обеспечение населения»</w:t>
      </w:r>
      <w:r w:rsidRPr="004C6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E75">
        <w:rPr>
          <w:rFonts w:ascii="Times New Roman" w:hAnsi="Times New Roman" w:cs="Times New Roman"/>
          <w:sz w:val="24"/>
          <w:szCs w:val="24"/>
        </w:rPr>
        <w:t>расходы уменьшены на 2291,8 млн. руб., главным образом:</w:t>
      </w:r>
    </w:p>
    <w:p w:rsidR="00985F02" w:rsidRDefault="004C6E75" w:rsidP="00985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2E1">
        <w:rPr>
          <w:rFonts w:ascii="Times New Roman" w:hAnsi="Times New Roman" w:cs="Times New Roman"/>
          <w:sz w:val="24"/>
          <w:szCs w:val="24"/>
          <w:u w:val="single"/>
        </w:rPr>
        <w:t>комитету социальной защиты населения</w:t>
      </w:r>
      <w:r w:rsidRPr="004C6E75">
        <w:rPr>
          <w:rFonts w:ascii="Times New Roman" w:hAnsi="Times New Roman" w:cs="Times New Roman"/>
          <w:sz w:val="24"/>
          <w:szCs w:val="24"/>
        </w:rPr>
        <w:t>:</w:t>
      </w:r>
    </w:p>
    <w:p w:rsidR="00A20A8E" w:rsidRDefault="00985F02" w:rsidP="00A20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>уменьшены на 2689,4 млн. руб. в связи с переносом расходов на предоставление мер социальной поддержки гражданам в связи с рождением и воспитанием детей в подраздел 1004 «Охрана семьи и детства» в соответствии с приказом Минфина России от 08.06.2018 №132н «О Порядке формирования и применения кодов бюджетной классификации РФ, их структуре и принципах назначения», который применяется к правоотношениям, возникающим при составлении</w:t>
      </w:r>
      <w:proofErr w:type="gramEnd"/>
      <w:r w:rsidR="004C6E75" w:rsidRPr="004C6E7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C6E75" w:rsidRPr="004C6E7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C6E75" w:rsidRPr="004C6E75">
        <w:rPr>
          <w:rFonts w:ascii="Times New Roman" w:hAnsi="Times New Roman" w:cs="Times New Roman"/>
          <w:sz w:val="24"/>
          <w:szCs w:val="24"/>
        </w:rPr>
        <w:t xml:space="preserve"> бюджетов бюджетной системы РФ, начиная с бюджетов на 2019 год и плановый период 2020 и 2021 годов;</w:t>
      </w:r>
    </w:p>
    <w:p w:rsidR="00A20A8E" w:rsidRDefault="00A20A8E" w:rsidP="00A20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>увеличены расходы на 126,3 млн. руб. (в т</w:t>
      </w:r>
      <w:r>
        <w:rPr>
          <w:rFonts w:ascii="Times New Roman" w:hAnsi="Times New Roman" w:cs="Times New Roman"/>
          <w:sz w:val="24"/>
          <w:szCs w:val="24"/>
        </w:rPr>
        <w:t xml:space="preserve">ом числе на 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124,2 млн. 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4C6E75">
        <w:rPr>
          <w:rFonts w:ascii="Times New Roman" w:hAnsi="Times New Roman" w:cs="Times New Roman"/>
          <w:sz w:val="24"/>
          <w:szCs w:val="24"/>
        </w:rPr>
        <w:t>за счет средств областного бюджета) на меры социальной помощи (поддержки), предоставляемые жителям Волгоградской области.</w:t>
      </w:r>
    </w:p>
    <w:p w:rsidR="00A20A8E" w:rsidRDefault="004C6E75" w:rsidP="00A20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2E1">
        <w:rPr>
          <w:rFonts w:ascii="Times New Roman" w:hAnsi="Times New Roman" w:cs="Times New Roman"/>
          <w:sz w:val="24"/>
          <w:szCs w:val="24"/>
          <w:u w:val="single"/>
        </w:rPr>
        <w:t>комитету здравоохранения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92271A" w:rsidRPr="004C6E75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4C6E75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на 98,7 млн. руб., в том числе: </w:t>
      </w:r>
    </w:p>
    <w:p w:rsidR="00A20A8E" w:rsidRDefault="00A20A8E" w:rsidP="00A20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A20A8E">
        <w:rPr>
          <w:rFonts w:ascii="Times New Roman" w:hAnsi="Times New Roman" w:cs="Times New Roman"/>
          <w:sz w:val="24"/>
          <w:szCs w:val="24"/>
        </w:rPr>
        <w:t xml:space="preserve">82,4 млн. 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A20A8E">
        <w:rPr>
          <w:rFonts w:ascii="Times New Roman" w:hAnsi="Times New Roman" w:cs="Times New Roman"/>
          <w:sz w:val="24"/>
          <w:szCs w:val="24"/>
        </w:rPr>
        <w:t>на уплату страховых взносов на обязательное медицинское страхование неработающего населения в связи с ростом норматива;</w:t>
      </w:r>
    </w:p>
    <w:p w:rsidR="00A20A8E" w:rsidRDefault="00A20A8E" w:rsidP="00A20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13,9 млн. 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4C6E75">
        <w:rPr>
          <w:rFonts w:ascii="Times New Roman" w:hAnsi="Times New Roman" w:cs="Times New Roman"/>
          <w:sz w:val="24"/>
          <w:szCs w:val="24"/>
        </w:rPr>
        <w:t>на меры социальной поддержки по оплате жилья и коммунальных услуг граждан, работающих и проживающих в сельской местности;</w:t>
      </w:r>
    </w:p>
    <w:p w:rsidR="0092271A" w:rsidRDefault="00A20A8E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2,4 млн. 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4C6E75">
        <w:rPr>
          <w:rFonts w:ascii="Times New Roman" w:hAnsi="Times New Roman" w:cs="Times New Roman"/>
          <w:sz w:val="24"/>
          <w:szCs w:val="24"/>
        </w:rPr>
        <w:t>на обеспечение бесплатным питанием доноров крови и ее компонентов.</w:t>
      </w:r>
    </w:p>
    <w:p w:rsidR="0092271A" w:rsidRDefault="004C6E75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2E1">
        <w:rPr>
          <w:rFonts w:ascii="Times New Roman" w:hAnsi="Times New Roman" w:cs="Times New Roman"/>
          <w:sz w:val="24"/>
          <w:szCs w:val="24"/>
          <w:u w:val="single"/>
        </w:rPr>
        <w:t>комитету по труду и занятости населения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92271A" w:rsidRPr="004C6E75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4C6E75">
        <w:rPr>
          <w:rFonts w:ascii="Times New Roman" w:hAnsi="Times New Roman" w:cs="Times New Roman"/>
          <w:sz w:val="24"/>
          <w:szCs w:val="24"/>
        </w:rPr>
        <w:t>за счет средств федерального бюджета на 95,8 млн. руб. на социальные выплаты безработным гражданам.</w:t>
      </w:r>
    </w:p>
    <w:p w:rsidR="004C6E75" w:rsidRPr="004C6E75" w:rsidRDefault="004C6E75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E1">
        <w:rPr>
          <w:rFonts w:ascii="Times New Roman" w:hAnsi="Times New Roman" w:cs="Times New Roman"/>
          <w:sz w:val="24"/>
          <w:szCs w:val="24"/>
          <w:u w:val="single"/>
        </w:rPr>
        <w:t>комитету сельского хозяйства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92271A" w:rsidRPr="004C6E75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4C6E75">
        <w:rPr>
          <w:rFonts w:ascii="Times New Roman" w:hAnsi="Times New Roman" w:cs="Times New Roman"/>
          <w:sz w:val="24"/>
          <w:szCs w:val="24"/>
        </w:rPr>
        <w:t>на 49,8 млн. руб. (в т</w:t>
      </w:r>
      <w:r w:rsidR="0092271A">
        <w:rPr>
          <w:rFonts w:ascii="Times New Roman" w:hAnsi="Times New Roman" w:cs="Times New Roman"/>
          <w:sz w:val="24"/>
          <w:szCs w:val="24"/>
        </w:rPr>
        <w:t xml:space="preserve">ом </w:t>
      </w:r>
      <w:r w:rsidRPr="004C6E75">
        <w:rPr>
          <w:rFonts w:ascii="Times New Roman" w:hAnsi="Times New Roman" w:cs="Times New Roman"/>
          <w:sz w:val="24"/>
          <w:szCs w:val="24"/>
        </w:rPr>
        <w:t>ч</w:t>
      </w:r>
      <w:r w:rsidR="0092271A">
        <w:rPr>
          <w:rFonts w:ascii="Times New Roman" w:hAnsi="Times New Roman" w:cs="Times New Roman"/>
          <w:sz w:val="24"/>
          <w:szCs w:val="24"/>
        </w:rPr>
        <w:t>исле</w:t>
      </w:r>
      <w:r w:rsidRPr="004C6E75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</w:t>
      </w:r>
      <w:r w:rsidR="0092271A">
        <w:rPr>
          <w:rFonts w:ascii="Times New Roman" w:hAnsi="Times New Roman" w:cs="Times New Roman"/>
          <w:sz w:val="24"/>
          <w:szCs w:val="24"/>
        </w:rPr>
        <w:t xml:space="preserve">- </w:t>
      </w:r>
      <w:r w:rsidRPr="004C6E75">
        <w:rPr>
          <w:rFonts w:ascii="Times New Roman" w:hAnsi="Times New Roman" w:cs="Times New Roman"/>
          <w:sz w:val="24"/>
          <w:szCs w:val="24"/>
        </w:rPr>
        <w:t>на 36,7 млн. руб., за счет средств областного бюджета</w:t>
      </w:r>
      <w:r w:rsidR="0092271A">
        <w:rPr>
          <w:rFonts w:ascii="Times New Roman" w:hAnsi="Times New Roman" w:cs="Times New Roman"/>
          <w:sz w:val="24"/>
          <w:szCs w:val="24"/>
        </w:rPr>
        <w:t xml:space="preserve"> -</w:t>
      </w:r>
      <w:r w:rsidRPr="004C6E75">
        <w:rPr>
          <w:rFonts w:ascii="Times New Roman" w:hAnsi="Times New Roman" w:cs="Times New Roman"/>
          <w:sz w:val="24"/>
          <w:szCs w:val="24"/>
        </w:rPr>
        <w:t xml:space="preserve"> на 13,1 млн. руб.) на социальные выплаты на улучшение жилищных условий граждан, проживающих в сельской местности, в том числе молодых семей и молодых специалистов в рамках </w:t>
      </w:r>
      <w:r w:rsidR="0092271A">
        <w:rPr>
          <w:rFonts w:ascii="Times New Roman" w:hAnsi="Times New Roman" w:cs="Times New Roman"/>
          <w:sz w:val="24"/>
          <w:szCs w:val="24"/>
        </w:rPr>
        <w:t>г</w:t>
      </w:r>
      <w:r w:rsidRPr="004C6E75">
        <w:rPr>
          <w:rFonts w:ascii="Times New Roman" w:hAnsi="Times New Roman" w:cs="Times New Roman"/>
          <w:sz w:val="24"/>
          <w:szCs w:val="24"/>
        </w:rPr>
        <w:t>оспрограммы «Устойчивое развитие сельских территорий».</w:t>
      </w:r>
      <w:proofErr w:type="gramEnd"/>
    </w:p>
    <w:p w:rsidR="0092271A" w:rsidRDefault="004C6E75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1A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подразделу 1004 «Охрана семьи и детства»</w:t>
      </w:r>
      <w:r w:rsidRPr="004C6E75">
        <w:rPr>
          <w:rFonts w:ascii="Times New Roman" w:hAnsi="Times New Roman" w:cs="Times New Roman"/>
          <w:sz w:val="24"/>
          <w:szCs w:val="24"/>
        </w:rPr>
        <w:t xml:space="preserve"> </w:t>
      </w:r>
      <w:r w:rsidR="0092271A">
        <w:rPr>
          <w:rFonts w:ascii="Times New Roman" w:hAnsi="Times New Roman" w:cs="Times New Roman"/>
          <w:sz w:val="24"/>
          <w:szCs w:val="24"/>
        </w:rPr>
        <w:t>ассигнования на 2019 год</w:t>
      </w:r>
      <w:r w:rsidRPr="004C6E75">
        <w:rPr>
          <w:rFonts w:ascii="Times New Roman" w:hAnsi="Times New Roman" w:cs="Times New Roman"/>
          <w:sz w:val="24"/>
          <w:szCs w:val="24"/>
        </w:rPr>
        <w:t xml:space="preserve"> увеличены </w:t>
      </w:r>
      <w:r w:rsidR="0092271A">
        <w:rPr>
          <w:rFonts w:ascii="Times New Roman" w:hAnsi="Times New Roman" w:cs="Times New Roman"/>
          <w:sz w:val="24"/>
          <w:szCs w:val="24"/>
        </w:rPr>
        <w:t xml:space="preserve">относительно текущего года </w:t>
      </w:r>
      <w:r w:rsidRPr="004C6E75">
        <w:rPr>
          <w:rFonts w:ascii="Times New Roman" w:hAnsi="Times New Roman" w:cs="Times New Roman"/>
          <w:sz w:val="24"/>
          <w:szCs w:val="24"/>
        </w:rPr>
        <w:t>на 4825 млн. руб. (в 2,5 раза), в том числе:</w:t>
      </w:r>
    </w:p>
    <w:p w:rsidR="0092271A" w:rsidRDefault="004C6E75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FF">
        <w:rPr>
          <w:rFonts w:ascii="Times New Roman" w:hAnsi="Times New Roman" w:cs="Times New Roman"/>
          <w:sz w:val="24"/>
          <w:szCs w:val="24"/>
          <w:u w:val="single"/>
        </w:rPr>
        <w:t xml:space="preserve">комитету социальной защиты населения </w:t>
      </w:r>
      <w:r w:rsidR="0092271A" w:rsidRPr="008F6EF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F6EFF">
        <w:rPr>
          <w:rFonts w:ascii="Times New Roman" w:hAnsi="Times New Roman" w:cs="Times New Roman"/>
          <w:sz w:val="24"/>
          <w:szCs w:val="24"/>
          <w:u w:val="single"/>
        </w:rPr>
        <w:t xml:space="preserve"> на 5232,1 млн. руб.,</w:t>
      </w:r>
      <w:r w:rsidRPr="004C6E75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92271A" w:rsidRDefault="0092271A" w:rsidP="0092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на 3282,2 млн. руб. в связи с переносом расходов на меры социальной поддержки гражданам в связи с рождением и воспитанием детей с подраздела 1003 «Социальное обеспечение населения». При этом бюджетные ассигнования на эти меры по сравнению с 2018 годом (2689,4 млн. руб.) увеличены на 592,8 млн. руб., в том числе за счет средств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на 144,1 млн. руб.,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75" w:rsidRPr="004C6E75">
        <w:rPr>
          <w:rFonts w:ascii="Times New Roman" w:hAnsi="Times New Roman" w:cs="Times New Roman"/>
          <w:sz w:val="24"/>
          <w:szCs w:val="24"/>
        </w:rPr>
        <w:t>на 448,7 млн. 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E75" w:rsidRPr="004C6E75">
        <w:rPr>
          <w:rFonts w:ascii="Times New Roman" w:hAnsi="Times New Roman" w:cs="Times New Roman"/>
          <w:sz w:val="24"/>
          <w:szCs w:val="24"/>
        </w:rPr>
        <w:t>;</w:t>
      </w:r>
    </w:p>
    <w:p w:rsidR="008F6EFF" w:rsidRDefault="00F41084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на 1049,9 млн. руб. по другим мерам социальной поддержки, в том числе </w:t>
      </w:r>
      <w:r w:rsidR="004C6E75" w:rsidRPr="00F41084">
        <w:rPr>
          <w:rFonts w:ascii="Times New Roman" w:hAnsi="Times New Roman" w:cs="Times New Roman"/>
          <w:sz w:val="24"/>
          <w:szCs w:val="24"/>
        </w:rPr>
        <w:t xml:space="preserve">увеличение на 1710,5 млн. руб. за счет средств федерального бюджета </w:t>
      </w:r>
      <w:r w:rsidR="004C6E75" w:rsidRPr="004C6E75">
        <w:rPr>
          <w:rFonts w:ascii="Times New Roman" w:hAnsi="Times New Roman" w:cs="Times New Roman"/>
          <w:sz w:val="24"/>
          <w:szCs w:val="24"/>
        </w:rPr>
        <w:t>(главным образом на осуществление ежемесячной выплаты в связи с рождением (усыновлением) первого ребенк</w:t>
      </w:r>
      <w:r>
        <w:rPr>
          <w:rFonts w:ascii="Times New Roman" w:hAnsi="Times New Roman" w:cs="Times New Roman"/>
          <w:sz w:val="24"/>
          <w:szCs w:val="24"/>
        </w:rPr>
        <w:t xml:space="preserve">а – на </w:t>
      </w:r>
      <w:r w:rsidRPr="004C6E75">
        <w:rPr>
          <w:rFonts w:ascii="Times New Roman" w:hAnsi="Times New Roman" w:cs="Times New Roman"/>
          <w:sz w:val="24"/>
          <w:szCs w:val="24"/>
        </w:rPr>
        <w:t>975 млн. руб.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) и </w:t>
      </w:r>
      <w:r w:rsidR="004C6E75" w:rsidRPr="00F41084">
        <w:rPr>
          <w:rFonts w:ascii="Times New Roman" w:hAnsi="Times New Roman" w:cs="Times New Roman"/>
          <w:sz w:val="24"/>
          <w:szCs w:val="24"/>
        </w:rPr>
        <w:t>уменьшение на 660,6 млн. руб. за счет средств областного бюджета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 (главным образом в связи с уменьшением расходов на ежемесячную денежную</w:t>
      </w:r>
      <w:proofErr w:type="gramEnd"/>
      <w:r w:rsidR="004C6E75" w:rsidRPr="004C6E75">
        <w:rPr>
          <w:rFonts w:ascii="Times New Roman" w:hAnsi="Times New Roman" w:cs="Times New Roman"/>
          <w:sz w:val="24"/>
          <w:szCs w:val="24"/>
        </w:rPr>
        <w:t xml:space="preserve"> выплату, назначаемую в случае рождения третьего ребенка или последующих детей до достижения </w:t>
      </w:r>
      <w:r w:rsidR="004C6E75" w:rsidRPr="004C6E75">
        <w:rPr>
          <w:rFonts w:ascii="Times New Roman" w:hAnsi="Times New Roman" w:cs="Times New Roman"/>
          <w:sz w:val="24"/>
          <w:szCs w:val="24"/>
        </w:rPr>
        <w:lastRenderedPageBreak/>
        <w:t xml:space="preserve">ребенком возраста трех лет,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E75">
        <w:rPr>
          <w:rFonts w:ascii="Times New Roman" w:hAnsi="Times New Roman" w:cs="Times New Roman"/>
          <w:sz w:val="24"/>
          <w:szCs w:val="24"/>
        </w:rPr>
        <w:t xml:space="preserve">на 795,4 млн. руб. 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по причине изменения уровня </w:t>
      </w:r>
      <w:proofErr w:type="spellStart"/>
      <w:r w:rsidR="004C6E75" w:rsidRPr="004C6E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C6E75" w:rsidRPr="004C6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4C6E75" w:rsidRPr="004C6E75">
        <w:rPr>
          <w:rFonts w:ascii="Times New Roman" w:hAnsi="Times New Roman" w:cs="Times New Roman"/>
          <w:sz w:val="24"/>
          <w:szCs w:val="24"/>
        </w:rPr>
        <w:t>федерального бюджета с 39,4% в 2018 году на 86% в 2019 году);</w:t>
      </w:r>
    </w:p>
    <w:p w:rsidR="008F6EFF" w:rsidRDefault="008F6EFF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>на 900 млн. руб. за счет средств областного бюджета в связи с передачей с 01.01.2019 полномочий комитета образования, науки и молодежной политики в сфере опеки и попечительства в соответствии с постановлением Губернатора Волгоградской области от 02.10.2018 №656.</w:t>
      </w:r>
    </w:p>
    <w:p w:rsidR="008F6EFF" w:rsidRDefault="004C6E75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FF">
        <w:rPr>
          <w:rFonts w:ascii="Times New Roman" w:hAnsi="Times New Roman" w:cs="Times New Roman"/>
          <w:sz w:val="24"/>
          <w:szCs w:val="24"/>
          <w:u w:val="single"/>
        </w:rPr>
        <w:t>комитету образования, науки и молодежной политики</w:t>
      </w:r>
      <w:r w:rsidRPr="004C6E75">
        <w:rPr>
          <w:rFonts w:ascii="Times New Roman" w:hAnsi="Times New Roman" w:cs="Times New Roman"/>
          <w:sz w:val="24"/>
          <w:szCs w:val="24"/>
        </w:rPr>
        <w:t xml:space="preserve"> расходы уменьшены на 797,8 млн. руб., </w:t>
      </w:r>
      <w:r w:rsidR="008F6EFF">
        <w:rPr>
          <w:rFonts w:ascii="Times New Roman" w:hAnsi="Times New Roman" w:cs="Times New Roman"/>
          <w:sz w:val="24"/>
          <w:szCs w:val="24"/>
        </w:rPr>
        <w:t>в основном,</w:t>
      </w:r>
      <w:r w:rsidRPr="004C6E75">
        <w:rPr>
          <w:rFonts w:ascii="Times New Roman" w:hAnsi="Times New Roman" w:cs="Times New Roman"/>
          <w:sz w:val="24"/>
          <w:szCs w:val="24"/>
        </w:rPr>
        <w:t xml:space="preserve"> по причине:</w:t>
      </w:r>
    </w:p>
    <w:p w:rsidR="008F6EFF" w:rsidRDefault="008F6EFF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уменьшения в 2018 году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C6E75" w:rsidRPr="004C6E75">
        <w:rPr>
          <w:rFonts w:ascii="Times New Roman" w:hAnsi="Times New Roman" w:cs="Times New Roman"/>
          <w:sz w:val="24"/>
          <w:szCs w:val="24"/>
        </w:rPr>
        <w:t>874,5 млн. руб. средств областного бюджета в связи с передачей с 01.01.2019 полномочий в сфере опеки и попечительства комитету социальной защиты населения;</w:t>
      </w:r>
    </w:p>
    <w:p w:rsidR="008F6EFF" w:rsidRDefault="008F6EFF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>увеличения на 74,9 млн. руб. средств областного бюджета на субвенции муниципальным образования</w:t>
      </w:r>
      <w:r w:rsidR="00CA4452">
        <w:rPr>
          <w:rFonts w:ascii="Times New Roman" w:hAnsi="Times New Roman" w:cs="Times New Roman"/>
          <w:sz w:val="24"/>
          <w:szCs w:val="24"/>
        </w:rPr>
        <w:t>м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8F6EFF" w:rsidRDefault="008F6EFF" w:rsidP="008F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75" w:rsidRPr="004C6E75">
        <w:rPr>
          <w:rFonts w:ascii="Times New Roman" w:hAnsi="Times New Roman" w:cs="Times New Roman"/>
          <w:sz w:val="24"/>
          <w:szCs w:val="24"/>
        </w:rPr>
        <w:t>увеличения на 1,8 млн. руб. средств областного бюджета на предоставление компенсации гражданам части стоимости самостоятельно приобретенных (выданных) путевок в организации отдыха и оздоровления детей в связи с переносом указанных расходов с подраздела 0707 «Молодежная политика».</w:t>
      </w:r>
    </w:p>
    <w:p w:rsidR="00F10C8B" w:rsidRDefault="004C6E75" w:rsidP="00F10C8B">
      <w:pPr>
        <w:autoSpaceDE w:val="0"/>
        <w:autoSpaceDN w:val="0"/>
        <w:adjustRightInd w:val="0"/>
        <w:ind w:firstLine="709"/>
        <w:jc w:val="both"/>
      </w:pPr>
      <w:r w:rsidRPr="008F6EFF">
        <w:rPr>
          <w:u w:val="single"/>
        </w:rPr>
        <w:t>комитету строительства</w:t>
      </w:r>
      <w:r w:rsidRPr="004C6E75">
        <w:t xml:space="preserve"> расходы увеличены на 390,7 млн. руб., или в 2,6 раза  (в т</w:t>
      </w:r>
      <w:r w:rsidR="008F6EFF">
        <w:t xml:space="preserve">ом </w:t>
      </w:r>
      <w:r w:rsidRPr="004C6E75">
        <w:t>ч</w:t>
      </w:r>
      <w:r w:rsidR="008F6EFF">
        <w:t>исле</w:t>
      </w:r>
      <w:r w:rsidRPr="004C6E75">
        <w:t xml:space="preserve"> за счет средств федерального бюджета на 10,4 млн. руб., за счет средств областного бюджета на 380,3 млн. руб.) на обеспечение жилыми помещениями детей-сирот, детей, оставшихся без попечения родителей, и лиц из их числа.</w:t>
      </w:r>
    </w:p>
    <w:p w:rsidR="00F10C8B" w:rsidRPr="00F10C8B" w:rsidRDefault="00F10C8B" w:rsidP="00F10C8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Из предусмотренных комитету строительства </w:t>
      </w:r>
      <w:r w:rsidRPr="00F10C8B">
        <w:rPr>
          <w:color w:val="000000"/>
        </w:rPr>
        <w:t>на реализацию п</w:t>
      </w:r>
      <w:r w:rsidRPr="00F10C8B">
        <w:rPr>
          <w:bCs/>
          <w:color w:val="000000"/>
        </w:rPr>
        <w:t>одпрограммы «Обеспечение жилыми помещениями детей-сирот и детей, оставшихся без попечения родителей, лиц из числа детей-сирот, детей, оставшихся без попечения родителей» госпрограммы «Обеспечение доступным и комфортным жильем и коммунальными услугами жителей Волгоградской области»</w:t>
      </w:r>
      <w:r w:rsidRPr="00F10C8B">
        <w:rPr>
          <w:color w:val="000000"/>
        </w:rPr>
        <w:t xml:space="preserve"> на 2019 год </w:t>
      </w:r>
      <w:r w:rsidRPr="00F10C8B">
        <w:rPr>
          <w:bCs/>
          <w:color w:val="000000"/>
        </w:rPr>
        <w:t>633,1 млн</w:t>
      </w:r>
      <w:r w:rsidRPr="00F10C8B">
        <w:rPr>
          <w:color w:val="000000"/>
        </w:rPr>
        <w:t>. руб.,</w:t>
      </w:r>
      <w:r w:rsidRPr="00F10C8B">
        <w:rPr>
          <w:b/>
          <w:color w:val="000000"/>
        </w:rPr>
        <w:t xml:space="preserve"> </w:t>
      </w:r>
      <w:r w:rsidRPr="00F10C8B">
        <w:rPr>
          <w:color w:val="000000"/>
        </w:rPr>
        <w:t>планируется</w:t>
      </w:r>
      <w:r w:rsidRPr="00F10C8B">
        <w:rPr>
          <w:bCs/>
          <w:color w:val="000000"/>
        </w:rPr>
        <w:t xml:space="preserve"> направить</w:t>
      </w:r>
      <w:r w:rsidRPr="00F10C8B">
        <w:rPr>
          <w:color w:val="000000"/>
        </w:rPr>
        <w:t>:</w:t>
      </w:r>
      <w:proofErr w:type="gramEnd"/>
    </w:p>
    <w:p w:rsidR="00F10C8B" w:rsidRPr="00F10C8B" w:rsidRDefault="00F10C8B" w:rsidP="00F10C8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10C8B">
        <w:rPr>
          <w:color w:val="000000"/>
        </w:rPr>
        <w:t>-</w:t>
      </w:r>
      <w:r w:rsidRPr="00DD3723">
        <w:rPr>
          <w:color w:val="000000"/>
          <w:u w:val="single"/>
        </w:rPr>
        <w:t>на приобретение</w:t>
      </w:r>
      <w:r w:rsidRPr="00DD3723">
        <w:rPr>
          <w:i/>
          <w:color w:val="000000"/>
        </w:rPr>
        <w:t xml:space="preserve"> </w:t>
      </w:r>
      <w:r w:rsidRPr="00DD3723">
        <w:rPr>
          <w:color w:val="000000"/>
        </w:rPr>
        <w:t>жилья</w:t>
      </w:r>
      <w:r w:rsidRPr="00F10C8B">
        <w:rPr>
          <w:color w:val="000000"/>
        </w:rPr>
        <w:t xml:space="preserve">  – 555,3 млн.</w:t>
      </w:r>
      <w:r w:rsidRPr="00F10C8B">
        <w:rPr>
          <w:bCs/>
          <w:color w:val="000000"/>
        </w:rPr>
        <w:t xml:space="preserve"> руб. (483 квартиры); 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>-</w:t>
      </w:r>
      <w:r w:rsidRPr="00DD3723">
        <w:rPr>
          <w:color w:val="000000"/>
          <w:u w:val="single"/>
        </w:rPr>
        <w:t>на строительство</w:t>
      </w:r>
      <w:r w:rsidRPr="00F10C8B">
        <w:rPr>
          <w:color w:val="000000"/>
        </w:rPr>
        <w:t xml:space="preserve"> трех 24-квартирных жилых домов в р.п. Октябрьский,  г</w:t>
      </w:r>
      <w:proofErr w:type="gramStart"/>
      <w:r w:rsidRPr="00F10C8B">
        <w:rPr>
          <w:color w:val="000000"/>
        </w:rPr>
        <w:t>.Н</w:t>
      </w:r>
      <w:proofErr w:type="gramEnd"/>
      <w:r w:rsidRPr="00F10C8B">
        <w:rPr>
          <w:color w:val="000000"/>
        </w:rPr>
        <w:t xml:space="preserve">иколаевске и г.Палласовке – </w:t>
      </w:r>
      <w:r w:rsidRPr="00F10C8B">
        <w:rPr>
          <w:bCs/>
          <w:color w:val="000000"/>
        </w:rPr>
        <w:t>77,6 млн. руб.;</w:t>
      </w:r>
      <w:r w:rsidRPr="00F10C8B">
        <w:rPr>
          <w:color w:val="000000"/>
        </w:rPr>
        <w:t xml:space="preserve"> 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>-</w:t>
      </w:r>
      <w:r w:rsidRPr="00DD3723">
        <w:rPr>
          <w:color w:val="000000"/>
          <w:u w:val="single"/>
        </w:rPr>
        <w:t>на реконструкцию</w:t>
      </w:r>
      <w:r w:rsidRPr="00F10C8B">
        <w:rPr>
          <w:color w:val="000000"/>
        </w:rPr>
        <w:t xml:space="preserve"> квартиры маневренного фонда </w:t>
      </w:r>
      <w:proofErr w:type="gramStart"/>
      <w:r w:rsidRPr="00F10C8B">
        <w:rPr>
          <w:color w:val="000000"/>
        </w:rPr>
        <w:t>в</w:t>
      </w:r>
      <w:proofErr w:type="gramEnd"/>
      <w:r w:rsidRPr="00F10C8B">
        <w:rPr>
          <w:color w:val="000000"/>
        </w:rPr>
        <w:t xml:space="preserve"> с. Ольховка – 0,2 млн. рублей.</w:t>
      </w:r>
    </w:p>
    <w:p w:rsidR="00F10C8B" w:rsidRPr="00F10C8B" w:rsidRDefault="00F10C8B" w:rsidP="00F10C8B">
      <w:pPr>
        <w:ind w:firstLine="709"/>
        <w:jc w:val="both"/>
      </w:pPr>
      <w:r w:rsidRPr="00F10C8B">
        <w:t xml:space="preserve">Следует отметить, что в области за последние 5 лет количество детей-сирот, которые подлежат обеспечению жилыми помещениями, неуклонно растет. Так, численность детей-сирот, которые подлежали обеспечению жильем на начало 2014 года и в 2014 году, составляла </w:t>
      </w:r>
      <w:r w:rsidRPr="00DD3723">
        <w:t>2170 человек,</w:t>
      </w:r>
      <w:r w:rsidRPr="00F10C8B">
        <w:t xml:space="preserve"> а аналогичный показатель по 2018-2019 годам – соответственно </w:t>
      </w:r>
      <w:r w:rsidRPr="00DD3723">
        <w:t>4706 и 4674 человека</w:t>
      </w:r>
      <w:r w:rsidRPr="00F10C8B">
        <w:t xml:space="preserve">. 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 xml:space="preserve">По информации комитета строительства в 2019 году запланировано  обеспечить помещениями специализированного жилищного фонда </w:t>
      </w:r>
      <w:r w:rsidRPr="00DD3723">
        <w:rPr>
          <w:color w:val="000000"/>
        </w:rPr>
        <w:t>554 человека</w:t>
      </w:r>
      <w:r w:rsidRPr="00F10C8B">
        <w:rPr>
          <w:color w:val="000000"/>
        </w:rPr>
        <w:t>, что превышает фактический показатель за 2017 год в 2,2 раза (251 человек) и плановый показатель на 2018 год в 1,4 раза (386 человек), в том числе: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 xml:space="preserve">-483 - путем приобретения квартир на рынке жилой недвижимости региона; 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 xml:space="preserve">-24 - с учетом завершения строительства дома в </w:t>
      </w:r>
      <w:proofErr w:type="gramStart"/>
      <w:r w:rsidRPr="00F10C8B">
        <w:rPr>
          <w:color w:val="000000"/>
        </w:rPr>
        <w:t>г</w:t>
      </w:r>
      <w:proofErr w:type="gramEnd"/>
      <w:r w:rsidRPr="00F10C8B">
        <w:rPr>
          <w:color w:val="000000"/>
        </w:rPr>
        <w:t>. Николаевске;</w:t>
      </w:r>
    </w:p>
    <w:p w:rsidR="00F10C8B" w:rsidRP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t xml:space="preserve">-47 </w:t>
      </w:r>
      <w:r w:rsidR="00DD3723">
        <w:rPr>
          <w:color w:val="000000"/>
        </w:rPr>
        <w:t>-</w:t>
      </w:r>
      <w:r w:rsidRPr="00F10C8B">
        <w:rPr>
          <w:color w:val="000000"/>
        </w:rPr>
        <w:t xml:space="preserve"> путем предоставления квартир, безвозмездно переданных в собственность Волгоградской области.</w:t>
      </w:r>
    </w:p>
    <w:p w:rsidR="00F10C8B" w:rsidRPr="00F10C8B" w:rsidRDefault="00F10C8B" w:rsidP="00F10C8B">
      <w:pPr>
        <w:autoSpaceDE w:val="0"/>
        <w:autoSpaceDN w:val="0"/>
        <w:adjustRightInd w:val="0"/>
        <w:ind w:firstLine="709"/>
        <w:jc w:val="both"/>
      </w:pPr>
      <w:r w:rsidRPr="00F10C8B">
        <w:t xml:space="preserve">Кроме того, еще 104 человека планируется обеспечить помещениями маневренного фонда (высвобождаемыми в связи с выбытием детей-сирот по причине предоставления им помещений специального жилфонда). </w:t>
      </w:r>
    </w:p>
    <w:p w:rsidR="00F10C8B" w:rsidRPr="00F10C8B" w:rsidRDefault="00F10C8B" w:rsidP="00F10C8B">
      <w:pPr>
        <w:autoSpaceDE w:val="0"/>
        <w:autoSpaceDN w:val="0"/>
        <w:adjustRightInd w:val="0"/>
        <w:ind w:firstLine="709"/>
        <w:jc w:val="both"/>
      </w:pPr>
      <w:r w:rsidRPr="00F10C8B">
        <w:t xml:space="preserve">Таким образом, общее  количество детей-сирот, обеспеченных жильем, по плану на 2019 год составит </w:t>
      </w:r>
      <w:r w:rsidRPr="00C45F03">
        <w:t>658 человек</w:t>
      </w:r>
      <w:r w:rsidRPr="00F10C8B">
        <w:t>, т</w:t>
      </w:r>
      <w:r w:rsidR="00C45F03">
        <w:t>.</w:t>
      </w:r>
      <w:r w:rsidRPr="00F10C8B">
        <w:t xml:space="preserve"> е</w:t>
      </w:r>
      <w:r w:rsidR="00C45F03">
        <w:t>.</w:t>
      </w:r>
      <w:r w:rsidRPr="00F10C8B">
        <w:t xml:space="preserve"> также превысит фактический показатель за 2017 год (336) и плановый показатель на 2018 год (580). Увеличение бюджетных ассигнований на обеспечение жильем детей-сирот в 2019 год позволит снизить количество детей, нуждающихся в жилье в 2020 году, </w:t>
      </w:r>
      <w:r w:rsidRPr="000025F4">
        <w:t>до 4500 человек</w:t>
      </w:r>
      <w:r w:rsidRPr="00F10C8B">
        <w:t xml:space="preserve"> (ориентировочно по плановым показателям подпрограммы).  </w:t>
      </w:r>
    </w:p>
    <w:p w:rsidR="00F10C8B" w:rsidRDefault="00F10C8B" w:rsidP="00F10C8B">
      <w:pPr>
        <w:ind w:firstLine="709"/>
        <w:jc w:val="both"/>
        <w:rPr>
          <w:color w:val="000000"/>
        </w:rPr>
      </w:pPr>
      <w:r w:rsidRPr="00F10C8B">
        <w:rPr>
          <w:color w:val="000000"/>
        </w:rPr>
        <w:lastRenderedPageBreak/>
        <w:t xml:space="preserve">Завершение строительства двух 24-квартирных домов в р.п. Октябрьский и </w:t>
      </w:r>
      <w:proofErr w:type="gramStart"/>
      <w:r w:rsidRPr="00F10C8B">
        <w:rPr>
          <w:color w:val="000000"/>
        </w:rPr>
        <w:t>г</w:t>
      </w:r>
      <w:proofErr w:type="gramEnd"/>
      <w:r w:rsidRPr="00F10C8B">
        <w:rPr>
          <w:color w:val="000000"/>
        </w:rPr>
        <w:t>. Палласовка, учитывая процент их готовности и оформление построенного жилья в собственность Волгоградской области, планируется в 2019 году, а предоставление указанных квартир детям-сиротам - в 2020 году.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EFF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подразделу 1006 «Другие вопросы в области социальной политики»</w:t>
      </w:r>
      <w:r w:rsidRPr="004C6E75">
        <w:rPr>
          <w:rFonts w:ascii="Times New Roman" w:hAnsi="Times New Roman" w:cs="Times New Roman"/>
          <w:sz w:val="24"/>
          <w:szCs w:val="24"/>
        </w:rPr>
        <w:t xml:space="preserve"> </w:t>
      </w:r>
      <w:r w:rsidR="00837E30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Pr="004C6E75">
        <w:rPr>
          <w:rFonts w:ascii="Times New Roman" w:hAnsi="Times New Roman" w:cs="Times New Roman"/>
          <w:sz w:val="24"/>
          <w:szCs w:val="24"/>
        </w:rPr>
        <w:t>уменьшен</w:t>
      </w:r>
      <w:r w:rsidR="00837E30">
        <w:rPr>
          <w:rFonts w:ascii="Times New Roman" w:hAnsi="Times New Roman" w:cs="Times New Roman"/>
          <w:sz w:val="24"/>
          <w:szCs w:val="24"/>
        </w:rPr>
        <w:t xml:space="preserve">ы относительно 2018 года </w:t>
      </w:r>
      <w:r w:rsidRPr="004C6E75">
        <w:rPr>
          <w:rFonts w:ascii="Times New Roman" w:hAnsi="Times New Roman" w:cs="Times New Roman"/>
          <w:sz w:val="24"/>
          <w:szCs w:val="24"/>
        </w:rPr>
        <w:t xml:space="preserve">на 7,7 млн. руб. (на 2,9%), </w:t>
      </w:r>
      <w:r w:rsidR="00837E30">
        <w:rPr>
          <w:rFonts w:ascii="Times New Roman" w:hAnsi="Times New Roman" w:cs="Times New Roman"/>
          <w:sz w:val="24"/>
          <w:szCs w:val="24"/>
        </w:rPr>
        <w:t>в основном,</w:t>
      </w:r>
      <w:r w:rsidRPr="004C6E75">
        <w:rPr>
          <w:rFonts w:ascii="Times New Roman" w:hAnsi="Times New Roman" w:cs="Times New Roman"/>
          <w:sz w:val="24"/>
          <w:szCs w:val="24"/>
        </w:rPr>
        <w:t xml:space="preserve"> комитету социальной защиты населения за счет средств федерального бюджета в сумме 5,6 млн. руб. на мероприятия </w:t>
      </w:r>
      <w:r w:rsidR="00837E30">
        <w:rPr>
          <w:rFonts w:ascii="Times New Roman" w:hAnsi="Times New Roman" w:cs="Times New Roman"/>
          <w:sz w:val="24"/>
          <w:szCs w:val="24"/>
        </w:rPr>
        <w:t xml:space="preserve">по </w:t>
      </w:r>
      <w:r w:rsidRPr="004C6E75">
        <w:rPr>
          <w:rFonts w:ascii="Times New Roman" w:hAnsi="Times New Roman" w:cs="Times New Roman"/>
          <w:sz w:val="24"/>
          <w:szCs w:val="24"/>
        </w:rPr>
        <w:t>повышени</w:t>
      </w:r>
      <w:r w:rsidR="00837E30">
        <w:rPr>
          <w:rFonts w:ascii="Times New Roman" w:hAnsi="Times New Roman" w:cs="Times New Roman"/>
          <w:sz w:val="24"/>
          <w:szCs w:val="24"/>
        </w:rPr>
        <w:t>ю</w:t>
      </w:r>
      <w:r w:rsidRPr="004C6E75">
        <w:rPr>
          <w:rFonts w:ascii="Times New Roman" w:hAnsi="Times New Roman" w:cs="Times New Roman"/>
          <w:sz w:val="24"/>
          <w:szCs w:val="24"/>
        </w:rPr>
        <w:t xml:space="preserve"> уровня доступности объектов и услуг для инвалидов в связи с прекращением </w:t>
      </w:r>
      <w:proofErr w:type="spellStart"/>
      <w:r w:rsidRPr="004C6E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C6E75">
        <w:rPr>
          <w:rFonts w:ascii="Times New Roman" w:hAnsi="Times New Roman" w:cs="Times New Roman"/>
          <w:sz w:val="24"/>
          <w:szCs w:val="24"/>
        </w:rPr>
        <w:t xml:space="preserve"> (письмо Минтруда России от 27.08.2018 № 13-1/10/В-6506</w:t>
      </w:r>
      <w:proofErr w:type="gramEnd"/>
      <w:r w:rsidRPr="004C6E7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C6E75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4C6E75">
        <w:rPr>
          <w:rFonts w:ascii="Times New Roman" w:hAnsi="Times New Roman" w:cs="Times New Roman"/>
          <w:sz w:val="24"/>
          <w:szCs w:val="24"/>
        </w:rPr>
        <w:t xml:space="preserve"> комитетом социальной защиты населения.</w:t>
      </w:r>
    </w:p>
    <w:p w:rsidR="004C6E75" w:rsidRPr="004C6E75" w:rsidRDefault="004C6E75" w:rsidP="004C6E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75">
        <w:rPr>
          <w:rFonts w:ascii="Times New Roman" w:hAnsi="Times New Roman" w:cs="Times New Roman"/>
          <w:sz w:val="24"/>
          <w:szCs w:val="24"/>
        </w:rPr>
        <w:t xml:space="preserve">Также комитету социальной защиты населения в 2019 году увеличены ассигнования в связи с передачей с 01.01.2019 полномочий в сфере опеки и попечительства (в части субвенции на организацию и осуществление деятельности по опеке и попечительству), осуществляемых в 2018 году комитетом образования, науки и молодежной политики. </w:t>
      </w:r>
    </w:p>
    <w:p w:rsidR="004C6E75" w:rsidRPr="004C6E75" w:rsidRDefault="000E2627" w:rsidP="000E262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Следует отметить, что расходы комитета ветеринарии по оплате жилья и коммунальных услуг работающим и проживающим в сельской местности специалистам в </w:t>
      </w:r>
      <w:r w:rsidR="00460314">
        <w:rPr>
          <w:rFonts w:ascii="Times New Roman" w:hAnsi="Times New Roman" w:cs="Times New Roman"/>
          <w:sz w:val="24"/>
          <w:szCs w:val="24"/>
        </w:rPr>
        <w:t>законопроекте</w:t>
      </w:r>
      <w:r w:rsidR="004C6E75" w:rsidRPr="004C6E75">
        <w:rPr>
          <w:rFonts w:ascii="Times New Roman" w:hAnsi="Times New Roman" w:cs="Times New Roman"/>
          <w:sz w:val="24"/>
          <w:szCs w:val="24"/>
        </w:rPr>
        <w:t xml:space="preserve"> ошибочно отнесены в подраздел 0405 «Сельское хозяйство и рыболовство». </w:t>
      </w:r>
    </w:p>
    <w:p w:rsidR="004C6E75" w:rsidRPr="004C6E75" w:rsidRDefault="004C6E75" w:rsidP="000E262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E75"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комитета ветеринарии </w:t>
      </w:r>
      <w:r w:rsidR="002022E1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4C6E75">
        <w:rPr>
          <w:rFonts w:ascii="Times New Roman" w:hAnsi="Times New Roman" w:cs="Times New Roman"/>
          <w:sz w:val="24"/>
          <w:szCs w:val="24"/>
        </w:rPr>
        <w:t>от 08.11.2018</w:t>
      </w:r>
      <w:r w:rsidR="002022E1">
        <w:rPr>
          <w:rFonts w:ascii="Times New Roman" w:hAnsi="Times New Roman" w:cs="Times New Roman"/>
          <w:sz w:val="24"/>
          <w:szCs w:val="24"/>
        </w:rPr>
        <w:t xml:space="preserve"> </w:t>
      </w:r>
      <w:r w:rsidRPr="004C6E75">
        <w:rPr>
          <w:rFonts w:ascii="Times New Roman" w:hAnsi="Times New Roman" w:cs="Times New Roman"/>
          <w:sz w:val="24"/>
          <w:szCs w:val="24"/>
        </w:rPr>
        <w:t>№01-02/877 поправками ко второму чтению указанные расходы будут перенесены в подраздел 1003 «Социальное обеспечение населения».</w:t>
      </w:r>
    </w:p>
    <w:p w:rsidR="00F81CEF" w:rsidRDefault="00F81CEF" w:rsidP="00617034">
      <w:pPr>
        <w:autoSpaceDE w:val="0"/>
        <w:autoSpaceDN w:val="0"/>
        <w:adjustRightInd w:val="0"/>
        <w:ind w:firstLine="709"/>
        <w:jc w:val="both"/>
        <w:rPr>
          <w:color w:val="000000"/>
          <w:highlight w:val="lightGray"/>
          <w:u w:val="single"/>
        </w:rPr>
      </w:pPr>
    </w:p>
    <w:p w:rsidR="00EA2C21" w:rsidRDefault="00EA2C21" w:rsidP="00EA2C21">
      <w:pPr>
        <w:jc w:val="center"/>
        <w:rPr>
          <w:b/>
          <w:i/>
          <w:u w:val="single"/>
        </w:rPr>
      </w:pPr>
      <w:r w:rsidRPr="002E1765">
        <w:rPr>
          <w:b/>
          <w:i/>
          <w:u w:val="single"/>
        </w:rPr>
        <w:t>Расходы по разделу 1100 «Физическая культура и спорт»</w:t>
      </w:r>
      <w:r>
        <w:rPr>
          <w:b/>
          <w:i/>
          <w:u w:val="single"/>
        </w:rPr>
        <w:t>.</w:t>
      </w:r>
    </w:p>
    <w:p w:rsidR="006F0E09" w:rsidRDefault="006F0E09" w:rsidP="00EA2C21">
      <w:pPr>
        <w:jc w:val="center"/>
      </w:pPr>
    </w:p>
    <w:p w:rsidR="005516D0" w:rsidRPr="005516D0" w:rsidRDefault="005516D0" w:rsidP="005516D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16D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Законопроектом предусмотрены ассигнования на 2019 год в сумме 996,1 млн. руб., что меньше ассигнований 2018 год</w:t>
      </w:r>
      <w:r w:rsidR="0028101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516D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944,4 млн. руб., или на 48,7 процента.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81017">
        <w:rPr>
          <w:rFonts w:eastAsia="Calibri"/>
          <w:b/>
          <w:i/>
          <w:u w:val="single"/>
        </w:rPr>
        <w:t>По подразделу 1101 «Физическая культура»</w:t>
      </w:r>
      <w:r w:rsidRPr="005516D0">
        <w:rPr>
          <w:rFonts w:eastAsia="Calibri"/>
        </w:rPr>
        <w:t xml:space="preserve"> ассигнования сокращены </w:t>
      </w:r>
      <w:r w:rsidR="00AF4895">
        <w:rPr>
          <w:rFonts w:eastAsia="Calibri"/>
        </w:rPr>
        <w:t xml:space="preserve">относительно текущего года </w:t>
      </w:r>
      <w:r w:rsidRPr="005516D0">
        <w:rPr>
          <w:rFonts w:eastAsia="Calibri"/>
        </w:rPr>
        <w:t>комитету сельского хозяйства Волгоградской области на 9 млн. руб., или на 71,4%, в связи с уменьшением количества объектов строительства плоскостных спортивных сооружений в сельской местности.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23C34">
        <w:rPr>
          <w:rFonts w:eastAsia="Calibri"/>
          <w:b/>
          <w:i/>
          <w:u w:val="single"/>
        </w:rPr>
        <w:t>По подразделу 1102 «Массовый спорт»</w:t>
      </w:r>
      <w:r w:rsidRPr="005516D0">
        <w:rPr>
          <w:rFonts w:eastAsia="Calibri"/>
        </w:rPr>
        <w:t xml:space="preserve"> ассигнования сокращены на 190,4 млн. руб., или на 41,7%, в том числе: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16D0">
        <w:rPr>
          <w:rFonts w:eastAsia="Calibri"/>
        </w:rPr>
        <w:t xml:space="preserve">-комитету строительства Волгоградской области </w:t>
      </w:r>
      <w:r w:rsidR="00AF4895">
        <w:rPr>
          <w:rFonts w:eastAsia="Calibri"/>
        </w:rPr>
        <w:t xml:space="preserve">- </w:t>
      </w:r>
      <w:r w:rsidRPr="005516D0">
        <w:rPr>
          <w:rFonts w:eastAsia="Calibri"/>
        </w:rPr>
        <w:t xml:space="preserve">на 66,7 млн. руб., из них </w:t>
      </w:r>
      <w:r w:rsidR="00AF4895">
        <w:rPr>
          <w:rFonts w:eastAsia="Calibri"/>
        </w:rPr>
        <w:t>сокра</w:t>
      </w:r>
      <w:r w:rsidRPr="005516D0">
        <w:rPr>
          <w:rFonts w:eastAsia="Calibri"/>
        </w:rPr>
        <w:t xml:space="preserve">щены на 166,7 млн. руб. на строительство объектов спорта в связи с уменьшением их количества и дополнительно предусмотрены </w:t>
      </w:r>
      <w:r w:rsidR="00AF4895">
        <w:rPr>
          <w:rFonts w:eastAsia="Calibri"/>
        </w:rPr>
        <w:t xml:space="preserve">ассигнования в размере </w:t>
      </w:r>
      <w:r w:rsidRPr="005516D0">
        <w:rPr>
          <w:rFonts w:eastAsia="Calibri"/>
        </w:rPr>
        <w:t>100 млн. руб. на капитальный ремонт здания Дворца спорта;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5516D0">
        <w:rPr>
          <w:rFonts w:eastAsia="Calibri"/>
        </w:rPr>
        <w:t xml:space="preserve">-комитету физической культуры и спорта Волгоградской области </w:t>
      </w:r>
      <w:r w:rsidR="0051288E">
        <w:rPr>
          <w:rFonts w:eastAsia="Calibri"/>
        </w:rPr>
        <w:t xml:space="preserve">- </w:t>
      </w:r>
      <w:r w:rsidRPr="005516D0">
        <w:rPr>
          <w:rFonts w:eastAsia="Calibri"/>
        </w:rPr>
        <w:t>на 123,7 млн. руб., из них</w:t>
      </w:r>
      <w:r w:rsidR="0051288E">
        <w:rPr>
          <w:rFonts w:eastAsia="Calibri"/>
        </w:rPr>
        <w:t xml:space="preserve"> на</w:t>
      </w:r>
      <w:r w:rsidRPr="005516D0">
        <w:rPr>
          <w:rFonts w:eastAsia="Calibri"/>
        </w:rPr>
        <w:t xml:space="preserve"> содержание подведомственных учреждений </w:t>
      </w:r>
      <w:r w:rsidR="0051288E">
        <w:rPr>
          <w:rFonts w:eastAsia="Calibri"/>
        </w:rPr>
        <w:t xml:space="preserve">- </w:t>
      </w:r>
      <w:r w:rsidRPr="005516D0">
        <w:rPr>
          <w:rFonts w:eastAsia="Calibri"/>
        </w:rPr>
        <w:t xml:space="preserve">на 38,3 млн. руб., строительство объектов спорта в связи с уменьшением их количества </w:t>
      </w:r>
      <w:r w:rsidR="0051288E">
        <w:rPr>
          <w:rFonts w:eastAsia="Calibri"/>
        </w:rPr>
        <w:t xml:space="preserve">- </w:t>
      </w:r>
      <w:r w:rsidRPr="005516D0">
        <w:rPr>
          <w:rFonts w:eastAsia="Calibri"/>
        </w:rPr>
        <w:t>на 10,4 млн. руб., на приобретение земельных участков в государственную собственность Волгоградской области, осуществляемы</w:t>
      </w:r>
      <w:r w:rsidR="0051288E">
        <w:rPr>
          <w:rFonts w:eastAsia="Calibri"/>
        </w:rPr>
        <w:t>х</w:t>
      </w:r>
      <w:r w:rsidRPr="005516D0">
        <w:rPr>
          <w:rFonts w:eastAsia="Calibri"/>
        </w:rPr>
        <w:t xml:space="preserve"> в 2018 году</w:t>
      </w:r>
      <w:r w:rsidR="0051288E">
        <w:rPr>
          <w:rFonts w:eastAsia="Calibri"/>
        </w:rPr>
        <w:t>, - на</w:t>
      </w:r>
      <w:r w:rsidRPr="005516D0">
        <w:rPr>
          <w:rFonts w:eastAsia="Calibri"/>
        </w:rPr>
        <w:t xml:space="preserve"> 75 млн. рублей.</w:t>
      </w:r>
      <w:proofErr w:type="gramEnd"/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6D4393">
        <w:rPr>
          <w:rFonts w:eastAsia="Calibri"/>
          <w:b/>
          <w:i/>
          <w:u w:val="single"/>
        </w:rPr>
        <w:t>По подразделу 1103</w:t>
      </w:r>
      <w:r w:rsidRPr="006D4393">
        <w:rPr>
          <w:b/>
          <w:u w:val="single"/>
        </w:rPr>
        <w:t xml:space="preserve"> </w:t>
      </w:r>
      <w:r w:rsidRPr="006D4393">
        <w:rPr>
          <w:rFonts w:eastAsia="Calibri"/>
          <w:b/>
          <w:i/>
          <w:u w:val="single"/>
        </w:rPr>
        <w:t>«Спорт высших достижений»</w:t>
      </w:r>
      <w:r w:rsidRPr="005516D0">
        <w:rPr>
          <w:rFonts w:eastAsia="Calibri"/>
        </w:rPr>
        <w:t xml:space="preserve"> ассигнования сокращены на 742,4 млн. руб., или на 52,1%, в том числе: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516D0">
        <w:rPr>
          <w:rFonts w:eastAsia="Calibri"/>
        </w:rPr>
        <w:t xml:space="preserve">-комитету по подготовке и проведению матчей чемпионата мира по футболу 2018 Волгоградской области </w:t>
      </w:r>
      <w:r w:rsidR="006D4393">
        <w:rPr>
          <w:rFonts w:eastAsia="Calibri"/>
        </w:rPr>
        <w:t xml:space="preserve">- </w:t>
      </w:r>
      <w:r w:rsidRPr="005516D0">
        <w:rPr>
          <w:rFonts w:eastAsia="Calibri"/>
        </w:rPr>
        <w:t xml:space="preserve">на 464,2 млн. руб. в связи с его ликвидацией с </w:t>
      </w:r>
      <w:r w:rsidR="006D4393">
        <w:rPr>
          <w:rFonts w:eastAsia="Calibri"/>
        </w:rPr>
        <w:t>0</w:t>
      </w:r>
      <w:r w:rsidRPr="005516D0">
        <w:rPr>
          <w:rFonts w:eastAsia="Calibri"/>
        </w:rPr>
        <w:t>1</w:t>
      </w:r>
      <w:r w:rsidR="006D4393">
        <w:rPr>
          <w:rFonts w:eastAsia="Calibri"/>
        </w:rPr>
        <w:t>.01.2019</w:t>
      </w:r>
      <w:r w:rsidRPr="005516D0">
        <w:rPr>
          <w:rFonts w:eastAsia="Calibri"/>
        </w:rPr>
        <w:t>;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5516D0">
        <w:rPr>
          <w:rFonts w:eastAsia="Calibri"/>
        </w:rPr>
        <w:t xml:space="preserve">-комитету физической культуры и спорта Волгоградской области </w:t>
      </w:r>
      <w:r w:rsidR="006D4393">
        <w:rPr>
          <w:rFonts w:eastAsia="Calibri"/>
        </w:rPr>
        <w:t xml:space="preserve">- </w:t>
      </w:r>
      <w:r w:rsidRPr="005516D0">
        <w:rPr>
          <w:rFonts w:eastAsia="Calibri"/>
        </w:rPr>
        <w:t xml:space="preserve">на 278,2 млн. руб., из них субсидии негосударственным некоммерческим организациям </w:t>
      </w:r>
      <w:r w:rsidR="00A520E2">
        <w:rPr>
          <w:rFonts w:eastAsia="Calibri"/>
        </w:rPr>
        <w:t xml:space="preserve">- </w:t>
      </w:r>
      <w:r w:rsidRPr="005516D0">
        <w:rPr>
          <w:rFonts w:eastAsia="Calibri"/>
        </w:rPr>
        <w:t>на 60 млн. руб., субвенция г. Волгограду на переданные полномочия по обеспечению деятельности спортивного клуба в части участия в спортивных соревнованиях, проводимых Ассоциацией «Профессиональная футбольная Лига»</w:t>
      </w:r>
      <w:r w:rsidR="00A520E2">
        <w:rPr>
          <w:rFonts w:eastAsia="Calibri"/>
        </w:rPr>
        <w:t>, -</w:t>
      </w:r>
      <w:r w:rsidRPr="005516D0">
        <w:rPr>
          <w:rFonts w:eastAsia="Calibri"/>
        </w:rPr>
        <w:t xml:space="preserve"> на 7,4 млн. руб. (с 2019 года не предоставляется), содержание подведомственных учреждений</w:t>
      </w:r>
      <w:r w:rsidR="00A520E2">
        <w:rPr>
          <w:rFonts w:eastAsia="Calibri"/>
        </w:rPr>
        <w:t xml:space="preserve"> - на</w:t>
      </w:r>
      <w:r w:rsidRPr="005516D0">
        <w:rPr>
          <w:rFonts w:eastAsia="Calibri"/>
        </w:rPr>
        <w:t xml:space="preserve"> 210,8 млн. руб</w:t>
      </w:r>
      <w:r w:rsidR="00A520E2">
        <w:rPr>
          <w:rFonts w:eastAsia="Calibri"/>
        </w:rPr>
        <w:t>лей</w:t>
      </w:r>
      <w:r w:rsidRPr="005516D0">
        <w:rPr>
          <w:rFonts w:eastAsia="Calibri"/>
        </w:rPr>
        <w:t>.</w:t>
      </w:r>
      <w:proofErr w:type="gramEnd"/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67196">
        <w:rPr>
          <w:rFonts w:eastAsia="Calibri"/>
          <w:b/>
          <w:i/>
          <w:u w:val="single"/>
        </w:rPr>
        <w:t xml:space="preserve">По подразделу 1105 «Другие вопросы в области физической культуры и спорта» </w:t>
      </w:r>
      <w:r w:rsidRPr="005516D0">
        <w:rPr>
          <w:rFonts w:eastAsia="Calibri"/>
        </w:rPr>
        <w:t xml:space="preserve">ассигнования сокращены комитету по подготовке и проведению матчей чемпионата мира по футболу 2018 Волгоградской области на 2,6 млн. руб., или на 5,6%, в связи с его ликвидацией с </w:t>
      </w:r>
      <w:r w:rsidR="00167196">
        <w:rPr>
          <w:rFonts w:eastAsia="Calibri"/>
        </w:rPr>
        <w:t>0</w:t>
      </w:r>
      <w:r w:rsidRPr="005516D0">
        <w:rPr>
          <w:rFonts w:eastAsia="Calibri"/>
        </w:rPr>
        <w:t>1</w:t>
      </w:r>
      <w:r w:rsidR="00167196">
        <w:rPr>
          <w:rFonts w:eastAsia="Calibri"/>
        </w:rPr>
        <w:t>.01.</w:t>
      </w:r>
      <w:r w:rsidRPr="005516D0">
        <w:rPr>
          <w:rFonts w:eastAsia="Calibri"/>
        </w:rPr>
        <w:t>2019.</w:t>
      </w:r>
    </w:p>
    <w:p w:rsidR="005516D0" w:rsidRPr="005516D0" w:rsidRDefault="005516D0" w:rsidP="005516D0">
      <w:pPr>
        <w:pStyle w:val="a9"/>
        <w:autoSpaceDE w:val="0"/>
        <w:autoSpaceDN w:val="0"/>
        <w:adjustRightInd w:val="0"/>
        <w:ind w:left="0" w:firstLine="709"/>
        <w:jc w:val="both"/>
      </w:pPr>
      <w:r w:rsidRPr="005516D0">
        <w:rPr>
          <w:rFonts w:eastAsia="Calibri"/>
        </w:rPr>
        <w:lastRenderedPageBreak/>
        <w:t xml:space="preserve">В целом расходы на обеспечение деятельности учреждений, подведомственных комитету физической культуры и спорта, предусмотренные по подразделам 1102 </w:t>
      </w:r>
      <w:r w:rsidR="00700332">
        <w:rPr>
          <w:rFonts w:eastAsia="Calibri"/>
        </w:rPr>
        <w:t xml:space="preserve">«Массовый спорт» и </w:t>
      </w:r>
      <w:r w:rsidRPr="005516D0">
        <w:rPr>
          <w:rFonts w:eastAsia="Calibri"/>
        </w:rPr>
        <w:t>1103</w:t>
      </w:r>
      <w:r w:rsidR="00700332">
        <w:rPr>
          <w:rFonts w:eastAsia="Calibri"/>
        </w:rPr>
        <w:t xml:space="preserve"> «Спорт высших достижений»</w:t>
      </w:r>
      <w:r w:rsidRPr="005516D0">
        <w:rPr>
          <w:rFonts w:eastAsia="Calibri"/>
        </w:rPr>
        <w:t xml:space="preserve">, уменьшены на 26,2 процента. </w:t>
      </w:r>
    </w:p>
    <w:p w:rsidR="00C3445D" w:rsidRPr="00DE5883" w:rsidRDefault="00C3445D" w:rsidP="005111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A2C21" w:rsidRPr="00C430D8" w:rsidRDefault="00EA2C21" w:rsidP="00EA2C21">
      <w:pPr>
        <w:jc w:val="center"/>
        <w:rPr>
          <w:b/>
          <w:i/>
          <w:u w:val="single"/>
        </w:rPr>
      </w:pPr>
      <w:r w:rsidRPr="00C430D8">
        <w:rPr>
          <w:b/>
          <w:i/>
          <w:u w:val="single"/>
        </w:rPr>
        <w:t>Расходы по разделу 1200 «Средства массовой информации</w:t>
      </w:r>
      <w:proofErr w:type="gramStart"/>
      <w:r w:rsidRPr="00C430D8">
        <w:rPr>
          <w:b/>
          <w:i/>
          <w:u w:val="single"/>
        </w:rPr>
        <w:t>»..</w:t>
      </w:r>
      <w:proofErr w:type="gramEnd"/>
    </w:p>
    <w:p w:rsidR="00262B93" w:rsidRDefault="00262B93" w:rsidP="00262B93">
      <w:pPr>
        <w:ind w:firstLine="709"/>
        <w:jc w:val="both"/>
      </w:pPr>
    </w:p>
    <w:p w:rsidR="00F81CEF" w:rsidRPr="00F81CEF" w:rsidRDefault="00F81CEF" w:rsidP="00E15B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CEF">
        <w:rPr>
          <w:rFonts w:ascii="Times New Roman" w:hAnsi="Times New Roman" w:cs="Times New Roman"/>
          <w:sz w:val="24"/>
          <w:szCs w:val="24"/>
        </w:rPr>
        <w:t>По разделу 1200 «Средства массовой информации» на 2019 год законопроектом предусмотрены ассигнования в сумме 103,2 млн. руб., что больше уточненных бюджетных ассигнований на 2018 год на 8,4 млн. руб., или на 8,9 процентов.</w:t>
      </w:r>
    </w:p>
    <w:p w:rsidR="00F81CEF" w:rsidRPr="00F81CEF" w:rsidRDefault="00F81CEF" w:rsidP="00E15B1E">
      <w:pPr>
        <w:ind w:firstLine="720"/>
        <w:jc w:val="both"/>
      </w:pPr>
      <w:r w:rsidRPr="00F81CEF">
        <w:t xml:space="preserve">Увеличение в размере 8,7 млн. руб., или </w:t>
      </w:r>
      <w:r w:rsidR="00E15B1E">
        <w:t xml:space="preserve">на </w:t>
      </w:r>
      <w:proofErr w:type="gramStart"/>
      <w:r w:rsidRPr="00F81CEF">
        <w:t xml:space="preserve">13% </w:t>
      </w:r>
      <w:r w:rsidR="00E15B1E">
        <w:t>запланировано</w:t>
      </w:r>
      <w:r w:rsidRPr="00F81CEF">
        <w:t xml:space="preserve"> на</w:t>
      </w:r>
      <w:proofErr w:type="gramEnd"/>
      <w:r w:rsidRPr="00F81CEF">
        <w:t xml:space="preserve"> финансовое обеспечение реализации мероприятий ведомственной целевой программы «Реализация государственной информационной политики на территории Волгоградской области в сфере средств массовой информации и массовых коммуникаций, развития информационных ресурсов, печати, издательской, полиграфической деятельности, распространения печатной продукции» на 2016-2018 годы. Расходы предусмотрены по подразделу 1204 «Другие вопросы в области средств массовой информации» комитету по делам территориальных образований, внутренней и информационной политики Волгоградской области на предоставление грантов средствам массовой информации. </w:t>
      </w:r>
    </w:p>
    <w:p w:rsidR="00F81CEF" w:rsidRPr="00F81CEF" w:rsidRDefault="00F81CEF" w:rsidP="00F81CEF">
      <w:pPr>
        <w:ind w:firstLine="720"/>
        <w:jc w:val="both"/>
      </w:pPr>
      <w:r w:rsidRPr="00F81CEF">
        <w:t xml:space="preserve">Уменьшение ассигнований на 0,3 млн. руб., или </w:t>
      </w:r>
      <w:r w:rsidR="00E15B1E">
        <w:t xml:space="preserve">на </w:t>
      </w:r>
      <w:r w:rsidRPr="00F81CEF">
        <w:t xml:space="preserve">0,9% </w:t>
      </w:r>
      <w:r w:rsidR="00E15B1E">
        <w:t>предусмотрено</w:t>
      </w:r>
      <w:r w:rsidRPr="00F81CEF">
        <w:t xml:space="preserve"> по подразделу 1202 «Периодическая печать и издания» комитету по делам национальностей и казачества Волгоградской области на обеспечение деятельности редакции и издание газеты «</w:t>
      </w:r>
      <w:proofErr w:type="gramStart"/>
      <w:r w:rsidRPr="00F81CEF">
        <w:t>Казачий</w:t>
      </w:r>
      <w:proofErr w:type="gramEnd"/>
      <w:r w:rsidRPr="00F81CEF">
        <w:t xml:space="preserve"> </w:t>
      </w:r>
      <w:proofErr w:type="spellStart"/>
      <w:r w:rsidRPr="00F81CEF">
        <w:t>кругъ</w:t>
      </w:r>
      <w:proofErr w:type="spellEnd"/>
      <w:r w:rsidRPr="00F81CEF">
        <w:t>».</w:t>
      </w:r>
    </w:p>
    <w:p w:rsidR="00511137" w:rsidRPr="00F81CEF" w:rsidRDefault="00511137" w:rsidP="00262B93">
      <w:pPr>
        <w:ind w:firstLine="709"/>
        <w:jc w:val="both"/>
      </w:pPr>
    </w:p>
    <w:p w:rsidR="00EA2C21" w:rsidRPr="00574291" w:rsidRDefault="00EA2C21" w:rsidP="00EA2C21">
      <w:pPr>
        <w:jc w:val="center"/>
        <w:rPr>
          <w:b/>
          <w:i/>
          <w:u w:val="single"/>
        </w:rPr>
      </w:pPr>
      <w:r w:rsidRPr="00574291">
        <w:rPr>
          <w:b/>
          <w:i/>
          <w:u w:val="single"/>
        </w:rPr>
        <w:t>Расходы по разделу 1300 «Обслуживание государственного долга»</w:t>
      </w:r>
      <w:r>
        <w:rPr>
          <w:b/>
          <w:i/>
          <w:u w:val="single"/>
        </w:rPr>
        <w:t>.</w:t>
      </w:r>
    </w:p>
    <w:p w:rsidR="00EA2C21" w:rsidRDefault="00EA2C21" w:rsidP="00EA2C21">
      <w:pPr>
        <w:ind w:firstLine="720"/>
        <w:jc w:val="both"/>
      </w:pPr>
    </w:p>
    <w:p w:rsidR="00937516" w:rsidRPr="00ED2812" w:rsidRDefault="00937516" w:rsidP="00937516">
      <w:pPr>
        <w:ind w:firstLine="708"/>
        <w:jc w:val="both"/>
      </w:pPr>
      <w:r w:rsidRPr="00ED2812">
        <w:t>Статьей 2 законопроекта предлагается утвердить объем расходов на обслуживание государственного долга Волгоградской области на 2019 год в сумме 3103,5 млн. руб., на                     2020 год – 3516,4 млн. руб., на 2021 год – 3335,3 млн. рублей</w:t>
      </w:r>
      <w:r>
        <w:t>.</w:t>
      </w:r>
    </w:p>
    <w:p w:rsidR="00937516" w:rsidRPr="00ED2812" w:rsidRDefault="00937516" w:rsidP="00937516">
      <w:pPr>
        <w:ind w:firstLine="708"/>
        <w:jc w:val="both"/>
      </w:pPr>
      <w:r w:rsidRPr="00ED2812">
        <w:t>Рост расходов 20</w:t>
      </w:r>
      <w:r>
        <w:t>2</w:t>
      </w:r>
      <w:r w:rsidRPr="00ED2812">
        <w:t>0-20</w:t>
      </w:r>
      <w:r>
        <w:t>2</w:t>
      </w:r>
      <w:r w:rsidRPr="00ED2812">
        <w:t xml:space="preserve">1 </w:t>
      </w:r>
      <w:proofErr w:type="gramStart"/>
      <w:r w:rsidRPr="00ED2812">
        <w:t>года</w:t>
      </w:r>
      <w:r>
        <w:t>х</w:t>
      </w:r>
      <w:proofErr w:type="gramEnd"/>
      <w:r w:rsidRPr="00ED2812">
        <w:t xml:space="preserve"> на обслуживание государственного долга связан с возрастающей долей коммерческих заимствований в структуре государственного долга </w:t>
      </w:r>
      <w:r>
        <w:t xml:space="preserve">Волгоградской области </w:t>
      </w:r>
      <w:r w:rsidRPr="00ED2812">
        <w:t xml:space="preserve">с 56,6% на начало 2019 года </w:t>
      </w:r>
      <w:r>
        <w:t>до 71,4% на конец 202</w:t>
      </w:r>
      <w:r w:rsidRPr="00ED2812">
        <w:t xml:space="preserve">1 года. </w:t>
      </w:r>
      <w:proofErr w:type="gramStart"/>
      <w:r w:rsidRPr="00ED2812">
        <w:t>При этом, как отмечалось ранее, рост доли коммерческих заимствований в очередном финансовом году и планируемом периоде связан с тем, что бюджетные кредиты вносятся в закон о бюджете по мере их выделения</w:t>
      </w:r>
      <w:r>
        <w:t xml:space="preserve">, в результате </w:t>
      </w:r>
      <w:r w:rsidR="0013709B">
        <w:t xml:space="preserve">в течение финансового года </w:t>
      </w:r>
      <w:r>
        <w:t xml:space="preserve">коммерческие заимствования </w:t>
      </w:r>
      <w:r w:rsidR="0013709B">
        <w:t xml:space="preserve">могут </w:t>
      </w:r>
      <w:r>
        <w:t>замещат</w:t>
      </w:r>
      <w:r w:rsidR="0013709B">
        <w:t>ь</w:t>
      </w:r>
      <w:r>
        <w:t xml:space="preserve">ся выделенными бюджетными кредитами и </w:t>
      </w:r>
      <w:r w:rsidR="0013709B">
        <w:t xml:space="preserve">соответственно </w:t>
      </w:r>
      <w:r>
        <w:t>сумма расходов на обслуживание государственного долга снижат</w:t>
      </w:r>
      <w:r w:rsidR="0013709B">
        <w:t>ь</w:t>
      </w:r>
      <w:r>
        <w:t>ся</w:t>
      </w:r>
      <w:r w:rsidRPr="00ED2812">
        <w:t>.</w:t>
      </w:r>
      <w:proofErr w:type="gramEnd"/>
    </w:p>
    <w:p w:rsidR="00024DDE" w:rsidRDefault="00024DDE" w:rsidP="00024DDE">
      <w:pPr>
        <w:widowControl w:val="0"/>
        <w:ind w:firstLine="709"/>
        <w:jc w:val="both"/>
      </w:pPr>
    </w:p>
    <w:p w:rsidR="00215FA8" w:rsidRPr="00215FA8" w:rsidRDefault="00215FA8" w:rsidP="00215FA8">
      <w:pPr>
        <w:widowControl w:val="0"/>
        <w:ind w:firstLine="709"/>
        <w:jc w:val="center"/>
        <w:rPr>
          <w:b/>
          <w:i/>
          <w:u w:val="single"/>
        </w:rPr>
      </w:pPr>
      <w:r w:rsidRPr="00215FA8">
        <w:rPr>
          <w:b/>
          <w:i/>
          <w:u w:val="single"/>
        </w:rPr>
        <w:t>Расходы по разделу 1400 «Межбюджетные трансферты</w:t>
      </w:r>
      <w:r>
        <w:rPr>
          <w:b/>
          <w:i/>
          <w:u w:val="single"/>
        </w:rPr>
        <w:t xml:space="preserve"> </w:t>
      </w:r>
      <w:r w:rsidRPr="00215FA8">
        <w:rPr>
          <w:b/>
          <w:i/>
          <w:u w:val="single"/>
        </w:rPr>
        <w:t>общего характера бюджетам бюджетной системы РФ».</w:t>
      </w:r>
    </w:p>
    <w:p w:rsidR="00215FA8" w:rsidRDefault="00215FA8" w:rsidP="00215FA8">
      <w:pPr>
        <w:widowControl w:val="0"/>
        <w:ind w:firstLine="709"/>
        <w:jc w:val="center"/>
      </w:pPr>
    </w:p>
    <w:p w:rsidR="00215FA8" w:rsidRDefault="00215FA8" w:rsidP="00FC421E">
      <w:pPr>
        <w:ind w:firstLine="680"/>
        <w:jc w:val="both"/>
      </w:pPr>
      <w:r w:rsidRPr="000C36AA">
        <w:t>В целом по разделу 1400 «Межбюджетные трансферты общего характера бюджетам бюджетной системы РФ»</w:t>
      </w:r>
      <w:r>
        <w:t xml:space="preserve"> (главный распорядитель бюджетных средств – комитет финансов Волгоградской области)</w:t>
      </w:r>
      <w:r w:rsidRPr="000C36AA">
        <w:t xml:space="preserve"> законопроектом предусмотрены бюджетные ассигнования на 2019 год в размере 2</w:t>
      </w:r>
      <w:r w:rsidR="00FC421E">
        <w:t>837,4</w:t>
      </w:r>
      <w:r w:rsidRPr="000C36AA">
        <w:t xml:space="preserve"> млн. руб., что на 1</w:t>
      </w:r>
      <w:r w:rsidR="00FC421E">
        <w:t>186</w:t>
      </w:r>
      <w:r w:rsidRPr="000C36AA">
        <w:t>,</w:t>
      </w:r>
      <w:r w:rsidR="00FC421E">
        <w:t>8</w:t>
      </w:r>
      <w:r w:rsidRPr="000C36AA">
        <w:t xml:space="preserve"> млн. руб., или на </w:t>
      </w:r>
      <w:r w:rsidR="00FC421E">
        <w:t>29</w:t>
      </w:r>
      <w:r w:rsidRPr="000C36AA">
        <w:t>,</w:t>
      </w:r>
      <w:r w:rsidR="00FC421E">
        <w:t>5</w:t>
      </w:r>
      <w:r w:rsidRPr="000C36AA">
        <w:t xml:space="preserve">% меньше плановых ассигнований 2018 года. </w:t>
      </w:r>
    </w:p>
    <w:p w:rsidR="00215FA8" w:rsidRDefault="00215FA8" w:rsidP="00215FA8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21E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подразделу 1401 «Дотации на выравнивание бюджетной обеспеченности субъектов РФ муниципальных образований»</w:t>
      </w:r>
      <w:r w:rsidRPr="00C14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C145B8">
        <w:rPr>
          <w:rFonts w:ascii="Times New Roman" w:hAnsi="Times New Roman" w:cs="Times New Roman"/>
          <w:sz w:val="24"/>
          <w:szCs w:val="24"/>
        </w:rPr>
        <w:t xml:space="preserve">уменьшение ассигнований на 136,4 млн. руб. (-10,8%) за счет снижения дотаций на выравнивание бюджетной обеспеченности муниципальных районов (городских округов) в связи с применением значения поправочного коэффициента менее </w:t>
      </w:r>
      <w:r w:rsidR="00FC421E">
        <w:rPr>
          <w:rFonts w:ascii="Times New Roman" w:hAnsi="Times New Roman" w:cs="Times New Roman"/>
          <w:sz w:val="24"/>
          <w:szCs w:val="24"/>
        </w:rPr>
        <w:t>«</w:t>
      </w:r>
      <w:r w:rsidRPr="00C145B8">
        <w:rPr>
          <w:rFonts w:ascii="Times New Roman" w:hAnsi="Times New Roman" w:cs="Times New Roman"/>
          <w:sz w:val="24"/>
          <w:szCs w:val="24"/>
        </w:rPr>
        <w:t>1</w:t>
      </w:r>
      <w:r w:rsidR="00FC421E">
        <w:rPr>
          <w:rFonts w:ascii="Times New Roman" w:hAnsi="Times New Roman" w:cs="Times New Roman"/>
          <w:sz w:val="24"/>
          <w:szCs w:val="24"/>
        </w:rPr>
        <w:t>»</w:t>
      </w:r>
      <w:r w:rsidRPr="007C5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распределении дотаций, компенсирующих разницу между дотациями планируемого и текущего финансового года</w:t>
      </w:r>
      <w:r w:rsidRPr="00C145B8">
        <w:rPr>
          <w:rFonts w:ascii="Times New Roman" w:hAnsi="Times New Roman" w:cs="Times New Roman"/>
          <w:sz w:val="24"/>
          <w:szCs w:val="24"/>
        </w:rPr>
        <w:t xml:space="preserve"> (подробное описание приведено в разделе «Общий объем</w:t>
      </w:r>
      <w:proofErr w:type="gramEnd"/>
      <w:r w:rsidRPr="00C145B8">
        <w:rPr>
          <w:rFonts w:ascii="Times New Roman" w:hAnsi="Times New Roman" w:cs="Times New Roman"/>
          <w:sz w:val="24"/>
          <w:szCs w:val="24"/>
        </w:rPr>
        <w:t xml:space="preserve"> межбюджетных трансфертов»  экспертного заключения КСП</w:t>
      </w:r>
      <w:r w:rsidR="00FC421E">
        <w:rPr>
          <w:rFonts w:ascii="Times New Roman" w:hAnsi="Times New Roman" w:cs="Times New Roman"/>
          <w:sz w:val="24"/>
          <w:szCs w:val="24"/>
        </w:rPr>
        <w:t>, направленного в Волгоградскую областную Думу</w:t>
      </w:r>
      <w:r w:rsidRPr="00C145B8">
        <w:rPr>
          <w:rFonts w:ascii="Times New Roman" w:hAnsi="Times New Roman" w:cs="Times New Roman"/>
          <w:sz w:val="24"/>
          <w:szCs w:val="24"/>
        </w:rPr>
        <w:t xml:space="preserve"> к </w:t>
      </w:r>
      <w:r w:rsidR="00FC421E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Pr="00C145B8">
        <w:rPr>
          <w:rFonts w:ascii="Times New Roman" w:hAnsi="Times New Roman" w:cs="Times New Roman"/>
          <w:sz w:val="24"/>
          <w:szCs w:val="24"/>
        </w:rPr>
        <w:t>законопроект</w:t>
      </w:r>
      <w:r w:rsidR="00FC421E">
        <w:rPr>
          <w:rFonts w:ascii="Times New Roman" w:hAnsi="Times New Roman" w:cs="Times New Roman"/>
          <w:sz w:val="24"/>
          <w:szCs w:val="24"/>
        </w:rPr>
        <w:t>а</w:t>
      </w:r>
      <w:r w:rsidRPr="00C145B8">
        <w:rPr>
          <w:rFonts w:ascii="Times New Roman" w:hAnsi="Times New Roman" w:cs="Times New Roman"/>
          <w:sz w:val="24"/>
          <w:szCs w:val="24"/>
        </w:rPr>
        <w:t xml:space="preserve"> </w:t>
      </w:r>
      <w:r w:rsidR="00FC421E">
        <w:rPr>
          <w:rFonts w:ascii="Times New Roman" w:hAnsi="Times New Roman" w:cs="Times New Roman"/>
          <w:sz w:val="24"/>
          <w:szCs w:val="24"/>
        </w:rPr>
        <w:t>в</w:t>
      </w:r>
      <w:r w:rsidRPr="00C145B8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FC421E">
        <w:rPr>
          <w:rFonts w:ascii="Times New Roman" w:hAnsi="Times New Roman" w:cs="Times New Roman"/>
          <w:sz w:val="24"/>
          <w:szCs w:val="24"/>
        </w:rPr>
        <w:t>м</w:t>
      </w:r>
      <w:r w:rsidRPr="00C145B8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FC42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7E13" w:rsidRPr="00955E1A" w:rsidRDefault="00215FA8" w:rsidP="00FF7E13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1341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 подразделу 1402 «Иные дотации»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E13">
        <w:rPr>
          <w:rFonts w:ascii="Times New Roman" w:hAnsi="Times New Roman" w:cs="Times New Roman"/>
          <w:sz w:val="24"/>
          <w:szCs w:val="24"/>
        </w:rPr>
        <w:t>сократился объем дотаций на поддержку мер по обеспечению сбалансированности в 2019 году по сравнению с 2018 годом на 420 млн. руб. (-38,5%).</w:t>
      </w:r>
    </w:p>
    <w:p w:rsidR="00215FA8" w:rsidRDefault="00215FA8" w:rsidP="00215FA8">
      <w:pPr>
        <w:ind w:firstLine="709"/>
        <w:jc w:val="both"/>
      </w:pPr>
      <w:r w:rsidRPr="00C13416">
        <w:rPr>
          <w:b/>
          <w:i/>
          <w:u w:val="single"/>
        </w:rPr>
        <w:t>По подразделу 1403 «Прочие межбюджетные трансферты общего характера»</w:t>
      </w:r>
      <w:r>
        <w:t xml:space="preserve"> на 2019 год предусмотрены расходы в рамках государственной программы «Управление государственными финансами Волгоградской области» в размере 712,4 млн. руб. и </w:t>
      </w:r>
      <w:proofErr w:type="spellStart"/>
      <w:r>
        <w:t>непрограммные</w:t>
      </w:r>
      <w:proofErr w:type="spellEnd"/>
      <w:r>
        <w:t xml:space="preserve"> расходы государственных органов Волг</w:t>
      </w:r>
      <w:r w:rsidR="00C13416">
        <w:t>оградской области в размере 333</w:t>
      </w:r>
      <w:r>
        <w:t xml:space="preserve"> млн. рублей. Сокращение в сравнении с </w:t>
      </w:r>
      <w:r w:rsidR="00C13416">
        <w:t>текущим г</w:t>
      </w:r>
      <w:r>
        <w:t xml:space="preserve">одом предусмотрено в части </w:t>
      </w:r>
      <w:proofErr w:type="spellStart"/>
      <w:r>
        <w:t>непрограммных</w:t>
      </w:r>
      <w:proofErr w:type="spellEnd"/>
      <w:r>
        <w:t xml:space="preserve"> расходов </w:t>
      </w:r>
      <w:r w:rsidR="00C13416">
        <w:t xml:space="preserve">- </w:t>
      </w:r>
      <w:r>
        <w:t>на 630,5 млн. руб., так как в 2018 году предусм</w:t>
      </w:r>
      <w:r w:rsidR="00C13416">
        <w:t>атривались</w:t>
      </w:r>
      <w:r>
        <w:t xml:space="preserve"> средства </w:t>
      </w:r>
      <w:r w:rsidRPr="00537B7C">
        <w:t xml:space="preserve">на проведение мероприятий к чемпионату мира </w:t>
      </w:r>
      <w:r>
        <w:t>по футболу.</w:t>
      </w:r>
    </w:p>
    <w:p w:rsidR="00215FA8" w:rsidRDefault="00215FA8" w:rsidP="00024DDE">
      <w:pPr>
        <w:widowControl w:val="0"/>
        <w:ind w:firstLine="709"/>
        <w:jc w:val="both"/>
      </w:pPr>
    </w:p>
    <w:p w:rsidR="00367882" w:rsidRDefault="00EA2C21" w:rsidP="00EA2C21">
      <w:pPr>
        <w:ind w:firstLine="708"/>
        <w:jc w:val="center"/>
        <w:rPr>
          <w:b/>
          <w:i/>
        </w:rPr>
      </w:pPr>
      <w:r>
        <w:rPr>
          <w:b/>
          <w:i/>
        </w:rPr>
        <w:t>4</w:t>
      </w:r>
      <w:r w:rsidRPr="00054893">
        <w:rPr>
          <w:b/>
          <w:i/>
        </w:rPr>
        <w:t xml:space="preserve">. </w:t>
      </w:r>
      <w:r>
        <w:rPr>
          <w:b/>
          <w:i/>
        </w:rPr>
        <w:t xml:space="preserve">Государственные и ведомственные целевые программы, </w:t>
      </w:r>
    </w:p>
    <w:p w:rsidR="00EA2C21" w:rsidRDefault="00367882" w:rsidP="00EA2C21">
      <w:pPr>
        <w:ind w:firstLine="708"/>
        <w:jc w:val="center"/>
        <w:rPr>
          <w:b/>
          <w:i/>
        </w:rPr>
      </w:pPr>
      <w:proofErr w:type="gramStart"/>
      <w:r>
        <w:rPr>
          <w:b/>
          <w:i/>
        </w:rPr>
        <w:t>п</w:t>
      </w:r>
      <w:r w:rsidR="00EA2C21">
        <w:rPr>
          <w:b/>
          <w:i/>
        </w:rPr>
        <w:t>редусмотренные</w:t>
      </w:r>
      <w:proofErr w:type="gramEnd"/>
      <w:r>
        <w:rPr>
          <w:b/>
          <w:i/>
        </w:rPr>
        <w:t xml:space="preserve"> </w:t>
      </w:r>
      <w:r w:rsidR="00EA2C21">
        <w:rPr>
          <w:b/>
          <w:i/>
        </w:rPr>
        <w:t>к финансированию в 201</w:t>
      </w:r>
      <w:r w:rsidR="00801080">
        <w:rPr>
          <w:b/>
          <w:i/>
        </w:rPr>
        <w:t>9</w:t>
      </w:r>
      <w:r w:rsidR="00EA2C21">
        <w:rPr>
          <w:b/>
          <w:i/>
        </w:rPr>
        <w:t xml:space="preserve"> году.</w:t>
      </w:r>
      <w:r w:rsidR="00EA2C21" w:rsidRPr="00054893">
        <w:rPr>
          <w:b/>
          <w:i/>
        </w:rPr>
        <w:t xml:space="preserve"> </w:t>
      </w:r>
    </w:p>
    <w:p w:rsidR="00FE0FEE" w:rsidRDefault="00FE0FEE" w:rsidP="000A1855">
      <w:pPr>
        <w:ind w:firstLine="708"/>
        <w:jc w:val="both"/>
      </w:pPr>
    </w:p>
    <w:p w:rsidR="007F6099" w:rsidRPr="00103A5E" w:rsidRDefault="007F6099" w:rsidP="007F609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Приложением </w:t>
      </w:r>
      <w:r w:rsidRPr="00103A5E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к законопроекту «</w:t>
      </w:r>
      <w:r w:rsidRPr="009B4BB7">
        <w:t>Распределение бюджетных ассигнований на реализацию государственных программ Волгоградской области на 201</w:t>
      </w:r>
      <w:r>
        <w:t>9</w:t>
      </w:r>
      <w:r w:rsidRPr="009B4BB7">
        <w:t xml:space="preserve"> год и на плановый период 20</w:t>
      </w:r>
      <w:r>
        <w:t>20</w:t>
      </w:r>
      <w:r w:rsidRPr="009B4BB7">
        <w:t xml:space="preserve"> и 202</w:t>
      </w:r>
      <w:r>
        <w:t>1</w:t>
      </w:r>
      <w:r w:rsidRPr="009B4BB7">
        <w:t xml:space="preserve"> годов</w:t>
      </w:r>
      <w:r>
        <w:t xml:space="preserve">» к финансированию предусмотрена </w:t>
      </w:r>
      <w:r w:rsidRPr="00103A5E">
        <w:t xml:space="preserve">21 госпрограмма </w:t>
      </w:r>
      <w:r>
        <w:t xml:space="preserve">с </w:t>
      </w:r>
      <w:r w:rsidR="003C1AC1">
        <w:t xml:space="preserve">общим </w:t>
      </w:r>
      <w:r>
        <w:t xml:space="preserve">объемом финансирования  </w:t>
      </w:r>
      <w:r w:rsidR="003C1AC1">
        <w:t xml:space="preserve">(с учетом поправок к 1 чтению) </w:t>
      </w:r>
      <w:r>
        <w:t>89564,2 млн. рублей.</w:t>
      </w:r>
    </w:p>
    <w:p w:rsidR="007F6099" w:rsidRDefault="00D1624C" w:rsidP="007F609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="007F6099">
        <w:rPr>
          <w:color w:val="auto"/>
        </w:rPr>
        <w:t>труктура расходов областного бюджета на 2019 год выглядит следующим образом:</w:t>
      </w:r>
    </w:p>
    <w:p w:rsidR="007F6099" w:rsidRDefault="007F6099" w:rsidP="007F609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-госпрограммы – 89564,2 млн. руб., или 90,7% от общего объема расходов;</w:t>
      </w:r>
    </w:p>
    <w:p w:rsidR="007F6099" w:rsidRDefault="007F6099" w:rsidP="007F609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-ведомственные целевые программы – 1130,9 млн. руб., или 1,1%;</w:t>
      </w:r>
    </w:p>
    <w:p w:rsidR="0095126E" w:rsidRDefault="007F6099" w:rsidP="0095126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proofErr w:type="spellStart"/>
      <w:r>
        <w:rPr>
          <w:color w:val="auto"/>
        </w:rPr>
        <w:t>непрограммные</w:t>
      </w:r>
      <w:proofErr w:type="spellEnd"/>
      <w:r>
        <w:rPr>
          <w:color w:val="auto"/>
        </w:rPr>
        <w:t xml:space="preserve"> расходы –  8023,9 млн., руб., или 8,</w:t>
      </w:r>
      <w:r w:rsidR="0095126E">
        <w:rPr>
          <w:color w:val="auto"/>
        </w:rPr>
        <w:t>2</w:t>
      </w:r>
      <w:r>
        <w:rPr>
          <w:color w:val="auto"/>
        </w:rPr>
        <w:t>% от общего объема.</w:t>
      </w:r>
    </w:p>
    <w:p w:rsidR="007F6099" w:rsidRPr="0095126E" w:rsidRDefault="007F6099" w:rsidP="0095126E">
      <w:pPr>
        <w:pStyle w:val="Default"/>
        <w:ind w:firstLine="709"/>
        <w:jc w:val="both"/>
        <w:rPr>
          <w:color w:val="auto"/>
        </w:rPr>
      </w:pPr>
      <w:r w:rsidRPr="00292613">
        <w:t xml:space="preserve">Согласно пояснительной записке законопроект составлен в программном формате. В соответствии со </w:t>
      </w:r>
      <w:r w:rsidRPr="000F57DF">
        <w:t xml:space="preserve">статьей 184.2 БК РФ  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 w:rsidRPr="000F57DF">
        <w:t>непрограммным</w:t>
      </w:r>
      <w:proofErr w:type="spellEnd"/>
      <w:r w:rsidRPr="000F57DF">
        <w:t xml:space="preserve">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</w:t>
      </w:r>
      <w:r w:rsidRPr="003465BB">
        <w:t xml:space="preserve">. В составе документов к законопроекту представлены паспорта госпрограмм. </w:t>
      </w:r>
    </w:p>
    <w:p w:rsidR="007F6099" w:rsidRDefault="007F6099" w:rsidP="007F6099">
      <w:pPr>
        <w:ind w:firstLine="709"/>
        <w:jc w:val="both"/>
        <w:rPr>
          <w:rFonts w:eastAsia="Calibri"/>
          <w:lang w:eastAsia="en-US"/>
        </w:rPr>
      </w:pPr>
      <w:r w:rsidRPr="00F73BB4">
        <w:rPr>
          <w:rFonts w:eastAsiaTheme="minorHAnsi"/>
          <w:bCs/>
          <w:lang w:eastAsia="en-US"/>
        </w:rPr>
        <w:t xml:space="preserve">В соответствии со статьей 3 Федерального закона от 28.06.2014 №172-ФЗ «О стратегическом планировании в Российской Федерации» </w:t>
      </w:r>
      <w:r w:rsidRPr="00F73BB4">
        <w:rPr>
          <w:rFonts w:eastAsiaTheme="minorHAnsi"/>
          <w:bCs/>
          <w:u w:val="single"/>
          <w:lang w:eastAsia="en-US"/>
        </w:rPr>
        <w:t>госпрограмма является документом стратегического планирования</w:t>
      </w:r>
      <w:r w:rsidRPr="00F73BB4">
        <w:rPr>
          <w:rFonts w:eastAsiaTheme="minorHAnsi"/>
          <w:bCs/>
          <w:lang w:eastAsia="en-US"/>
        </w:rPr>
        <w:t xml:space="preserve">, </w:t>
      </w:r>
      <w:r w:rsidRPr="00F73BB4">
        <w:rPr>
          <w:rFonts w:eastAsia="Calibri"/>
          <w:lang w:eastAsia="en-US"/>
        </w:rPr>
        <w:t>содержащи</w:t>
      </w:r>
      <w:r w:rsidR="00FA68AA">
        <w:rPr>
          <w:rFonts w:eastAsia="Calibri"/>
          <w:lang w:eastAsia="en-US"/>
        </w:rPr>
        <w:t>м</w:t>
      </w:r>
      <w:r w:rsidRPr="00F73BB4">
        <w:rPr>
          <w:rFonts w:eastAsia="Calibri"/>
          <w:lang w:eastAsia="en-US"/>
        </w:rPr>
        <w:t xml:space="preserve">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РФ</w:t>
      </w:r>
      <w:r>
        <w:rPr>
          <w:rFonts w:eastAsia="Calibri"/>
          <w:lang w:eastAsia="en-US"/>
        </w:rPr>
        <w:t>.</w:t>
      </w:r>
    </w:p>
    <w:p w:rsidR="007F6099" w:rsidRPr="0098165A" w:rsidRDefault="007F6099" w:rsidP="007F6099">
      <w:pPr>
        <w:pStyle w:val="af4"/>
        <w:spacing w:before="0" w:beforeAutospacing="0" w:after="0"/>
        <w:ind w:firstLine="851"/>
        <w:jc w:val="both"/>
      </w:pPr>
      <w:r w:rsidRPr="0098165A">
        <w:t xml:space="preserve">Пояснительная записка к законопроекту содержит информацию </w:t>
      </w:r>
      <w:proofErr w:type="gramStart"/>
      <w:r w:rsidRPr="0098165A">
        <w:t>о</w:t>
      </w:r>
      <w:r>
        <w:t xml:space="preserve"> </w:t>
      </w:r>
      <w:r w:rsidRPr="0098165A">
        <w:t>бюджетных ассигновани</w:t>
      </w:r>
      <w:r>
        <w:t>ях</w:t>
      </w:r>
      <w:r w:rsidRPr="0098165A">
        <w:t xml:space="preserve"> по госпрограммам на соответствующий год </w:t>
      </w:r>
      <w:r>
        <w:t>без информации об</w:t>
      </w:r>
      <w:r w:rsidRPr="0098165A">
        <w:t xml:space="preserve"> увеличении</w:t>
      </w:r>
      <w:proofErr w:type="gramEnd"/>
      <w:r w:rsidRPr="0098165A">
        <w:t xml:space="preserve"> или уменьшении бюджетных ассигнований по отдельным основным</w:t>
      </w:r>
      <w:r>
        <w:t xml:space="preserve"> </w:t>
      </w:r>
      <w:r w:rsidRPr="0098165A">
        <w:t>мероприятиям, направлениям расходования средств, объектам финансирования. Проекты</w:t>
      </w:r>
      <w:r>
        <w:t xml:space="preserve"> </w:t>
      </w:r>
      <w:r w:rsidRPr="0098165A">
        <w:t>паспортов содержат информацию об ответственных исполнителях, соисполнителях,</w:t>
      </w:r>
      <w:r>
        <w:t xml:space="preserve"> </w:t>
      </w:r>
      <w:r w:rsidRPr="0098165A">
        <w:t>участниках, подпрограммах, целях, задачах, целевых индикаторах и показателях, объемах</w:t>
      </w:r>
      <w:r>
        <w:t xml:space="preserve"> </w:t>
      </w:r>
      <w:r w:rsidRPr="0098165A">
        <w:t>бюджетных ассигнований, ожидаемых результатах реализации по госпрограммам.</w:t>
      </w:r>
    </w:p>
    <w:p w:rsidR="007F6099" w:rsidRPr="00677E98" w:rsidRDefault="007F6099" w:rsidP="007F6099">
      <w:pPr>
        <w:pStyle w:val="af4"/>
        <w:spacing w:before="0" w:beforeAutospacing="0" w:after="0"/>
        <w:ind w:firstLine="851"/>
        <w:jc w:val="both"/>
      </w:pPr>
      <w:r w:rsidRPr="00677E98">
        <w:t>Таким образом, законопроект, а также материалы и документы, представленные одновременно с ним, не дают взаимоувязанн</w:t>
      </w:r>
      <w:r w:rsidR="00677E98">
        <w:t>ой</w:t>
      </w:r>
      <w:r w:rsidRPr="00677E98">
        <w:t xml:space="preserve"> и комплексн</w:t>
      </w:r>
      <w:r w:rsidR="00677E98">
        <w:t>ой</w:t>
      </w:r>
      <w:r w:rsidRPr="00677E98">
        <w:t xml:space="preserve"> оценк</w:t>
      </w:r>
      <w:r w:rsidR="00677E98">
        <w:t>и</w:t>
      </w:r>
      <w:r w:rsidRPr="00677E98">
        <w:t xml:space="preserve"> достижения приоритетов и решени</w:t>
      </w:r>
      <w:r w:rsidR="00677E98">
        <w:t>я</w:t>
      </w:r>
      <w:r w:rsidRPr="00677E98">
        <w:t xml:space="preserve"> задач социально-экономического развития Волгоградской области. Кроме того, пояснительная записка не содержит анализа планируемых расходов с учетом оценки эффективности их реализации в 2017 году.</w:t>
      </w:r>
    </w:p>
    <w:p w:rsidR="007F6099" w:rsidRPr="00DB7596" w:rsidRDefault="007F6099" w:rsidP="007F6099">
      <w:pPr>
        <w:pStyle w:val="Default"/>
        <w:ind w:firstLine="708"/>
        <w:jc w:val="both"/>
        <w:rPr>
          <w:rFonts w:eastAsiaTheme="minorHAnsi"/>
          <w:bCs/>
        </w:rPr>
      </w:pPr>
      <w:r w:rsidRPr="009062B4">
        <w:rPr>
          <w:rFonts w:eastAsiaTheme="minorHAnsi"/>
          <w:bCs/>
        </w:rPr>
        <w:t>Основными направлениями бюджетной политики Волгоградской области на 201</w:t>
      </w:r>
      <w:r>
        <w:rPr>
          <w:rFonts w:eastAsiaTheme="minorHAnsi"/>
          <w:bCs/>
        </w:rPr>
        <w:t>9</w:t>
      </w:r>
      <w:r w:rsidRPr="009062B4">
        <w:rPr>
          <w:rFonts w:eastAsiaTheme="minorHAnsi"/>
          <w:bCs/>
        </w:rPr>
        <w:t>-20</w:t>
      </w:r>
      <w:r>
        <w:rPr>
          <w:rFonts w:eastAsiaTheme="minorHAnsi"/>
          <w:bCs/>
        </w:rPr>
        <w:t>21</w:t>
      </w:r>
      <w:r w:rsidRPr="009062B4">
        <w:rPr>
          <w:rFonts w:eastAsiaTheme="minorHAnsi"/>
          <w:bCs/>
        </w:rPr>
        <w:t xml:space="preserve"> годы </w:t>
      </w:r>
      <w:r>
        <w:rPr>
          <w:rFonts w:eastAsiaTheme="minorHAnsi"/>
          <w:bCs/>
        </w:rPr>
        <w:t>заявлено</w:t>
      </w:r>
      <w:r w:rsidRPr="00DB7596">
        <w:rPr>
          <w:rFonts w:eastAsiaTheme="minorHAnsi"/>
          <w:bCs/>
          <w:color w:val="auto"/>
        </w:rPr>
        <w:t>,</w:t>
      </w:r>
      <w:r w:rsidRPr="00DB7596">
        <w:rPr>
          <w:rFonts w:eastAsiaTheme="minorHAnsi"/>
          <w:bCs/>
        </w:rPr>
        <w:t xml:space="preserve"> что</w:t>
      </w:r>
      <w:r w:rsidRPr="00DB7596">
        <w:rPr>
          <w:rFonts w:eastAsiaTheme="minorHAnsi"/>
          <w:bCs/>
          <w:color w:val="auto"/>
        </w:rPr>
        <w:t xml:space="preserve"> бюджетная политика будет направлена на</w:t>
      </w:r>
      <w:r>
        <w:rPr>
          <w:rFonts w:eastAsiaTheme="minorHAnsi"/>
          <w:bCs/>
        </w:rPr>
        <w:t xml:space="preserve"> п</w:t>
      </w:r>
      <w:r w:rsidRPr="00DB7596">
        <w:rPr>
          <w:rFonts w:eastAsiaTheme="minorHAnsi"/>
          <w:bCs/>
          <w:color w:val="auto"/>
        </w:rPr>
        <w:t>остроение гибкой и комплексной системы управления бюджетными расходами, обеспечивающей реализацию Указа Президента РФ от 07</w:t>
      </w:r>
      <w:r w:rsidR="004A7B3F">
        <w:rPr>
          <w:rFonts w:eastAsiaTheme="minorHAnsi"/>
          <w:bCs/>
          <w:color w:val="auto"/>
        </w:rPr>
        <w:t>.05.</w:t>
      </w:r>
      <w:r w:rsidRPr="00DB7596">
        <w:rPr>
          <w:rFonts w:eastAsiaTheme="minorHAnsi"/>
          <w:bCs/>
          <w:color w:val="auto"/>
        </w:rPr>
        <w:t>2018 №204.</w:t>
      </w:r>
      <w:r>
        <w:rPr>
          <w:rFonts w:eastAsiaTheme="minorHAnsi"/>
          <w:bCs/>
        </w:rPr>
        <w:t xml:space="preserve"> </w:t>
      </w:r>
      <w:r w:rsidRPr="00AD054D">
        <w:rPr>
          <w:rFonts w:eastAsiaTheme="minorHAnsi"/>
          <w:bCs/>
          <w:u w:val="single"/>
        </w:rPr>
        <w:t>Главным инструментом в достижении целевых показателей будут скорректированные государственные программы Волгоградской области с учетом интеграции в них национальных и региональных проектов.</w:t>
      </w:r>
      <w:r>
        <w:rPr>
          <w:rFonts w:eastAsiaTheme="minorHAnsi"/>
          <w:b/>
          <w:bCs/>
          <w:i/>
        </w:rPr>
        <w:t xml:space="preserve"> </w:t>
      </w:r>
      <w:r>
        <w:rPr>
          <w:rFonts w:eastAsiaTheme="minorHAnsi"/>
          <w:bCs/>
        </w:rPr>
        <w:t>Кроме того, продекларировано, что задача о</w:t>
      </w:r>
      <w:r w:rsidRPr="00DB7596">
        <w:rPr>
          <w:rFonts w:eastAsiaTheme="minorHAnsi"/>
          <w:bCs/>
          <w:color w:val="auto"/>
        </w:rPr>
        <w:t>беспечени</w:t>
      </w:r>
      <w:r>
        <w:rPr>
          <w:rFonts w:eastAsiaTheme="minorHAnsi"/>
          <w:bCs/>
          <w:color w:val="auto"/>
        </w:rPr>
        <w:t>я</w:t>
      </w:r>
      <w:r w:rsidRPr="00DB7596">
        <w:rPr>
          <w:rFonts w:eastAsiaTheme="minorHAnsi"/>
          <w:bCs/>
          <w:color w:val="auto"/>
        </w:rPr>
        <w:t xml:space="preserve"> сбалансированности и устойчивости бюджетной </w:t>
      </w:r>
      <w:r w:rsidRPr="00DB7596">
        <w:rPr>
          <w:rFonts w:eastAsiaTheme="minorHAnsi"/>
          <w:bCs/>
          <w:color w:val="auto"/>
        </w:rPr>
        <w:lastRenderedPageBreak/>
        <w:t>системы Волгоградской области</w:t>
      </w:r>
      <w:r>
        <w:rPr>
          <w:rFonts w:eastAsiaTheme="minorHAnsi"/>
          <w:bCs/>
          <w:color w:val="auto"/>
        </w:rPr>
        <w:t xml:space="preserve"> будет решена</w:t>
      </w:r>
      <w:r w:rsidRPr="00DB7596">
        <w:rPr>
          <w:rFonts w:eastAsiaTheme="minorHAnsi"/>
          <w:bCs/>
          <w:color w:val="auto"/>
        </w:rPr>
        <w:t>, в том числе за счет</w:t>
      </w:r>
      <w:r>
        <w:rPr>
          <w:rFonts w:eastAsiaTheme="minorHAnsi"/>
          <w:bCs/>
          <w:color w:val="auto"/>
        </w:rPr>
        <w:t xml:space="preserve"> </w:t>
      </w:r>
      <w:r w:rsidRPr="00DB7596">
        <w:rPr>
          <w:rFonts w:eastAsiaTheme="minorHAnsi"/>
          <w:bCs/>
        </w:rPr>
        <w:t xml:space="preserve">совершенствования и </w:t>
      </w:r>
      <w:r w:rsidRPr="00AD054D">
        <w:rPr>
          <w:rFonts w:eastAsiaTheme="minorHAnsi"/>
          <w:bCs/>
          <w:u w:val="single"/>
        </w:rPr>
        <w:t>усиления взаимосвязи стратегического и бюджетного планирования</w:t>
      </w:r>
      <w:r w:rsidRPr="00DB7596">
        <w:rPr>
          <w:rFonts w:eastAsiaTheme="minorHAnsi"/>
          <w:bCs/>
        </w:rPr>
        <w:t xml:space="preserve"> на основе долгосрочного бюджетного прогноза Волгоградской </w:t>
      </w:r>
      <w:r>
        <w:rPr>
          <w:rFonts w:eastAsiaTheme="minorHAnsi"/>
          <w:bCs/>
        </w:rPr>
        <w:t>области.</w:t>
      </w:r>
    </w:p>
    <w:p w:rsidR="007F6099" w:rsidRDefault="00CF4E61" w:rsidP="007F6099">
      <w:pPr>
        <w:pStyle w:val="af4"/>
        <w:spacing w:before="0" w:beforeAutospacing="0" w:after="0"/>
        <w:ind w:firstLine="851"/>
        <w:jc w:val="both"/>
      </w:pPr>
      <w:proofErr w:type="gramStart"/>
      <w:r>
        <w:t>В</w:t>
      </w:r>
      <w:r w:rsidR="007F6099">
        <w:t xml:space="preserve"> сво</w:t>
      </w:r>
      <w:r>
        <w:t>е</w:t>
      </w:r>
      <w:r w:rsidR="007F6099">
        <w:t>м заключении к законопроекту, представленному к рассмотрению в 1 чтении, КСП уже указывала, что представленный законопроект не дает представления ни о самих региональных проектах, которые будут реализовываться на территории Волгоградской области в рамках национальных проектов, ни о показателях, которые планируется достигнуть в ходе их реализации, ни об их финансовом обеспечении.</w:t>
      </w:r>
      <w:proofErr w:type="gramEnd"/>
      <w:r w:rsidR="007F6099">
        <w:t xml:space="preserve"> Механизм интеграции национальных и региональных проектов в госпрограммы также законопроектом и представленными с ним материалами не раскрывается</w:t>
      </w:r>
      <w:r w:rsidR="0020193A">
        <w:t>, что является концептуальным недостатком внесенного проекта.</w:t>
      </w:r>
    </w:p>
    <w:p w:rsidR="007F6099" w:rsidRDefault="007F6099" w:rsidP="007F6099">
      <w:pPr>
        <w:jc w:val="both"/>
      </w:pPr>
    </w:p>
    <w:p w:rsidR="00F9799D" w:rsidRPr="00D70A87" w:rsidRDefault="00C23F48" w:rsidP="00024DDE">
      <w:pPr>
        <w:ind w:firstLine="708"/>
        <w:jc w:val="center"/>
        <w:rPr>
          <w:b/>
          <w:i/>
        </w:rPr>
      </w:pPr>
      <w:r>
        <w:rPr>
          <w:b/>
          <w:i/>
        </w:rPr>
        <w:t>5</w:t>
      </w:r>
      <w:r w:rsidR="00EA2C21" w:rsidRPr="00054893">
        <w:rPr>
          <w:b/>
          <w:i/>
        </w:rPr>
        <w:t>. Программы государственных внутренних заимствований Волгоградской области, программы государственных гарантий</w:t>
      </w:r>
      <w:r>
        <w:rPr>
          <w:b/>
          <w:i/>
        </w:rPr>
        <w:t xml:space="preserve"> на 201</w:t>
      </w:r>
      <w:r w:rsidR="009C28BE">
        <w:rPr>
          <w:b/>
          <w:i/>
        </w:rPr>
        <w:t>9</w:t>
      </w:r>
      <w:r w:rsidR="006F0E09">
        <w:rPr>
          <w:b/>
          <w:i/>
        </w:rPr>
        <w:t>-202</w:t>
      </w:r>
      <w:r w:rsidR="009C28BE">
        <w:rPr>
          <w:b/>
          <w:i/>
        </w:rPr>
        <w:t>1</w:t>
      </w:r>
      <w:r>
        <w:rPr>
          <w:b/>
          <w:i/>
        </w:rPr>
        <w:t xml:space="preserve"> год</w:t>
      </w:r>
      <w:r w:rsidR="006F0E09">
        <w:rPr>
          <w:b/>
          <w:i/>
        </w:rPr>
        <w:t>ы</w:t>
      </w:r>
      <w:r w:rsidR="00EA2C21">
        <w:rPr>
          <w:b/>
          <w:i/>
        </w:rPr>
        <w:t>.</w:t>
      </w:r>
      <w:r w:rsidR="00024DDE">
        <w:rPr>
          <w:b/>
          <w:i/>
        </w:rPr>
        <w:t xml:space="preserve"> </w:t>
      </w:r>
      <w:r w:rsidR="00F9799D" w:rsidRPr="00D70A87">
        <w:rPr>
          <w:b/>
          <w:i/>
        </w:rPr>
        <w:t>Бюджетные кредиты муниципальным образованиям Волгоградской области</w:t>
      </w:r>
    </w:p>
    <w:p w:rsidR="003B08CC" w:rsidRDefault="003B08CC" w:rsidP="00F9799D">
      <w:pPr>
        <w:widowControl w:val="0"/>
        <w:ind w:firstLine="709"/>
        <w:jc w:val="both"/>
      </w:pPr>
    </w:p>
    <w:p w:rsidR="009C28BE" w:rsidRPr="00A93143" w:rsidRDefault="009C28BE" w:rsidP="00CF49BE">
      <w:pPr>
        <w:tabs>
          <w:tab w:val="left" w:pos="1035"/>
        </w:tabs>
        <w:ind w:firstLine="720"/>
        <w:jc w:val="both"/>
      </w:pPr>
      <w:r w:rsidRPr="00A93143">
        <w:t>Программа государственных внутренних заимствований Волгоградской области на 2019 год и на плановый период 2020 и 2021 годов представлена в приложении 23 к законопроекту.</w:t>
      </w:r>
      <w:r w:rsidR="00CF49BE">
        <w:t xml:space="preserve"> </w:t>
      </w:r>
      <w:r w:rsidRPr="00A93143">
        <w:t>В 2019-2021 годах заимствования планируется привлекать на погашение ранее принятых обязатель</w:t>
      </w:r>
      <w:proofErr w:type="gramStart"/>
      <w:r w:rsidRPr="00A93143">
        <w:t>ств в св</w:t>
      </w:r>
      <w:proofErr w:type="gramEnd"/>
      <w:r w:rsidRPr="00A93143">
        <w:t xml:space="preserve">язи с </w:t>
      </w:r>
      <w:proofErr w:type="spellStart"/>
      <w:r w:rsidRPr="00A93143">
        <w:t>бездефицитностью</w:t>
      </w:r>
      <w:proofErr w:type="spellEnd"/>
      <w:r w:rsidRPr="00A93143">
        <w:t xml:space="preserve"> (в 2020-2021 </w:t>
      </w:r>
      <w:proofErr w:type="spellStart"/>
      <w:r w:rsidRPr="00A93143">
        <w:t>профицитностью</w:t>
      </w:r>
      <w:proofErr w:type="spellEnd"/>
      <w:r w:rsidRPr="00A93143">
        <w:t>) областного бюджета.</w:t>
      </w:r>
    </w:p>
    <w:p w:rsidR="00E84815" w:rsidRDefault="009D4D78" w:rsidP="009C28BE">
      <w:pPr>
        <w:tabs>
          <w:tab w:val="left" w:pos="1035"/>
        </w:tabs>
        <w:ind w:firstLine="720"/>
        <w:jc w:val="both"/>
      </w:pPr>
      <w:r>
        <w:t>П</w:t>
      </w:r>
      <w:r w:rsidR="009C28BE" w:rsidRPr="00A93143">
        <w:t>оказатели объемов привлечения и погашения заимствований приведены в таблице</w:t>
      </w:r>
      <w:r w:rsidR="00E84815">
        <w:t>.</w:t>
      </w:r>
    </w:p>
    <w:p w:rsidR="009C28BE" w:rsidRDefault="009C28BE" w:rsidP="009C28BE">
      <w:pPr>
        <w:tabs>
          <w:tab w:val="left" w:pos="1035"/>
        </w:tabs>
        <w:ind w:firstLine="720"/>
        <w:jc w:val="both"/>
      </w:pPr>
    </w:p>
    <w:tbl>
      <w:tblPr>
        <w:tblW w:w="935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6"/>
        <w:gridCol w:w="1276"/>
        <w:gridCol w:w="1276"/>
        <w:gridCol w:w="1701"/>
        <w:gridCol w:w="1276"/>
        <w:gridCol w:w="1701"/>
      </w:tblGrid>
      <w:tr w:rsidR="009C28BE" w:rsidRPr="009D4D78" w:rsidTr="009D4D78">
        <w:trPr>
          <w:trHeight w:val="300"/>
        </w:trPr>
        <w:tc>
          <w:tcPr>
            <w:tcW w:w="2126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9C28BE" w:rsidRPr="009D4D78" w:rsidRDefault="009C28BE" w:rsidP="0039030F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2021 год</w:t>
            </w:r>
          </w:p>
        </w:tc>
      </w:tr>
      <w:tr w:rsidR="009C28BE" w:rsidRPr="009D4D78" w:rsidTr="00864031">
        <w:trPr>
          <w:trHeight w:val="175"/>
        </w:trPr>
        <w:tc>
          <w:tcPr>
            <w:tcW w:w="2126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9C28BE" w:rsidRPr="009D4D78" w:rsidRDefault="009C28BE" w:rsidP="003903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864031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 xml:space="preserve">% к </w:t>
            </w:r>
            <w:r w:rsidR="00864031">
              <w:rPr>
                <w:b/>
                <w:sz w:val="20"/>
                <w:szCs w:val="20"/>
              </w:rPr>
              <w:t>2019</w:t>
            </w:r>
            <w:r w:rsidRPr="009D4D78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864031">
            <w:pPr>
              <w:jc w:val="center"/>
              <w:rPr>
                <w:b/>
                <w:sz w:val="20"/>
                <w:szCs w:val="20"/>
              </w:rPr>
            </w:pPr>
            <w:r w:rsidRPr="009D4D78">
              <w:rPr>
                <w:b/>
                <w:sz w:val="20"/>
                <w:szCs w:val="20"/>
              </w:rPr>
              <w:t xml:space="preserve">% к </w:t>
            </w:r>
            <w:r w:rsidR="00864031">
              <w:rPr>
                <w:b/>
                <w:sz w:val="20"/>
                <w:szCs w:val="20"/>
              </w:rPr>
              <w:t>2020</w:t>
            </w:r>
            <w:r w:rsidRPr="009D4D78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9C28BE" w:rsidRPr="009D4D78" w:rsidTr="009D4D78">
        <w:trPr>
          <w:trHeight w:val="300"/>
        </w:trPr>
        <w:tc>
          <w:tcPr>
            <w:tcW w:w="2126" w:type="dxa"/>
            <w:tcBorders>
              <w:top w:val="double" w:sz="4" w:space="0" w:color="auto"/>
            </w:tcBorders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14 000,0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26 200,0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F1307E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187,1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ind w:left="-119"/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20 900,0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28BE" w:rsidRPr="009D4D78" w:rsidRDefault="009C28BE" w:rsidP="00F1307E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79,8</w:t>
            </w:r>
          </w:p>
        </w:tc>
      </w:tr>
      <w:tr w:rsidR="009C28BE" w:rsidRPr="009D4D78" w:rsidTr="009D4D78">
        <w:trPr>
          <w:trHeight w:val="300"/>
        </w:trPr>
        <w:tc>
          <w:tcPr>
            <w:tcW w:w="2126" w:type="dxa"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Погашение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14 069,4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26 200,3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F1307E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186,2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ind w:left="-119"/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21 377,7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81,6</w:t>
            </w:r>
          </w:p>
        </w:tc>
      </w:tr>
      <w:tr w:rsidR="009C28BE" w:rsidRPr="009D4D78" w:rsidTr="00F1307E">
        <w:trPr>
          <w:trHeight w:val="131"/>
        </w:trPr>
        <w:tc>
          <w:tcPr>
            <w:tcW w:w="2126" w:type="dxa"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Разница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-69,4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-0,3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28BE" w:rsidRPr="009D4D78" w:rsidRDefault="009D4D78" w:rsidP="009D4D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8BE" w:rsidRPr="009D4D78" w:rsidRDefault="009C28BE" w:rsidP="009D4D78">
            <w:pPr>
              <w:ind w:left="-119"/>
              <w:jc w:val="center"/>
              <w:rPr>
                <w:sz w:val="20"/>
                <w:szCs w:val="20"/>
              </w:rPr>
            </w:pPr>
            <w:r w:rsidRPr="009D4D78">
              <w:rPr>
                <w:sz w:val="20"/>
                <w:szCs w:val="20"/>
              </w:rPr>
              <w:t>-477,7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28BE" w:rsidRPr="009D4D78" w:rsidRDefault="009D160E" w:rsidP="009D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E84815" w:rsidRDefault="00E84815" w:rsidP="009C28BE">
      <w:pPr>
        <w:tabs>
          <w:tab w:val="left" w:pos="1035"/>
        </w:tabs>
        <w:ind w:firstLine="720"/>
        <w:jc w:val="both"/>
      </w:pPr>
    </w:p>
    <w:p w:rsidR="009C28BE" w:rsidRPr="00A93143" w:rsidRDefault="009C28BE" w:rsidP="009C28BE">
      <w:pPr>
        <w:tabs>
          <w:tab w:val="left" w:pos="1035"/>
        </w:tabs>
        <w:ind w:firstLine="720"/>
        <w:jc w:val="both"/>
      </w:pPr>
      <w:r w:rsidRPr="00A93143">
        <w:t>Как видно из представленных данных, привлечение заимствований в 2020 году значительно превысит уровень 2019 года – планируется рост на 87,1 процента. Данное обстоятельство обусловлено необходимостью погашения значительного объема ранее принятых обязательств, в основном</w:t>
      </w:r>
      <w:r w:rsidR="009D4D78">
        <w:t>,</w:t>
      </w:r>
      <w:r w:rsidRPr="00A93143">
        <w:t xml:space="preserve"> за счет роста погашения кредитов коммерческих банков </w:t>
      </w:r>
      <w:r w:rsidR="009D160E">
        <w:t>(в 2019 году -</w:t>
      </w:r>
      <w:r w:rsidRPr="00A93143">
        <w:t xml:space="preserve"> 6000 млн. руб.</w:t>
      </w:r>
      <w:r w:rsidR="009D160E">
        <w:t xml:space="preserve">, </w:t>
      </w:r>
      <w:r w:rsidRPr="00A93143">
        <w:t>в 20</w:t>
      </w:r>
      <w:r w:rsidR="009D160E">
        <w:t xml:space="preserve">20 </w:t>
      </w:r>
      <w:r w:rsidRPr="00A93143">
        <w:t xml:space="preserve">году </w:t>
      </w:r>
      <w:r w:rsidR="009D160E">
        <w:t>-</w:t>
      </w:r>
      <w:r w:rsidRPr="00A93143">
        <w:t xml:space="preserve"> 17811,4 млн. руб.</w:t>
      </w:r>
      <w:proofErr w:type="gramStart"/>
      <w:r w:rsidRPr="00A93143">
        <w:t xml:space="preserve"> </w:t>
      </w:r>
      <w:r w:rsidR="009D160E">
        <w:t>)</w:t>
      </w:r>
      <w:proofErr w:type="gramEnd"/>
      <w:r w:rsidRPr="00A93143">
        <w:t>. В 2021 году годах снижение объемов заимствований обусловлено сокращением необходимости погашения имеющихся обязательств</w:t>
      </w:r>
      <w:r>
        <w:t xml:space="preserve"> по коммерческим кредитам</w:t>
      </w:r>
      <w:r w:rsidRPr="00A93143">
        <w:t>.</w:t>
      </w:r>
    </w:p>
    <w:p w:rsidR="009C28BE" w:rsidRPr="00A93143" w:rsidRDefault="009C28BE" w:rsidP="009C28BE">
      <w:pPr>
        <w:tabs>
          <w:tab w:val="left" w:pos="0"/>
        </w:tabs>
        <w:ind w:firstLine="720"/>
        <w:jc w:val="both"/>
      </w:pPr>
      <w:r w:rsidRPr="00A93143">
        <w:t xml:space="preserve">Изменение структуры заимствований в 2019-2021 годах представлено </w:t>
      </w:r>
      <w:r w:rsidR="009D160E">
        <w:t xml:space="preserve">следующей </w:t>
      </w:r>
      <w:r w:rsidRPr="00A93143">
        <w:t>диаграммой.</w:t>
      </w:r>
    </w:p>
    <w:p w:rsidR="009C28BE" w:rsidRPr="005C1B2C" w:rsidRDefault="009C28BE" w:rsidP="009C28BE">
      <w:pPr>
        <w:tabs>
          <w:tab w:val="left" w:pos="0"/>
        </w:tabs>
        <w:ind w:firstLine="720"/>
        <w:jc w:val="both"/>
        <w:rPr>
          <w:color w:val="0070C0"/>
        </w:rPr>
      </w:pPr>
    </w:p>
    <w:p w:rsidR="009C28BE" w:rsidRPr="005C1B2C" w:rsidRDefault="009C28BE" w:rsidP="009C28BE">
      <w:pPr>
        <w:tabs>
          <w:tab w:val="left" w:pos="1035"/>
        </w:tabs>
        <w:ind w:firstLine="284"/>
        <w:jc w:val="both"/>
        <w:rPr>
          <w:color w:val="0070C0"/>
        </w:rPr>
      </w:pPr>
      <w:r w:rsidRPr="005C1B2C">
        <w:rPr>
          <w:noProof/>
          <w:color w:val="0070C0"/>
        </w:rPr>
        <w:drawing>
          <wp:inline distT="0" distB="0" distL="0" distR="0">
            <wp:extent cx="5788025" cy="24066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160E" w:rsidRDefault="009D160E" w:rsidP="009C28BE">
      <w:pPr>
        <w:tabs>
          <w:tab w:val="left" w:pos="1035"/>
        </w:tabs>
        <w:ind w:firstLine="720"/>
        <w:jc w:val="both"/>
      </w:pPr>
    </w:p>
    <w:p w:rsidR="009C28BE" w:rsidRPr="00491EB7" w:rsidRDefault="009C28BE" w:rsidP="009C28BE">
      <w:pPr>
        <w:tabs>
          <w:tab w:val="left" w:pos="1035"/>
        </w:tabs>
        <w:ind w:firstLine="720"/>
        <w:jc w:val="both"/>
      </w:pPr>
      <w:r w:rsidRPr="00491EB7">
        <w:lastRenderedPageBreak/>
        <w:t>Как видно из диаграммы, в 2019-2021 годах</w:t>
      </w:r>
      <w:r w:rsidR="00D9679E">
        <w:t>,</w:t>
      </w:r>
      <w:r w:rsidRPr="00491EB7">
        <w:t xml:space="preserve"> как и в предыдущие годы</w:t>
      </w:r>
      <w:r>
        <w:t>,</w:t>
      </w:r>
      <w:r w:rsidRPr="00491EB7">
        <w:t xml:space="preserve"> значительн</w:t>
      </w:r>
      <w:r w:rsidR="00D9679E">
        <w:t>ую</w:t>
      </w:r>
      <w:r w:rsidRPr="00491EB7">
        <w:t xml:space="preserve"> часть в плановых назначениях по привлекаемым средствам </w:t>
      </w:r>
      <w:r w:rsidR="00D9679E">
        <w:t>составляют</w:t>
      </w:r>
      <w:r w:rsidRPr="00491EB7">
        <w:t xml:space="preserve"> кредиты коммерческих банков, доля которых </w:t>
      </w:r>
      <w:r w:rsidR="00D9679E">
        <w:t>колеблется</w:t>
      </w:r>
      <w:r w:rsidRPr="00491EB7">
        <w:t xml:space="preserve"> от </w:t>
      </w:r>
      <w:r>
        <w:t>64,3</w:t>
      </w:r>
      <w:r w:rsidRPr="00491EB7">
        <w:t>% в 201</w:t>
      </w:r>
      <w:r>
        <w:t>9</w:t>
      </w:r>
      <w:r w:rsidRPr="00491EB7">
        <w:t xml:space="preserve"> году до 56,9% в 202</w:t>
      </w:r>
      <w:r>
        <w:t>1</w:t>
      </w:r>
      <w:r w:rsidRPr="00491EB7">
        <w:t xml:space="preserve"> году. При этом следует отметить, что по сложившейся в последние годы практике в течение года значительная часть запланированных к привлечению кредитов коммерческих банков замещается бюджетными кредитами.</w:t>
      </w:r>
    </w:p>
    <w:p w:rsidR="009C28BE" w:rsidRPr="00491EB7" w:rsidRDefault="009C28BE" w:rsidP="009C28BE">
      <w:pPr>
        <w:tabs>
          <w:tab w:val="left" w:pos="1035"/>
        </w:tabs>
        <w:ind w:firstLine="720"/>
        <w:jc w:val="both"/>
      </w:pPr>
      <w:r w:rsidRPr="00491EB7">
        <w:t xml:space="preserve">В соответствии с рекомендациями Минфина России от 26.05.2014 №06-03-05/25362 по реализации субъектами </w:t>
      </w:r>
      <w:r>
        <w:t xml:space="preserve">РФ </w:t>
      </w:r>
      <w:r w:rsidRPr="00491EB7">
        <w:t>планов мероприятий по сокращению государственного долга субъектов РФ</w:t>
      </w:r>
      <w:r w:rsidR="002502E8">
        <w:t xml:space="preserve"> субъектам РФ</w:t>
      </w:r>
      <w:r w:rsidRPr="00491EB7">
        <w:t xml:space="preserve"> рекомендовано включать в состав источников финансирования дефицита бюджета привлечение бюджетных кредитов </w:t>
      </w:r>
      <w:r w:rsidRPr="00491EB7">
        <w:rPr>
          <w:u w:val="single"/>
        </w:rPr>
        <w:t>после принятия соответствующего решения о его предоставлении</w:t>
      </w:r>
      <w:r w:rsidRPr="00491EB7">
        <w:t>. В связи с этим, как и в первоначальных редакциях бюджетов последних лет</w:t>
      </w:r>
      <w:r w:rsidR="002502E8">
        <w:t>,</w:t>
      </w:r>
      <w:r w:rsidRPr="00491EB7">
        <w:t xml:space="preserve"> в 2019-2021 годах запланировано привлечение только бюджетных кредитов</w:t>
      </w:r>
      <w:r w:rsidR="002502E8">
        <w:t xml:space="preserve"> -</w:t>
      </w:r>
      <w:r w:rsidRPr="00491EB7">
        <w:t xml:space="preserve"> по 5000 млн. руб. на пополнение остатков средств на счетах бюджет</w:t>
      </w:r>
      <w:r w:rsidR="002502E8">
        <w:t>а</w:t>
      </w:r>
      <w:r w:rsidRPr="00491EB7">
        <w:t xml:space="preserve"> (со сроком </w:t>
      </w:r>
      <w:r>
        <w:t xml:space="preserve">погашения </w:t>
      </w:r>
      <w:r w:rsidRPr="00491EB7">
        <w:t>до 1 месяца).</w:t>
      </w:r>
    </w:p>
    <w:p w:rsidR="009C28BE" w:rsidRPr="00ED2812" w:rsidRDefault="009C28BE" w:rsidP="009C28BE">
      <w:pPr>
        <w:tabs>
          <w:tab w:val="left" w:pos="1035"/>
        </w:tabs>
        <w:ind w:firstLine="720"/>
        <w:jc w:val="both"/>
        <w:rPr>
          <w:sz w:val="20"/>
          <w:szCs w:val="20"/>
        </w:rPr>
      </w:pPr>
      <w:r w:rsidRPr="00ED2812">
        <w:t>Общая информация об источниках финансирования дефицита бюджета на 2018-2021 годы приведена в следующей таблице.</w:t>
      </w:r>
    </w:p>
    <w:p w:rsidR="009C28BE" w:rsidRPr="00ED2812" w:rsidRDefault="002502E8" w:rsidP="009C28BE">
      <w:pPr>
        <w:ind w:left="778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9C28BE" w:rsidRPr="00ED2812">
        <w:rPr>
          <w:sz w:val="20"/>
          <w:szCs w:val="20"/>
        </w:rPr>
        <w:t>м</w:t>
      </w:r>
      <w:proofErr w:type="gramEnd"/>
      <w:r w:rsidR="009C28BE" w:rsidRPr="00ED2812">
        <w:rPr>
          <w:sz w:val="20"/>
          <w:szCs w:val="20"/>
        </w:rPr>
        <w:t>лн. руб.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395"/>
        <w:gridCol w:w="1417"/>
        <w:gridCol w:w="1276"/>
        <w:gridCol w:w="1276"/>
        <w:gridCol w:w="1134"/>
      </w:tblGrid>
      <w:tr w:rsidR="009C28BE" w:rsidRPr="002502E8" w:rsidTr="002A17A3">
        <w:trPr>
          <w:trHeight w:val="315"/>
        </w:trPr>
        <w:tc>
          <w:tcPr>
            <w:tcW w:w="439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Проект на 2019-2021 годы</w:t>
            </w:r>
          </w:p>
        </w:tc>
      </w:tr>
      <w:tr w:rsidR="009C28BE" w:rsidRPr="002502E8" w:rsidTr="002A17A3">
        <w:trPr>
          <w:trHeight w:val="266"/>
        </w:trPr>
        <w:tc>
          <w:tcPr>
            <w:tcW w:w="439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2018 с учетом поправок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C28BE" w:rsidRPr="002502E8" w:rsidRDefault="009C28BE" w:rsidP="0039030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C28BE" w:rsidRPr="002502E8" w:rsidTr="002A17A3">
        <w:trPr>
          <w:trHeight w:val="300"/>
        </w:trPr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9C28BE" w:rsidRPr="002502E8" w:rsidRDefault="009C28BE" w:rsidP="0039030F">
            <w:pPr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 xml:space="preserve">Источники финансирования,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9C28BE" w:rsidRPr="002502E8" w:rsidTr="002A17A3">
        <w:trPr>
          <w:trHeight w:val="49"/>
        </w:trPr>
        <w:tc>
          <w:tcPr>
            <w:tcW w:w="4395" w:type="dxa"/>
            <w:vAlign w:val="center"/>
          </w:tcPr>
          <w:p w:rsidR="009C28BE" w:rsidRPr="002502E8" w:rsidRDefault="009C28BE" w:rsidP="0039030F">
            <w:pPr>
              <w:rPr>
                <w:b/>
                <w:bCs/>
                <w:sz w:val="20"/>
                <w:szCs w:val="20"/>
              </w:rPr>
            </w:pPr>
            <w:r w:rsidRPr="002502E8">
              <w:rPr>
                <w:b/>
                <w:bCs/>
                <w:sz w:val="20"/>
                <w:szCs w:val="20"/>
              </w:rPr>
              <w:t xml:space="preserve">в т. ч. за счет: </w:t>
            </w:r>
          </w:p>
        </w:tc>
        <w:tc>
          <w:tcPr>
            <w:tcW w:w="1417" w:type="dxa"/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C28BE" w:rsidRPr="002502E8" w:rsidRDefault="009C28BE" w:rsidP="00250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8BE" w:rsidRPr="002502E8" w:rsidTr="002A17A3">
        <w:trPr>
          <w:trHeight w:val="196"/>
        </w:trPr>
        <w:tc>
          <w:tcPr>
            <w:tcW w:w="4395" w:type="dxa"/>
            <w:vAlign w:val="bottom"/>
          </w:tcPr>
          <w:p w:rsidR="009C28BE" w:rsidRPr="002502E8" w:rsidRDefault="009C28BE" w:rsidP="0039030F">
            <w:pPr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 xml:space="preserve">-заимствований </w:t>
            </w:r>
          </w:p>
        </w:tc>
        <w:tc>
          <w:tcPr>
            <w:tcW w:w="1417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-69,4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-69,4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-0,3</w:t>
            </w:r>
          </w:p>
        </w:tc>
        <w:tc>
          <w:tcPr>
            <w:tcW w:w="1134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-477,7</w:t>
            </w:r>
          </w:p>
        </w:tc>
      </w:tr>
      <w:tr w:rsidR="009C28BE" w:rsidRPr="002502E8" w:rsidTr="002A17A3">
        <w:trPr>
          <w:trHeight w:val="99"/>
        </w:trPr>
        <w:tc>
          <w:tcPr>
            <w:tcW w:w="4395" w:type="dxa"/>
            <w:vAlign w:val="bottom"/>
          </w:tcPr>
          <w:p w:rsidR="009C28BE" w:rsidRPr="002502E8" w:rsidRDefault="009C28BE" w:rsidP="0039030F">
            <w:pPr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-изменения  остатков</w:t>
            </w:r>
          </w:p>
        </w:tc>
        <w:tc>
          <w:tcPr>
            <w:tcW w:w="1417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55,7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547,6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107,2</w:t>
            </w:r>
          </w:p>
        </w:tc>
        <w:tc>
          <w:tcPr>
            <w:tcW w:w="1134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277,7</w:t>
            </w:r>
          </w:p>
        </w:tc>
      </w:tr>
      <w:tr w:rsidR="009C28BE" w:rsidRPr="002502E8" w:rsidTr="002A17A3">
        <w:trPr>
          <w:trHeight w:val="415"/>
        </w:trPr>
        <w:tc>
          <w:tcPr>
            <w:tcW w:w="4395" w:type="dxa"/>
            <w:vAlign w:val="bottom"/>
          </w:tcPr>
          <w:p w:rsidR="009C28BE" w:rsidRPr="002502E8" w:rsidRDefault="009C28BE" w:rsidP="0039030F">
            <w:pPr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прочих источников (исполнение госгарантий, продажа акций и иных участий в капитале)</w:t>
            </w:r>
          </w:p>
        </w:tc>
        <w:tc>
          <w:tcPr>
            <w:tcW w:w="1417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13,7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-478,2</w:t>
            </w:r>
          </w:p>
        </w:tc>
        <w:tc>
          <w:tcPr>
            <w:tcW w:w="1276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-306,9</w:t>
            </w:r>
          </w:p>
        </w:tc>
        <w:tc>
          <w:tcPr>
            <w:tcW w:w="1134" w:type="dxa"/>
            <w:vAlign w:val="bottom"/>
          </w:tcPr>
          <w:p w:rsidR="009C28BE" w:rsidRPr="002502E8" w:rsidRDefault="009C28BE" w:rsidP="002502E8">
            <w:pPr>
              <w:jc w:val="center"/>
              <w:rPr>
                <w:sz w:val="20"/>
                <w:szCs w:val="20"/>
              </w:rPr>
            </w:pPr>
            <w:r w:rsidRPr="002502E8">
              <w:rPr>
                <w:sz w:val="20"/>
                <w:szCs w:val="20"/>
              </w:rPr>
              <w:t>0,0</w:t>
            </w:r>
          </w:p>
        </w:tc>
      </w:tr>
    </w:tbl>
    <w:p w:rsidR="009C28BE" w:rsidRPr="002502E8" w:rsidRDefault="009C28BE" w:rsidP="009C28BE">
      <w:pPr>
        <w:tabs>
          <w:tab w:val="left" w:pos="1035"/>
        </w:tabs>
        <w:ind w:firstLine="720"/>
        <w:jc w:val="both"/>
        <w:rPr>
          <w:sz w:val="20"/>
          <w:szCs w:val="20"/>
        </w:rPr>
      </w:pPr>
    </w:p>
    <w:p w:rsidR="009C28BE" w:rsidRPr="00ED2812" w:rsidRDefault="009C28BE" w:rsidP="002502E8">
      <w:pPr>
        <w:tabs>
          <w:tab w:val="left" w:pos="1035"/>
        </w:tabs>
        <w:ind w:firstLine="720"/>
        <w:jc w:val="both"/>
      </w:pPr>
      <w:r w:rsidRPr="00ED2812">
        <w:rPr>
          <w:b/>
          <w:i/>
        </w:rPr>
        <w:t>Программа государственных гарантий Волгоградской области на 2019-2021 годы</w:t>
      </w:r>
      <w:r w:rsidRPr="00ED2812">
        <w:t xml:space="preserve"> представлена в приложении 25 к законопроекту</w:t>
      </w:r>
      <w:r w:rsidR="002502E8">
        <w:t xml:space="preserve">, из которого следует, что </w:t>
      </w:r>
      <w:r w:rsidRPr="00ED2812">
        <w:t>в 2019-2021 годах не предполагается предоставление государственных гарантий.</w:t>
      </w:r>
    </w:p>
    <w:p w:rsidR="009C28BE" w:rsidRPr="00491EB7" w:rsidRDefault="009C28BE" w:rsidP="009C28BE">
      <w:pPr>
        <w:ind w:firstLine="708"/>
        <w:jc w:val="both"/>
      </w:pPr>
      <w:r w:rsidRPr="00491EB7">
        <w:t>Возможное исполнение гарантийных случаев по гарантиям, предоставленным с правом регрессного требования, предусмотрено в источниках внутреннего финансирования дефицита  областного бюджета в размере 478,2 млн. руб. в 2019 году, 306,9 млн. руб. в 2020 году</w:t>
      </w:r>
      <w:r>
        <w:t>.</w:t>
      </w:r>
      <w:r w:rsidRPr="00491EB7">
        <w:t xml:space="preserve"> </w:t>
      </w:r>
      <w:r>
        <w:t>В</w:t>
      </w:r>
      <w:r w:rsidRPr="00491EB7">
        <w:t xml:space="preserve"> 2021 году исполнение гарантий не предусматривается в связи с</w:t>
      </w:r>
      <w:r>
        <w:t xml:space="preserve"> предполагаемым по условиям договора с кредитной организацией</w:t>
      </w:r>
      <w:r w:rsidRPr="00491EB7">
        <w:t xml:space="preserve"> полным погашение</w:t>
      </w:r>
      <w:r>
        <w:t>м</w:t>
      </w:r>
      <w:r w:rsidRPr="00491EB7">
        <w:t xml:space="preserve"> кредитных обязательств ООО «</w:t>
      </w:r>
      <w:proofErr w:type="spellStart"/>
      <w:r w:rsidRPr="00491EB7">
        <w:t>ТопАгро</w:t>
      </w:r>
      <w:proofErr w:type="spellEnd"/>
      <w:r w:rsidRPr="00491EB7">
        <w:t>»</w:t>
      </w:r>
      <w:r>
        <w:t>.</w:t>
      </w:r>
      <w:r w:rsidRPr="00491EB7">
        <w:t xml:space="preserve">  </w:t>
      </w:r>
    </w:p>
    <w:p w:rsidR="002502E8" w:rsidRDefault="00F869DF" w:rsidP="002502E8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9C28BE" w:rsidRPr="000157AA">
        <w:rPr>
          <w:b/>
          <w:i/>
        </w:rPr>
        <w:t>Бюджетные кредиты муниципальным образованиям Волгоградской области</w:t>
      </w:r>
    </w:p>
    <w:p w:rsidR="009C28BE" w:rsidRPr="002502E8" w:rsidRDefault="002502E8" w:rsidP="002502E8">
      <w:pPr>
        <w:jc w:val="both"/>
        <w:rPr>
          <w:b/>
          <w:i/>
        </w:rPr>
      </w:pPr>
      <w:r>
        <w:rPr>
          <w:b/>
          <w:i/>
        </w:rPr>
        <w:tab/>
      </w:r>
      <w:proofErr w:type="gramStart"/>
      <w:r w:rsidR="009C28BE" w:rsidRPr="000157AA">
        <w:t>Статьей 40 законопроекта в 2019 году предусмотрено предоставление бюджетных кредитов бюджетам муниципальных районов (городских округов) в сумме до 40 млн. руб. на срок, не выходящий за пределы 2019 года, для покрытия временных кассовых разрывов, возникающих при исполнении бюджетов муниципальных районов (городских округов) и осуществления мероприятий, связанных с ликвидацией последствий стихийных бедствий.</w:t>
      </w:r>
      <w:proofErr w:type="gramEnd"/>
    </w:p>
    <w:p w:rsidR="009C28BE" w:rsidRPr="000157AA" w:rsidRDefault="009C28BE" w:rsidP="009C28BE">
      <w:pPr>
        <w:ind w:firstLine="708"/>
        <w:jc w:val="both"/>
      </w:pPr>
    </w:p>
    <w:p w:rsidR="00F5716F" w:rsidRDefault="00C23F48" w:rsidP="00EA2C21">
      <w:pPr>
        <w:ind w:firstLine="708"/>
        <w:jc w:val="center"/>
        <w:rPr>
          <w:b/>
          <w:i/>
        </w:rPr>
      </w:pPr>
      <w:r>
        <w:rPr>
          <w:b/>
          <w:i/>
        </w:rPr>
        <w:t xml:space="preserve">6. Программа приватизации </w:t>
      </w:r>
      <w:r w:rsidR="00F5716F">
        <w:rPr>
          <w:b/>
          <w:i/>
        </w:rPr>
        <w:t xml:space="preserve">государственного имущества </w:t>
      </w:r>
    </w:p>
    <w:p w:rsidR="00C23F48" w:rsidRDefault="00C23F48" w:rsidP="00EA2C21">
      <w:pPr>
        <w:ind w:firstLine="708"/>
        <w:jc w:val="center"/>
        <w:rPr>
          <w:b/>
          <w:i/>
        </w:rPr>
      </w:pPr>
      <w:r>
        <w:rPr>
          <w:b/>
          <w:i/>
        </w:rPr>
        <w:t>Волгоградской области на 201</w:t>
      </w:r>
      <w:r w:rsidR="0067112E">
        <w:rPr>
          <w:b/>
          <w:i/>
        </w:rPr>
        <w:t>9</w:t>
      </w:r>
      <w:r>
        <w:rPr>
          <w:b/>
          <w:i/>
        </w:rPr>
        <w:t xml:space="preserve"> год.</w:t>
      </w:r>
    </w:p>
    <w:p w:rsidR="006F0E09" w:rsidRDefault="006F0E09" w:rsidP="00EA2C21">
      <w:pPr>
        <w:ind w:firstLine="708"/>
        <w:jc w:val="center"/>
        <w:rPr>
          <w:b/>
          <w:i/>
        </w:rPr>
      </w:pPr>
    </w:p>
    <w:p w:rsidR="009C28BE" w:rsidRPr="00E51AF8" w:rsidRDefault="009C28BE" w:rsidP="009C28BE">
      <w:pPr>
        <w:pStyle w:val="af2"/>
        <w:ind w:firstLine="709"/>
        <w:jc w:val="both"/>
      </w:pPr>
      <w:proofErr w:type="gramStart"/>
      <w:r w:rsidRPr="009E6D17">
        <w:rPr>
          <w:szCs w:val="28"/>
        </w:rPr>
        <w:t xml:space="preserve">В приложении </w:t>
      </w:r>
      <w:r>
        <w:rPr>
          <w:szCs w:val="28"/>
        </w:rPr>
        <w:t>27</w:t>
      </w:r>
      <w:r w:rsidRPr="009E6D17">
        <w:rPr>
          <w:szCs w:val="28"/>
        </w:rPr>
        <w:t xml:space="preserve"> к </w:t>
      </w:r>
      <w:r>
        <w:rPr>
          <w:szCs w:val="28"/>
        </w:rPr>
        <w:t>з</w:t>
      </w:r>
      <w:r w:rsidRPr="009E6D17">
        <w:rPr>
          <w:szCs w:val="28"/>
        </w:rPr>
        <w:t>аконопроекту представлена программа приватизации (продажи) государственного имущества Волгоградской области на 201</w:t>
      </w:r>
      <w:r>
        <w:rPr>
          <w:szCs w:val="28"/>
        </w:rPr>
        <w:t>9 год и на плановый период 2020</w:t>
      </w:r>
      <w:r w:rsidRPr="009E6D17">
        <w:rPr>
          <w:szCs w:val="28"/>
        </w:rPr>
        <w:t xml:space="preserve"> и 20</w:t>
      </w:r>
      <w:r>
        <w:rPr>
          <w:szCs w:val="28"/>
        </w:rPr>
        <w:t>21</w:t>
      </w:r>
      <w:r w:rsidRPr="009E6D17">
        <w:rPr>
          <w:szCs w:val="28"/>
        </w:rPr>
        <w:t xml:space="preserve"> годов</w:t>
      </w:r>
      <w:r>
        <w:rPr>
          <w:szCs w:val="28"/>
        </w:rPr>
        <w:t xml:space="preserve"> (далее Программа приватизации)</w:t>
      </w:r>
      <w:r w:rsidRPr="009E6D17">
        <w:rPr>
          <w:szCs w:val="28"/>
        </w:rPr>
        <w:t xml:space="preserve">, которая содержит перечень </w:t>
      </w:r>
      <w:r w:rsidRPr="00E51AF8">
        <w:t>объектов недвижимого имущества, подлежащих приватизации (таблица 1), перечень движимого имущества, подлежащего приватизации (таблица 2), перечень пакетов акций хозяйственных обществ, находящихся в государственной собственности Волгоградской области, подлежащих приватизации (таблица 3), перечень</w:t>
      </w:r>
      <w:proofErr w:type="gramEnd"/>
      <w:r w:rsidRPr="00E51AF8">
        <w:t xml:space="preserve"> государственных унитарных предприятий Волгоградской области, преобразуемых в хозяйственные общества (таблица 4).</w:t>
      </w:r>
    </w:p>
    <w:p w:rsidR="004B3410" w:rsidRDefault="009C28BE" w:rsidP="004B3410">
      <w:pPr>
        <w:ind w:firstLine="709"/>
        <w:jc w:val="both"/>
      </w:pPr>
      <w:r>
        <w:lastRenderedPageBreak/>
        <w:t>В Программу</w:t>
      </w:r>
      <w:r w:rsidRPr="005E3C7D">
        <w:t xml:space="preserve"> приватизации</w:t>
      </w:r>
      <w:r>
        <w:t xml:space="preserve"> на 2019 год включено следующее имущество</w:t>
      </w:r>
      <w:r w:rsidRPr="005E3C7D">
        <w:t>:</w:t>
      </w:r>
    </w:p>
    <w:p w:rsidR="004B3410" w:rsidRPr="004B3148" w:rsidRDefault="004B3410" w:rsidP="004B3410">
      <w:pPr>
        <w:ind w:firstLine="709"/>
        <w:jc w:val="both"/>
        <w:rPr>
          <w:u w:val="single"/>
        </w:rPr>
      </w:pPr>
      <w:r>
        <w:t>-</w:t>
      </w:r>
      <w:r w:rsidR="009C28BE" w:rsidRPr="00770FEB">
        <w:t xml:space="preserve">пакет акций ОАО «Альянс </w:t>
      </w:r>
      <w:r w:rsidR="009C28BE" w:rsidRPr="00832F14">
        <w:t>Полиграфических предприятий «</w:t>
      </w:r>
      <w:proofErr w:type="spellStart"/>
      <w:r w:rsidR="009C28BE" w:rsidRPr="00832F14">
        <w:t>Югполиграфиздат</w:t>
      </w:r>
      <w:proofErr w:type="spellEnd"/>
      <w:r w:rsidR="009C28BE" w:rsidRPr="00832F14">
        <w:t xml:space="preserve">» (далее </w:t>
      </w:r>
      <w:proofErr w:type="spellStart"/>
      <w:r w:rsidR="009C28BE" w:rsidRPr="00832F14">
        <w:t>Югполиграфиздат</w:t>
      </w:r>
      <w:proofErr w:type="spellEnd"/>
      <w:r w:rsidR="009C28BE" w:rsidRPr="00832F14">
        <w:t xml:space="preserve">) с 25% долей государственной собственности Волгоградской области в уставном капитале номинальной стоимостью 25,6 млн. рублей.  Следует отметить, что  доходы от продажи пакетов акций </w:t>
      </w:r>
      <w:r>
        <w:t xml:space="preserve">данного общества </w:t>
      </w:r>
      <w:r w:rsidR="009C28BE" w:rsidRPr="00832F14">
        <w:t xml:space="preserve">в бюджет Волгоградской области не поступят, так как согласно информации, представленной в </w:t>
      </w:r>
      <w:r>
        <w:t>т</w:t>
      </w:r>
      <w:r w:rsidR="009C28BE" w:rsidRPr="00832F14">
        <w:t>аблице 3, прогнозные поступления составят 0 рублей. Распоряжением Губернатора Волгоградской области от 20.02.</w:t>
      </w:r>
      <w:r>
        <w:t>20</w:t>
      </w:r>
      <w:r w:rsidR="009C28BE" w:rsidRPr="00832F14">
        <w:t>18 №23-р «Об условиях приватизации акций открытого акционерного общества Альянс Полиграфических предприятий «</w:t>
      </w:r>
      <w:proofErr w:type="spellStart"/>
      <w:r w:rsidR="009C28BE" w:rsidRPr="00832F14">
        <w:t>Югполиграфиздат</w:t>
      </w:r>
      <w:proofErr w:type="spellEnd"/>
      <w:r w:rsidR="009C28BE" w:rsidRPr="00832F14">
        <w:t>» была определена начальная цена акций в размере 6,2 млн. руб., а также способ приватизации - посредством продажи на аукционе с открытой формой подачи предложений о цене. Распоряжением Губернатора Волгоградской области от 20.02.</w:t>
      </w:r>
      <w:r>
        <w:t>20</w:t>
      </w:r>
      <w:r w:rsidR="009C28BE" w:rsidRPr="00832F14">
        <w:t>18 №24-р вышеназванное распоряжение было отменено</w:t>
      </w:r>
      <w:proofErr w:type="gramStart"/>
      <w:r w:rsidR="004B3148">
        <w:t>.В</w:t>
      </w:r>
      <w:proofErr w:type="gramEnd"/>
      <w:r w:rsidR="004B3148">
        <w:t xml:space="preserve"> документах, представленных с законопроектом</w:t>
      </w:r>
      <w:r w:rsidR="004B3148" w:rsidRPr="004B3148">
        <w:t>,</w:t>
      </w:r>
      <w:r w:rsidR="009C28BE" w:rsidRPr="004B3148">
        <w:t xml:space="preserve"> пояснени</w:t>
      </w:r>
      <w:r w:rsidR="004B3148">
        <w:t xml:space="preserve">я комитета по управлению государственным имуществом Волгоградской области </w:t>
      </w:r>
      <w:r w:rsidR="009C28BE" w:rsidRPr="004B3148">
        <w:t xml:space="preserve">(далее </w:t>
      </w:r>
      <w:proofErr w:type="spellStart"/>
      <w:r w:rsidR="009C28BE" w:rsidRPr="004B3148">
        <w:t>Облкомимущество</w:t>
      </w:r>
      <w:proofErr w:type="spellEnd"/>
      <w:r w:rsidR="009C28BE" w:rsidRPr="004B3148">
        <w:t xml:space="preserve">) </w:t>
      </w:r>
      <w:r w:rsidR="009C28BE" w:rsidRPr="004B3148">
        <w:rPr>
          <w:u w:val="single"/>
        </w:rPr>
        <w:t>по данному вопросу</w:t>
      </w:r>
      <w:r w:rsidR="004B3148" w:rsidRPr="004B3148">
        <w:rPr>
          <w:u w:val="single"/>
        </w:rPr>
        <w:t xml:space="preserve"> отсутствуют</w:t>
      </w:r>
      <w:r w:rsidR="009C28BE" w:rsidRPr="004B3148">
        <w:rPr>
          <w:u w:val="single"/>
        </w:rPr>
        <w:t>;</w:t>
      </w:r>
    </w:p>
    <w:p w:rsidR="004B3410" w:rsidRDefault="009C28BE" w:rsidP="004B3410">
      <w:pPr>
        <w:ind w:firstLine="709"/>
        <w:jc w:val="both"/>
      </w:pPr>
      <w:r w:rsidRPr="00832F14">
        <w:t>19 объектов движимого имущества общей балансовой стоимостью 177,8 млн. руб. (автотранспортные средства - 17, электропоезд - 2);</w:t>
      </w:r>
    </w:p>
    <w:p w:rsidR="009C28BE" w:rsidRPr="00832F14" w:rsidRDefault="009C28BE" w:rsidP="004B3410">
      <w:pPr>
        <w:ind w:firstLine="709"/>
        <w:jc w:val="both"/>
      </w:pPr>
      <w:r w:rsidRPr="00832F14">
        <w:t>2808 объектов недвижимого имущества, в том числе:</w:t>
      </w:r>
    </w:p>
    <w:p w:rsidR="009C28BE" w:rsidRDefault="004B3410" w:rsidP="009C28BE">
      <w:pPr>
        <w:ind w:firstLine="567"/>
        <w:jc w:val="both"/>
      </w:pPr>
      <w:r>
        <w:tab/>
      </w:r>
      <w:r w:rsidR="009C28BE">
        <w:t xml:space="preserve">- </w:t>
      </w:r>
      <w:r w:rsidR="009C28BE" w:rsidRPr="00770FEB">
        <w:t>14 объектов недвижимого имущества общей балансовой стоимостью 18,4 млн. руб., из которых по 12 объектам продолжается приватизация;</w:t>
      </w:r>
    </w:p>
    <w:p w:rsidR="009C28BE" w:rsidRDefault="004B3410" w:rsidP="009C28BE">
      <w:pPr>
        <w:ind w:firstLine="567"/>
        <w:jc w:val="both"/>
      </w:pPr>
      <w:r>
        <w:tab/>
      </w:r>
      <w:r w:rsidR="009C28BE">
        <w:t>-</w:t>
      </w:r>
      <w:r w:rsidR="009C28BE" w:rsidRPr="00770FEB">
        <w:t>6 комплексов объектов, состоящих в общей сложности из 15 объектов недвижимого имущества общей балансовой стоимостью 12,2 млн. руб., из которых продолжение приватизации осуществляется по четырем комплексам;</w:t>
      </w:r>
    </w:p>
    <w:p w:rsidR="009C28BE" w:rsidRDefault="004B3410" w:rsidP="009C28BE">
      <w:pPr>
        <w:ind w:firstLine="567"/>
        <w:jc w:val="both"/>
      </w:pPr>
      <w:r>
        <w:tab/>
      </w:r>
      <w:r w:rsidR="009C28BE">
        <w:t>-</w:t>
      </w:r>
      <w:r w:rsidR="009C28BE" w:rsidRPr="00770FEB">
        <w:t>1 объект незавершенного строительством здания стоимостью 11,2 млн. руб. (продолжение приватизации);</w:t>
      </w:r>
    </w:p>
    <w:p w:rsidR="009C28BE" w:rsidRDefault="004B3410" w:rsidP="009C28BE">
      <w:pPr>
        <w:ind w:firstLine="567"/>
        <w:jc w:val="both"/>
      </w:pPr>
      <w:r>
        <w:tab/>
      </w:r>
      <w:proofErr w:type="gramStart"/>
      <w:r w:rsidR="009C28BE">
        <w:t>-</w:t>
      </w:r>
      <w:r w:rsidR="009C28BE" w:rsidRPr="00770FEB">
        <w:t>объекты газораспределительной инфраструктуры в количестве 2387 единиц (продолжение приватизации), переданные в собственность Волгоградской области в соответствии с Законом Волгоградской области от 03.12.2015 №204-ОД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полномочий, установленных законодательством РФ»;</w:t>
      </w:r>
      <w:proofErr w:type="gramEnd"/>
    </w:p>
    <w:p w:rsidR="009C28BE" w:rsidRPr="00770FEB" w:rsidRDefault="004B3410" w:rsidP="009C28BE">
      <w:pPr>
        <w:ind w:firstLine="567"/>
        <w:jc w:val="both"/>
      </w:pPr>
      <w:r>
        <w:tab/>
      </w:r>
      <w:proofErr w:type="gramStart"/>
      <w:r w:rsidR="009C28BE">
        <w:t>-</w:t>
      </w:r>
      <w:r w:rsidR="009C28BE" w:rsidRPr="00770FEB">
        <w:t xml:space="preserve">объекты </w:t>
      </w:r>
      <w:proofErr w:type="spellStart"/>
      <w:r w:rsidR="009C28BE" w:rsidRPr="00770FEB">
        <w:t>электросетевого</w:t>
      </w:r>
      <w:proofErr w:type="spellEnd"/>
      <w:r w:rsidR="009C28BE" w:rsidRPr="00770FEB">
        <w:t xml:space="preserve"> хозяйства в количестве 400 единиц, переданные в собственность Волгоградской области в соответствии с Законом Волгоградской области от 28.12.2015 №223-ОД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 законодательством Российской Федерации»</w:t>
      </w:r>
      <w:r w:rsidR="009C28BE">
        <w:t>.</w:t>
      </w:r>
      <w:proofErr w:type="gramEnd"/>
    </w:p>
    <w:p w:rsidR="009C28BE" w:rsidRPr="00832F14" w:rsidRDefault="009C28BE" w:rsidP="009C28BE">
      <w:pPr>
        <w:ind w:firstLine="709"/>
        <w:jc w:val="both"/>
        <w:rPr>
          <w:rFonts w:eastAsia="Calibri"/>
        </w:rPr>
      </w:pPr>
      <w:r w:rsidRPr="00832F14">
        <w:t xml:space="preserve">Следует отметить, что приватизация объектов газораспределительной инфраструктуры и </w:t>
      </w:r>
      <w:proofErr w:type="spellStart"/>
      <w:r w:rsidRPr="00832F14">
        <w:t>электросетевого</w:t>
      </w:r>
      <w:proofErr w:type="spellEnd"/>
      <w:r w:rsidRPr="00832F14">
        <w:t xml:space="preserve"> хозяйства продолжается </w:t>
      </w:r>
      <w:r w:rsidR="004B3410">
        <w:t xml:space="preserve">в Волгоградской области </w:t>
      </w:r>
      <w:r w:rsidRPr="00832F14">
        <w:t>с 2017 года (в Программу приватизации на 2017</w:t>
      </w:r>
      <w:r w:rsidR="004B3410">
        <w:t>-</w:t>
      </w:r>
      <w:r w:rsidRPr="00832F14">
        <w:t xml:space="preserve">2019 годы было включено 1635 объектов газораспределительной инфраструктуры и 100 объектов </w:t>
      </w:r>
      <w:proofErr w:type="spellStart"/>
      <w:r w:rsidRPr="00832F14">
        <w:t>электросетевого</w:t>
      </w:r>
      <w:proofErr w:type="spellEnd"/>
      <w:r w:rsidRPr="00832F14">
        <w:t xml:space="preserve"> хозяйства).  В настоящее время указанные объекты числятся на балансе  ГБУ «Волгоградский центр </w:t>
      </w:r>
      <w:proofErr w:type="spellStart"/>
      <w:r w:rsidRPr="00832F14">
        <w:t>энергоэффективности</w:t>
      </w:r>
      <w:proofErr w:type="spellEnd"/>
      <w:r w:rsidRPr="00832F14">
        <w:t>»,</w:t>
      </w:r>
      <w:r w:rsidRPr="00832F14">
        <w:rPr>
          <w:rFonts w:eastAsia="Calibri"/>
        </w:rPr>
        <w:t xml:space="preserve"> которым объекты газификации переданы в аренду ООО «Газпром газораспределение Волгоград»</w:t>
      </w:r>
      <w:r w:rsidR="004B3148">
        <w:rPr>
          <w:rFonts w:eastAsia="Calibri"/>
        </w:rPr>
        <w:t>;</w:t>
      </w:r>
    </w:p>
    <w:p w:rsidR="009C28BE" w:rsidRPr="008B10D6" w:rsidRDefault="008B10D6" w:rsidP="008B10D6">
      <w:pPr>
        <w:ind w:firstLine="708"/>
        <w:jc w:val="both"/>
        <w:rPr>
          <w:szCs w:val="28"/>
        </w:rPr>
      </w:pPr>
      <w:r>
        <w:t>-</w:t>
      </w:r>
      <w:r w:rsidR="009C28BE" w:rsidRPr="00770FEB">
        <w:t>создание трех обществ с ограниченной ответственностью путем преобразования унитарных предприятий (продолжение приватизации) ГУП «</w:t>
      </w:r>
      <w:proofErr w:type="spellStart"/>
      <w:r w:rsidR="009C28BE" w:rsidRPr="00770FEB">
        <w:t>Волгофарм</w:t>
      </w:r>
      <w:proofErr w:type="spellEnd"/>
      <w:r w:rsidR="009C28BE" w:rsidRPr="00770FEB">
        <w:t>», ГУП «</w:t>
      </w:r>
      <w:proofErr w:type="spellStart"/>
      <w:r w:rsidR="009C28BE" w:rsidRPr="00770FEB">
        <w:t>Волгоградвзрывпром</w:t>
      </w:r>
      <w:proofErr w:type="spellEnd"/>
      <w:r w:rsidR="009C28BE" w:rsidRPr="00770FEB">
        <w:t xml:space="preserve">» и ГУП «Волгоградское областное сельскохозяйственное предприятие «Заря» общей балансовой стоимостью 794,9 млн. </w:t>
      </w:r>
      <w:r w:rsidR="009C28BE" w:rsidRPr="00832F14">
        <w:t>рублей. Процесс приватизации вышеназванных унитарных предприятий осуществляется с 2018 года</w:t>
      </w:r>
      <w:r w:rsidR="004B3148">
        <w:t>.</w:t>
      </w:r>
      <w:r w:rsidR="009C28BE" w:rsidRPr="00832F14">
        <w:t xml:space="preserve"> </w:t>
      </w:r>
    </w:p>
    <w:p w:rsidR="009C28BE" w:rsidRPr="00770FEB" w:rsidRDefault="009C28BE" w:rsidP="009C28BE">
      <w:pPr>
        <w:pStyle w:val="Default"/>
        <w:ind w:firstLine="680"/>
        <w:jc w:val="both"/>
      </w:pPr>
      <w:r w:rsidRPr="00770FEB">
        <w:t>Одновременно с законопроектом представлены сведения о финансовых показателях деятельности унитарных предприятий за два предшествовавших года.</w:t>
      </w:r>
    </w:p>
    <w:p w:rsidR="009C28BE" w:rsidRDefault="009C28BE" w:rsidP="009C28BE">
      <w:pPr>
        <w:jc w:val="both"/>
      </w:pPr>
      <w:r w:rsidRPr="00770FEB">
        <w:lastRenderedPageBreak/>
        <w:tab/>
        <w:t>Согласно финансовым показателям деятельности унитарных</w:t>
      </w:r>
      <w:r w:rsidRPr="006B2711">
        <w:t xml:space="preserve"> предприятий наибольший объем прибыли, подлежащей перечислению в областной бюджет по итогам деятельности за 2017 год</w:t>
      </w:r>
      <w:r w:rsidR="008B10D6">
        <w:t>,</w:t>
      </w:r>
      <w:r w:rsidRPr="006B2711">
        <w:t xml:space="preserve"> произведен ГУП «</w:t>
      </w:r>
      <w:proofErr w:type="spellStart"/>
      <w:r w:rsidRPr="006B2711">
        <w:t>Волгофарм</w:t>
      </w:r>
      <w:proofErr w:type="spellEnd"/>
      <w:r w:rsidRPr="006B2711">
        <w:t xml:space="preserve">» </w:t>
      </w:r>
      <w:r w:rsidR="008B10D6">
        <w:t xml:space="preserve">- </w:t>
      </w:r>
      <w:r w:rsidRPr="006B2711">
        <w:t>в размере 34,6 млн.</w:t>
      </w:r>
      <w:r w:rsidR="008B10D6">
        <w:t xml:space="preserve"> </w:t>
      </w:r>
      <w:r w:rsidRPr="006B2711">
        <w:t>руб. (ГУП «Волгоградское областное сельскохозяйственное предприятие «Заря» - 8,9 млн.</w:t>
      </w:r>
      <w:r w:rsidR="008B10D6">
        <w:t xml:space="preserve"> </w:t>
      </w:r>
      <w:r w:rsidRPr="006B2711">
        <w:t>руб.</w:t>
      </w:r>
      <w:r w:rsidR="008B10D6">
        <w:t xml:space="preserve">, </w:t>
      </w:r>
      <w:r w:rsidR="008B10D6" w:rsidRPr="006B2711">
        <w:t>ГУП «</w:t>
      </w:r>
      <w:proofErr w:type="spellStart"/>
      <w:r w:rsidR="008B10D6" w:rsidRPr="006B2711">
        <w:t>Волгоградвзрывпром</w:t>
      </w:r>
      <w:proofErr w:type="spellEnd"/>
      <w:r w:rsidR="008B10D6" w:rsidRPr="006B2711">
        <w:t>» - 0,2 млн.</w:t>
      </w:r>
      <w:r w:rsidR="008B10D6">
        <w:t xml:space="preserve"> руб.</w:t>
      </w:r>
      <w:r w:rsidRPr="006B2711">
        <w:t>).</w:t>
      </w:r>
    </w:p>
    <w:p w:rsidR="005E3C7D" w:rsidRDefault="005E3C7D" w:rsidP="00EA2C21">
      <w:pPr>
        <w:ind w:firstLine="708"/>
        <w:jc w:val="center"/>
        <w:rPr>
          <w:b/>
          <w:i/>
        </w:rPr>
      </w:pPr>
    </w:p>
    <w:p w:rsidR="00EA2C21" w:rsidRPr="00A17948" w:rsidRDefault="00666551" w:rsidP="00EA2C21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>
        <w:rPr>
          <w:b/>
          <w:i/>
        </w:rPr>
        <w:t>7</w:t>
      </w:r>
      <w:r w:rsidR="00EA2C21">
        <w:rPr>
          <w:b/>
          <w:i/>
        </w:rPr>
        <w:t xml:space="preserve">. </w:t>
      </w:r>
      <w:r w:rsidR="00EA2C21" w:rsidRPr="00A17948">
        <w:rPr>
          <w:b/>
          <w:i/>
        </w:rPr>
        <w:t xml:space="preserve">Распределение средств областных фондов </w:t>
      </w:r>
    </w:p>
    <w:p w:rsidR="00EA2C21" w:rsidRDefault="00EA2C21" w:rsidP="00EA2C21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A17948">
        <w:rPr>
          <w:b/>
          <w:i/>
        </w:rPr>
        <w:t>финансовой поддержки поселений, муниципальных районов (городских округов), иных дотаций, субвенций и субсидий из областного бюджета</w:t>
      </w:r>
      <w:r>
        <w:rPr>
          <w:b/>
          <w:i/>
        </w:rPr>
        <w:t>.</w:t>
      </w:r>
    </w:p>
    <w:p w:rsidR="0088718A" w:rsidRDefault="0088718A" w:rsidP="00EA2C21">
      <w:pPr>
        <w:autoSpaceDE w:val="0"/>
        <w:autoSpaceDN w:val="0"/>
        <w:adjustRightInd w:val="0"/>
        <w:ind w:firstLine="720"/>
        <w:jc w:val="center"/>
        <w:rPr>
          <w:b/>
          <w:i/>
        </w:rPr>
      </w:pPr>
    </w:p>
    <w:p w:rsidR="00AA2027" w:rsidRPr="00607C65" w:rsidRDefault="00AA2027" w:rsidP="00AA2027">
      <w:pPr>
        <w:ind w:firstLine="851"/>
        <w:jc w:val="both"/>
      </w:pPr>
      <w:r>
        <w:t>В соответствии с п</w:t>
      </w:r>
      <w:r w:rsidRPr="003B63C8">
        <w:t xml:space="preserve">риложением 20 </w:t>
      </w:r>
      <w:r w:rsidRPr="00DF49F0">
        <w:t xml:space="preserve">к законопроекту </w:t>
      </w:r>
      <w:r w:rsidRPr="007E3713">
        <w:t>между бюджетами муниципальных о</w:t>
      </w:r>
      <w:r>
        <w:t xml:space="preserve">бразований </w:t>
      </w:r>
      <w:proofErr w:type="gramStart"/>
      <w:r w:rsidRPr="00762206">
        <w:rPr>
          <w:color w:val="000000" w:themeColor="text1"/>
        </w:rPr>
        <w:t>распределены</w:t>
      </w:r>
      <w:proofErr w:type="gramEnd"/>
      <w:r w:rsidRPr="00762206">
        <w:rPr>
          <w:color w:val="000000" w:themeColor="text1"/>
        </w:rPr>
        <w:t xml:space="preserve"> 45 из 76 видов межбюджетных</w:t>
      </w:r>
      <w:r w:rsidRPr="007E3713">
        <w:t xml:space="preserve"> трансфертов в общей </w:t>
      </w:r>
      <w:r w:rsidRPr="00B307C1">
        <w:t xml:space="preserve">сумме </w:t>
      </w:r>
      <w:r>
        <w:rPr>
          <w:color w:val="000000" w:themeColor="text1"/>
        </w:rPr>
        <w:t>25</w:t>
      </w:r>
      <w:r w:rsidRPr="00013D9F">
        <w:rPr>
          <w:color w:val="000000" w:themeColor="text1"/>
        </w:rPr>
        <w:t xml:space="preserve">785,2 млн. руб., что составляет </w:t>
      </w:r>
      <w:r w:rsidR="00C67CA6">
        <w:rPr>
          <w:color w:val="000000" w:themeColor="text1"/>
        </w:rPr>
        <w:t>8</w:t>
      </w:r>
      <w:r w:rsidRPr="00013D9F">
        <w:rPr>
          <w:color w:val="000000" w:themeColor="text1"/>
        </w:rPr>
        <w:t>9,</w:t>
      </w:r>
      <w:r w:rsidR="00C67CA6">
        <w:rPr>
          <w:color w:val="000000" w:themeColor="text1"/>
        </w:rPr>
        <w:t>4</w:t>
      </w:r>
      <w:r w:rsidRPr="00013D9F">
        <w:rPr>
          <w:color w:val="000000" w:themeColor="text1"/>
        </w:rPr>
        <w:t>% от</w:t>
      </w:r>
      <w:r>
        <w:t xml:space="preserve"> предусмотренного на 2019</w:t>
      </w:r>
      <w:r w:rsidRPr="007E3713">
        <w:t xml:space="preserve"> год объема межбюджетных трансфертов </w:t>
      </w:r>
      <w:r w:rsidRPr="00607C65">
        <w:t>(</w:t>
      </w:r>
      <w:r w:rsidRPr="00013D9F">
        <w:rPr>
          <w:color w:val="000000" w:themeColor="text1"/>
        </w:rPr>
        <w:t>2</w:t>
      </w:r>
      <w:r>
        <w:rPr>
          <w:color w:val="000000" w:themeColor="text1"/>
        </w:rPr>
        <w:t>8</w:t>
      </w:r>
      <w:r w:rsidR="00C67CA6">
        <w:rPr>
          <w:color w:val="000000" w:themeColor="text1"/>
        </w:rPr>
        <w:t>827,</w:t>
      </w:r>
      <w:r w:rsidRPr="00013D9F">
        <w:rPr>
          <w:color w:val="000000" w:themeColor="text1"/>
        </w:rPr>
        <w:t>3</w:t>
      </w:r>
      <w:r>
        <w:rPr>
          <w:color w:val="1F497D" w:themeColor="text2"/>
        </w:rPr>
        <w:t xml:space="preserve"> </w:t>
      </w:r>
      <w:r w:rsidRPr="00D804F8">
        <w:t>млн. руб.).</w:t>
      </w:r>
    </w:p>
    <w:p w:rsidR="00AA2027" w:rsidRDefault="00AA2027" w:rsidP="00AA2027">
      <w:pPr>
        <w:ind w:firstLine="720"/>
        <w:jc w:val="both"/>
      </w:pPr>
    </w:p>
    <w:tbl>
      <w:tblPr>
        <w:tblStyle w:val="af7"/>
        <w:tblW w:w="0" w:type="auto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29"/>
        <w:gridCol w:w="1729"/>
        <w:gridCol w:w="1157"/>
        <w:gridCol w:w="1188"/>
        <w:gridCol w:w="1225"/>
        <w:gridCol w:w="1077"/>
        <w:gridCol w:w="1151"/>
        <w:gridCol w:w="933"/>
      </w:tblGrid>
      <w:tr w:rsidR="00AA2027" w:rsidRPr="00D804F8" w:rsidTr="0039030F">
        <w:trPr>
          <w:jc w:val="center"/>
        </w:trPr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0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Иные</w:t>
            </w: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center"/>
              <w:rPr>
                <w:b/>
                <w:sz w:val="20"/>
                <w:szCs w:val="20"/>
              </w:rPr>
            </w:pPr>
            <w:r w:rsidRPr="00D804F8">
              <w:rPr>
                <w:b/>
                <w:sz w:val="20"/>
                <w:szCs w:val="20"/>
              </w:rPr>
              <w:t>%</w:t>
            </w:r>
          </w:p>
        </w:tc>
      </w:tr>
      <w:tr w:rsidR="00AA2027" w:rsidRPr="00D804F8" w:rsidTr="0039030F">
        <w:trPr>
          <w:jc w:val="center"/>
        </w:trPr>
        <w:tc>
          <w:tcPr>
            <w:tcW w:w="12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027" w:rsidRPr="00D804F8" w:rsidRDefault="00AA2027" w:rsidP="0039030F">
            <w:pPr>
              <w:jc w:val="center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 xml:space="preserve">Объем, </w:t>
            </w:r>
          </w:p>
          <w:p w:rsidR="00AA2027" w:rsidRPr="00D804F8" w:rsidRDefault="00AA2027" w:rsidP="0039030F">
            <w:pPr>
              <w:jc w:val="center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млн. руб.</w:t>
            </w:r>
          </w:p>
        </w:tc>
        <w:tc>
          <w:tcPr>
            <w:tcW w:w="1742" w:type="dxa"/>
            <w:tcBorders>
              <w:top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Распределено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</w:tcBorders>
          </w:tcPr>
          <w:p w:rsidR="00AA2027" w:rsidRPr="009E3AD9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9E3AD9">
              <w:rPr>
                <w:color w:val="000000" w:themeColor="text1"/>
                <w:sz w:val="20"/>
                <w:szCs w:val="20"/>
              </w:rPr>
              <w:t>122,0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13D9F">
              <w:rPr>
                <w:color w:val="000000" w:themeColor="text1"/>
                <w:sz w:val="20"/>
                <w:szCs w:val="20"/>
              </w:rPr>
              <w:t>015,8</w:t>
            </w:r>
          </w:p>
        </w:tc>
        <w:tc>
          <w:tcPr>
            <w:tcW w:w="1225" w:type="dxa"/>
            <w:tcBorders>
              <w:top w:val="double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D9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013D9F">
              <w:rPr>
                <w:color w:val="000000" w:themeColor="text1"/>
                <w:sz w:val="20"/>
                <w:szCs w:val="20"/>
              </w:rPr>
              <w:t>390,0</w:t>
            </w:r>
          </w:p>
        </w:tc>
        <w:tc>
          <w:tcPr>
            <w:tcW w:w="1090" w:type="dxa"/>
            <w:tcBorders>
              <w:top w:val="double" w:sz="4" w:space="0" w:color="auto"/>
              <w:right w:val="double" w:sz="4" w:space="0" w:color="auto"/>
            </w:tcBorders>
          </w:tcPr>
          <w:p w:rsidR="00AA2027" w:rsidRPr="00B01B50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B50">
              <w:rPr>
                <w:color w:val="000000" w:themeColor="text1"/>
                <w:sz w:val="20"/>
                <w:szCs w:val="20"/>
              </w:rPr>
              <w:t>257,4</w:t>
            </w: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</w:tcPr>
          <w:p w:rsidR="00AA2027" w:rsidRPr="00B01B50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B50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B01B50">
              <w:rPr>
                <w:color w:val="000000" w:themeColor="text1"/>
                <w:sz w:val="20"/>
                <w:szCs w:val="20"/>
              </w:rPr>
              <w:t>785,2</w:t>
            </w:r>
          </w:p>
        </w:tc>
        <w:tc>
          <w:tcPr>
            <w:tcW w:w="947" w:type="dxa"/>
            <w:tcBorders>
              <w:top w:val="double" w:sz="4" w:space="0" w:color="auto"/>
              <w:right w:val="double" w:sz="4" w:space="0" w:color="auto"/>
            </w:tcBorders>
          </w:tcPr>
          <w:p w:rsidR="00AA2027" w:rsidRPr="00B01B50" w:rsidRDefault="00C67CA6" w:rsidP="00C67C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A2027" w:rsidRPr="00B01B50">
              <w:rPr>
                <w:color w:val="000000" w:themeColor="text1"/>
                <w:sz w:val="20"/>
                <w:szCs w:val="20"/>
              </w:rPr>
              <w:t>9,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AA2027" w:rsidRPr="00D804F8" w:rsidTr="0039030F">
        <w:trPr>
          <w:jc w:val="center"/>
        </w:trPr>
        <w:tc>
          <w:tcPr>
            <w:tcW w:w="1230" w:type="dxa"/>
            <w:vMerge/>
            <w:tcBorders>
              <w:lef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не распределено</w:t>
            </w:r>
          </w:p>
        </w:tc>
        <w:tc>
          <w:tcPr>
            <w:tcW w:w="1163" w:type="dxa"/>
            <w:tcBorders>
              <w:left w:val="double" w:sz="4" w:space="0" w:color="auto"/>
              <w:bottom w:val="dotted" w:sz="4" w:space="0" w:color="auto"/>
            </w:tcBorders>
          </w:tcPr>
          <w:p w:rsidR="00AA2027" w:rsidRPr="009E3AD9" w:rsidRDefault="00EE272F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670</w:t>
            </w:r>
            <w:r w:rsidR="00AA2027" w:rsidRPr="00F4244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013D9F">
              <w:rPr>
                <w:color w:val="000000" w:themeColor="text1"/>
                <w:sz w:val="20"/>
                <w:szCs w:val="20"/>
              </w:rPr>
              <w:t>313,1</w:t>
            </w:r>
          </w:p>
        </w:tc>
        <w:tc>
          <w:tcPr>
            <w:tcW w:w="1225" w:type="dxa"/>
            <w:tcBorders>
              <w:bottom w:val="dotted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1090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B01B50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B50">
              <w:rPr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158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B01B50" w:rsidRDefault="00EE272F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3042,1</w:t>
            </w:r>
          </w:p>
        </w:tc>
        <w:tc>
          <w:tcPr>
            <w:tcW w:w="947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B01B50" w:rsidRDefault="00C67CA6" w:rsidP="00C67C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AA2027" w:rsidRPr="00B01B5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AA2027" w:rsidRPr="00D804F8" w:rsidTr="0039030F">
        <w:trPr>
          <w:jc w:val="center"/>
        </w:trPr>
        <w:tc>
          <w:tcPr>
            <w:tcW w:w="123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left w:val="double" w:sz="4" w:space="0" w:color="auto"/>
              <w:bottom w:val="single" w:sz="4" w:space="0" w:color="auto"/>
            </w:tcBorders>
          </w:tcPr>
          <w:p w:rsidR="00AA2027" w:rsidRPr="009E3AD9" w:rsidRDefault="00AA2027" w:rsidP="00EE27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3AD9">
              <w:rPr>
                <w:color w:val="000000" w:themeColor="text1"/>
                <w:sz w:val="20"/>
                <w:szCs w:val="20"/>
              </w:rPr>
              <w:t>1</w:t>
            </w:r>
            <w:r w:rsidR="00EE272F">
              <w:rPr>
                <w:color w:val="000000" w:themeColor="text1"/>
                <w:sz w:val="20"/>
                <w:szCs w:val="20"/>
              </w:rPr>
              <w:t>79</w:t>
            </w:r>
            <w:r w:rsidRPr="009E3AD9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013D9F">
              <w:rPr>
                <w:color w:val="000000" w:themeColor="text1"/>
                <w:sz w:val="20"/>
                <w:szCs w:val="20"/>
              </w:rPr>
              <w:t>328,9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A2027" w:rsidRPr="00013D9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D9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013D9F">
              <w:rPr>
                <w:color w:val="000000" w:themeColor="text1"/>
                <w:sz w:val="20"/>
                <w:szCs w:val="20"/>
              </w:rPr>
              <w:t>444,5</w:t>
            </w:r>
          </w:p>
        </w:tc>
        <w:tc>
          <w:tcPr>
            <w:tcW w:w="1090" w:type="dxa"/>
            <w:tcBorders>
              <w:bottom w:val="single" w:sz="4" w:space="0" w:color="auto"/>
              <w:right w:val="double" w:sz="4" w:space="0" w:color="auto"/>
            </w:tcBorders>
          </w:tcPr>
          <w:p w:rsidR="00AA2027" w:rsidRPr="00B01B50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B50">
              <w:rPr>
                <w:color w:val="000000" w:themeColor="text1"/>
                <w:sz w:val="20"/>
                <w:szCs w:val="20"/>
              </w:rPr>
              <w:t>261,9</w:t>
            </w:r>
          </w:p>
        </w:tc>
        <w:tc>
          <w:tcPr>
            <w:tcW w:w="1158" w:type="dxa"/>
            <w:tcBorders>
              <w:bottom w:val="single" w:sz="4" w:space="0" w:color="auto"/>
              <w:right w:val="double" w:sz="4" w:space="0" w:color="auto"/>
            </w:tcBorders>
          </w:tcPr>
          <w:p w:rsidR="00AA2027" w:rsidRPr="00B01B50" w:rsidRDefault="00AA2027" w:rsidP="00EE27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EE272F">
              <w:rPr>
                <w:color w:val="000000" w:themeColor="text1"/>
                <w:sz w:val="20"/>
                <w:szCs w:val="20"/>
              </w:rPr>
              <w:t>827,3</w:t>
            </w:r>
          </w:p>
        </w:tc>
        <w:tc>
          <w:tcPr>
            <w:tcW w:w="947" w:type="dxa"/>
            <w:tcBorders>
              <w:bottom w:val="single" w:sz="4" w:space="0" w:color="auto"/>
              <w:right w:val="double" w:sz="4" w:space="0" w:color="auto"/>
            </w:tcBorders>
          </w:tcPr>
          <w:p w:rsidR="00AA2027" w:rsidRPr="00B01B50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B50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AA2027" w:rsidRPr="00D804F8" w:rsidTr="0039030F">
        <w:trPr>
          <w:jc w:val="center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vAlign w:val="center"/>
          </w:tcPr>
          <w:p w:rsidR="00AA2027" w:rsidRPr="00D804F8" w:rsidRDefault="00AA2027" w:rsidP="0039030F">
            <w:pPr>
              <w:jc w:val="center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Количество видов</w:t>
            </w:r>
          </w:p>
        </w:tc>
        <w:tc>
          <w:tcPr>
            <w:tcW w:w="1742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Распределено</w:t>
            </w:r>
          </w:p>
        </w:tc>
        <w:tc>
          <w:tcPr>
            <w:tcW w:w="1163" w:type="dxa"/>
            <w:tcBorders>
              <w:left w:val="double" w:sz="4" w:space="0" w:color="auto"/>
              <w:bottom w:val="dotted" w:sz="4" w:space="0" w:color="auto"/>
            </w:tcBorders>
          </w:tcPr>
          <w:p w:rsidR="00AA2027" w:rsidRPr="009E3AD9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3AD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AA2027" w:rsidRPr="0012164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64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25" w:type="dxa"/>
            <w:tcBorders>
              <w:bottom w:val="dotted" w:sz="4" w:space="0" w:color="auto"/>
            </w:tcBorders>
          </w:tcPr>
          <w:p w:rsidR="00AA2027" w:rsidRPr="000C2F0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2F0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FB66B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66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47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59,2</w:t>
            </w:r>
          </w:p>
        </w:tc>
      </w:tr>
      <w:tr w:rsidR="00AA2027" w:rsidRPr="00D804F8" w:rsidTr="0039030F">
        <w:trPr>
          <w:jc w:val="center"/>
        </w:trPr>
        <w:tc>
          <w:tcPr>
            <w:tcW w:w="1230" w:type="dxa"/>
            <w:vMerge/>
            <w:tcBorders>
              <w:lef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не распределено</w:t>
            </w:r>
          </w:p>
        </w:tc>
        <w:tc>
          <w:tcPr>
            <w:tcW w:w="1163" w:type="dxa"/>
            <w:tcBorders>
              <w:left w:val="double" w:sz="4" w:space="0" w:color="auto"/>
              <w:bottom w:val="dotted" w:sz="4" w:space="0" w:color="auto"/>
            </w:tcBorders>
          </w:tcPr>
          <w:p w:rsidR="00AA2027" w:rsidRPr="009E3AD9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3AD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AA2027" w:rsidRPr="0012164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64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25" w:type="dxa"/>
            <w:tcBorders>
              <w:bottom w:val="dotted" w:sz="4" w:space="0" w:color="auto"/>
            </w:tcBorders>
          </w:tcPr>
          <w:p w:rsidR="00AA2027" w:rsidRPr="000C2F0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2F0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FB66B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66B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47" w:type="dxa"/>
            <w:tcBorders>
              <w:bottom w:val="dotted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40,8</w:t>
            </w:r>
          </w:p>
        </w:tc>
      </w:tr>
      <w:tr w:rsidR="00AA2027" w:rsidRPr="00E02F9B" w:rsidTr="0039030F">
        <w:trPr>
          <w:jc w:val="center"/>
        </w:trPr>
        <w:tc>
          <w:tcPr>
            <w:tcW w:w="12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double" w:sz="4" w:space="0" w:color="auto"/>
              <w:right w:val="double" w:sz="4" w:space="0" w:color="auto"/>
            </w:tcBorders>
          </w:tcPr>
          <w:p w:rsidR="00AA2027" w:rsidRPr="00D804F8" w:rsidRDefault="00AA2027" w:rsidP="0039030F">
            <w:pPr>
              <w:jc w:val="both"/>
              <w:rPr>
                <w:sz w:val="20"/>
                <w:szCs w:val="20"/>
              </w:rPr>
            </w:pPr>
            <w:r w:rsidRPr="00D804F8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left w:val="double" w:sz="4" w:space="0" w:color="auto"/>
              <w:bottom w:val="double" w:sz="4" w:space="0" w:color="auto"/>
            </w:tcBorders>
          </w:tcPr>
          <w:p w:rsidR="00AA2027" w:rsidRPr="009E3AD9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3AD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AA2027" w:rsidRPr="0012164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64F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25" w:type="dxa"/>
            <w:tcBorders>
              <w:bottom w:val="double" w:sz="4" w:space="0" w:color="auto"/>
            </w:tcBorders>
          </w:tcPr>
          <w:p w:rsidR="00AA2027" w:rsidRPr="0012164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64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bottom w:val="double" w:sz="4" w:space="0" w:color="auto"/>
              <w:right w:val="double" w:sz="4" w:space="0" w:color="auto"/>
            </w:tcBorders>
          </w:tcPr>
          <w:p w:rsidR="00AA2027" w:rsidRPr="00FB66BF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66B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947" w:type="dxa"/>
            <w:tcBorders>
              <w:bottom w:val="double" w:sz="4" w:space="0" w:color="auto"/>
              <w:right w:val="double" w:sz="4" w:space="0" w:color="auto"/>
            </w:tcBorders>
          </w:tcPr>
          <w:p w:rsidR="00AA2027" w:rsidRPr="00762206" w:rsidRDefault="00AA2027" w:rsidP="00390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206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AA2027" w:rsidRDefault="00AA2027" w:rsidP="00AA2027">
      <w:pPr>
        <w:jc w:val="both"/>
      </w:pPr>
    </w:p>
    <w:p w:rsidR="00AA2027" w:rsidRPr="007E3713" w:rsidRDefault="00AA2027" w:rsidP="00AA2027">
      <w:pPr>
        <w:autoSpaceDE w:val="0"/>
        <w:autoSpaceDN w:val="0"/>
        <w:adjustRightInd w:val="0"/>
        <w:ind w:firstLine="851"/>
        <w:jc w:val="both"/>
        <w:outlineLvl w:val="1"/>
        <w:rPr>
          <w:b/>
          <w:i/>
          <w:u w:val="single"/>
        </w:rPr>
      </w:pPr>
      <w:r w:rsidRPr="007E3713">
        <w:rPr>
          <w:b/>
          <w:i/>
          <w:u w:val="single"/>
        </w:rPr>
        <w:t>Дотации:</w:t>
      </w:r>
    </w:p>
    <w:p w:rsidR="00AA2027" w:rsidRPr="007E3713" w:rsidRDefault="00AA2027" w:rsidP="00AA2027">
      <w:pPr>
        <w:autoSpaceDE w:val="0"/>
        <w:autoSpaceDN w:val="0"/>
        <w:adjustRightInd w:val="0"/>
        <w:ind w:firstLine="851"/>
        <w:jc w:val="both"/>
        <w:outlineLvl w:val="1"/>
      </w:pPr>
      <w:r w:rsidRPr="00D804F8">
        <w:t xml:space="preserve">Законопроектом объем дотаций </w:t>
      </w:r>
      <w:r>
        <w:t>муниципальным образованиям на 2019</w:t>
      </w:r>
      <w:r w:rsidRPr="00D804F8">
        <w:t xml:space="preserve"> год п</w:t>
      </w:r>
      <w:r>
        <w:t>редусмотрен в общей сумме 1</w:t>
      </w:r>
      <w:r w:rsidR="0010185B">
        <w:t>79</w:t>
      </w:r>
      <w:r>
        <w:t>2 млн. руб., из них 1122</w:t>
      </w:r>
      <w:r w:rsidRPr="00D804F8">
        <w:t xml:space="preserve"> млн. руб. </w:t>
      </w:r>
      <w:r>
        <w:t>-</w:t>
      </w:r>
      <w:r w:rsidRPr="00D804F8">
        <w:t xml:space="preserve"> дотации на выравнивание бюджетной обеспеченности</w:t>
      </w:r>
      <w:r w:rsidR="00E13C78">
        <w:t>,</w:t>
      </w:r>
      <w:r>
        <w:t xml:space="preserve"> </w:t>
      </w:r>
      <w:r w:rsidR="0010185B">
        <w:t>67</w:t>
      </w:r>
      <w:r>
        <w:t>0</w:t>
      </w:r>
      <w:r w:rsidRPr="00D804F8">
        <w:t xml:space="preserve"> млн. руб. - дотации на поддержку мер по обеспечению сбалансированности местных бюджетов.</w:t>
      </w:r>
    </w:p>
    <w:p w:rsidR="00AA2027" w:rsidRPr="007E3713" w:rsidRDefault="00AA2027" w:rsidP="00AA2027">
      <w:pPr>
        <w:autoSpaceDE w:val="0"/>
        <w:autoSpaceDN w:val="0"/>
        <w:adjustRightInd w:val="0"/>
        <w:ind w:firstLine="851"/>
        <w:jc w:val="both"/>
        <w:outlineLvl w:val="1"/>
      </w:pPr>
      <w:r w:rsidRPr="007E3713">
        <w:t>Распределение средств областных фондов финансовой поддержки поселений</w:t>
      </w:r>
      <w:r w:rsidRPr="007E3713">
        <w:rPr>
          <w:b/>
          <w:i/>
        </w:rPr>
        <w:t xml:space="preserve"> </w:t>
      </w:r>
      <w:r w:rsidRPr="007E3713">
        <w:t>(</w:t>
      </w:r>
      <w:r w:rsidRPr="007E3713">
        <w:rPr>
          <w:i/>
        </w:rPr>
        <w:t xml:space="preserve">ФФПП (в части городских округов), ФФПП (в части городских и сельских поселений)) </w:t>
      </w:r>
      <w:r w:rsidRPr="007E3713">
        <w:t>и муниципальных районов (городских округов) (</w:t>
      </w:r>
      <w:r w:rsidRPr="007E3713">
        <w:rPr>
          <w:i/>
        </w:rPr>
        <w:t>ФФП М</w:t>
      </w:r>
      <w:proofErr w:type="gramStart"/>
      <w:r w:rsidRPr="007E3713">
        <w:rPr>
          <w:i/>
        </w:rPr>
        <w:t>Р(</w:t>
      </w:r>
      <w:proofErr w:type="gramEnd"/>
      <w:r w:rsidRPr="007E3713">
        <w:rPr>
          <w:i/>
        </w:rPr>
        <w:t>ГО))</w:t>
      </w:r>
      <w:r w:rsidRPr="007E3713">
        <w:t xml:space="preserve"> осуществлялось по методикам, утвержденным Законом Волгоградской области </w:t>
      </w:r>
      <w:r w:rsidRPr="007E3713">
        <w:rPr>
          <w:bCs/>
        </w:rPr>
        <w:t xml:space="preserve">от 26.07.2005 №1093-ОД «О межбюджетных отношениях </w:t>
      </w:r>
      <w:r w:rsidRPr="007E3713">
        <w:t>в Волгоградской области»</w:t>
      </w:r>
      <w:r>
        <w:t xml:space="preserve"> (далее Закон </w:t>
      </w:r>
      <w:r w:rsidRPr="001925DA">
        <w:t>о межбюджетных отношениях №1093-ОД</w:t>
      </w:r>
      <w:r>
        <w:t>)</w:t>
      </w:r>
      <w:r w:rsidRPr="007E3713">
        <w:t>.</w:t>
      </w:r>
    </w:p>
    <w:p w:rsidR="00AA2027" w:rsidRPr="007E3713" w:rsidRDefault="00AA2027" w:rsidP="00AA2027">
      <w:pPr>
        <w:ind w:firstLine="851"/>
        <w:jc w:val="both"/>
      </w:pPr>
      <w:r w:rsidRPr="007E3713">
        <w:t xml:space="preserve">Расчетные дотации из </w:t>
      </w:r>
      <w:r w:rsidRPr="007E3713">
        <w:rPr>
          <w:i/>
          <w:u w:val="single"/>
        </w:rPr>
        <w:t>ФФПП (в части городских округов)</w:t>
      </w:r>
      <w:r>
        <w:t xml:space="preserve"> в 2019</w:t>
      </w:r>
      <w:r w:rsidRPr="007E3713">
        <w:t xml:space="preserve"> год</w:t>
      </w:r>
      <w:r>
        <w:t>у определены в общей сумме 688,7</w:t>
      </w:r>
      <w:r w:rsidRPr="007E3713">
        <w:t xml:space="preserve"> млн. руб. (</w:t>
      </w:r>
      <w:r>
        <w:t xml:space="preserve">из расчета </w:t>
      </w:r>
      <w:r w:rsidRPr="007E3713">
        <w:t>1150 руб. на одного жителя),</w:t>
      </w:r>
      <w:r>
        <w:t xml:space="preserve"> что на 3,5 млн. руб., или на 0,5% меньше показателя 2018 года.</w:t>
      </w:r>
    </w:p>
    <w:p w:rsidR="00AA2027" w:rsidRDefault="00AA2027" w:rsidP="00AA2027">
      <w:pPr>
        <w:ind w:firstLine="720"/>
        <w:jc w:val="both"/>
      </w:pPr>
      <w:r w:rsidRPr="002448C5">
        <w:t xml:space="preserve">Объем дотаций бюджетам поселений из </w:t>
      </w:r>
      <w:r w:rsidRPr="002448C5">
        <w:rPr>
          <w:i/>
          <w:u w:val="single"/>
        </w:rPr>
        <w:t>ФФПП (в части городских и сельских поселений)</w:t>
      </w:r>
      <w:r>
        <w:t xml:space="preserve"> в 2019 году з</w:t>
      </w:r>
      <w:r w:rsidRPr="002448C5">
        <w:t>аконопроектом п</w:t>
      </w:r>
      <w:r>
        <w:t>редусмотрен в общей сумме 1069,6</w:t>
      </w:r>
      <w:r w:rsidRPr="002448C5">
        <w:t xml:space="preserve"> млн. руб. </w:t>
      </w:r>
      <w:r>
        <w:t>(</w:t>
      </w:r>
      <w:r w:rsidRPr="002448C5">
        <w:t>из расчета 1150 руб. на одного жителя</w:t>
      </w:r>
      <w:r>
        <w:t>)</w:t>
      </w:r>
      <w:r w:rsidRPr="002448C5">
        <w:t xml:space="preserve"> и превышает объем дотаци</w:t>
      </w:r>
      <w:r>
        <w:t>й 2018 года на 0,9 млн. руб., или на 0,1</w:t>
      </w:r>
      <w:r w:rsidRPr="002448C5">
        <w:t xml:space="preserve"> процента. Замена дотаций из ФФПП (в части городск</w:t>
      </w:r>
      <w:r>
        <w:t>их и сельских поселений) на 2019 год и плановый период 2020 и 2021</w:t>
      </w:r>
      <w:r w:rsidRPr="002448C5">
        <w:t xml:space="preserve"> годов дополнительными нормативами отчислений от налога на доходы физических лиц законопроектом не предусмотрена.</w:t>
      </w:r>
      <w:r>
        <w:t xml:space="preserve"> </w:t>
      </w:r>
    </w:p>
    <w:p w:rsidR="00AA2027" w:rsidRDefault="00AA2027" w:rsidP="00AA2027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F0D2D">
        <w:rPr>
          <w:rFonts w:ascii="Times New Roman" w:hAnsi="Times New Roman" w:cs="Times New Roman"/>
          <w:sz w:val="24"/>
          <w:szCs w:val="24"/>
        </w:rPr>
        <w:t xml:space="preserve">Расчетный объем дотаций на выравнивание бюджетной обеспеченности из </w:t>
      </w:r>
      <w:r w:rsidRPr="006F0D2D">
        <w:rPr>
          <w:rFonts w:ascii="Times New Roman" w:hAnsi="Times New Roman" w:cs="Times New Roman"/>
          <w:i/>
          <w:sz w:val="24"/>
          <w:szCs w:val="24"/>
          <w:u w:val="single"/>
        </w:rPr>
        <w:t>ФФП М</w:t>
      </w:r>
      <w:proofErr w:type="gramStart"/>
      <w:r w:rsidRPr="006F0D2D">
        <w:rPr>
          <w:rFonts w:ascii="Times New Roman" w:hAnsi="Times New Roman" w:cs="Times New Roman"/>
          <w:i/>
          <w:sz w:val="24"/>
          <w:szCs w:val="24"/>
          <w:u w:val="single"/>
        </w:rPr>
        <w:t>Р(</w:t>
      </w:r>
      <w:proofErr w:type="gramEnd"/>
      <w:r w:rsidRPr="006F0D2D">
        <w:rPr>
          <w:rFonts w:ascii="Times New Roman" w:hAnsi="Times New Roman" w:cs="Times New Roman"/>
          <w:i/>
          <w:sz w:val="24"/>
          <w:szCs w:val="24"/>
          <w:u w:val="single"/>
        </w:rPr>
        <w:t>ГО)</w:t>
      </w:r>
      <w:r w:rsidRPr="006F0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 год определен в сумме 3</w:t>
      </w:r>
      <w:r w:rsidRPr="006F0D2D">
        <w:rPr>
          <w:rFonts w:ascii="Times New Roman" w:hAnsi="Times New Roman" w:cs="Times New Roman"/>
          <w:sz w:val="24"/>
          <w:szCs w:val="24"/>
        </w:rPr>
        <w:t>900,6 млн. руб., что на 551,7 млн. руб. (-12,4</w:t>
      </w:r>
      <w:r>
        <w:rPr>
          <w:rFonts w:ascii="Times New Roman" w:hAnsi="Times New Roman" w:cs="Times New Roman"/>
          <w:sz w:val="24"/>
          <w:szCs w:val="24"/>
        </w:rPr>
        <w:t>%) ниже показателя 2018 года (4</w:t>
      </w:r>
      <w:r w:rsidRPr="006F0D2D">
        <w:rPr>
          <w:rFonts w:ascii="Times New Roman" w:hAnsi="Times New Roman" w:cs="Times New Roman"/>
          <w:sz w:val="24"/>
          <w:szCs w:val="24"/>
        </w:rPr>
        <w:t xml:space="preserve">452,3 млн. руб.). </w:t>
      </w:r>
      <w:proofErr w:type="gramStart"/>
      <w:r w:rsidRPr="006F0D2D">
        <w:rPr>
          <w:rFonts w:ascii="Times New Roman" w:hAnsi="Times New Roman" w:cs="Times New Roman"/>
          <w:sz w:val="24"/>
          <w:szCs w:val="24"/>
        </w:rPr>
        <w:t xml:space="preserve">Уменьшение объема дотаций сложилось  в связи с тем, что в Закон </w:t>
      </w:r>
      <w:r w:rsidRPr="00C75AC2">
        <w:rPr>
          <w:rFonts w:ascii="Times New Roman" w:hAnsi="Times New Roman" w:cs="Times New Roman"/>
          <w:sz w:val="24"/>
          <w:szCs w:val="24"/>
        </w:rPr>
        <w:t>о межбюджетных отношениях №1093-ОД</w:t>
      </w:r>
      <w:r w:rsidRPr="006F0D2D">
        <w:rPr>
          <w:rFonts w:ascii="Times New Roman" w:hAnsi="Times New Roman" w:cs="Times New Roman"/>
          <w:sz w:val="24"/>
          <w:szCs w:val="24"/>
        </w:rPr>
        <w:t xml:space="preserve"> внесены изменения в части установления  законом Волгоградской области об областном бюджете на очередной фи</w:t>
      </w:r>
      <w:r>
        <w:rPr>
          <w:rFonts w:ascii="Times New Roman" w:hAnsi="Times New Roman" w:cs="Times New Roman"/>
          <w:sz w:val="24"/>
          <w:szCs w:val="24"/>
        </w:rPr>
        <w:t>нансовый год и плановый период</w:t>
      </w:r>
      <w:r w:rsidRPr="006F0D2D">
        <w:rPr>
          <w:rFonts w:ascii="Times New Roman" w:hAnsi="Times New Roman" w:cs="Times New Roman"/>
          <w:sz w:val="24"/>
          <w:szCs w:val="24"/>
        </w:rPr>
        <w:t xml:space="preserve"> значения поправочного коэффициента</w:t>
      </w:r>
      <w:r>
        <w:rPr>
          <w:rFonts w:ascii="Times New Roman" w:hAnsi="Times New Roman" w:cs="Times New Roman"/>
          <w:sz w:val="24"/>
          <w:szCs w:val="24"/>
        </w:rPr>
        <w:t xml:space="preserve"> (менее </w:t>
      </w:r>
      <w:r w:rsidR="00F277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77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77B2">
        <w:rPr>
          <w:rFonts w:ascii="Times New Roman" w:hAnsi="Times New Roman" w:cs="Times New Roman"/>
          <w:sz w:val="24"/>
          <w:szCs w:val="24"/>
        </w:rPr>
        <w:t>,</w:t>
      </w:r>
      <w:r w:rsidRPr="006F0D2D">
        <w:rPr>
          <w:rFonts w:ascii="Times New Roman" w:hAnsi="Times New Roman" w:cs="Times New Roman"/>
          <w:sz w:val="24"/>
          <w:szCs w:val="24"/>
        </w:rPr>
        <w:t xml:space="preserve">  используемого для расчета дотаций, компенсирующих разницу между дотациями планируемо</w:t>
      </w:r>
      <w:r>
        <w:rPr>
          <w:rFonts w:ascii="Times New Roman" w:hAnsi="Times New Roman" w:cs="Times New Roman"/>
          <w:sz w:val="24"/>
          <w:szCs w:val="24"/>
        </w:rPr>
        <w:t>го и текущего финансового года.</w:t>
      </w:r>
      <w:proofErr w:type="gramEnd"/>
    </w:p>
    <w:p w:rsidR="00AA2027" w:rsidRDefault="00AA2027" w:rsidP="00AA2027">
      <w:pPr>
        <w:ind w:firstLine="851"/>
        <w:jc w:val="both"/>
      </w:pPr>
      <w:r w:rsidRPr="001256E0">
        <w:t>Замена расчетных дотаций дополнительным нормативом отчислений от НДФЛ из ФФП М</w:t>
      </w:r>
      <w:proofErr w:type="gramStart"/>
      <w:r w:rsidRPr="001256E0">
        <w:t>Р(</w:t>
      </w:r>
      <w:proofErr w:type="gramEnd"/>
      <w:r w:rsidRPr="001256E0">
        <w:t>ГО) произведена по всем муниципальным районам и городским округам</w:t>
      </w:r>
      <w:r>
        <w:t>.</w:t>
      </w:r>
    </w:p>
    <w:p w:rsidR="00AA2027" w:rsidRDefault="00AA2027" w:rsidP="00AA2027">
      <w:pPr>
        <w:autoSpaceDE w:val="0"/>
        <w:autoSpaceDN w:val="0"/>
        <w:adjustRightInd w:val="0"/>
        <w:ind w:firstLine="851"/>
        <w:jc w:val="both"/>
      </w:pPr>
      <w:r>
        <w:t xml:space="preserve">Информация об объеме финансовой помощи бюджетам городских округов в 2019 году по сравнению 2018 годом представлена в таблице. </w:t>
      </w:r>
    </w:p>
    <w:p w:rsidR="00AA2027" w:rsidRPr="003931F8" w:rsidRDefault="00AA2027" w:rsidP="00AA2027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931F8">
        <w:rPr>
          <w:sz w:val="20"/>
          <w:szCs w:val="20"/>
        </w:rPr>
        <w:lastRenderedPageBreak/>
        <w:t>млн. руб.</w:t>
      </w:r>
    </w:p>
    <w:tbl>
      <w:tblPr>
        <w:tblW w:w="9653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424"/>
        <w:gridCol w:w="851"/>
        <w:gridCol w:w="992"/>
        <w:gridCol w:w="851"/>
        <w:gridCol w:w="991"/>
        <w:gridCol w:w="851"/>
        <w:gridCol w:w="992"/>
        <w:gridCol w:w="851"/>
        <w:gridCol w:w="850"/>
      </w:tblGrid>
      <w:tr w:rsidR="00AA2027" w:rsidRPr="007E3713" w:rsidTr="003674DF">
        <w:trPr>
          <w:trHeight w:val="315"/>
        </w:trPr>
        <w:tc>
          <w:tcPr>
            <w:tcW w:w="24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>Городской округ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 xml:space="preserve">Дотации </w:t>
            </w:r>
          </w:p>
          <w:p w:rsidR="00AA2027" w:rsidRPr="00CC73F0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>из ФФПП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 xml:space="preserve">Дотации </w:t>
            </w:r>
          </w:p>
          <w:p w:rsidR="00AA2027" w:rsidRPr="00CC73F0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>из ФФП МР (ГО)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>ВСЕГО</w:t>
            </w:r>
          </w:p>
          <w:p w:rsidR="00AA2027" w:rsidRPr="003931F8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 xml:space="preserve"> фин. помощь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AA2027" w:rsidRPr="007E3713" w:rsidTr="003674DF">
        <w:trPr>
          <w:trHeight w:val="240"/>
        </w:trPr>
        <w:tc>
          <w:tcPr>
            <w:tcW w:w="24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Pr="00CC73F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  <w:r w:rsidRPr="00CC73F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Pr="00CC73F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  <w:r w:rsidRPr="00CC73F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Pr="003931F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  <w:r w:rsidRPr="003931F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3931F8" w:rsidRDefault="00AA2027" w:rsidP="0039030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>%%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.В</w:t>
            </w:r>
            <w:proofErr w:type="gramEnd"/>
            <w:r w:rsidRPr="00CC73F0">
              <w:rPr>
                <w:sz w:val="18"/>
                <w:szCs w:val="18"/>
              </w:rPr>
              <w:t>олгоград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 w:rsidRPr="003931F8">
              <w:rPr>
                <w:sz w:val="18"/>
                <w:szCs w:val="18"/>
              </w:rPr>
              <w:t>-99,</w:t>
            </w:r>
            <w:r>
              <w:rPr>
                <w:sz w:val="18"/>
                <w:szCs w:val="18"/>
              </w:rPr>
              <w:t>1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.В</w:t>
            </w:r>
            <w:proofErr w:type="gramEnd"/>
            <w:r w:rsidRPr="00CC73F0">
              <w:rPr>
                <w:sz w:val="18"/>
                <w:szCs w:val="18"/>
              </w:rPr>
              <w:t>олжский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-211,5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-34,7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.К</w:t>
            </w:r>
            <w:proofErr w:type="gramEnd"/>
            <w:r w:rsidRPr="00CC73F0">
              <w:rPr>
                <w:sz w:val="18"/>
                <w:szCs w:val="18"/>
              </w:rPr>
              <w:t>амышин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366,1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2027" w:rsidRPr="00EA3CBF" w:rsidRDefault="00AA2027" w:rsidP="0039030F">
            <w:pPr>
              <w:jc w:val="center"/>
              <w:rPr>
                <w:sz w:val="18"/>
                <w:szCs w:val="18"/>
              </w:rPr>
            </w:pPr>
            <w:r w:rsidRPr="00EA3CBF">
              <w:rPr>
                <w:sz w:val="18"/>
                <w:szCs w:val="18"/>
              </w:rPr>
              <w:t>247,0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-119,1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-32,5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.М</w:t>
            </w:r>
            <w:proofErr w:type="gramEnd"/>
            <w:r w:rsidRPr="00CC73F0">
              <w:rPr>
                <w:sz w:val="18"/>
                <w:szCs w:val="18"/>
              </w:rPr>
              <w:t>ихайловка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EA3CBF" w:rsidRDefault="00AA2027" w:rsidP="0039030F">
            <w:pPr>
              <w:jc w:val="center"/>
              <w:rPr>
                <w:sz w:val="18"/>
                <w:szCs w:val="18"/>
              </w:rPr>
            </w:pPr>
            <w:r w:rsidRPr="00EA3CBF">
              <w:rPr>
                <w:sz w:val="18"/>
                <w:szCs w:val="18"/>
              </w:rPr>
              <w:t>274,8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-19,3</w:t>
            </w: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-6,6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.У</w:t>
            </w:r>
            <w:proofErr w:type="gramEnd"/>
            <w:r w:rsidRPr="00CC73F0">
              <w:rPr>
                <w:sz w:val="18"/>
                <w:szCs w:val="18"/>
              </w:rPr>
              <w:t>рюпинск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EA3CBF" w:rsidRDefault="00AA2027" w:rsidP="0039030F">
            <w:pPr>
              <w:jc w:val="center"/>
              <w:rPr>
                <w:sz w:val="18"/>
                <w:szCs w:val="18"/>
              </w:rPr>
            </w:pPr>
            <w:r w:rsidRPr="00EA3CBF">
              <w:rPr>
                <w:sz w:val="18"/>
                <w:szCs w:val="18"/>
              </w:rPr>
              <w:t>146,7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-11,6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-7,3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sz w:val="18"/>
                <w:szCs w:val="18"/>
              </w:rPr>
            </w:pPr>
            <w:r w:rsidRPr="00CC73F0">
              <w:rPr>
                <w:sz w:val="18"/>
                <w:szCs w:val="18"/>
              </w:rPr>
              <w:t>г</w:t>
            </w:r>
            <w:proofErr w:type="gramStart"/>
            <w:r w:rsidRPr="00CC73F0">
              <w:rPr>
                <w:sz w:val="18"/>
                <w:szCs w:val="18"/>
              </w:rPr>
              <w:t>.Ф</w:t>
            </w:r>
            <w:proofErr w:type="gramEnd"/>
            <w:r w:rsidRPr="00CC73F0">
              <w:rPr>
                <w:sz w:val="18"/>
                <w:szCs w:val="18"/>
              </w:rPr>
              <w:t>ролово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 w:rsidRPr="003931F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-13,5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-7,6</w:t>
            </w:r>
          </w:p>
        </w:tc>
      </w:tr>
      <w:tr w:rsidR="00AA2027" w:rsidRPr="007E3713" w:rsidTr="003674DF">
        <w:trPr>
          <w:trHeight w:val="20"/>
        </w:trPr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2027" w:rsidRPr="00CC73F0" w:rsidRDefault="00AA2027" w:rsidP="0039030F">
            <w:pPr>
              <w:rPr>
                <w:b/>
                <w:bCs/>
                <w:sz w:val="18"/>
                <w:szCs w:val="18"/>
              </w:rPr>
            </w:pPr>
            <w:r w:rsidRPr="00CC73F0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692,2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688,7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924,9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CC73F0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541,8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3931F8">
              <w:rPr>
                <w:b/>
                <w:color w:val="000000"/>
                <w:sz w:val="18"/>
                <w:szCs w:val="18"/>
              </w:rPr>
              <w:t>617,1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1230,5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2027" w:rsidRPr="003931F8" w:rsidRDefault="00AA2027" w:rsidP="003903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-386,6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2027" w:rsidRPr="003931F8" w:rsidRDefault="00AA2027" w:rsidP="0039030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3931F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23,9</w:t>
            </w:r>
          </w:p>
        </w:tc>
      </w:tr>
    </w:tbl>
    <w:p w:rsidR="00F277B2" w:rsidRDefault="00F277B2" w:rsidP="00AA2027">
      <w:pPr>
        <w:autoSpaceDE w:val="0"/>
        <w:autoSpaceDN w:val="0"/>
        <w:adjustRightInd w:val="0"/>
        <w:ind w:firstLine="851"/>
        <w:jc w:val="both"/>
      </w:pPr>
    </w:p>
    <w:p w:rsidR="00AA2027" w:rsidRDefault="00AA2027" w:rsidP="00AA2027">
      <w:pPr>
        <w:autoSpaceDE w:val="0"/>
        <w:autoSpaceDN w:val="0"/>
        <w:adjustRightInd w:val="0"/>
        <w:ind w:firstLine="851"/>
        <w:jc w:val="both"/>
      </w:pPr>
      <w:r w:rsidRPr="00213595">
        <w:t>Объем финансовой помощи б</w:t>
      </w:r>
      <w:r>
        <w:t>юджетам городских округов в 2019</w:t>
      </w:r>
      <w:r w:rsidRPr="00213595">
        <w:t xml:space="preserve"> году в виде дотаций из ФФПП и ФФП </w:t>
      </w:r>
      <w:r>
        <w:t>М</w:t>
      </w:r>
      <w:proofErr w:type="gramStart"/>
      <w:r>
        <w:t>Р(</w:t>
      </w:r>
      <w:proofErr w:type="gramEnd"/>
      <w:r>
        <w:t>ГО) меньше объема помощи 2018 года на 386,6 млн. руб., или на 23,9 процента</w:t>
      </w:r>
      <w:r w:rsidRPr="000C0550">
        <w:t xml:space="preserve">. </w:t>
      </w:r>
    </w:p>
    <w:p w:rsidR="00AA2027" w:rsidRPr="007D0094" w:rsidRDefault="00AA2027" w:rsidP="00AA2027">
      <w:pPr>
        <w:ind w:firstLine="708"/>
        <w:jc w:val="both"/>
      </w:pPr>
      <w:r w:rsidRPr="007D0094">
        <w:t xml:space="preserve">Кроме дотаций </w:t>
      </w:r>
      <w:r>
        <w:t>из фондов финансовой поддержки з</w:t>
      </w:r>
      <w:r w:rsidRPr="007D0094">
        <w:t xml:space="preserve">аконопроектом предусмотрен </w:t>
      </w:r>
      <w:r w:rsidRPr="007D0094">
        <w:rPr>
          <w:b/>
          <w:i/>
        </w:rPr>
        <w:t xml:space="preserve">нераспределенный объем дотаций муниципальным образованиям на поддержку мер по обеспечению сбалансированности местных бюджетов </w:t>
      </w:r>
      <w:r w:rsidRPr="000F04F0">
        <w:t>на</w:t>
      </w:r>
      <w:r>
        <w:rPr>
          <w:b/>
          <w:i/>
        </w:rPr>
        <w:t xml:space="preserve"> </w:t>
      </w:r>
      <w:r w:rsidRPr="007D0094">
        <w:t>201</w:t>
      </w:r>
      <w:r>
        <w:t xml:space="preserve">9 год в сумме </w:t>
      </w:r>
      <w:r w:rsidR="0010185B">
        <w:t>67</w:t>
      </w:r>
      <w:r w:rsidRPr="00F4244E">
        <w:t>0</w:t>
      </w:r>
      <w:r w:rsidRPr="007D0094">
        <w:t xml:space="preserve"> млн. рублей. Возможность предоставления </w:t>
      </w:r>
      <w:r>
        <w:t xml:space="preserve">таких </w:t>
      </w:r>
      <w:r w:rsidRPr="007D0094">
        <w:t>дотаций предусмотрена Законом Волгоградской области от 09.02.2011 №2151-ОД «О дотациях бюджетам муниципальных образований Волгоградской области на поддержку мер по обеспечению сбалансированности местных бюджетов».</w:t>
      </w:r>
    </w:p>
    <w:p w:rsidR="00AA2027" w:rsidRPr="007E3713" w:rsidRDefault="00AA2027" w:rsidP="00AA2027">
      <w:pPr>
        <w:ind w:firstLine="709"/>
        <w:jc w:val="both"/>
        <w:rPr>
          <w:highlight w:val="yellow"/>
        </w:rPr>
      </w:pPr>
    </w:p>
    <w:p w:rsidR="00AA2027" w:rsidRDefault="00AA2027" w:rsidP="00AA2027">
      <w:pPr>
        <w:ind w:firstLine="709"/>
        <w:jc w:val="both"/>
        <w:rPr>
          <w:b/>
          <w:i/>
          <w:u w:val="single"/>
        </w:rPr>
      </w:pPr>
      <w:r w:rsidRPr="00301089">
        <w:rPr>
          <w:b/>
          <w:i/>
          <w:u w:val="single"/>
        </w:rPr>
        <w:t>Субсидии</w:t>
      </w:r>
    </w:p>
    <w:p w:rsidR="00AA2027" w:rsidRDefault="00AA2027" w:rsidP="00AA2027">
      <w:pPr>
        <w:ind w:firstLine="709"/>
        <w:jc w:val="both"/>
      </w:pPr>
      <w:r w:rsidRPr="00E71222">
        <w:t xml:space="preserve">Законопроектом объем субсидий </w:t>
      </w:r>
      <w:r w:rsidR="00F277B2">
        <w:t xml:space="preserve">муниципальным образованиям </w:t>
      </w:r>
      <w:r w:rsidRPr="00E71222">
        <w:t>на 20</w:t>
      </w:r>
      <w:r>
        <w:t>19 год предусмотрен в размере 7328,9 млн. руб., что на 1</w:t>
      </w:r>
      <w:r w:rsidRPr="00E71222">
        <w:t>024,9 млн. руб., или на 12,3% меньше</w:t>
      </w:r>
      <w:r>
        <w:t xml:space="preserve"> объема субсидий в 2018 году (8</w:t>
      </w:r>
      <w:r w:rsidRPr="00E71222">
        <w:t>353,8</w:t>
      </w:r>
      <w:r>
        <w:t xml:space="preserve"> млн</w:t>
      </w:r>
      <w:proofErr w:type="gramStart"/>
      <w:r>
        <w:t>.</w:t>
      </w:r>
      <w:r w:rsidRPr="00E71222">
        <w:t>р</w:t>
      </w:r>
      <w:proofErr w:type="gramEnd"/>
      <w:r w:rsidRPr="00E71222">
        <w:t>уб.).</w:t>
      </w:r>
    </w:p>
    <w:p w:rsidR="00AA2027" w:rsidRPr="00E71222" w:rsidRDefault="00AA2027" w:rsidP="00AA2027">
      <w:pPr>
        <w:ind w:firstLine="709"/>
        <w:jc w:val="both"/>
      </w:pPr>
      <w:r w:rsidRPr="00E71222">
        <w:t xml:space="preserve"> Нераспределенный объем субсидий на 2019 год, согласно информации, представленной комитетом финансов Волг</w:t>
      </w:r>
      <w:r>
        <w:t>оградской области, составляет 2</w:t>
      </w:r>
      <w:r w:rsidRPr="00E71222">
        <w:t xml:space="preserve">313,1 млн. руб., или 31,6% от общего объема субсидий. </w:t>
      </w:r>
    </w:p>
    <w:p w:rsidR="00AA2027" w:rsidRPr="00E71222" w:rsidRDefault="00AA2027" w:rsidP="00AA2027">
      <w:pPr>
        <w:ind w:firstLine="851"/>
        <w:jc w:val="both"/>
      </w:pPr>
      <w:r w:rsidRPr="00E71222">
        <w:t>В суммовом выражении наибольшие нераспределенные объемы (не распределены в полном объеме) сложились по следующим видам субсидий:</w:t>
      </w:r>
    </w:p>
    <w:p w:rsidR="00AA2027" w:rsidRPr="00E71222" w:rsidRDefault="00AA2027" w:rsidP="00AA2027">
      <w:pPr>
        <w:ind w:firstLine="720"/>
        <w:jc w:val="both"/>
      </w:pPr>
      <w:r w:rsidRPr="00E71222">
        <w:t>-915,4 млн. руб. - субсидии на формирование муниципальных дорожных фондов;</w:t>
      </w:r>
    </w:p>
    <w:p w:rsidR="00AA2027" w:rsidRPr="00E71222" w:rsidRDefault="00AA2027" w:rsidP="00AA2027">
      <w:pPr>
        <w:ind w:firstLine="720"/>
        <w:jc w:val="both"/>
      </w:pPr>
      <w:r w:rsidRPr="00E71222">
        <w:t xml:space="preserve">-412,4 млн. руб. – субсидии из областного бюджета местным бюджетам в целях </w:t>
      </w:r>
      <w:proofErr w:type="spellStart"/>
      <w:r w:rsidRPr="00E71222">
        <w:t>софинансирования</w:t>
      </w:r>
      <w:proofErr w:type="spellEnd"/>
      <w:r w:rsidRPr="00E71222">
        <w:t xml:space="preserve"> муниципальных программ формирования современной городской среды;</w:t>
      </w:r>
    </w:p>
    <w:p w:rsidR="00AA2027" w:rsidRDefault="00AA2027" w:rsidP="00AA2027">
      <w:pPr>
        <w:ind w:firstLine="720"/>
        <w:jc w:val="both"/>
      </w:pPr>
      <w:r w:rsidRPr="00E71222">
        <w:t>-150 млн</w:t>
      </w:r>
      <w:proofErr w:type="gramStart"/>
      <w:r w:rsidRPr="00E71222">
        <w:t>.р</w:t>
      </w:r>
      <w:proofErr w:type="gramEnd"/>
      <w:r w:rsidRPr="00E71222">
        <w:t xml:space="preserve">уб. – 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области.  </w:t>
      </w:r>
    </w:p>
    <w:p w:rsidR="00AA2027" w:rsidRPr="00B8226B" w:rsidRDefault="00AA2027" w:rsidP="00AA2027">
      <w:pPr>
        <w:ind w:firstLine="851"/>
        <w:jc w:val="both"/>
        <w:rPr>
          <w:rFonts w:eastAsia="TimesNewRomanPSMT"/>
        </w:rPr>
      </w:pPr>
      <w:r w:rsidRPr="00B8226B">
        <w:t xml:space="preserve">В составе субсидий местным </w:t>
      </w:r>
      <w:r>
        <w:t>бюджетам из областного бюджета з</w:t>
      </w:r>
      <w:r w:rsidRPr="00B8226B">
        <w:t>аконопроектом предусмотрены субсидии на обеспечение сбалансированности местных бюджетов в общей сумме 712,5 млн. руб</w:t>
      </w:r>
      <w:r w:rsidRPr="00B8226B">
        <w:rPr>
          <w:rFonts w:eastAsia="TimesNewRomanPSMT"/>
        </w:rPr>
        <w:t>лей.</w:t>
      </w:r>
      <w:r w:rsidRPr="00B8226B">
        <w:t xml:space="preserve"> </w:t>
      </w:r>
    </w:p>
    <w:p w:rsidR="00AA2027" w:rsidRPr="0009360B" w:rsidRDefault="00AA2027" w:rsidP="00AA2027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09360B">
        <w:t>В 2019 году</w:t>
      </w:r>
      <w:r w:rsidR="008D160E">
        <w:t>,</w:t>
      </w:r>
      <w:r w:rsidRPr="0009360B">
        <w:t xml:space="preserve"> также как и в 2018 году</w:t>
      </w:r>
      <w:r w:rsidR="008D160E">
        <w:t>,</w:t>
      </w:r>
      <w:r w:rsidRPr="0009360B">
        <w:t xml:space="preserve"> планируется, что весь объем</w:t>
      </w:r>
      <w:r>
        <w:t xml:space="preserve"> субсидии, представляемый в 2019</w:t>
      </w:r>
      <w:r w:rsidRPr="0009360B">
        <w:t xml:space="preserve"> году бюджетам поселений, в полном объеме будет передан муниципальным районам, что позволит муниципальным районам самостоятельно распреде</w:t>
      </w:r>
      <w:r>
        <w:t>лять средства между поселениями</w:t>
      </w:r>
      <w:r w:rsidRPr="0009360B">
        <w:t xml:space="preserve"> в силу объективных обстоятельств более нуждающихся в финансовой поддержке. </w:t>
      </w:r>
    </w:p>
    <w:p w:rsidR="00AA2027" w:rsidRDefault="00AA2027" w:rsidP="00AA2027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</w:p>
    <w:p w:rsidR="008D160E" w:rsidRDefault="00F277B2" w:rsidP="008D160E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F277B2">
        <w:rPr>
          <w:b/>
          <w:i/>
        </w:rPr>
        <w:t xml:space="preserve"> </w:t>
      </w:r>
      <w:r w:rsidR="00AA2027" w:rsidRPr="00D804F8">
        <w:rPr>
          <w:b/>
          <w:i/>
          <w:u w:val="single"/>
        </w:rPr>
        <w:t>Субвенции</w:t>
      </w:r>
    </w:p>
    <w:p w:rsidR="00AA2027" w:rsidRPr="008D160E" w:rsidRDefault="00AA2027" w:rsidP="008D160E">
      <w:pPr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D360BE">
        <w:t xml:space="preserve">Законопроектом </w:t>
      </w:r>
      <w:r w:rsidRPr="00AE65FD">
        <w:t>общий объем субвенций бюджетам муниципальных образований на 2</w:t>
      </w:r>
      <w:r>
        <w:t>019 год предусмотрен в сумме 19</w:t>
      </w:r>
      <w:r w:rsidRPr="00AE65FD">
        <w:t>444,5 млн. руб. с увеличением к объему 2018 года на 812  млн</w:t>
      </w:r>
      <w:r w:rsidRPr="00D360BE">
        <w:t>. руб., или на 4,4 процента. Субвенции предоставляются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полномочий, переданных для осуществления органам местного самоуправления.</w:t>
      </w:r>
    </w:p>
    <w:p w:rsidR="00AA2027" w:rsidRPr="00176C1D" w:rsidRDefault="00AA2027" w:rsidP="00AA2027">
      <w:pPr>
        <w:ind w:firstLine="720"/>
        <w:jc w:val="both"/>
      </w:pPr>
      <w:r w:rsidRPr="002C3F20">
        <w:t xml:space="preserve">В 2019 году планируется финансирование 29 субвенций, из которых 5 субвенций на сумму 54,5 млн. руб. не </w:t>
      </w:r>
      <w:proofErr w:type="gramStart"/>
      <w:r w:rsidRPr="002C3F20">
        <w:t>распределены</w:t>
      </w:r>
      <w:proofErr w:type="gramEnd"/>
      <w:r w:rsidRPr="002C3F20">
        <w:t xml:space="preserve">. </w:t>
      </w:r>
      <w:r>
        <w:t>Перечень нераспределенных</w:t>
      </w:r>
      <w:r w:rsidRPr="002C3F20">
        <w:t xml:space="preserve"> субвенций </w:t>
      </w:r>
      <w:r>
        <w:t>с указанием</w:t>
      </w:r>
      <w:r w:rsidRPr="002C3F20">
        <w:t xml:space="preserve"> </w:t>
      </w:r>
      <w:r w:rsidRPr="002C3F20">
        <w:lastRenderedPageBreak/>
        <w:t xml:space="preserve">объема приведен в разделе </w:t>
      </w:r>
      <w:bookmarkStart w:id="2" w:name="OLE_LINK2"/>
      <w:r w:rsidRPr="002C3F20">
        <w:t>«</w:t>
      </w:r>
      <w:r w:rsidRPr="00176C1D">
        <w:rPr>
          <w:rFonts w:eastAsia="Calibri"/>
          <w:bCs/>
          <w:iCs/>
        </w:rPr>
        <w:t>Размеры иных дотаций, субвенций, субсидий и иных межбюджетных трансфертов</w:t>
      </w:r>
      <w:r>
        <w:rPr>
          <w:rFonts w:eastAsia="Calibri"/>
          <w:bCs/>
          <w:iCs/>
        </w:rPr>
        <w:t xml:space="preserve">» экспертного заключения КСП </w:t>
      </w:r>
      <w:r w:rsidRPr="00176C1D">
        <w:t>к проекту</w:t>
      </w:r>
      <w:r w:rsidRPr="002C3F20">
        <w:rPr>
          <w:i/>
        </w:rPr>
        <w:t xml:space="preserve"> </w:t>
      </w:r>
      <w:r w:rsidRPr="00176C1D">
        <w:t xml:space="preserve">закона Волгоградской области «Об областном бюджете на 2019 год и на плановый период 2020 и 2021 годов», представленному в Волгоградскую областную Думу на </w:t>
      </w:r>
      <w:r w:rsidR="006C6CBF">
        <w:t>1</w:t>
      </w:r>
      <w:r w:rsidRPr="00176C1D">
        <w:t xml:space="preserve"> чтение</w:t>
      </w:r>
      <w:bookmarkEnd w:id="2"/>
      <w:r w:rsidRPr="00176C1D">
        <w:t xml:space="preserve">. </w:t>
      </w:r>
    </w:p>
    <w:p w:rsidR="00AA2027" w:rsidRPr="00176C1D" w:rsidRDefault="00AA2027" w:rsidP="00AA2027">
      <w:pPr>
        <w:ind w:firstLine="720"/>
        <w:jc w:val="both"/>
        <w:rPr>
          <w:rFonts w:eastAsia="Calibri"/>
          <w:bCs/>
          <w:iCs/>
        </w:rPr>
      </w:pPr>
    </w:p>
    <w:p w:rsidR="00AA2027" w:rsidRDefault="00AA2027" w:rsidP="00AA2027">
      <w:pPr>
        <w:pStyle w:val="ConsPlusNormal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</w:rPr>
        <w:t>Ины</w:t>
      </w:r>
      <w:r w:rsidRPr="00E06420">
        <w:rPr>
          <w:rFonts w:ascii="Times New Roman" w:eastAsia="Calibri" w:hAnsi="Times New Roman"/>
          <w:b/>
          <w:i/>
          <w:sz w:val="24"/>
          <w:szCs w:val="24"/>
          <w:u w:val="single"/>
        </w:rPr>
        <w:t>е межбюджетные трансферты</w:t>
      </w:r>
    </w:p>
    <w:p w:rsidR="00AA2027" w:rsidRPr="00656CAA" w:rsidRDefault="00AA2027" w:rsidP="00AA20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6CAA">
        <w:rPr>
          <w:rFonts w:ascii="Times New Roman" w:hAnsi="Times New Roman" w:cs="Times New Roman"/>
          <w:color w:val="000000" w:themeColor="text1"/>
          <w:sz w:val="24"/>
          <w:szCs w:val="24"/>
        </w:rPr>
        <w:t>Их трех видов иных межбюджетных трансфертов распределен и</w:t>
      </w:r>
      <w:r w:rsidRPr="00656CAA">
        <w:rPr>
          <w:rFonts w:ascii="Times New Roman" w:hAnsi="Times New Roman" w:cs="Times New Roman"/>
          <w:sz w:val="24"/>
          <w:szCs w:val="24"/>
        </w:rPr>
        <w:t>ной межбюджетный трансферт г</w:t>
      </w:r>
      <w:proofErr w:type="gramStart"/>
      <w:r w:rsidRPr="00656CA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56CAA">
        <w:rPr>
          <w:rFonts w:ascii="Times New Roman" w:hAnsi="Times New Roman" w:cs="Times New Roman"/>
          <w:sz w:val="24"/>
          <w:szCs w:val="24"/>
        </w:rPr>
        <w:t>олгограду на финансовое обеспечение дорожной деятельности в размере 257,4 млн.рублей.</w:t>
      </w:r>
    </w:p>
    <w:p w:rsidR="00AA2027" w:rsidRDefault="00AA2027" w:rsidP="00AA20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распределены следующие иные межбюджетные трансферты:</w:t>
      </w:r>
    </w:p>
    <w:p w:rsidR="00AA2027" w:rsidRDefault="00AA2027" w:rsidP="00AA20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выплату денежного поощрения лучшим комиссиям по делам несовершеннолетних и защиты их прав в размере 0,4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AA2027" w:rsidRPr="00C70018" w:rsidRDefault="00AA2027" w:rsidP="00AA20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обеспечение социальными гарантиями молодых специалистов, работающих в муниципальных учреждениях, расположенных в сельских поселениях и рабочих поселках Волгоградской области</w:t>
      </w:r>
      <w:r w:rsidR="00F44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размере 4,1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AA2027" w:rsidRPr="00AA2027" w:rsidRDefault="00AA2027" w:rsidP="00AA2027">
      <w:pPr>
        <w:autoSpaceDE w:val="0"/>
        <w:autoSpaceDN w:val="0"/>
        <w:adjustRightInd w:val="0"/>
        <w:ind w:firstLine="720"/>
        <w:jc w:val="both"/>
      </w:pPr>
    </w:p>
    <w:p w:rsidR="00EA2C21" w:rsidRDefault="00666551" w:rsidP="00EA2C21">
      <w:pPr>
        <w:ind w:firstLine="720"/>
        <w:jc w:val="center"/>
        <w:rPr>
          <w:b/>
          <w:i/>
        </w:rPr>
      </w:pPr>
      <w:r>
        <w:rPr>
          <w:b/>
          <w:i/>
        </w:rPr>
        <w:t>8</w:t>
      </w:r>
      <w:r w:rsidR="00EA2C21">
        <w:rPr>
          <w:b/>
          <w:i/>
        </w:rPr>
        <w:t>. П</w:t>
      </w:r>
      <w:r w:rsidR="00EA2C21" w:rsidRPr="002725B9">
        <w:rPr>
          <w:b/>
          <w:i/>
        </w:rPr>
        <w:t>редельн</w:t>
      </w:r>
      <w:r w:rsidR="00EA2C21">
        <w:rPr>
          <w:b/>
          <w:i/>
        </w:rPr>
        <w:t>ая</w:t>
      </w:r>
      <w:r w:rsidR="00EA2C21" w:rsidRPr="002725B9">
        <w:rPr>
          <w:b/>
          <w:i/>
        </w:rPr>
        <w:t xml:space="preserve"> штатн</w:t>
      </w:r>
      <w:r w:rsidR="00EA2C21">
        <w:rPr>
          <w:b/>
          <w:i/>
        </w:rPr>
        <w:t>ая</w:t>
      </w:r>
      <w:r w:rsidR="00EA2C21" w:rsidRPr="002725B9">
        <w:rPr>
          <w:b/>
          <w:i/>
        </w:rPr>
        <w:t xml:space="preserve"> численность государственных гражданских служащих Волгоградской области</w:t>
      </w:r>
      <w:r w:rsidR="00EA2C21">
        <w:rPr>
          <w:b/>
          <w:i/>
        </w:rPr>
        <w:t>.</w:t>
      </w:r>
    </w:p>
    <w:p w:rsidR="00F833D5" w:rsidRDefault="00F833D5" w:rsidP="001E58BB">
      <w:pPr>
        <w:ind w:firstLine="720"/>
        <w:jc w:val="both"/>
        <w:rPr>
          <w:b/>
          <w:i/>
        </w:rPr>
      </w:pPr>
    </w:p>
    <w:p w:rsidR="001E58BB" w:rsidRDefault="001E58BB" w:rsidP="001E58BB">
      <w:pPr>
        <w:ind w:firstLine="708"/>
        <w:jc w:val="both"/>
      </w:pPr>
      <w:r w:rsidRPr="002543CD">
        <w:t xml:space="preserve">Законопроектом предлагается увеличение общей предельной штатной численности государственных гражданских служащих Волгоградской области </w:t>
      </w:r>
      <w:r>
        <w:t xml:space="preserve">на </w:t>
      </w:r>
      <w:r w:rsidRPr="002543CD">
        <w:t xml:space="preserve">2 единиц </w:t>
      </w:r>
      <w:r>
        <w:t xml:space="preserve">в Избирательной комиссии Волгоградской области </w:t>
      </w:r>
      <w:r w:rsidRPr="002543CD">
        <w:t>и доведение ее до 3054 единиц</w:t>
      </w:r>
      <w:r>
        <w:t xml:space="preserve">. С 2019 года в соответствии с </w:t>
      </w:r>
      <w:r w:rsidRPr="001E58BB">
        <w:t>изменениями</w:t>
      </w:r>
      <w:r>
        <w:t>, внесенными</w:t>
      </w:r>
      <w:r w:rsidRPr="001E58BB">
        <w:t xml:space="preserve"> в Закон Волгоградской области от 11.06.2008 №1694-ОД «О бюджетном процессе Волгоградской области»</w:t>
      </w:r>
      <w:r>
        <w:t>,</w:t>
      </w:r>
      <w:r w:rsidRPr="001E58BB">
        <w:t xml:space="preserve"> </w:t>
      </w:r>
      <w:r>
        <w:t>з</w:t>
      </w:r>
      <w:r w:rsidRPr="001E58BB">
        <w:t>аконопроектом предусмотрена общая предельная штатная численность государственных гражданских служащих органов исполнительной власти без разбивки по ведомствам.</w:t>
      </w:r>
    </w:p>
    <w:p w:rsidR="00D05E6C" w:rsidRDefault="00D05E6C" w:rsidP="00EA2C21">
      <w:pPr>
        <w:ind w:firstLine="720"/>
        <w:jc w:val="center"/>
      </w:pPr>
    </w:p>
    <w:p w:rsidR="001E58BB" w:rsidRPr="007C731D" w:rsidRDefault="001E58BB" w:rsidP="00EA2C21">
      <w:pPr>
        <w:ind w:firstLine="720"/>
        <w:jc w:val="center"/>
      </w:pPr>
    </w:p>
    <w:p w:rsidR="00EA2C21" w:rsidRDefault="00EA2C21" w:rsidP="00EA2C21">
      <w:pPr>
        <w:ind w:firstLine="709"/>
        <w:jc w:val="center"/>
        <w:rPr>
          <w:b/>
          <w:i/>
        </w:rPr>
      </w:pPr>
      <w:r w:rsidRPr="005A19A6">
        <w:rPr>
          <w:b/>
          <w:i/>
        </w:rPr>
        <w:t>ВЫВОДЫ:</w:t>
      </w:r>
    </w:p>
    <w:p w:rsidR="00D2255B" w:rsidRDefault="00D2255B" w:rsidP="00D2255B">
      <w:pPr>
        <w:ind w:firstLine="709"/>
        <w:jc w:val="both"/>
      </w:pPr>
    </w:p>
    <w:p w:rsidR="009974C8" w:rsidRDefault="009974C8" w:rsidP="00435BD9">
      <w:pPr>
        <w:ind w:firstLine="708"/>
        <w:jc w:val="both"/>
        <w:rPr>
          <w:bCs/>
          <w:iCs/>
          <w:color w:val="000000"/>
          <w:spacing w:val="-1"/>
          <w:u w:val="single"/>
        </w:rPr>
      </w:pPr>
      <w:r w:rsidRPr="009974C8">
        <w:rPr>
          <w:b/>
        </w:rPr>
        <w:t>1.</w:t>
      </w:r>
      <w:r>
        <w:t xml:space="preserve"> </w:t>
      </w:r>
      <w:proofErr w:type="gramStart"/>
      <w:r w:rsidRPr="003460F0">
        <w:t>На ре</w:t>
      </w:r>
      <w:r>
        <w:t>а</w:t>
      </w:r>
      <w:r w:rsidRPr="003460F0">
        <w:t>лизацию госпрограммы «Развитие сельского хозяйства и регулирование рынков сельскохозяйственной продукции, сырья и продовольствия» законопроектом на 2019 год предусмотрено 2678,8 млн. руб.,</w:t>
      </w:r>
      <w:r>
        <w:t xml:space="preserve"> что на 284,5 млн. руб. меньше </w:t>
      </w:r>
      <w:r w:rsidR="004061AF">
        <w:t>ассигнований текущего</w:t>
      </w:r>
      <w:r>
        <w:t xml:space="preserve"> года</w:t>
      </w:r>
      <w:r w:rsidR="00D34E73">
        <w:t xml:space="preserve"> и</w:t>
      </w:r>
      <w:r w:rsidR="00086E56">
        <w:t xml:space="preserve"> обусловлено</w:t>
      </w:r>
      <w:r w:rsidR="004061AF">
        <w:t xml:space="preserve"> отсутствием в законопроекте средств федерального бюджета</w:t>
      </w:r>
      <w:r>
        <w:t xml:space="preserve"> по трем видам субсидий </w:t>
      </w:r>
      <w:proofErr w:type="spellStart"/>
      <w:r w:rsidR="004061AF">
        <w:t>сельхозтоваропроизводителям</w:t>
      </w:r>
      <w:proofErr w:type="spellEnd"/>
      <w:r w:rsidR="004061AF">
        <w:t>, соглашения по которым находятся в настоящее время на согласовании в Минсельхозе РФ</w:t>
      </w:r>
      <w:r>
        <w:t>.</w:t>
      </w:r>
      <w:proofErr w:type="gramEnd"/>
      <w:r w:rsidR="00435BD9">
        <w:t xml:space="preserve"> </w:t>
      </w:r>
      <w:proofErr w:type="gramStart"/>
      <w:r>
        <w:t xml:space="preserve">В </w:t>
      </w:r>
      <w:r w:rsidR="00B71243">
        <w:t xml:space="preserve">то же время в </w:t>
      </w:r>
      <w:r>
        <w:t xml:space="preserve">рамках госпрограммы </w:t>
      </w:r>
      <w:r w:rsidRPr="003460F0">
        <w:rPr>
          <w:bCs/>
          <w:iCs/>
          <w:color w:val="000000"/>
          <w:spacing w:val="-1"/>
        </w:rPr>
        <w:t xml:space="preserve">предусмотрены расходы на реализацию 8 новых мероприятий </w:t>
      </w:r>
      <w:r w:rsidR="00435BD9">
        <w:rPr>
          <w:bCs/>
          <w:iCs/>
          <w:color w:val="000000"/>
          <w:spacing w:val="-1"/>
        </w:rPr>
        <w:t xml:space="preserve">по поддержке </w:t>
      </w:r>
      <w:proofErr w:type="spellStart"/>
      <w:r w:rsidR="00435BD9">
        <w:rPr>
          <w:bCs/>
          <w:iCs/>
          <w:color w:val="000000"/>
          <w:spacing w:val="-1"/>
        </w:rPr>
        <w:t>сельхозтоваропроизводителей</w:t>
      </w:r>
      <w:proofErr w:type="spellEnd"/>
      <w:r w:rsidR="00435BD9">
        <w:rPr>
          <w:bCs/>
          <w:iCs/>
          <w:color w:val="000000"/>
          <w:spacing w:val="-1"/>
        </w:rPr>
        <w:t xml:space="preserve"> </w:t>
      </w:r>
      <w:r w:rsidRPr="003460F0">
        <w:rPr>
          <w:bCs/>
          <w:iCs/>
          <w:color w:val="000000"/>
          <w:spacing w:val="-1"/>
        </w:rPr>
        <w:t xml:space="preserve">на </w:t>
      </w:r>
      <w:r w:rsidR="00D34E73">
        <w:rPr>
          <w:bCs/>
          <w:iCs/>
          <w:color w:val="000000"/>
          <w:spacing w:val="-1"/>
        </w:rPr>
        <w:t xml:space="preserve">общую сумму </w:t>
      </w:r>
      <w:r w:rsidRPr="003460F0">
        <w:rPr>
          <w:bCs/>
          <w:iCs/>
          <w:color w:val="000000"/>
          <w:spacing w:val="-1"/>
        </w:rPr>
        <w:t>417,6 млн. руб., не предусмотренных госпрограммой</w:t>
      </w:r>
      <w:r>
        <w:rPr>
          <w:bCs/>
          <w:iCs/>
          <w:color w:val="000000"/>
          <w:spacing w:val="-1"/>
        </w:rPr>
        <w:t xml:space="preserve">, в том числе </w:t>
      </w:r>
      <w:r w:rsidRPr="00C1654E">
        <w:rPr>
          <w:bCs/>
          <w:iCs/>
          <w:color w:val="000000"/>
          <w:spacing w:val="-1"/>
        </w:rPr>
        <w:t xml:space="preserve">предоставление субсидий Фонду «Перспективное развитие Волгоградской области» для финансового обеспечения проектов развития сельского хозяйства Волгоградской области </w:t>
      </w:r>
      <w:r w:rsidRPr="000F5DBA">
        <w:rPr>
          <w:bCs/>
          <w:iCs/>
          <w:color w:val="000000"/>
          <w:spacing w:val="-1"/>
        </w:rPr>
        <w:t>з</w:t>
      </w:r>
      <w:r>
        <w:rPr>
          <w:bCs/>
          <w:iCs/>
          <w:color w:val="000000"/>
          <w:spacing w:val="-1"/>
        </w:rPr>
        <w:t>а счет средств областного бюджета</w:t>
      </w:r>
      <w:r w:rsidR="00615615">
        <w:rPr>
          <w:bCs/>
          <w:iCs/>
          <w:color w:val="000000"/>
          <w:spacing w:val="-1"/>
        </w:rPr>
        <w:t xml:space="preserve"> (на</w:t>
      </w:r>
      <w:r w:rsidR="00615615" w:rsidRPr="00C1654E">
        <w:rPr>
          <w:bCs/>
          <w:iCs/>
          <w:color w:val="000000"/>
          <w:spacing w:val="-1"/>
        </w:rPr>
        <w:t xml:space="preserve"> </w:t>
      </w:r>
      <w:r w:rsidR="00615615" w:rsidRPr="000F5DBA">
        <w:rPr>
          <w:bCs/>
          <w:iCs/>
          <w:color w:val="000000"/>
          <w:spacing w:val="-1"/>
        </w:rPr>
        <w:t>300 млн. руб.</w:t>
      </w:r>
      <w:r w:rsidR="00615615">
        <w:rPr>
          <w:bCs/>
          <w:iCs/>
          <w:color w:val="000000"/>
          <w:spacing w:val="-1"/>
        </w:rPr>
        <w:t>)</w:t>
      </w:r>
      <w:r>
        <w:rPr>
          <w:bCs/>
          <w:iCs/>
          <w:color w:val="000000"/>
          <w:spacing w:val="-1"/>
        </w:rPr>
        <w:t xml:space="preserve">. </w:t>
      </w:r>
      <w:r>
        <w:rPr>
          <w:bCs/>
          <w:iCs/>
          <w:color w:val="000000"/>
          <w:spacing w:val="-1"/>
          <w:u w:val="single"/>
        </w:rPr>
        <w:t xml:space="preserve"> </w:t>
      </w:r>
      <w:proofErr w:type="gramEnd"/>
    </w:p>
    <w:p w:rsidR="009974C8" w:rsidRDefault="009974C8" w:rsidP="009974C8">
      <w:pPr>
        <w:autoSpaceDE w:val="0"/>
        <w:autoSpaceDN w:val="0"/>
        <w:adjustRightInd w:val="0"/>
        <w:ind w:firstLine="709"/>
        <w:jc w:val="both"/>
      </w:pPr>
    </w:p>
    <w:p w:rsidR="00D05E6C" w:rsidRPr="007B62E4" w:rsidRDefault="0036570C" w:rsidP="00D05E6C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/>
        </w:rPr>
        <w:t>2</w:t>
      </w:r>
      <w:r w:rsidR="00D05E6C" w:rsidRPr="00D05E6C">
        <w:rPr>
          <w:b/>
        </w:rPr>
        <w:t>.</w:t>
      </w:r>
      <w:r w:rsidR="00D05E6C">
        <w:t xml:space="preserve"> </w:t>
      </w:r>
      <w:proofErr w:type="gramStart"/>
      <w:r w:rsidR="00D05E6C">
        <w:t xml:space="preserve">В рамках госпрограммы «Использование и охрана водных объектов, предотвращение негативного воздействия вод на территории Волгоградской области» на 2019 год </w:t>
      </w:r>
      <w:r w:rsidR="000F7748">
        <w:t xml:space="preserve">законопроектом </w:t>
      </w:r>
      <w:r w:rsidR="00D05E6C" w:rsidRPr="007B62E4">
        <w:rPr>
          <w:kern w:val="2"/>
        </w:rPr>
        <w:t xml:space="preserve">не предусмотрено </w:t>
      </w:r>
      <w:r w:rsidR="00D05E6C" w:rsidRPr="007B62E4">
        <w:t xml:space="preserve">строительство объекта </w:t>
      </w:r>
      <w:r w:rsidR="00D05E6C" w:rsidRPr="0045632D">
        <w:t xml:space="preserve">«Инженерная защита станицы Кумылженская </w:t>
      </w:r>
      <w:proofErr w:type="spellStart"/>
      <w:r w:rsidR="00D05E6C" w:rsidRPr="0045632D">
        <w:t>Кумылженского</w:t>
      </w:r>
      <w:proofErr w:type="spellEnd"/>
      <w:r w:rsidR="00D05E6C" w:rsidRPr="0045632D">
        <w:t xml:space="preserve"> района Волгоградской области от затопления паводковыми водами»,</w:t>
      </w:r>
      <w:r w:rsidR="00D05E6C" w:rsidRPr="007B62E4">
        <w:rPr>
          <w:i/>
        </w:rPr>
        <w:t xml:space="preserve"> </w:t>
      </w:r>
      <w:r w:rsidR="00D05E6C" w:rsidRPr="007B62E4">
        <w:t>проектные и изыскательские работы</w:t>
      </w:r>
      <w:r w:rsidR="00D05E6C">
        <w:t xml:space="preserve"> </w:t>
      </w:r>
      <w:r>
        <w:t xml:space="preserve">по которому были выполнены </w:t>
      </w:r>
      <w:r w:rsidR="00D05E6C">
        <w:t>за счет средств областного бюджета</w:t>
      </w:r>
      <w:r w:rsidR="00D05E6C" w:rsidRPr="007B62E4">
        <w:t xml:space="preserve"> на сумму 10,4 млн. руб.</w:t>
      </w:r>
      <w:r>
        <w:t xml:space="preserve"> еще в 2013 году.</w:t>
      </w:r>
      <w:r w:rsidR="00D05E6C" w:rsidRPr="007B62E4">
        <w:t xml:space="preserve"> </w:t>
      </w:r>
      <w:proofErr w:type="gramEnd"/>
    </w:p>
    <w:p w:rsidR="00D05E6C" w:rsidRDefault="00D05E6C" w:rsidP="00D05E6C">
      <w:pPr>
        <w:ind w:firstLine="708"/>
        <w:jc w:val="both"/>
        <w:rPr>
          <w:color w:val="000000"/>
        </w:rPr>
      </w:pPr>
    </w:p>
    <w:p w:rsidR="00D05E6C" w:rsidRDefault="00EC080F" w:rsidP="00D05E6C">
      <w:pPr>
        <w:ind w:firstLine="720"/>
        <w:jc w:val="both"/>
        <w:rPr>
          <w:bCs/>
          <w:iCs/>
          <w:color w:val="000000"/>
          <w:spacing w:val="-1"/>
        </w:rPr>
      </w:pPr>
      <w:r>
        <w:rPr>
          <w:b/>
        </w:rPr>
        <w:t>3</w:t>
      </w:r>
      <w:r w:rsidR="003D42EA" w:rsidRPr="003D42EA">
        <w:rPr>
          <w:b/>
        </w:rPr>
        <w:t>.</w:t>
      </w:r>
      <w:r w:rsidR="003D42EA">
        <w:t xml:space="preserve"> </w:t>
      </w:r>
      <w:r w:rsidR="00D05E6C">
        <w:t xml:space="preserve">В рамках подпрограммы </w:t>
      </w:r>
      <w:r w:rsidR="00D05E6C" w:rsidRPr="00EA152A">
        <w:t xml:space="preserve">«Обращение с твердыми коммунальными отходами на территории Волгоградской области» </w:t>
      </w:r>
      <w:r w:rsidR="00D05E6C">
        <w:t xml:space="preserve">госпрограммы </w:t>
      </w:r>
      <w:r w:rsidR="00D05E6C" w:rsidRPr="00196AC5">
        <w:t>«Охрана окружающей среды на территории Волгоградской области»</w:t>
      </w:r>
      <w:r w:rsidR="00D05E6C">
        <w:t xml:space="preserve"> </w:t>
      </w:r>
      <w:r w:rsidR="00D05E6C" w:rsidRPr="00EA152A">
        <w:t xml:space="preserve">на </w:t>
      </w:r>
      <w:r w:rsidR="00D05E6C" w:rsidRPr="00EA152A">
        <w:rPr>
          <w:bCs/>
          <w:iCs/>
          <w:color w:val="000000"/>
          <w:spacing w:val="-1"/>
        </w:rPr>
        <w:t xml:space="preserve">ликвидацию накопленного экологического ущерба в </w:t>
      </w:r>
      <w:proofErr w:type="spellStart"/>
      <w:r w:rsidR="00D05E6C" w:rsidRPr="00EA152A">
        <w:rPr>
          <w:bCs/>
          <w:iCs/>
          <w:color w:val="000000"/>
          <w:spacing w:val="-1"/>
        </w:rPr>
        <w:t>Среднеахтубинском</w:t>
      </w:r>
      <w:proofErr w:type="spellEnd"/>
      <w:r w:rsidR="00D05E6C" w:rsidRPr="00EA152A">
        <w:rPr>
          <w:bCs/>
          <w:iCs/>
          <w:color w:val="000000"/>
          <w:spacing w:val="-1"/>
        </w:rPr>
        <w:t xml:space="preserve"> муниципальном районе и  г</w:t>
      </w:r>
      <w:proofErr w:type="gramStart"/>
      <w:r w:rsidR="00D05E6C" w:rsidRPr="00EA152A">
        <w:rPr>
          <w:bCs/>
          <w:iCs/>
          <w:color w:val="000000"/>
          <w:spacing w:val="-1"/>
        </w:rPr>
        <w:t>.У</w:t>
      </w:r>
      <w:proofErr w:type="gramEnd"/>
      <w:r w:rsidR="00D05E6C" w:rsidRPr="00EA152A">
        <w:rPr>
          <w:bCs/>
          <w:iCs/>
          <w:color w:val="000000"/>
          <w:spacing w:val="-1"/>
        </w:rPr>
        <w:t xml:space="preserve">рюпинске </w:t>
      </w:r>
      <w:r w:rsidR="00D05E6C">
        <w:rPr>
          <w:bCs/>
          <w:iCs/>
          <w:color w:val="000000"/>
          <w:spacing w:val="-1"/>
        </w:rPr>
        <w:t xml:space="preserve">на 2019 год </w:t>
      </w:r>
      <w:r w:rsidR="00D05E6C" w:rsidRPr="00EA152A">
        <w:rPr>
          <w:bCs/>
          <w:iCs/>
          <w:color w:val="000000"/>
          <w:spacing w:val="-1"/>
        </w:rPr>
        <w:t>предусмотрено 179,3 млн. руб., в том числе за счет средств федерального бюджета – 161,8 млн. руб.</w:t>
      </w:r>
      <w:r w:rsidR="0088233A">
        <w:rPr>
          <w:bCs/>
          <w:iCs/>
          <w:color w:val="000000"/>
          <w:spacing w:val="-1"/>
        </w:rPr>
        <w:t>,</w:t>
      </w:r>
      <w:r w:rsidR="00D05E6C" w:rsidRPr="00EA152A">
        <w:rPr>
          <w:bCs/>
          <w:iCs/>
          <w:color w:val="000000"/>
          <w:spacing w:val="-1"/>
        </w:rPr>
        <w:t xml:space="preserve"> областного</w:t>
      </w:r>
      <w:r w:rsidR="00D05E6C" w:rsidRPr="00826400">
        <w:rPr>
          <w:bCs/>
          <w:iCs/>
          <w:color w:val="000000"/>
          <w:spacing w:val="-1"/>
        </w:rPr>
        <w:t xml:space="preserve"> </w:t>
      </w:r>
      <w:r w:rsidR="00D05E6C" w:rsidRPr="00826400">
        <w:rPr>
          <w:bCs/>
          <w:iCs/>
          <w:color w:val="000000"/>
          <w:spacing w:val="-1"/>
        </w:rPr>
        <w:lastRenderedPageBreak/>
        <w:t>бюджета – 17,5 млн. руб.</w:t>
      </w:r>
      <w:r w:rsidR="00D05E6C">
        <w:rPr>
          <w:bCs/>
          <w:iCs/>
          <w:color w:val="000000"/>
          <w:spacing w:val="-1"/>
        </w:rPr>
        <w:t xml:space="preserve"> (9,8% к общей сумме расходов). При этом для обеспечения </w:t>
      </w:r>
      <w:proofErr w:type="spellStart"/>
      <w:r w:rsidR="00D05E6C">
        <w:rPr>
          <w:bCs/>
          <w:iCs/>
          <w:color w:val="000000"/>
          <w:spacing w:val="-1"/>
        </w:rPr>
        <w:t>софинансирования</w:t>
      </w:r>
      <w:proofErr w:type="spellEnd"/>
      <w:r w:rsidR="00D05E6C">
        <w:rPr>
          <w:bCs/>
          <w:iCs/>
          <w:color w:val="000000"/>
          <w:spacing w:val="-1"/>
        </w:rPr>
        <w:t xml:space="preserve"> из областного бюджета в размере 14% необходимы дополнительные бюджетные ассигнования на сумму 8,8 млн. рублей. </w:t>
      </w:r>
    </w:p>
    <w:p w:rsidR="00D05E6C" w:rsidRDefault="00D05E6C" w:rsidP="00D05E6C">
      <w:pPr>
        <w:ind w:firstLine="720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 xml:space="preserve">На </w:t>
      </w:r>
      <w:r w:rsidRPr="00491127">
        <w:rPr>
          <w:bCs/>
          <w:iCs/>
          <w:color w:val="000000"/>
          <w:spacing w:val="-1"/>
        </w:rPr>
        <w:t xml:space="preserve">ликвидацию накопленного экологического ущерба </w:t>
      </w:r>
      <w:r>
        <w:rPr>
          <w:bCs/>
          <w:iCs/>
          <w:color w:val="000000"/>
          <w:spacing w:val="-1"/>
        </w:rPr>
        <w:t xml:space="preserve">в </w:t>
      </w:r>
      <w:r w:rsidRPr="00491127">
        <w:rPr>
          <w:bCs/>
          <w:iCs/>
          <w:color w:val="000000"/>
          <w:spacing w:val="-1"/>
        </w:rPr>
        <w:t>г</w:t>
      </w:r>
      <w:proofErr w:type="gramStart"/>
      <w:r w:rsidRPr="00491127">
        <w:rPr>
          <w:bCs/>
          <w:iCs/>
          <w:color w:val="000000"/>
          <w:spacing w:val="-1"/>
        </w:rPr>
        <w:t>.К</w:t>
      </w:r>
      <w:proofErr w:type="gramEnd"/>
      <w:r w:rsidRPr="00491127">
        <w:rPr>
          <w:bCs/>
          <w:iCs/>
          <w:color w:val="000000"/>
          <w:spacing w:val="-1"/>
        </w:rPr>
        <w:t>амышине и Дубовском муниципальном районе</w:t>
      </w:r>
      <w:r>
        <w:rPr>
          <w:bCs/>
          <w:iCs/>
          <w:color w:val="000000"/>
          <w:spacing w:val="-1"/>
        </w:rPr>
        <w:t xml:space="preserve">, по которым в 2017 году уже разработаны проекты, в 2019 году планируется дополнительно привлечь 239,4 млн. руб. федеральных средств (при поправках федерального бюджета во втором чтении), что потребует </w:t>
      </w:r>
      <w:proofErr w:type="spellStart"/>
      <w:r>
        <w:rPr>
          <w:bCs/>
          <w:iCs/>
          <w:color w:val="000000"/>
          <w:spacing w:val="-1"/>
        </w:rPr>
        <w:t>софинансирования</w:t>
      </w:r>
      <w:proofErr w:type="spellEnd"/>
      <w:r>
        <w:rPr>
          <w:bCs/>
          <w:iCs/>
          <w:color w:val="000000"/>
          <w:spacing w:val="-1"/>
        </w:rPr>
        <w:t xml:space="preserve"> из областного бюджета (14%) в сумме 38,9 млн. рублей.</w:t>
      </w:r>
    </w:p>
    <w:p w:rsidR="00D05E6C" w:rsidRDefault="00D05E6C" w:rsidP="00D05E6C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FA532B" w:rsidRDefault="00EC080F" w:rsidP="00FA532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="003D42EA" w:rsidRPr="003D42EA">
        <w:rPr>
          <w:b/>
        </w:rPr>
        <w:t>.</w:t>
      </w:r>
      <w:r w:rsidR="003D42EA">
        <w:t xml:space="preserve"> </w:t>
      </w:r>
      <w:r w:rsidR="00D05E6C" w:rsidRPr="003B4AC6">
        <w:t xml:space="preserve">Законопроектом на 2019 год не предусмотрено завершение строительства двух  детских садов </w:t>
      </w:r>
      <w:proofErr w:type="gramStart"/>
      <w:r w:rsidR="00D05E6C" w:rsidRPr="003B4AC6">
        <w:t>в</w:t>
      </w:r>
      <w:proofErr w:type="gramEnd"/>
      <w:r w:rsidR="00D05E6C" w:rsidRPr="003B4AC6">
        <w:t xml:space="preserve"> с. </w:t>
      </w:r>
      <w:proofErr w:type="spellStart"/>
      <w:r w:rsidR="00D05E6C" w:rsidRPr="003B4AC6">
        <w:t>Бундевка</w:t>
      </w:r>
      <w:proofErr w:type="spellEnd"/>
      <w:r w:rsidR="00D05E6C" w:rsidRPr="003B4AC6">
        <w:t xml:space="preserve"> </w:t>
      </w:r>
      <w:proofErr w:type="spellStart"/>
      <w:r w:rsidR="00D05E6C" w:rsidRPr="003B4AC6">
        <w:t>Руднянского</w:t>
      </w:r>
      <w:proofErr w:type="spellEnd"/>
      <w:r w:rsidR="00D05E6C" w:rsidRPr="003B4AC6">
        <w:t xml:space="preserve"> </w:t>
      </w:r>
      <w:proofErr w:type="gramStart"/>
      <w:r w:rsidR="00D05E6C" w:rsidRPr="003B4AC6">
        <w:t>района</w:t>
      </w:r>
      <w:proofErr w:type="gramEnd"/>
      <w:r w:rsidR="00D05E6C" w:rsidRPr="003B4AC6">
        <w:t xml:space="preserve"> и ст. </w:t>
      </w:r>
      <w:proofErr w:type="spellStart"/>
      <w:r w:rsidR="00D05E6C" w:rsidRPr="003B4AC6">
        <w:t>Лапшинская</w:t>
      </w:r>
      <w:proofErr w:type="spellEnd"/>
      <w:r w:rsidR="00D05E6C" w:rsidRPr="003B4AC6">
        <w:t xml:space="preserve"> Котовского района</w:t>
      </w:r>
      <w:r w:rsidR="00D05E6C">
        <w:t>,</w:t>
      </w:r>
      <w:r w:rsidR="00D05E6C" w:rsidRPr="003B4AC6">
        <w:rPr>
          <w:bCs/>
          <w:color w:val="000000"/>
          <w:u w:val="single"/>
        </w:rPr>
        <w:t xml:space="preserve"> </w:t>
      </w:r>
      <w:r w:rsidR="00D05E6C" w:rsidRPr="003B4AC6">
        <w:rPr>
          <w:bCs/>
          <w:color w:val="000000"/>
        </w:rPr>
        <w:t>пострадавших в результате природных пожаров 2-3 сентября 2010 года</w:t>
      </w:r>
      <w:r w:rsidR="00D05E6C" w:rsidRPr="003B4AC6">
        <w:t xml:space="preserve">. </w:t>
      </w:r>
      <w:r w:rsidR="00D05E6C">
        <w:t>О</w:t>
      </w:r>
      <w:r w:rsidR="00D05E6C" w:rsidRPr="003B4AC6">
        <w:t xml:space="preserve">риентировочно расходы на указанные цели в 2019 году составят около 100 млн. рублей. </w:t>
      </w:r>
    </w:p>
    <w:p w:rsidR="00624217" w:rsidRDefault="00624217" w:rsidP="00FA532B">
      <w:pPr>
        <w:autoSpaceDE w:val="0"/>
        <w:autoSpaceDN w:val="0"/>
        <w:adjustRightInd w:val="0"/>
        <w:ind w:firstLine="709"/>
        <w:jc w:val="both"/>
      </w:pPr>
    </w:p>
    <w:p w:rsidR="00FA532B" w:rsidRDefault="00EC080F" w:rsidP="00E339B1">
      <w:pPr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FA532B" w:rsidRPr="00FA532B">
        <w:rPr>
          <w:b/>
        </w:rPr>
        <w:t>.</w:t>
      </w:r>
      <w:r w:rsidR="00FA532B">
        <w:t xml:space="preserve"> </w:t>
      </w:r>
      <w:r w:rsidR="00FA532B" w:rsidRPr="004C510D">
        <w:t xml:space="preserve">Ассигнования дорожного фонда Волгоградской области на 2019 год установлены законопроектом в размере 10471,1 млн. руб., что на 2900 млн. руб. меньше объема ассигнований, </w:t>
      </w:r>
      <w:r w:rsidR="00E339B1">
        <w:t xml:space="preserve">которые должны быть </w:t>
      </w:r>
      <w:r w:rsidR="00FA532B" w:rsidRPr="004C510D">
        <w:t xml:space="preserve">сформированы в соответствии с </w:t>
      </w:r>
      <w:r w:rsidR="00813443">
        <w:t xml:space="preserve">действующим </w:t>
      </w:r>
      <w:r w:rsidR="00FA532B" w:rsidRPr="004C510D">
        <w:t>бюджетным законодательством.</w:t>
      </w:r>
      <w:r w:rsidR="00E339B1">
        <w:t xml:space="preserve"> </w:t>
      </w:r>
      <w:r w:rsidR="00FA532B" w:rsidRPr="004C510D">
        <w:t>Указанные неиспользованные ассигнования предлагается направить на увеличение ассигнований дорожного фонда в 2020</w:t>
      </w:r>
      <w:r w:rsidR="00B76083">
        <w:t xml:space="preserve"> году</w:t>
      </w:r>
      <w:r w:rsidR="00FA532B" w:rsidRPr="004C510D">
        <w:t xml:space="preserve"> (600 млн. руб.) и </w:t>
      </w:r>
      <w:r w:rsidR="00E339B1">
        <w:t xml:space="preserve">в </w:t>
      </w:r>
      <w:r w:rsidR="00FA532B" w:rsidRPr="004C510D">
        <w:t>2021 год</w:t>
      </w:r>
      <w:r w:rsidR="00B76083">
        <w:t>у</w:t>
      </w:r>
      <w:r w:rsidR="00FA532B">
        <w:t xml:space="preserve"> (2</w:t>
      </w:r>
      <w:r w:rsidR="00FA532B" w:rsidRPr="004C510D">
        <w:t>300 млн. руб.).</w:t>
      </w:r>
    </w:p>
    <w:p w:rsidR="00FA532B" w:rsidRDefault="00FA532B" w:rsidP="00FA532B">
      <w:pPr>
        <w:pStyle w:val="a9"/>
        <w:ind w:left="0" w:firstLine="709"/>
        <w:jc w:val="both"/>
      </w:pPr>
    </w:p>
    <w:p w:rsidR="00FA532B" w:rsidRDefault="00EC080F" w:rsidP="00FA532B">
      <w:pPr>
        <w:pStyle w:val="a9"/>
        <w:ind w:left="0" w:firstLine="709"/>
        <w:jc w:val="both"/>
      </w:pPr>
      <w:r>
        <w:rPr>
          <w:b/>
        </w:rPr>
        <w:t>6</w:t>
      </w:r>
      <w:r w:rsidR="00FA532B" w:rsidRPr="00FA532B">
        <w:rPr>
          <w:b/>
        </w:rPr>
        <w:t>.</w:t>
      </w:r>
      <w:r w:rsidR="00FA532B">
        <w:t xml:space="preserve"> </w:t>
      </w:r>
      <w:r w:rsidR="009E5307">
        <w:t>З</w:t>
      </w:r>
      <w:r w:rsidR="00FA532B" w:rsidRPr="004C510D">
        <w:rPr>
          <w:rFonts w:eastAsiaTheme="minorHAnsi"/>
          <w:lang w:eastAsia="en-US"/>
        </w:rPr>
        <w:t xml:space="preserve">аконопроектом реализация мероприятий в рамках национального проекта «Безопасные и качественные автомобильные дороги» не предусмотрена, </w:t>
      </w:r>
      <w:r w:rsidR="00FA532B" w:rsidRPr="004C510D">
        <w:rPr>
          <w:rFonts w:eastAsiaTheme="minorHAnsi"/>
          <w:bCs/>
          <w:iCs/>
          <w:lang w:eastAsia="en-US"/>
        </w:rPr>
        <w:t xml:space="preserve">средства на его реализацию </w:t>
      </w:r>
      <w:r w:rsidR="00AA4910">
        <w:rPr>
          <w:rFonts w:eastAsiaTheme="minorHAnsi"/>
          <w:lang w:eastAsia="en-US"/>
        </w:rPr>
        <w:t>в части ассигнований дорожного фонда Волгоградской области</w:t>
      </w:r>
      <w:r w:rsidR="00AA4910" w:rsidRPr="004C510D">
        <w:rPr>
          <w:rFonts w:eastAsiaTheme="minorHAnsi"/>
          <w:bCs/>
          <w:iCs/>
          <w:lang w:eastAsia="en-US"/>
        </w:rPr>
        <w:t xml:space="preserve"> </w:t>
      </w:r>
      <w:r w:rsidR="00FA532B" w:rsidRPr="004C510D">
        <w:rPr>
          <w:rFonts w:eastAsiaTheme="minorHAnsi"/>
          <w:bCs/>
          <w:iCs/>
          <w:lang w:eastAsia="en-US"/>
        </w:rPr>
        <w:t>не обособлены и не зарезервированы</w:t>
      </w:r>
      <w:r w:rsidR="00327C66">
        <w:rPr>
          <w:rFonts w:eastAsiaTheme="minorHAnsi"/>
          <w:bCs/>
          <w:iCs/>
          <w:lang w:eastAsia="en-US"/>
        </w:rPr>
        <w:t>, как это сделано в проекте федерального бюджета.</w:t>
      </w:r>
    </w:p>
    <w:p w:rsidR="00FA532B" w:rsidRDefault="00FA532B" w:rsidP="00FA532B">
      <w:pPr>
        <w:pStyle w:val="a9"/>
        <w:ind w:left="0" w:firstLine="709"/>
        <w:jc w:val="both"/>
      </w:pPr>
    </w:p>
    <w:p w:rsidR="00BA151C" w:rsidRDefault="00EC080F" w:rsidP="00BA151C">
      <w:pPr>
        <w:pStyle w:val="a9"/>
        <w:ind w:left="0" w:firstLine="709"/>
        <w:jc w:val="both"/>
      </w:pPr>
      <w:r>
        <w:rPr>
          <w:b/>
        </w:rPr>
        <w:t>7</w:t>
      </w:r>
      <w:r w:rsidR="00FA532B" w:rsidRPr="00FA532B">
        <w:rPr>
          <w:b/>
        </w:rPr>
        <w:t>.</w:t>
      </w:r>
      <w:r w:rsidR="00FA532B">
        <w:t xml:space="preserve"> </w:t>
      </w:r>
      <w:proofErr w:type="gramStart"/>
      <w:r w:rsidR="00FA532B" w:rsidRPr="004C510D">
        <w:t>Законопроектом предлагается утвердить ассигнования на создание, развитие и обеспечение функционирования автоматизированной системы весового и габаритного контроля транспортных средств с общим объемом финансирования 800 млн. руб. (из них в 2018 году – 120 млн. руб. за счет внебюджетных источников, в 2019-2023 годах – по 136 млн. руб. за счет областного бюджета) в отсутствие и</w:t>
      </w:r>
      <w:r w:rsidR="00FA532B" w:rsidRPr="004C510D">
        <w:rPr>
          <w:bCs/>
        </w:rPr>
        <w:t>нформации о квалифицированной оценке финансово-экономических и организационных рисков создания системы.</w:t>
      </w:r>
      <w:proofErr w:type="gramEnd"/>
    </w:p>
    <w:p w:rsidR="00BA151C" w:rsidRDefault="00BA151C" w:rsidP="00BA151C">
      <w:pPr>
        <w:pStyle w:val="a9"/>
        <w:ind w:left="0" w:firstLine="709"/>
        <w:jc w:val="both"/>
      </w:pPr>
    </w:p>
    <w:p w:rsidR="006E0C06" w:rsidRDefault="00EC080F" w:rsidP="006E0C06">
      <w:pPr>
        <w:pStyle w:val="a9"/>
        <w:ind w:left="0" w:firstLine="709"/>
        <w:jc w:val="both"/>
      </w:pPr>
      <w:r>
        <w:t>8</w:t>
      </w:r>
      <w:r w:rsidR="00BA151C">
        <w:t>.</w:t>
      </w:r>
      <w:r w:rsidR="00FA532B" w:rsidRPr="004C510D">
        <w:t xml:space="preserve"> </w:t>
      </w:r>
      <w:r w:rsidR="00BA151C">
        <w:t>З</w:t>
      </w:r>
      <w:r w:rsidR="00FA532B" w:rsidRPr="004C510D">
        <w:t xml:space="preserve">а счет ассигнований </w:t>
      </w:r>
      <w:r w:rsidR="0017267F">
        <w:t xml:space="preserve">областного </w:t>
      </w:r>
      <w:r w:rsidR="00FA532B" w:rsidRPr="004C510D">
        <w:t xml:space="preserve">дорожного фонда </w:t>
      </w:r>
      <w:r w:rsidR="00BA151C">
        <w:t xml:space="preserve">в 2019 году </w:t>
      </w:r>
      <w:r w:rsidR="00FA532B" w:rsidRPr="004C510D">
        <w:t xml:space="preserve">запланированы расходы на содержание ГКУ «Безопасный регион», которое частично осуществляет деятельность, не связанную с обеспечением дорожной деятельности и дорожного хозяйства, что противоречит </w:t>
      </w:r>
      <w:r w:rsidR="00BA151C">
        <w:t xml:space="preserve">действующему </w:t>
      </w:r>
      <w:r w:rsidR="00FA532B" w:rsidRPr="004C510D">
        <w:t>законодательству</w:t>
      </w:r>
      <w:r w:rsidR="0017267F">
        <w:t xml:space="preserve"> о дорожных фондах</w:t>
      </w:r>
      <w:r w:rsidR="006E0C06">
        <w:t>.</w:t>
      </w:r>
    </w:p>
    <w:p w:rsidR="0017267F" w:rsidRDefault="0017267F" w:rsidP="006E0C06">
      <w:pPr>
        <w:pStyle w:val="a9"/>
        <w:ind w:left="0" w:firstLine="709"/>
        <w:jc w:val="both"/>
      </w:pPr>
    </w:p>
    <w:p w:rsidR="00FA532B" w:rsidRPr="006E0C06" w:rsidRDefault="00EC080F" w:rsidP="006E0C06">
      <w:pPr>
        <w:pStyle w:val="a9"/>
        <w:ind w:left="0" w:firstLine="709"/>
        <w:jc w:val="both"/>
      </w:pPr>
      <w:r>
        <w:rPr>
          <w:b/>
        </w:rPr>
        <w:t>9</w:t>
      </w:r>
      <w:r w:rsidR="006E0C06" w:rsidRPr="006E0C06">
        <w:rPr>
          <w:b/>
        </w:rPr>
        <w:t>.</w:t>
      </w:r>
      <w:r w:rsidR="006E0C06">
        <w:t xml:space="preserve"> </w:t>
      </w:r>
      <w:proofErr w:type="gramStart"/>
      <w:r w:rsidR="00FA532B" w:rsidRPr="004C510D">
        <w:t>В 2019-2021 годах планируется использовать часть средств дорожного фонда Волгоградской области (1243,6 млн. руб.</w:t>
      </w:r>
      <w:r w:rsidR="006E0C06">
        <w:t xml:space="preserve"> </w:t>
      </w:r>
      <w:r w:rsidR="00FA532B" w:rsidRPr="004C510D">
        <w:t>в 2019 году, 1 900 млн. руб. в 2020 году и 1300 млн. руб. в 2021 году)</w:t>
      </w:r>
      <w:r w:rsidR="00FA532B" w:rsidRPr="004C510D">
        <w:rPr>
          <w:rFonts w:eastAsiaTheme="minorHAnsi"/>
          <w:lang w:eastAsia="en-US"/>
        </w:rPr>
        <w:t xml:space="preserve"> в виде </w:t>
      </w:r>
      <w:proofErr w:type="spellStart"/>
      <w:r w:rsidR="00FA532B" w:rsidRPr="004C510D">
        <w:rPr>
          <w:rFonts w:eastAsiaTheme="minorHAnsi"/>
          <w:lang w:eastAsia="en-US"/>
        </w:rPr>
        <w:t>непрограммных</w:t>
      </w:r>
      <w:proofErr w:type="spellEnd"/>
      <w:r w:rsidR="00FA532B" w:rsidRPr="004C510D">
        <w:rPr>
          <w:rFonts w:eastAsiaTheme="minorHAnsi"/>
          <w:lang w:eastAsia="en-US"/>
        </w:rPr>
        <w:t xml:space="preserve"> расходов</w:t>
      </w:r>
      <w:r w:rsidR="00FA532B" w:rsidRPr="004C510D">
        <w:t xml:space="preserve"> главным распорядителем бюджетных средств, который не надел</w:t>
      </w:r>
      <w:r w:rsidR="006E0C06">
        <w:t>е</w:t>
      </w:r>
      <w:r w:rsidR="00FA532B" w:rsidRPr="004C510D">
        <w:t xml:space="preserve">н какими-либо полномочиями в сфере дорожной деятельности, </w:t>
      </w:r>
      <w:r w:rsidR="006E0C06">
        <w:t xml:space="preserve">что может </w:t>
      </w:r>
      <w:r w:rsidR="00FA532B" w:rsidRPr="004C510D">
        <w:t>приве</w:t>
      </w:r>
      <w:r w:rsidR="006E0C06">
        <w:t>сти</w:t>
      </w:r>
      <w:r w:rsidR="00FA532B" w:rsidRPr="004C510D">
        <w:t xml:space="preserve"> к распылению </w:t>
      </w:r>
      <w:r w:rsidR="006E0C06">
        <w:t>средств</w:t>
      </w:r>
      <w:r w:rsidR="00FA532B" w:rsidRPr="004C510D">
        <w:t xml:space="preserve"> дорожного фонда Волгоградской области и</w:t>
      </w:r>
      <w:r w:rsidR="006E0C06">
        <w:t xml:space="preserve"> </w:t>
      </w:r>
      <w:proofErr w:type="spellStart"/>
      <w:r w:rsidR="006E0C06">
        <w:t>не</w:t>
      </w:r>
      <w:r w:rsidR="00FA532B" w:rsidRPr="004C510D">
        <w:rPr>
          <w:rFonts w:eastAsiaTheme="minorHAnsi"/>
          <w:lang w:eastAsia="en-US"/>
        </w:rPr>
        <w:t>достижени</w:t>
      </w:r>
      <w:r w:rsidR="006E0C06">
        <w:rPr>
          <w:rFonts w:eastAsiaTheme="minorHAnsi"/>
          <w:lang w:eastAsia="en-US"/>
        </w:rPr>
        <w:t>ю</w:t>
      </w:r>
      <w:proofErr w:type="spellEnd"/>
      <w:proofErr w:type="gramEnd"/>
      <w:r w:rsidR="00FA532B" w:rsidRPr="004C510D">
        <w:rPr>
          <w:rFonts w:eastAsiaTheme="minorHAnsi"/>
          <w:lang w:eastAsia="en-US"/>
        </w:rPr>
        <w:t xml:space="preserve"> </w:t>
      </w:r>
      <w:r w:rsidR="00870656">
        <w:rPr>
          <w:rFonts w:eastAsiaTheme="minorHAnsi"/>
          <w:lang w:eastAsia="en-US"/>
        </w:rPr>
        <w:t xml:space="preserve">в полной мере </w:t>
      </w:r>
      <w:r w:rsidR="00FA532B" w:rsidRPr="004C510D">
        <w:rPr>
          <w:rFonts w:eastAsiaTheme="minorHAnsi"/>
          <w:lang w:eastAsia="en-US"/>
        </w:rPr>
        <w:t>целей в сфере дорожной деятельности, определ</w:t>
      </w:r>
      <w:r w:rsidR="006E0C06">
        <w:rPr>
          <w:rFonts w:eastAsiaTheme="minorHAnsi"/>
          <w:lang w:eastAsia="en-US"/>
        </w:rPr>
        <w:t>е</w:t>
      </w:r>
      <w:r w:rsidR="00FA532B" w:rsidRPr="004C510D">
        <w:rPr>
          <w:rFonts w:eastAsiaTheme="minorHAnsi"/>
          <w:lang w:eastAsia="en-US"/>
        </w:rPr>
        <w:t>нных Указом Президента РФ от 07.05.2018 №204 «О национальных целях и стратегических задачах развития Российской Федерации на период до 2024 года».</w:t>
      </w:r>
    </w:p>
    <w:p w:rsidR="00FA532B" w:rsidRPr="007D5B6D" w:rsidRDefault="00FA532B" w:rsidP="00FA532B">
      <w:pPr>
        <w:ind w:firstLine="709"/>
        <w:jc w:val="both"/>
      </w:pPr>
    </w:p>
    <w:p w:rsidR="00F33FE1" w:rsidRDefault="006E0C06" w:rsidP="00F33FE1">
      <w:pPr>
        <w:widowControl w:val="0"/>
        <w:ind w:firstLine="709"/>
        <w:jc w:val="both"/>
      </w:pPr>
      <w:r>
        <w:rPr>
          <w:b/>
        </w:rPr>
        <w:t>1</w:t>
      </w:r>
      <w:r w:rsidR="00EC080F">
        <w:rPr>
          <w:b/>
        </w:rPr>
        <w:t>0</w:t>
      </w:r>
      <w:r w:rsidR="00F33FE1" w:rsidRPr="00F33FE1">
        <w:rPr>
          <w:b/>
        </w:rPr>
        <w:t>.</w:t>
      </w:r>
      <w:r w:rsidR="00F33FE1" w:rsidRPr="00F33FE1">
        <w:t xml:space="preserve"> </w:t>
      </w:r>
      <w:r w:rsidR="00F33FE1">
        <w:t xml:space="preserve"> </w:t>
      </w:r>
      <w:r w:rsidR="00F33FE1" w:rsidRPr="00F33FE1">
        <w:t>Предусмотренный законопроектом объем субвенции на образовательный процесс в полном объеме позволит обеспечить оплату труда работников образовательных организаций, в том числе для категорий, предусмотренных Указом Президента №597, но не позволит обеспечить учебные расходы в соответствии с нормативами финансового обеспечения. Недостаток средств субвенции на учебный процесс по программам дошкольного образования в муниципальных дошкольных и общеобразовательных организациях составляет 108 млн.</w:t>
      </w:r>
      <w:r w:rsidR="0038319C">
        <w:t xml:space="preserve"> </w:t>
      </w:r>
      <w:proofErr w:type="spellStart"/>
      <w:r w:rsidR="0038319C">
        <w:t>руб</w:t>
      </w:r>
      <w:proofErr w:type="spellEnd"/>
      <w:r w:rsidR="00F33FE1" w:rsidRPr="00F33FE1">
        <w:t xml:space="preserve">, по программам общего образования в </w:t>
      </w:r>
      <w:r w:rsidR="00F33FE1" w:rsidRPr="00F33FE1">
        <w:lastRenderedPageBreak/>
        <w:t xml:space="preserve">муниципальных общеобразовательных организациях </w:t>
      </w:r>
      <w:r w:rsidR="0038319C">
        <w:t xml:space="preserve">- </w:t>
      </w:r>
      <w:r w:rsidR="00F33FE1" w:rsidRPr="00F33FE1">
        <w:t>246,7 млн. рублей.</w:t>
      </w:r>
    </w:p>
    <w:p w:rsidR="00F33FE1" w:rsidRPr="00F33FE1" w:rsidRDefault="00F33FE1" w:rsidP="00F33FE1">
      <w:pPr>
        <w:widowControl w:val="0"/>
        <w:ind w:firstLine="709"/>
        <w:jc w:val="both"/>
      </w:pPr>
    </w:p>
    <w:p w:rsidR="00F33FE1" w:rsidRDefault="001F11AD" w:rsidP="00F33FE1">
      <w:pPr>
        <w:ind w:firstLine="709"/>
        <w:jc w:val="both"/>
      </w:pPr>
      <w:r>
        <w:rPr>
          <w:b/>
        </w:rPr>
        <w:t>11</w:t>
      </w:r>
      <w:r w:rsidR="00F33FE1" w:rsidRPr="00F33FE1">
        <w:rPr>
          <w:b/>
        </w:rPr>
        <w:t>.</w:t>
      </w:r>
      <w:r w:rsidR="00F33FE1" w:rsidRPr="00F33FE1">
        <w:t xml:space="preserve"> </w:t>
      </w:r>
      <w:proofErr w:type="gramStart"/>
      <w:r w:rsidR="00F33FE1" w:rsidRPr="00F33FE1">
        <w:t>Объем уточненной субвенции на организацию питания детей из малоимущих семей и детей, находящихся на учете у фтизиатра, обучающихся в общеобразовательных организациях</w:t>
      </w:r>
      <w:r w:rsidR="00F33FE1" w:rsidRPr="00F33FE1">
        <w:rPr>
          <w:iCs/>
        </w:rPr>
        <w:t xml:space="preserve"> </w:t>
      </w:r>
      <w:r w:rsidR="00F33FE1" w:rsidRPr="00F33FE1">
        <w:t>с учетом фактических расходов за 2017-2018 годы</w:t>
      </w:r>
      <w:r w:rsidR="00F33FE1" w:rsidRPr="00F33FE1">
        <w:rPr>
          <w:iCs/>
        </w:rPr>
        <w:t xml:space="preserve"> и некорректных данных ОМСУ</w:t>
      </w:r>
      <w:r w:rsidR="00F33FE1" w:rsidRPr="00F33FE1">
        <w:t xml:space="preserve"> о численности обучающихся, имеющих право на частичную компенсацию стоимости питания</w:t>
      </w:r>
      <w:r w:rsidR="00F33FE1" w:rsidRPr="00F33FE1">
        <w:rPr>
          <w:iCs/>
        </w:rPr>
        <w:t xml:space="preserve">, используемых для расчета потребности на действующие меры поддержки </w:t>
      </w:r>
      <w:r w:rsidR="00F33FE1" w:rsidRPr="00F33FE1">
        <w:t xml:space="preserve">завышен не менее чем на 80 млн. рублей. </w:t>
      </w:r>
      <w:proofErr w:type="gramEnd"/>
    </w:p>
    <w:p w:rsidR="00F33FE1" w:rsidRPr="00F33FE1" w:rsidRDefault="00F33FE1" w:rsidP="00F33FE1">
      <w:pPr>
        <w:ind w:firstLine="709"/>
        <w:jc w:val="both"/>
      </w:pPr>
    </w:p>
    <w:p w:rsidR="00E339B1" w:rsidRDefault="001F11AD" w:rsidP="00F33FE1">
      <w:pPr>
        <w:ind w:firstLine="708"/>
        <w:jc w:val="both"/>
      </w:pPr>
      <w:r>
        <w:rPr>
          <w:b/>
          <w:color w:val="020C22"/>
          <w:shd w:val="clear" w:color="auto" w:fill="FEFEFE"/>
        </w:rPr>
        <w:t>12</w:t>
      </w:r>
      <w:r w:rsidR="00F33FE1" w:rsidRPr="00F33FE1">
        <w:rPr>
          <w:b/>
          <w:color w:val="020C22"/>
          <w:shd w:val="clear" w:color="auto" w:fill="FEFEFE"/>
        </w:rPr>
        <w:t>.</w:t>
      </w:r>
      <w:r w:rsidR="00F33FE1" w:rsidRPr="00F33FE1">
        <w:rPr>
          <w:color w:val="020C22"/>
          <w:shd w:val="clear" w:color="auto" w:fill="FEFEFE"/>
        </w:rPr>
        <w:t xml:space="preserve"> </w:t>
      </w:r>
      <w:r w:rsidR="00F33FE1" w:rsidRPr="00F33FE1">
        <w:t>Законопроектом по разделу 08</w:t>
      </w:r>
      <w:r w:rsidR="00F33FE1">
        <w:t>00</w:t>
      </w:r>
      <w:r w:rsidR="00F33FE1" w:rsidRPr="00F33FE1">
        <w:t xml:space="preserve"> «Культура» не предусмотрены средства</w:t>
      </w:r>
      <w:r w:rsidR="0037460B">
        <w:t>:</w:t>
      </w:r>
    </w:p>
    <w:p w:rsidR="00F33FE1" w:rsidRDefault="00E339B1" w:rsidP="00F33FE1">
      <w:pPr>
        <w:ind w:firstLine="708"/>
        <w:jc w:val="both"/>
      </w:pPr>
      <w:proofErr w:type="gramStart"/>
      <w:r>
        <w:t>-</w:t>
      </w:r>
      <w:r w:rsidR="00F33FE1" w:rsidRPr="00F33FE1">
        <w:rPr>
          <w:color w:val="020C22"/>
          <w:shd w:val="clear" w:color="auto" w:fill="FEFEFE"/>
        </w:rPr>
        <w:t xml:space="preserve">на </w:t>
      </w:r>
      <w:r w:rsidR="00F33FE1" w:rsidRPr="00F33FE1">
        <w:t>проведение работ по определению границ территорий объектов культурного наследия, границ зон охраны таких объектов и включение в Единый государственный реестр недвижимости таких сведений, а также актуализацию сведений об объектах культурного наследия в части определения их статуса принадлежности к объектам культурного наследия, что не позволит реализовать внедрение в области целевой модели «Постановка на кадастровый учет земельных участков и объектов недвижимого</w:t>
      </w:r>
      <w:proofErr w:type="gramEnd"/>
      <w:r w:rsidR="00F33FE1" w:rsidRPr="00F33FE1">
        <w:t xml:space="preserve"> имущества»</w:t>
      </w:r>
      <w:r>
        <w:t>;</w:t>
      </w:r>
    </w:p>
    <w:p w:rsidR="00F33FE1" w:rsidRPr="00F33FE1" w:rsidRDefault="00E339B1" w:rsidP="00F33FE1">
      <w:pPr>
        <w:ind w:firstLine="708"/>
        <w:jc w:val="both"/>
      </w:pPr>
      <w:r>
        <w:t>-н</w:t>
      </w:r>
      <w:r w:rsidR="00F33FE1" w:rsidRPr="00F33FE1">
        <w:t xml:space="preserve">а реализацию мероприятий, проводимых </w:t>
      </w:r>
      <w:r w:rsidR="00F33FE1" w:rsidRPr="00F33FE1">
        <w:rPr>
          <w:shd w:val="clear" w:color="auto" w:fill="FEFEFE"/>
        </w:rPr>
        <w:t>в рамках Года театра</w:t>
      </w:r>
      <w:r w:rsidR="00F33FE1" w:rsidRPr="00F33FE1">
        <w:t xml:space="preserve"> </w:t>
      </w:r>
      <w:r w:rsidR="00F33FE1" w:rsidRPr="00F33FE1">
        <w:rPr>
          <w:color w:val="020C22"/>
          <w:shd w:val="clear" w:color="auto" w:fill="FEFEFE"/>
        </w:rPr>
        <w:t>в Р</w:t>
      </w:r>
      <w:r>
        <w:rPr>
          <w:color w:val="020C22"/>
          <w:shd w:val="clear" w:color="auto" w:fill="FEFEFE"/>
        </w:rPr>
        <w:t>оссийской Федерации</w:t>
      </w:r>
      <w:r w:rsidR="00F33FE1" w:rsidRPr="00F33FE1">
        <w:rPr>
          <w:color w:val="020C22"/>
          <w:shd w:val="clear" w:color="auto" w:fill="FEFEFE"/>
        </w:rPr>
        <w:t xml:space="preserve"> </w:t>
      </w:r>
      <w:r w:rsidR="00F33FE1" w:rsidRPr="00F33FE1">
        <w:t>в соответствии с Указом Президента РФ от 28.04.2018 №181.</w:t>
      </w:r>
    </w:p>
    <w:p w:rsidR="00F33FE1" w:rsidRDefault="00F33FE1" w:rsidP="00EA2C21">
      <w:pPr>
        <w:pStyle w:val="12"/>
        <w:jc w:val="both"/>
        <w:rPr>
          <w:szCs w:val="24"/>
        </w:rPr>
      </w:pPr>
    </w:p>
    <w:p w:rsidR="0095446E" w:rsidRPr="004C6E75" w:rsidRDefault="0095446E" w:rsidP="00954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 w:rsidR="001F11AD">
        <w:rPr>
          <w:rFonts w:ascii="Times New Roman" w:hAnsi="Times New Roman" w:cs="Times New Roman"/>
          <w:b/>
          <w:sz w:val="24"/>
          <w:szCs w:val="24"/>
        </w:rPr>
        <w:t>13</w:t>
      </w:r>
      <w:r w:rsidRPr="009544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95446E">
        <w:rPr>
          <w:rFonts w:ascii="Times New Roman" w:hAnsi="Times New Roman" w:cs="Times New Roman"/>
          <w:sz w:val="24"/>
          <w:szCs w:val="24"/>
        </w:rPr>
        <w:t>едостаток средств областного бюджета на меры социальной помощи и поддержки</w:t>
      </w:r>
      <w:r w:rsidR="006744F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>
        <w:rPr>
          <w:rFonts w:ascii="Times New Roman" w:hAnsi="Times New Roman" w:cs="Times New Roman"/>
          <w:sz w:val="24"/>
          <w:szCs w:val="24"/>
        </w:rPr>
        <w:t>, предусмотренных законопроектом в разделе 1000 «Социальная политика» на</w:t>
      </w:r>
      <w:r w:rsidRPr="0095446E">
        <w:rPr>
          <w:rFonts w:ascii="Times New Roman" w:hAnsi="Times New Roman" w:cs="Times New Roman"/>
          <w:sz w:val="24"/>
          <w:szCs w:val="24"/>
        </w:rPr>
        <w:t xml:space="preserve"> 2019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46E">
        <w:rPr>
          <w:rFonts w:ascii="Times New Roman" w:hAnsi="Times New Roman" w:cs="Times New Roman"/>
          <w:sz w:val="24"/>
          <w:szCs w:val="24"/>
        </w:rPr>
        <w:t xml:space="preserve"> составляет 252,1 млн. руб., </w:t>
      </w:r>
      <w:r>
        <w:rPr>
          <w:rFonts w:ascii="Times New Roman" w:hAnsi="Times New Roman" w:cs="Times New Roman"/>
          <w:sz w:val="24"/>
          <w:szCs w:val="24"/>
        </w:rPr>
        <w:t>в основном,</w:t>
      </w:r>
      <w:r w:rsidRPr="004C6E75">
        <w:rPr>
          <w:rFonts w:ascii="Times New Roman" w:hAnsi="Times New Roman" w:cs="Times New Roman"/>
          <w:sz w:val="24"/>
          <w:szCs w:val="24"/>
        </w:rPr>
        <w:t xml:space="preserve"> на предоставление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Pr="004C6E75">
        <w:rPr>
          <w:rFonts w:ascii="Times New Roman" w:hAnsi="Times New Roman" w:cs="Times New Roman"/>
          <w:sz w:val="24"/>
          <w:szCs w:val="24"/>
        </w:rPr>
        <w:t xml:space="preserve">субвенций из областного бюджета:  </w:t>
      </w:r>
    </w:p>
    <w:p w:rsidR="0095446E" w:rsidRPr="004C6E75" w:rsidRDefault="0095446E" w:rsidP="0095446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4C6E75">
        <w:rPr>
          <w:rFonts w:ascii="Times New Roman" w:hAnsi="Times New Roman" w:cs="Times New Roman"/>
          <w:sz w:val="24"/>
          <w:szCs w:val="24"/>
        </w:rPr>
        <w:t>156,9 млн. руб. - субвенция на предоставление субсидий гражданам на оплату жилого помещения и коммунальных услуг в соответствии с Законом Волгоградской области от 12.12.2015 №1145-ОД;</w:t>
      </w:r>
    </w:p>
    <w:p w:rsidR="0095446E" w:rsidRPr="004C6E75" w:rsidRDefault="0095446E" w:rsidP="00954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F6A">
        <w:rPr>
          <w:rFonts w:ascii="Times New Roman" w:hAnsi="Times New Roman" w:cs="Times New Roman"/>
          <w:sz w:val="24"/>
          <w:szCs w:val="24"/>
        </w:rPr>
        <w:t>-</w:t>
      </w:r>
      <w:r w:rsidRPr="004C6E75">
        <w:rPr>
          <w:rFonts w:ascii="Times New Roman" w:hAnsi="Times New Roman" w:cs="Times New Roman"/>
          <w:sz w:val="24"/>
          <w:szCs w:val="24"/>
        </w:rPr>
        <w:t>45,5 млн. руб. - субвенция на выплату пособий по опеке и попечительству;</w:t>
      </w:r>
    </w:p>
    <w:p w:rsidR="0095446E" w:rsidRDefault="0095446E" w:rsidP="0095446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F6A">
        <w:rPr>
          <w:rFonts w:ascii="Times New Roman" w:hAnsi="Times New Roman" w:cs="Times New Roman"/>
          <w:sz w:val="24"/>
          <w:szCs w:val="24"/>
        </w:rPr>
        <w:t>-</w:t>
      </w:r>
      <w:r w:rsidRPr="004C6E75">
        <w:rPr>
          <w:rFonts w:ascii="Times New Roman" w:hAnsi="Times New Roman" w:cs="Times New Roman"/>
          <w:sz w:val="24"/>
          <w:szCs w:val="24"/>
        </w:rPr>
        <w:t>42,7 млн. руб. - субвенция на вознаграждение за труд приемным родителям (патронатному воспитателю) и предоставление им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346A" w:rsidRDefault="0095446E" w:rsidP="0021346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F6A">
        <w:rPr>
          <w:rFonts w:ascii="Times New Roman" w:hAnsi="Times New Roman" w:cs="Times New Roman"/>
          <w:sz w:val="24"/>
          <w:szCs w:val="24"/>
        </w:rPr>
        <w:t>-</w:t>
      </w:r>
      <w:r w:rsidRPr="00771649">
        <w:rPr>
          <w:rFonts w:ascii="Times New Roman" w:hAnsi="Times New Roman" w:cs="Times New Roman"/>
          <w:sz w:val="24"/>
          <w:szCs w:val="24"/>
        </w:rPr>
        <w:t>5,3 млн. руб. - 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DF7572" w:rsidRPr="009B27D1" w:rsidRDefault="00DF7572" w:rsidP="00A203C8">
      <w:pPr>
        <w:ind w:firstLine="708"/>
        <w:jc w:val="both"/>
        <w:rPr>
          <w:u w:val="single"/>
        </w:rPr>
      </w:pPr>
      <w:r w:rsidRPr="00DF7572">
        <w:rPr>
          <w:b/>
        </w:rPr>
        <w:t>14</w:t>
      </w:r>
      <w:r>
        <w:t xml:space="preserve">. </w:t>
      </w:r>
      <w:proofErr w:type="gramStart"/>
      <w:r>
        <w:t xml:space="preserve">В законопроекте </w:t>
      </w:r>
      <w:r w:rsidRPr="007E3713">
        <w:t>между бюджетами муниципальных о</w:t>
      </w:r>
      <w:r>
        <w:t>бразований Волгоградской области распределены 45 из 76</w:t>
      </w:r>
      <w:r w:rsidRPr="007E3713">
        <w:t xml:space="preserve"> видов межбюджетных трансфертов в общей </w:t>
      </w:r>
      <w:r w:rsidRPr="00B307C1">
        <w:t xml:space="preserve">сумме </w:t>
      </w:r>
      <w:r>
        <w:rPr>
          <w:color w:val="000000" w:themeColor="text1"/>
        </w:rPr>
        <w:t>25</w:t>
      </w:r>
      <w:r w:rsidRPr="00013D9F">
        <w:rPr>
          <w:color w:val="000000" w:themeColor="text1"/>
        </w:rPr>
        <w:t xml:space="preserve">785,2 млн. руб., что составляет </w:t>
      </w:r>
      <w:r>
        <w:rPr>
          <w:color w:val="000000" w:themeColor="text1"/>
        </w:rPr>
        <w:t>8</w:t>
      </w:r>
      <w:r w:rsidRPr="00013D9F">
        <w:rPr>
          <w:color w:val="000000" w:themeColor="text1"/>
        </w:rPr>
        <w:t>9,</w:t>
      </w:r>
      <w:r>
        <w:rPr>
          <w:color w:val="000000" w:themeColor="text1"/>
        </w:rPr>
        <w:t>4</w:t>
      </w:r>
      <w:r w:rsidRPr="00013D9F">
        <w:rPr>
          <w:color w:val="000000" w:themeColor="text1"/>
        </w:rPr>
        <w:t>% от</w:t>
      </w:r>
      <w:r>
        <w:t xml:space="preserve"> предусмотренного на 2019</w:t>
      </w:r>
      <w:r w:rsidRPr="007E3713">
        <w:t xml:space="preserve"> год объема межбюджетных трансфертов </w:t>
      </w:r>
      <w:r w:rsidRPr="00607C65">
        <w:t>(</w:t>
      </w:r>
      <w:r w:rsidRPr="00013D9F">
        <w:rPr>
          <w:color w:val="000000" w:themeColor="text1"/>
        </w:rPr>
        <w:t>2</w:t>
      </w:r>
      <w:r>
        <w:rPr>
          <w:color w:val="000000" w:themeColor="text1"/>
        </w:rPr>
        <w:t>882</w:t>
      </w:r>
      <w:r w:rsidRPr="00013D9F">
        <w:rPr>
          <w:color w:val="000000" w:themeColor="text1"/>
        </w:rPr>
        <w:t>7,3</w:t>
      </w:r>
      <w:r>
        <w:rPr>
          <w:color w:val="1F497D" w:themeColor="text2"/>
        </w:rPr>
        <w:t xml:space="preserve"> </w:t>
      </w:r>
      <w:r w:rsidRPr="00D804F8">
        <w:t>млн. руб.).</w:t>
      </w:r>
      <w:proofErr w:type="gramEnd"/>
      <w:r w:rsidR="00A203C8">
        <w:t xml:space="preserve"> При этом н</w:t>
      </w:r>
      <w:r w:rsidRPr="00D45018">
        <w:t>ераспределенный объем дотаций на поддержку мер по обеспечению сбалансиров</w:t>
      </w:r>
      <w:r>
        <w:t>анности местных бюджетов на 2019</w:t>
      </w:r>
      <w:r w:rsidRPr="00D45018">
        <w:t xml:space="preserve"> год </w:t>
      </w:r>
      <w:r>
        <w:t xml:space="preserve">составил </w:t>
      </w:r>
      <w:r w:rsidR="00A203C8">
        <w:t>67</w:t>
      </w:r>
      <w:r w:rsidRPr="00F4244E">
        <w:t>0</w:t>
      </w:r>
      <w:r>
        <w:t xml:space="preserve"> </w:t>
      </w:r>
      <w:r w:rsidRPr="00D45018">
        <w:t>млн. руб.</w:t>
      </w:r>
      <w:r>
        <w:t>, н</w:t>
      </w:r>
      <w:r w:rsidRPr="00D45018">
        <w:t xml:space="preserve">ераспределенный объем субсидий </w:t>
      </w:r>
      <w:r>
        <w:t xml:space="preserve">– 2313,1 млн. руб., или 31,6 </w:t>
      </w:r>
      <w:r w:rsidRPr="00D45018">
        <w:t>% от общего объема субсидий</w:t>
      </w:r>
      <w:r>
        <w:t>, н</w:t>
      </w:r>
      <w:r w:rsidRPr="009B27D1">
        <w:t xml:space="preserve">ераспределенный объем субвенций </w:t>
      </w:r>
      <w:r>
        <w:t>– 54,5 млн. руб., или 0,3</w:t>
      </w:r>
      <w:r w:rsidRPr="009B27D1">
        <w:t>% от общего объема</w:t>
      </w:r>
      <w:r>
        <w:t>.</w:t>
      </w:r>
      <w:r w:rsidRPr="009B27D1">
        <w:t xml:space="preserve">  </w:t>
      </w:r>
    </w:p>
    <w:p w:rsidR="00DF7572" w:rsidRDefault="00DF7572" w:rsidP="0021346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7D43" w:rsidRDefault="00D37D43" w:rsidP="0021346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08B3" w:rsidRPr="001F11AD" w:rsidRDefault="0021346A" w:rsidP="001F11A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346A">
        <w:rPr>
          <w:rFonts w:ascii="Times New Roman" w:hAnsi="Times New Roman" w:cs="Times New Roman"/>
          <w:sz w:val="24"/>
          <w:szCs w:val="24"/>
        </w:rPr>
        <w:tab/>
      </w:r>
      <w:r w:rsidR="007E08B3" w:rsidRPr="001F11AD"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="007E08B3" w:rsidRPr="001F11AD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контрольно-счетная палата предлагает Волгоградской областной Думе</w:t>
      </w:r>
      <w:r w:rsidR="007E08B3" w:rsidRPr="001F11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08B3" w:rsidRPr="001F11AD">
        <w:rPr>
          <w:rFonts w:ascii="Times New Roman" w:hAnsi="Times New Roman" w:cs="Times New Roman"/>
          <w:sz w:val="24"/>
          <w:szCs w:val="24"/>
        </w:rPr>
        <w:t>предусмотреть в постановлении «О принятии во втором чтении проекта закона «Об областном бюджете на 201</w:t>
      </w:r>
      <w:r w:rsidR="001F11AD">
        <w:rPr>
          <w:rFonts w:ascii="Times New Roman" w:hAnsi="Times New Roman" w:cs="Times New Roman"/>
          <w:sz w:val="24"/>
          <w:szCs w:val="24"/>
        </w:rPr>
        <w:t>9</w:t>
      </w:r>
      <w:r w:rsidR="007E08B3" w:rsidRPr="001F11A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1F11AD">
        <w:rPr>
          <w:rFonts w:ascii="Times New Roman" w:hAnsi="Times New Roman" w:cs="Times New Roman"/>
          <w:sz w:val="24"/>
          <w:szCs w:val="24"/>
        </w:rPr>
        <w:t>20</w:t>
      </w:r>
      <w:r w:rsidR="007E08B3" w:rsidRPr="001F11AD">
        <w:rPr>
          <w:rFonts w:ascii="Times New Roman" w:hAnsi="Times New Roman" w:cs="Times New Roman"/>
          <w:sz w:val="24"/>
          <w:szCs w:val="24"/>
        </w:rPr>
        <w:t xml:space="preserve"> и 202</w:t>
      </w:r>
      <w:r w:rsidR="001F11AD">
        <w:rPr>
          <w:rFonts w:ascii="Times New Roman" w:hAnsi="Times New Roman" w:cs="Times New Roman"/>
          <w:sz w:val="24"/>
          <w:szCs w:val="24"/>
        </w:rPr>
        <w:t>1</w:t>
      </w:r>
      <w:r w:rsidR="007E08B3" w:rsidRPr="001F11AD">
        <w:rPr>
          <w:rFonts w:ascii="Times New Roman" w:hAnsi="Times New Roman" w:cs="Times New Roman"/>
          <w:sz w:val="24"/>
          <w:szCs w:val="24"/>
        </w:rPr>
        <w:t xml:space="preserve"> годов» следующие рекомендации Администрации Волгоградской области:</w:t>
      </w:r>
    </w:p>
    <w:p w:rsidR="007E08B3" w:rsidRDefault="007E08B3" w:rsidP="007E08B3">
      <w:pPr>
        <w:jc w:val="both"/>
      </w:pPr>
    </w:p>
    <w:p w:rsidR="009767B6" w:rsidRDefault="009767B6" w:rsidP="009767B6">
      <w:pPr>
        <w:ind w:firstLine="708"/>
        <w:jc w:val="both"/>
      </w:pPr>
      <w:r w:rsidRPr="009767B6">
        <w:rPr>
          <w:b/>
        </w:rPr>
        <w:t>1.</w:t>
      </w:r>
      <w:r w:rsidRPr="009767B6">
        <w:t xml:space="preserve"> При получении дополнительных доходов </w:t>
      </w:r>
      <w:r w:rsidR="00F332AA">
        <w:t xml:space="preserve">в 2019 году </w:t>
      </w:r>
      <w:r w:rsidRPr="009767B6">
        <w:t xml:space="preserve">предусмотреть </w:t>
      </w:r>
      <w:r w:rsidR="006064AD">
        <w:t xml:space="preserve">в первоочередном порядке </w:t>
      </w:r>
      <w:r w:rsidRPr="009767B6">
        <w:t>ассигнования на</w:t>
      </w:r>
      <w:r w:rsidR="006064AD">
        <w:t xml:space="preserve"> следующие цели</w:t>
      </w:r>
      <w:r w:rsidRPr="009767B6">
        <w:t>:</w:t>
      </w:r>
    </w:p>
    <w:p w:rsidR="00C45E96" w:rsidRPr="009767B6" w:rsidRDefault="00C45E96" w:rsidP="009767B6">
      <w:pPr>
        <w:ind w:firstLine="708"/>
        <w:jc w:val="both"/>
      </w:pPr>
      <w:r>
        <w:t>-на социально-значимые субвенции муниципальным образованиям из областного бюджета на меры социальной помощи и поддержки отдельным категориям граждан;</w:t>
      </w:r>
    </w:p>
    <w:p w:rsidR="009767B6" w:rsidRPr="009767B6" w:rsidRDefault="009767B6" w:rsidP="009767B6">
      <w:pPr>
        <w:autoSpaceDE w:val="0"/>
        <w:autoSpaceDN w:val="0"/>
        <w:adjustRightInd w:val="0"/>
        <w:ind w:firstLine="708"/>
        <w:jc w:val="both"/>
      </w:pPr>
      <w:r w:rsidRPr="009767B6">
        <w:rPr>
          <w:shd w:val="clear" w:color="auto" w:fill="FEFEFE"/>
        </w:rPr>
        <w:lastRenderedPageBreak/>
        <w:t xml:space="preserve">-на </w:t>
      </w:r>
      <w:r w:rsidRPr="009767B6">
        <w:t>проведение работ по определению границ территорий объектов культурного наследия, границ зон охраны таких объектов и включение в Единый государственный реестр недвижимости таких сведений, а также актуализацию сведений об объектах культурного наследия</w:t>
      </w:r>
      <w:r w:rsidR="00C45E96">
        <w:t xml:space="preserve">, а также на </w:t>
      </w:r>
      <w:r w:rsidR="00C45E96" w:rsidRPr="009767B6">
        <w:t xml:space="preserve">реализацию мероприятий, проводимых </w:t>
      </w:r>
      <w:r w:rsidR="00C45E96" w:rsidRPr="009767B6">
        <w:rPr>
          <w:shd w:val="clear" w:color="auto" w:fill="FEFEFE"/>
        </w:rPr>
        <w:t>в рамках Года театра</w:t>
      </w:r>
      <w:r w:rsidR="00C45E96" w:rsidRPr="009767B6">
        <w:t xml:space="preserve"> </w:t>
      </w:r>
      <w:r w:rsidR="00C45E96" w:rsidRPr="009767B6">
        <w:rPr>
          <w:shd w:val="clear" w:color="auto" w:fill="FEFEFE"/>
        </w:rPr>
        <w:t>в РФ</w:t>
      </w:r>
      <w:r w:rsidR="00C45E96">
        <w:rPr>
          <w:shd w:val="clear" w:color="auto" w:fill="FEFEFE"/>
        </w:rPr>
        <w:t>;</w:t>
      </w:r>
    </w:p>
    <w:p w:rsidR="009767B6" w:rsidRPr="009767B6" w:rsidRDefault="009767B6" w:rsidP="009767B6">
      <w:pPr>
        <w:autoSpaceDE w:val="0"/>
        <w:autoSpaceDN w:val="0"/>
        <w:adjustRightInd w:val="0"/>
        <w:ind w:firstLine="708"/>
        <w:jc w:val="both"/>
      </w:pPr>
      <w:r w:rsidRPr="009767B6">
        <w:t xml:space="preserve">-на субвенцию на образовательный процесс </w:t>
      </w:r>
      <w:r>
        <w:t xml:space="preserve">в части </w:t>
      </w:r>
      <w:r w:rsidRPr="009767B6">
        <w:t>учебны</w:t>
      </w:r>
      <w:r>
        <w:t>х</w:t>
      </w:r>
      <w:r w:rsidRPr="009767B6">
        <w:t xml:space="preserve"> расход</w:t>
      </w:r>
      <w:r>
        <w:t>ов</w:t>
      </w:r>
      <w:r w:rsidRPr="009767B6">
        <w:t>;</w:t>
      </w:r>
    </w:p>
    <w:p w:rsidR="00C45E96" w:rsidRDefault="00C45E96" w:rsidP="00C45E96">
      <w:pPr>
        <w:autoSpaceDE w:val="0"/>
        <w:autoSpaceDN w:val="0"/>
        <w:adjustRightInd w:val="0"/>
        <w:ind w:firstLine="709"/>
        <w:jc w:val="both"/>
      </w:pPr>
      <w:r>
        <w:t xml:space="preserve">-на </w:t>
      </w:r>
      <w:r w:rsidRPr="003B4AC6">
        <w:t xml:space="preserve">завершение строительства двух детских садов </w:t>
      </w:r>
      <w:proofErr w:type="gramStart"/>
      <w:r w:rsidRPr="003B4AC6">
        <w:t>в</w:t>
      </w:r>
      <w:proofErr w:type="gramEnd"/>
      <w:r w:rsidRPr="003B4AC6">
        <w:t xml:space="preserve"> с. </w:t>
      </w:r>
      <w:proofErr w:type="spellStart"/>
      <w:r w:rsidRPr="003B4AC6">
        <w:t>Бундевка</w:t>
      </w:r>
      <w:proofErr w:type="spellEnd"/>
      <w:r w:rsidRPr="003B4AC6">
        <w:t xml:space="preserve"> </w:t>
      </w:r>
      <w:proofErr w:type="spellStart"/>
      <w:r w:rsidRPr="003B4AC6">
        <w:t>Руднянского</w:t>
      </w:r>
      <w:proofErr w:type="spellEnd"/>
      <w:r w:rsidRPr="003B4AC6">
        <w:t xml:space="preserve"> </w:t>
      </w:r>
      <w:proofErr w:type="gramStart"/>
      <w:r w:rsidRPr="003B4AC6">
        <w:t>района</w:t>
      </w:r>
      <w:proofErr w:type="gramEnd"/>
      <w:r w:rsidRPr="003B4AC6">
        <w:t xml:space="preserve"> и ст. </w:t>
      </w:r>
      <w:proofErr w:type="spellStart"/>
      <w:r w:rsidRPr="003B4AC6">
        <w:t>Лапшинская</w:t>
      </w:r>
      <w:proofErr w:type="spellEnd"/>
      <w:r w:rsidRPr="003B4AC6">
        <w:t xml:space="preserve"> Котовского района</w:t>
      </w:r>
      <w:r>
        <w:t xml:space="preserve">, </w:t>
      </w:r>
      <w:r w:rsidRPr="003B4AC6">
        <w:rPr>
          <w:bCs/>
          <w:color w:val="000000"/>
        </w:rPr>
        <w:t>пострадавших в результате природных пожаров 2-3 сентября 2010 года</w:t>
      </w:r>
      <w:r>
        <w:t>;</w:t>
      </w:r>
    </w:p>
    <w:p w:rsidR="00C45E96" w:rsidRDefault="00C45E96" w:rsidP="00C45E96">
      <w:pPr>
        <w:ind w:firstLine="720"/>
        <w:jc w:val="both"/>
        <w:rPr>
          <w:bCs/>
          <w:iCs/>
          <w:color w:val="000000"/>
          <w:spacing w:val="-1"/>
        </w:rPr>
      </w:pPr>
      <w:r>
        <w:t>-</w:t>
      </w:r>
      <w:r w:rsidRPr="00EA152A">
        <w:t xml:space="preserve">на </w:t>
      </w:r>
      <w:r w:rsidRPr="00EA152A">
        <w:rPr>
          <w:bCs/>
          <w:iCs/>
          <w:color w:val="000000"/>
          <w:spacing w:val="-1"/>
        </w:rPr>
        <w:t xml:space="preserve">ликвидацию накопленного экологического ущерба в </w:t>
      </w:r>
      <w:proofErr w:type="spellStart"/>
      <w:r w:rsidRPr="00EA152A">
        <w:rPr>
          <w:bCs/>
          <w:iCs/>
          <w:color w:val="000000"/>
          <w:spacing w:val="-1"/>
        </w:rPr>
        <w:t>Среднеахтубинском</w:t>
      </w:r>
      <w:proofErr w:type="spellEnd"/>
      <w:r w:rsidRPr="00EA152A">
        <w:rPr>
          <w:bCs/>
          <w:iCs/>
          <w:color w:val="000000"/>
          <w:spacing w:val="-1"/>
        </w:rPr>
        <w:t xml:space="preserve"> муниципальном районе</w:t>
      </w:r>
      <w:r>
        <w:rPr>
          <w:bCs/>
          <w:iCs/>
          <w:color w:val="000000"/>
          <w:spacing w:val="-1"/>
        </w:rPr>
        <w:t>,</w:t>
      </w:r>
      <w:r w:rsidRPr="00EA152A">
        <w:rPr>
          <w:bCs/>
          <w:iCs/>
          <w:color w:val="000000"/>
          <w:spacing w:val="-1"/>
        </w:rPr>
        <w:t xml:space="preserve"> г</w:t>
      </w:r>
      <w:proofErr w:type="gramStart"/>
      <w:r w:rsidRPr="00EA152A">
        <w:rPr>
          <w:bCs/>
          <w:iCs/>
          <w:color w:val="000000"/>
          <w:spacing w:val="-1"/>
        </w:rPr>
        <w:t>.У</w:t>
      </w:r>
      <w:proofErr w:type="gramEnd"/>
      <w:r w:rsidRPr="00EA152A">
        <w:rPr>
          <w:bCs/>
          <w:iCs/>
          <w:color w:val="000000"/>
          <w:spacing w:val="-1"/>
        </w:rPr>
        <w:t>рюпинске</w:t>
      </w:r>
      <w:r>
        <w:rPr>
          <w:bCs/>
          <w:iCs/>
          <w:color w:val="000000"/>
          <w:spacing w:val="-1"/>
        </w:rPr>
        <w:t xml:space="preserve">, </w:t>
      </w:r>
      <w:r w:rsidRPr="00491127">
        <w:rPr>
          <w:bCs/>
          <w:iCs/>
          <w:color w:val="000000"/>
          <w:spacing w:val="-1"/>
        </w:rPr>
        <w:t>г.Камышине и Дубовском муниципальном районе</w:t>
      </w:r>
      <w:r>
        <w:rPr>
          <w:bCs/>
          <w:iCs/>
          <w:color w:val="000000"/>
          <w:spacing w:val="-1"/>
        </w:rPr>
        <w:t xml:space="preserve"> в</w:t>
      </w:r>
      <w:r>
        <w:t xml:space="preserve"> рамках подпрограммы </w:t>
      </w:r>
      <w:r w:rsidRPr="00EA152A">
        <w:t xml:space="preserve">«Обращение с твердыми коммунальными отходами на территории Волгоградской области» </w:t>
      </w:r>
      <w:r>
        <w:t xml:space="preserve">госпрограммы </w:t>
      </w:r>
      <w:r w:rsidRPr="00196AC5">
        <w:t>«Охрана окружающей среды на территории Волгоградской области»</w:t>
      </w:r>
      <w:r>
        <w:t xml:space="preserve"> </w:t>
      </w:r>
      <w:r>
        <w:rPr>
          <w:bCs/>
          <w:iCs/>
          <w:color w:val="000000"/>
          <w:spacing w:val="-1"/>
        </w:rPr>
        <w:t xml:space="preserve">для обеспечения доли </w:t>
      </w:r>
      <w:proofErr w:type="spellStart"/>
      <w:r>
        <w:rPr>
          <w:bCs/>
          <w:iCs/>
          <w:color w:val="000000"/>
          <w:spacing w:val="-1"/>
        </w:rPr>
        <w:t>софинансирования</w:t>
      </w:r>
      <w:proofErr w:type="spellEnd"/>
      <w:r>
        <w:rPr>
          <w:bCs/>
          <w:iCs/>
          <w:color w:val="000000"/>
          <w:spacing w:val="-1"/>
        </w:rPr>
        <w:t xml:space="preserve"> в целях привлечения средств федерального бюджета.</w:t>
      </w:r>
    </w:p>
    <w:p w:rsidR="00C45E96" w:rsidRDefault="00C45E96" w:rsidP="009767B6">
      <w:pPr>
        <w:ind w:firstLine="709"/>
        <w:jc w:val="both"/>
        <w:rPr>
          <w:b/>
        </w:rPr>
      </w:pPr>
    </w:p>
    <w:p w:rsidR="007F7A49" w:rsidRDefault="009767B6" w:rsidP="007F7A49">
      <w:pPr>
        <w:ind w:firstLine="709"/>
        <w:jc w:val="both"/>
      </w:pPr>
      <w:r w:rsidRPr="009767B6">
        <w:rPr>
          <w:b/>
        </w:rPr>
        <w:t>2.</w:t>
      </w:r>
      <w:r w:rsidRPr="009767B6">
        <w:t xml:space="preserve"> </w:t>
      </w:r>
      <w:r w:rsidR="00C45E96">
        <w:t>С</w:t>
      </w:r>
      <w:r w:rsidRPr="009767B6">
        <w:t>корректировать объем субвенции на организацию питания детей из малоимущих семей и детей, находящихся на учете у фтизиатра, обучающихся в общеобразовательных организациях</w:t>
      </w:r>
      <w:r>
        <w:t>,</w:t>
      </w:r>
      <w:r w:rsidRPr="009767B6">
        <w:rPr>
          <w:iCs/>
        </w:rPr>
        <w:t xml:space="preserve"> </w:t>
      </w:r>
      <w:r w:rsidR="002A33F0">
        <w:rPr>
          <w:iCs/>
        </w:rPr>
        <w:t xml:space="preserve">на 2019 год </w:t>
      </w:r>
      <w:r w:rsidRPr="009767B6">
        <w:t xml:space="preserve">с учетом </w:t>
      </w:r>
      <w:r w:rsidRPr="009767B6">
        <w:rPr>
          <w:iCs/>
        </w:rPr>
        <w:t xml:space="preserve">уточненных данных </w:t>
      </w:r>
      <w:r w:rsidRPr="009767B6">
        <w:t xml:space="preserve">о численности обучающихся, имеющих право на частичную компенсацию стоимости питания. </w:t>
      </w:r>
    </w:p>
    <w:p w:rsidR="007F7A49" w:rsidRDefault="007F7A49" w:rsidP="007F7A49">
      <w:pPr>
        <w:ind w:firstLine="709"/>
        <w:jc w:val="both"/>
      </w:pPr>
    </w:p>
    <w:p w:rsidR="00C80095" w:rsidRDefault="007F7A49" w:rsidP="00C80095">
      <w:pPr>
        <w:ind w:firstLine="709"/>
        <w:jc w:val="both"/>
      </w:pPr>
      <w:r w:rsidRPr="007F7A49">
        <w:rPr>
          <w:b/>
        </w:rPr>
        <w:t>3.</w:t>
      </w:r>
      <w:r>
        <w:t xml:space="preserve"> </w:t>
      </w:r>
      <w:r w:rsidR="0045632D" w:rsidRPr="000F78B5">
        <w:t>В ходе исполнения областного бюджета в 201</w:t>
      </w:r>
      <w:r w:rsidR="0045632D">
        <w:t>9</w:t>
      </w:r>
      <w:r w:rsidR="0045632D" w:rsidRPr="000F78B5">
        <w:t xml:space="preserve"> году</w:t>
      </w:r>
      <w:r w:rsidR="0045632D">
        <w:t>:</w:t>
      </w:r>
    </w:p>
    <w:p w:rsidR="00C80095" w:rsidRDefault="00C80095" w:rsidP="00C80095">
      <w:pPr>
        <w:ind w:firstLine="709"/>
        <w:jc w:val="both"/>
      </w:pPr>
      <w:r>
        <w:t>3.1.</w:t>
      </w:r>
      <w:r w:rsidR="0045632D" w:rsidRPr="000F78B5">
        <w:t xml:space="preserve"> </w:t>
      </w:r>
      <w:r w:rsidR="0045632D">
        <w:t>П</w:t>
      </w:r>
      <w:r w:rsidR="0045632D" w:rsidRPr="000F78B5">
        <w:t>ринять меры для</w:t>
      </w:r>
      <w:r w:rsidR="0045632D">
        <w:t xml:space="preserve"> у</w:t>
      </w:r>
      <w:r w:rsidR="0045632D" w:rsidRPr="000F78B5">
        <w:t>величения ассигнований дорожного фонда Волгоградской области</w:t>
      </w:r>
      <w:r w:rsidR="009F6A4A">
        <w:t xml:space="preserve"> до размера, предусмотренного бюджетным законодательством</w:t>
      </w:r>
      <w:r w:rsidR="0045632D" w:rsidRPr="000F78B5">
        <w:t>.</w:t>
      </w:r>
    </w:p>
    <w:p w:rsidR="00C80095" w:rsidRDefault="00C80095" w:rsidP="00C80095">
      <w:pPr>
        <w:ind w:firstLine="709"/>
        <w:jc w:val="both"/>
        <w:rPr>
          <w:rFonts w:eastAsiaTheme="minorHAnsi"/>
          <w:lang w:eastAsia="en-US"/>
        </w:rPr>
      </w:pPr>
      <w:r>
        <w:t>3.2.</w:t>
      </w:r>
      <w:r w:rsidR="0045632D">
        <w:t xml:space="preserve"> Обособить</w:t>
      </w:r>
      <w:r w:rsidR="0045632D" w:rsidRPr="004C510D">
        <w:rPr>
          <w:rFonts w:eastAsiaTheme="minorHAnsi"/>
          <w:lang w:eastAsia="en-US"/>
        </w:rPr>
        <w:t xml:space="preserve"> </w:t>
      </w:r>
      <w:r w:rsidR="0045632D">
        <w:rPr>
          <w:rFonts w:eastAsiaTheme="minorHAnsi"/>
          <w:lang w:eastAsia="en-US"/>
        </w:rPr>
        <w:t xml:space="preserve">ассигнования на </w:t>
      </w:r>
      <w:r w:rsidR="0045632D" w:rsidRPr="004C510D">
        <w:rPr>
          <w:rFonts w:eastAsiaTheme="minorHAnsi"/>
          <w:lang w:eastAsia="en-US"/>
        </w:rPr>
        <w:t>реализаци</w:t>
      </w:r>
      <w:r w:rsidR="0045632D">
        <w:rPr>
          <w:rFonts w:eastAsiaTheme="minorHAnsi"/>
          <w:lang w:eastAsia="en-US"/>
        </w:rPr>
        <w:t>ю</w:t>
      </w:r>
      <w:r w:rsidR="0045632D" w:rsidRPr="004C510D">
        <w:rPr>
          <w:rFonts w:eastAsiaTheme="minorHAnsi"/>
          <w:lang w:eastAsia="en-US"/>
        </w:rPr>
        <w:t xml:space="preserve"> мероприятий в рамках национального проекта «Безопасные и качественные автомобильные дороги»</w:t>
      </w:r>
      <w:r w:rsidR="0045632D">
        <w:rPr>
          <w:rFonts w:eastAsiaTheme="minorHAnsi"/>
          <w:lang w:eastAsia="en-US"/>
        </w:rPr>
        <w:t>.</w:t>
      </w:r>
    </w:p>
    <w:p w:rsidR="001F11AD" w:rsidRDefault="00C80095" w:rsidP="001F11AD">
      <w:pPr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>3.3</w:t>
      </w:r>
      <w:r w:rsidR="001F11A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45632D">
        <w:t xml:space="preserve">Осуществлять использование средств областного бюджета на </w:t>
      </w:r>
      <w:r w:rsidR="0045632D" w:rsidRPr="004C510D">
        <w:t xml:space="preserve">создание, развитие и обеспечение функционирования автоматизированной системы весового и габаритного контроля транспортных средств </w:t>
      </w:r>
      <w:r w:rsidR="0045632D">
        <w:t>с уч</w:t>
      </w:r>
      <w:r w:rsidR="001F11AD">
        <w:t>е</w:t>
      </w:r>
      <w:r w:rsidR="0045632D">
        <w:t xml:space="preserve">том </w:t>
      </w:r>
      <w:r w:rsidR="0045632D" w:rsidRPr="004C510D">
        <w:rPr>
          <w:bCs/>
        </w:rPr>
        <w:t>квалифицированной оценк</w:t>
      </w:r>
      <w:r w:rsidR="0045632D">
        <w:rPr>
          <w:bCs/>
        </w:rPr>
        <w:t>и</w:t>
      </w:r>
      <w:r w:rsidR="0045632D" w:rsidRPr="004C510D">
        <w:rPr>
          <w:bCs/>
        </w:rPr>
        <w:t xml:space="preserve"> финансово-экономических и организационных рисков создания системы</w:t>
      </w:r>
      <w:r w:rsidR="0045632D">
        <w:rPr>
          <w:bCs/>
        </w:rPr>
        <w:t>.</w:t>
      </w:r>
    </w:p>
    <w:p w:rsidR="002A33F0" w:rsidRDefault="001F11AD" w:rsidP="002A33F0">
      <w:pPr>
        <w:ind w:firstLine="709"/>
        <w:jc w:val="both"/>
      </w:pPr>
      <w:r>
        <w:rPr>
          <w:bCs/>
        </w:rPr>
        <w:t>3.4.</w:t>
      </w:r>
      <w:r w:rsidR="0045632D">
        <w:t xml:space="preserve"> Обеспечить целевое использование </w:t>
      </w:r>
      <w:r w:rsidR="0045632D" w:rsidRPr="00BA7B10">
        <w:t>средств дорожного фонда Волгоградской области</w:t>
      </w:r>
      <w:r w:rsidR="0045632D">
        <w:t xml:space="preserve"> при направлении их на содержание </w:t>
      </w:r>
      <w:r w:rsidR="0045632D" w:rsidRPr="004C510D">
        <w:t>ГКУ «Безопасный регион»</w:t>
      </w:r>
      <w:r w:rsidR="0045632D">
        <w:t>.</w:t>
      </w:r>
    </w:p>
    <w:p w:rsidR="0045632D" w:rsidRDefault="002A33F0" w:rsidP="002A33F0">
      <w:pPr>
        <w:ind w:firstLine="709"/>
        <w:jc w:val="both"/>
      </w:pPr>
      <w:r>
        <w:t xml:space="preserve">3.5. </w:t>
      </w:r>
      <w:r w:rsidR="0045632D">
        <w:t>Принять меры для планирования и использования всего объ</w:t>
      </w:r>
      <w:r>
        <w:t>е</w:t>
      </w:r>
      <w:r w:rsidR="0045632D">
        <w:t>ма ассигнований дорожного фонда с использованием методов программно-целевого планирования.</w:t>
      </w:r>
    </w:p>
    <w:p w:rsidR="003D42EA" w:rsidRDefault="003D42EA" w:rsidP="003D42EA">
      <w:pPr>
        <w:ind w:firstLine="720"/>
        <w:jc w:val="both"/>
        <w:rPr>
          <w:bCs/>
          <w:iCs/>
          <w:color w:val="000000"/>
          <w:spacing w:val="-1"/>
        </w:rPr>
      </w:pPr>
    </w:p>
    <w:p w:rsidR="00D37D43" w:rsidRDefault="00D37D43" w:rsidP="003D42EA">
      <w:pPr>
        <w:ind w:firstLine="720"/>
        <w:jc w:val="both"/>
        <w:rPr>
          <w:bCs/>
          <w:iCs/>
          <w:color w:val="000000"/>
          <w:spacing w:val="-1"/>
        </w:rPr>
      </w:pPr>
    </w:p>
    <w:p w:rsidR="00D37D43" w:rsidRDefault="00D37D43" w:rsidP="003D42EA">
      <w:pPr>
        <w:ind w:firstLine="720"/>
        <w:jc w:val="both"/>
        <w:rPr>
          <w:bCs/>
          <w:iCs/>
          <w:color w:val="000000"/>
          <w:spacing w:val="-1"/>
        </w:rPr>
      </w:pPr>
    </w:p>
    <w:p w:rsidR="00D37D43" w:rsidRDefault="00D37D43" w:rsidP="003D42EA">
      <w:pPr>
        <w:ind w:firstLine="720"/>
        <w:jc w:val="both"/>
        <w:rPr>
          <w:bCs/>
          <w:iCs/>
          <w:color w:val="000000"/>
          <w:spacing w:val="-1"/>
        </w:rPr>
      </w:pPr>
    </w:p>
    <w:p w:rsidR="00D37D43" w:rsidRDefault="00D37D43" w:rsidP="003D42EA">
      <w:pPr>
        <w:ind w:firstLine="720"/>
        <w:jc w:val="both"/>
        <w:rPr>
          <w:bCs/>
          <w:iCs/>
          <w:color w:val="000000"/>
          <w:spacing w:val="-1"/>
        </w:rPr>
      </w:pPr>
    </w:p>
    <w:p w:rsidR="007F7A49" w:rsidRDefault="007F7A49" w:rsidP="007F7A49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EA2C21" w:rsidRPr="00800FAE" w:rsidRDefault="00EA2C21" w:rsidP="00EA2C21">
      <w:pPr>
        <w:pStyle w:val="12"/>
        <w:jc w:val="both"/>
        <w:rPr>
          <w:b/>
          <w:szCs w:val="24"/>
        </w:rPr>
      </w:pPr>
      <w:r w:rsidRPr="001847FC">
        <w:rPr>
          <w:b/>
          <w:i/>
        </w:rPr>
        <w:t xml:space="preserve">Председатель                                                                        </w:t>
      </w:r>
      <w:r>
        <w:rPr>
          <w:b/>
          <w:i/>
        </w:rPr>
        <w:t xml:space="preserve">                </w:t>
      </w:r>
      <w:r w:rsidR="007B47F9">
        <w:rPr>
          <w:b/>
          <w:i/>
        </w:rPr>
        <w:t xml:space="preserve"> </w:t>
      </w:r>
      <w:r w:rsidR="007900D2">
        <w:rPr>
          <w:b/>
          <w:i/>
        </w:rPr>
        <w:t xml:space="preserve">         </w:t>
      </w:r>
      <w:r w:rsidRPr="001847FC">
        <w:rPr>
          <w:b/>
          <w:i/>
        </w:rPr>
        <w:t>И.А. Дьяченко</w:t>
      </w:r>
    </w:p>
    <w:p w:rsidR="001847FC" w:rsidRPr="00800FAE" w:rsidRDefault="001847FC" w:rsidP="00EA2C21">
      <w:pPr>
        <w:pStyle w:val="11"/>
        <w:jc w:val="center"/>
        <w:outlineLvl w:val="0"/>
        <w:rPr>
          <w:b/>
          <w:szCs w:val="24"/>
        </w:rPr>
      </w:pPr>
    </w:p>
    <w:sectPr w:rsidR="001847FC" w:rsidRPr="00800FAE" w:rsidSect="00181ED3">
      <w:headerReference w:type="default" r:id="rId10"/>
      <w:pgSz w:w="11906" w:h="16838"/>
      <w:pgMar w:top="680" w:right="851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33" w:rsidRDefault="00452333" w:rsidP="00A505E4">
      <w:r>
        <w:separator/>
      </w:r>
    </w:p>
  </w:endnote>
  <w:endnote w:type="continuationSeparator" w:id="0">
    <w:p w:rsidR="00452333" w:rsidRDefault="00452333" w:rsidP="00A5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33" w:rsidRDefault="00452333" w:rsidP="00A505E4">
      <w:r>
        <w:separator/>
      </w:r>
    </w:p>
  </w:footnote>
  <w:footnote w:type="continuationSeparator" w:id="0">
    <w:p w:rsidR="00452333" w:rsidRDefault="00452333" w:rsidP="00A50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6550"/>
      <w:docPartObj>
        <w:docPartGallery w:val="Page Numbers (Top of Page)"/>
        <w:docPartUnique/>
      </w:docPartObj>
    </w:sdtPr>
    <w:sdtContent>
      <w:p w:rsidR="009F0243" w:rsidRDefault="00067A90">
        <w:pPr>
          <w:pStyle w:val="a5"/>
          <w:jc w:val="center"/>
        </w:pPr>
        <w:fldSimple w:instr=" PAGE   \* MERGEFORMAT ">
          <w:r w:rsidR="00540F6A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D2C"/>
    <w:multiLevelType w:val="hybridMultilevel"/>
    <w:tmpl w:val="1B609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BF3ECA"/>
    <w:multiLevelType w:val="hybridMultilevel"/>
    <w:tmpl w:val="1E04FA68"/>
    <w:lvl w:ilvl="0" w:tplc="05A60A74">
      <w:start w:val="1"/>
      <w:numFmt w:val="decimal"/>
      <w:lvlText w:val="%1."/>
      <w:lvlJc w:val="left"/>
      <w:pPr>
        <w:ind w:left="158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9AE7A56"/>
    <w:multiLevelType w:val="hybridMultilevel"/>
    <w:tmpl w:val="6CEAB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3B6F338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9C11FD"/>
    <w:multiLevelType w:val="multilevel"/>
    <w:tmpl w:val="9826904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4">
    <w:nsid w:val="48C57842"/>
    <w:multiLevelType w:val="hybridMultilevel"/>
    <w:tmpl w:val="A49EB0FE"/>
    <w:lvl w:ilvl="0" w:tplc="1DC67E52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5086F"/>
    <w:multiLevelType w:val="hybridMultilevel"/>
    <w:tmpl w:val="95B82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E52B6D"/>
    <w:multiLevelType w:val="hybridMultilevel"/>
    <w:tmpl w:val="67E07E48"/>
    <w:lvl w:ilvl="0" w:tplc="1F1E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072"/>
    <w:rsid w:val="00000025"/>
    <w:rsid w:val="000002CB"/>
    <w:rsid w:val="00001B4A"/>
    <w:rsid w:val="000025F4"/>
    <w:rsid w:val="0000370E"/>
    <w:rsid w:val="0000377F"/>
    <w:rsid w:val="000056D2"/>
    <w:rsid w:val="00007D86"/>
    <w:rsid w:val="000103A4"/>
    <w:rsid w:val="00010C99"/>
    <w:rsid w:val="00010CEE"/>
    <w:rsid w:val="00011B43"/>
    <w:rsid w:val="000137A6"/>
    <w:rsid w:val="00013981"/>
    <w:rsid w:val="00013FF2"/>
    <w:rsid w:val="0001645C"/>
    <w:rsid w:val="00020FC2"/>
    <w:rsid w:val="000218A5"/>
    <w:rsid w:val="000220C4"/>
    <w:rsid w:val="000225D8"/>
    <w:rsid w:val="00022897"/>
    <w:rsid w:val="00023C28"/>
    <w:rsid w:val="000242CC"/>
    <w:rsid w:val="00024B0A"/>
    <w:rsid w:val="00024D9D"/>
    <w:rsid w:val="00024DDE"/>
    <w:rsid w:val="00025535"/>
    <w:rsid w:val="000256AF"/>
    <w:rsid w:val="00025DAA"/>
    <w:rsid w:val="00027933"/>
    <w:rsid w:val="00027B1E"/>
    <w:rsid w:val="00030A24"/>
    <w:rsid w:val="00031392"/>
    <w:rsid w:val="00032CDE"/>
    <w:rsid w:val="000334F7"/>
    <w:rsid w:val="0003370C"/>
    <w:rsid w:val="00034398"/>
    <w:rsid w:val="000354B5"/>
    <w:rsid w:val="00036BB6"/>
    <w:rsid w:val="000400AE"/>
    <w:rsid w:val="00041DEF"/>
    <w:rsid w:val="0004260B"/>
    <w:rsid w:val="00043DB3"/>
    <w:rsid w:val="00044C3C"/>
    <w:rsid w:val="00046E76"/>
    <w:rsid w:val="0005181F"/>
    <w:rsid w:val="0005190F"/>
    <w:rsid w:val="00051C9B"/>
    <w:rsid w:val="00052176"/>
    <w:rsid w:val="000524AE"/>
    <w:rsid w:val="000530FE"/>
    <w:rsid w:val="00053283"/>
    <w:rsid w:val="000541C6"/>
    <w:rsid w:val="00054893"/>
    <w:rsid w:val="00054F61"/>
    <w:rsid w:val="00055365"/>
    <w:rsid w:val="00055508"/>
    <w:rsid w:val="000575FA"/>
    <w:rsid w:val="00057B9D"/>
    <w:rsid w:val="000625A5"/>
    <w:rsid w:val="00064153"/>
    <w:rsid w:val="00064AEE"/>
    <w:rsid w:val="00065743"/>
    <w:rsid w:val="00065BD5"/>
    <w:rsid w:val="000667F5"/>
    <w:rsid w:val="00067A90"/>
    <w:rsid w:val="000705C8"/>
    <w:rsid w:val="000708C9"/>
    <w:rsid w:val="000711B5"/>
    <w:rsid w:val="00071C00"/>
    <w:rsid w:val="00071DB7"/>
    <w:rsid w:val="000720ED"/>
    <w:rsid w:val="00072DFE"/>
    <w:rsid w:val="0007334A"/>
    <w:rsid w:val="00075273"/>
    <w:rsid w:val="000757AB"/>
    <w:rsid w:val="000758CA"/>
    <w:rsid w:val="00075910"/>
    <w:rsid w:val="00076105"/>
    <w:rsid w:val="00076DA4"/>
    <w:rsid w:val="000776F7"/>
    <w:rsid w:val="00077B73"/>
    <w:rsid w:val="000802D2"/>
    <w:rsid w:val="000803B6"/>
    <w:rsid w:val="000808C3"/>
    <w:rsid w:val="00080BB7"/>
    <w:rsid w:val="000814A8"/>
    <w:rsid w:val="00081AA6"/>
    <w:rsid w:val="00081B20"/>
    <w:rsid w:val="00081E51"/>
    <w:rsid w:val="0008221C"/>
    <w:rsid w:val="00083169"/>
    <w:rsid w:val="0008513C"/>
    <w:rsid w:val="000856D1"/>
    <w:rsid w:val="00085EA7"/>
    <w:rsid w:val="00086302"/>
    <w:rsid w:val="00086E56"/>
    <w:rsid w:val="00087471"/>
    <w:rsid w:val="000875E0"/>
    <w:rsid w:val="00087B03"/>
    <w:rsid w:val="00087D72"/>
    <w:rsid w:val="00090D60"/>
    <w:rsid w:val="00092834"/>
    <w:rsid w:val="000928BB"/>
    <w:rsid w:val="000929DA"/>
    <w:rsid w:val="00092A5C"/>
    <w:rsid w:val="00092B17"/>
    <w:rsid w:val="000934A0"/>
    <w:rsid w:val="00093532"/>
    <w:rsid w:val="000944E0"/>
    <w:rsid w:val="00094AD5"/>
    <w:rsid w:val="00094C94"/>
    <w:rsid w:val="000959B6"/>
    <w:rsid w:val="00095AE8"/>
    <w:rsid w:val="00095D0D"/>
    <w:rsid w:val="00095E2F"/>
    <w:rsid w:val="00095E7C"/>
    <w:rsid w:val="00097C4A"/>
    <w:rsid w:val="000A100B"/>
    <w:rsid w:val="000A11BF"/>
    <w:rsid w:val="000A1855"/>
    <w:rsid w:val="000A3A41"/>
    <w:rsid w:val="000A45AB"/>
    <w:rsid w:val="000A6C94"/>
    <w:rsid w:val="000A70E0"/>
    <w:rsid w:val="000A7E20"/>
    <w:rsid w:val="000B32EA"/>
    <w:rsid w:val="000B33B1"/>
    <w:rsid w:val="000B4063"/>
    <w:rsid w:val="000B45AB"/>
    <w:rsid w:val="000B73F8"/>
    <w:rsid w:val="000B7818"/>
    <w:rsid w:val="000B78D3"/>
    <w:rsid w:val="000B7F4B"/>
    <w:rsid w:val="000C09D9"/>
    <w:rsid w:val="000C107B"/>
    <w:rsid w:val="000C2286"/>
    <w:rsid w:val="000C35E8"/>
    <w:rsid w:val="000C66A1"/>
    <w:rsid w:val="000C7130"/>
    <w:rsid w:val="000C7F10"/>
    <w:rsid w:val="000D0499"/>
    <w:rsid w:val="000D0A9F"/>
    <w:rsid w:val="000D23B8"/>
    <w:rsid w:val="000D2765"/>
    <w:rsid w:val="000D3277"/>
    <w:rsid w:val="000D363B"/>
    <w:rsid w:val="000D4816"/>
    <w:rsid w:val="000D5239"/>
    <w:rsid w:val="000D5EDB"/>
    <w:rsid w:val="000D69DC"/>
    <w:rsid w:val="000D7365"/>
    <w:rsid w:val="000D7DE7"/>
    <w:rsid w:val="000E22A1"/>
    <w:rsid w:val="000E2627"/>
    <w:rsid w:val="000E2817"/>
    <w:rsid w:val="000E2853"/>
    <w:rsid w:val="000E2C5A"/>
    <w:rsid w:val="000E31E5"/>
    <w:rsid w:val="000E3686"/>
    <w:rsid w:val="000E3759"/>
    <w:rsid w:val="000E4C8A"/>
    <w:rsid w:val="000E5013"/>
    <w:rsid w:val="000E6004"/>
    <w:rsid w:val="000F1673"/>
    <w:rsid w:val="000F198B"/>
    <w:rsid w:val="000F2850"/>
    <w:rsid w:val="000F3AE4"/>
    <w:rsid w:val="000F4275"/>
    <w:rsid w:val="000F5D01"/>
    <w:rsid w:val="000F5E4F"/>
    <w:rsid w:val="000F639E"/>
    <w:rsid w:val="000F7748"/>
    <w:rsid w:val="000F78B5"/>
    <w:rsid w:val="00100004"/>
    <w:rsid w:val="0010090B"/>
    <w:rsid w:val="00100AE6"/>
    <w:rsid w:val="001011D1"/>
    <w:rsid w:val="0010185B"/>
    <w:rsid w:val="0010220F"/>
    <w:rsid w:val="00102BA7"/>
    <w:rsid w:val="00103632"/>
    <w:rsid w:val="00104626"/>
    <w:rsid w:val="00105756"/>
    <w:rsid w:val="00105930"/>
    <w:rsid w:val="00105FC1"/>
    <w:rsid w:val="001070E6"/>
    <w:rsid w:val="00107AEC"/>
    <w:rsid w:val="0011004D"/>
    <w:rsid w:val="001100E7"/>
    <w:rsid w:val="001101C3"/>
    <w:rsid w:val="0011078B"/>
    <w:rsid w:val="001116D0"/>
    <w:rsid w:val="00112DB1"/>
    <w:rsid w:val="00113913"/>
    <w:rsid w:val="00113A32"/>
    <w:rsid w:val="00113DC7"/>
    <w:rsid w:val="00114024"/>
    <w:rsid w:val="00114616"/>
    <w:rsid w:val="00114B5D"/>
    <w:rsid w:val="001152A9"/>
    <w:rsid w:val="001153DA"/>
    <w:rsid w:val="00115585"/>
    <w:rsid w:val="00115866"/>
    <w:rsid w:val="00116162"/>
    <w:rsid w:val="0012075E"/>
    <w:rsid w:val="00120E45"/>
    <w:rsid w:val="001210BC"/>
    <w:rsid w:val="00121A24"/>
    <w:rsid w:val="00121AEC"/>
    <w:rsid w:val="00121BCE"/>
    <w:rsid w:val="00121C23"/>
    <w:rsid w:val="0012225B"/>
    <w:rsid w:val="00122619"/>
    <w:rsid w:val="00122AE9"/>
    <w:rsid w:val="00122F7D"/>
    <w:rsid w:val="001233DB"/>
    <w:rsid w:val="00123746"/>
    <w:rsid w:val="00123C06"/>
    <w:rsid w:val="00123C34"/>
    <w:rsid w:val="001247CC"/>
    <w:rsid w:val="00125156"/>
    <w:rsid w:val="00125BD9"/>
    <w:rsid w:val="00126BC6"/>
    <w:rsid w:val="00130AF0"/>
    <w:rsid w:val="00133644"/>
    <w:rsid w:val="001337C4"/>
    <w:rsid w:val="00133C39"/>
    <w:rsid w:val="00134B51"/>
    <w:rsid w:val="001357FA"/>
    <w:rsid w:val="0013709B"/>
    <w:rsid w:val="001370B5"/>
    <w:rsid w:val="00140652"/>
    <w:rsid w:val="00140B14"/>
    <w:rsid w:val="001419B1"/>
    <w:rsid w:val="00143AF3"/>
    <w:rsid w:val="0014434F"/>
    <w:rsid w:val="001445CA"/>
    <w:rsid w:val="0014510C"/>
    <w:rsid w:val="001460F1"/>
    <w:rsid w:val="001467EC"/>
    <w:rsid w:val="001468A4"/>
    <w:rsid w:val="00146C7F"/>
    <w:rsid w:val="00147ABF"/>
    <w:rsid w:val="001503EF"/>
    <w:rsid w:val="001509C8"/>
    <w:rsid w:val="0015107F"/>
    <w:rsid w:val="0015288D"/>
    <w:rsid w:val="00152FC5"/>
    <w:rsid w:val="001531FE"/>
    <w:rsid w:val="00153BC7"/>
    <w:rsid w:val="00154613"/>
    <w:rsid w:val="00154D70"/>
    <w:rsid w:val="00155AF5"/>
    <w:rsid w:val="001608F7"/>
    <w:rsid w:val="00162213"/>
    <w:rsid w:val="0016226C"/>
    <w:rsid w:val="001638F6"/>
    <w:rsid w:val="00163BE6"/>
    <w:rsid w:val="001662CC"/>
    <w:rsid w:val="00166E90"/>
    <w:rsid w:val="00167196"/>
    <w:rsid w:val="00167CA8"/>
    <w:rsid w:val="001702B4"/>
    <w:rsid w:val="001711C9"/>
    <w:rsid w:val="00171339"/>
    <w:rsid w:val="00171934"/>
    <w:rsid w:val="00171D43"/>
    <w:rsid w:val="00171DEB"/>
    <w:rsid w:val="00172526"/>
    <w:rsid w:val="0017267F"/>
    <w:rsid w:val="00173A6C"/>
    <w:rsid w:val="00174904"/>
    <w:rsid w:val="00174A34"/>
    <w:rsid w:val="00175B3B"/>
    <w:rsid w:val="00176887"/>
    <w:rsid w:val="00177DB7"/>
    <w:rsid w:val="0018070D"/>
    <w:rsid w:val="0018165D"/>
    <w:rsid w:val="0018168D"/>
    <w:rsid w:val="00181E70"/>
    <w:rsid w:val="00181ED3"/>
    <w:rsid w:val="001831BC"/>
    <w:rsid w:val="001847FC"/>
    <w:rsid w:val="00184ACF"/>
    <w:rsid w:val="001866EA"/>
    <w:rsid w:val="00186D08"/>
    <w:rsid w:val="00186E64"/>
    <w:rsid w:val="0019068E"/>
    <w:rsid w:val="00191184"/>
    <w:rsid w:val="00191596"/>
    <w:rsid w:val="00191F4A"/>
    <w:rsid w:val="00192325"/>
    <w:rsid w:val="00192335"/>
    <w:rsid w:val="001924E1"/>
    <w:rsid w:val="00192E58"/>
    <w:rsid w:val="00193574"/>
    <w:rsid w:val="00193C57"/>
    <w:rsid w:val="00194EE7"/>
    <w:rsid w:val="00196513"/>
    <w:rsid w:val="00196973"/>
    <w:rsid w:val="00196F37"/>
    <w:rsid w:val="00197564"/>
    <w:rsid w:val="0019781A"/>
    <w:rsid w:val="00197AC8"/>
    <w:rsid w:val="001A0B4D"/>
    <w:rsid w:val="001A19FE"/>
    <w:rsid w:val="001A20BE"/>
    <w:rsid w:val="001A22EA"/>
    <w:rsid w:val="001A24F5"/>
    <w:rsid w:val="001A2BF6"/>
    <w:rsid w:val="001A2D6F"/>
    <w:rsid w:val="001A2F6B"/>
    <w:rsid w:val="001A303F"/>
    <w:rsid w:val="001A33CB"/>
    <w:rsid w:val="001A3816"/>
    <w:rsid w:val="001A408D"/>
    <w:rsid w:val="001A44B3"/>
    <w:rsid w:val="001A470C"/>
    <w:rsid w:val="001A6CAE"/>
    <w:rsid w:val="001A784F"/>
    <w:rsid w:val="001B05CF"/>
    <w:rsid w:val="001B2024"/>
    <w:rsid w:val="001B2249"/>
    <w:rsid w:val="001B3864"/>
    <w:rsid w:val="001B4008"/>
    <w:rsid w:val="001B4A16"/>
    <w:rsid w:val="001B6E6D"/>
    <w:rsid w:val="001C038C"/>
    <w:rsid w:val="001C082E"/>
    <w:rsid w:val="001C0DA8"/>
    <w:rsid w:val="001C212F"/>
    <w:rsid w:val="001C253B"/>
    <w:rsid w:val="001C3B36"/>
    <w:rsid w:val="001C402C"/>
    <w:rsid w:val="001C44A5"/>
    <w:rsid w:val="001C4B8C"/>
    <w:rsid w:val="001C69C0"/>
    <w:rsid w:val="001C742F"/>
    <w:rsid w:val="001D0517"/>
    <w:rsid w:val="001D09D0"/>
    <w:rsid w:val="001D138B"/>
    <w:rsid w:val="001D13AD"/>
    <w:rsid w:val="001D147E"/>
    <w:rsid w:val="001D221F"/>
    <w:rsid w:val="001D480A"/>
    <w:rsid w:val="001D57C7"/>
    <w:rsid w:val="001D5BF0"/>
    <w:rsid w:val="001D5F4D"/>
    <w:rsid w:val="001D627E"/>
    <w:rsid w:val="001D6CE0"/>
    <w:rsid w:val="001D7934"/>
    <w:rsid w:val="001D7F47"/>
    <w:rsid w:val="001E0AFC"/>
    <w:rsid w:val="001E1E8A"/>
    <w:rsid w:val="001E236B"/>
    <w:rsid w:val="001E2D04"/>
    <w:rsid w:val="001E3985"/>
    <w:rsid w:val="001E44F6"/>
    <w:rsid w:val="001E454B"/>
    <w:rsid w:val="001E4757"/>
    <w:rsid w:val="001E4C52"/>
    <w:rsid w:val="001E4D7A"/>
    <w:rsid w:val="001E586C"/>
    <w:rsid w:val="001E58BB"/>
    <w:rsid w:val="001E5B0E"/>
    <w:rsid w:val="001F0454"/>
    <w:rsid w:val="001F11AD"/>
    <w:rsid w:val="001F376C"/>
    <w:rsid w:val="001F39B4"/>
    <w:rsid w:val="001F3C4F"/>
    <w:rsid w:val="001F5323"/>
    <w:rsid w:val="001F5E58"/>
    <w:rsid w:val="001F611D"/>
    <w:rsid w:val="001F7DFE"/>
    <w:rsid w:val="00200003"/>
    <w:rsid w:val="0020193A"/>
    <w:rsid w:val="002022E1"/>
    <w:rsid w:val="00202D9A"/>
    <w:rsid w:val="002031B0"/>
    <w:rsid w:val="00204FDE"/>
    <w:rsid w:val="002060F5"/>
    <w:rsid w:val="0020779B"/>
    <w:rsid w:val="00207C1A"/>
    <w:rsid w:val="00207ECE"/>
    <w:rsid w:val="00211D54"/>
    <w:rsid w:val="0021234F"/>
    <w:rsid w:val="0021346A"/>
    <w:rsid w:val="00213962"/>
    <w:rsid w:val="00214BBF"/>
    <w:rsid w:val="00215FA8"/>
    <w:rsid w:val="002162EE"/>
    <w:rsid w:val="002201E8"/>
    <w:rsid w:val="002204D6"/>
    <w:rsid w:val="00221CA0"/>
    <w:rsid w:val="00222B7A"/>
    <w:rsid w:val="00222C1C"/>
    <w:rsid w:val="00225E7B"/>
    <w:rsid w:val="002268A6"/>
    <w:rsid w:val="0022698F"/>
    <w:rsid w:val="00226E22"/>
    <w:rsid w:val="00226EB4"/>
    <w:rsid w:val="0022729D"/>
    <w:rsid w:val="00227993"/>
    <w:rsid w:val="00232E02"/>
    <w:rsid w:val="00233003"/>
    <w:rsid w:val="0023349F"/>
    <w:rsid w:val="002345C3"/>
    <w:rsid w:val="00234A79"/>
    <w:rsid w:val="002357B7"/>
    <w:rsid w:val="00236F2F"/>
    <w:rsid w:val="00237DA8"/>
    <w:rsid w:val="002400D2"/>
    <w:rsid w:val="00240EF4"/>
    <w:rsid w:val="002418B7"/>
    <w:rsid w:val="00241A99"/>
    <w:rsid w:val="0024277C"/>
    <w:rsid w:val="002440C7"/>
    <w:rsid w:val="00246A00"/>
    <w:rsid w:val="002472AD"/>
    <w:rsid w:val="002502E8"/>
    <w:rsid w:val="00250968"/>
    <w:rsid w:val="00251353"/>
    <w:rsid w:val="00252573"/>
    <w:rsid w:val="00253F26"/>
    <w:rsid w:val="00254521"/>
    <w:rsid w:val="0025532E"/>
    <w:rsid w:val="0025633E"/>
    <w:rsid w:val="00256FEB"/>
    <w:rsid w:val="002572A0"/>
    <w:rsid w:val="002603CF"/>
    <w:rsid w:val="00260C78"/>
    <w:rsid w:val="002610B5"/>
    <w:rsid w:val="002616CA"/>
    <w:rsid w:val="002617AA"/>
    <w:rsid w:val="00262B93"/>
    <w:rsid w:val="00263D24"/>
    <w:rsid w:val="00263FDE"/>
    <w:rsid w:val="0026427E"/>
    <w:rsid w:val="0026457A"/>
    <w:rsid w:val="00264CCA"/>
    <w:rsid w:val="00264E26"/>
    <w:rsid w:val="00266E80"/>
    <w:rsid w:val="00267123"/>
    <w:rsid w:val="00267245"/>
    <w:rsid w:val="002676AC"/>
    <w:rsid w:val="00270028"/>
    <w:rsid w:val="0027025C"/>
    <w:rsid w:val="002725B9"/>
    <w:rsid w:val="002729F8"/>
    <w:rsid w:val="00272F30"/>
    <w:rsid w:val="0027338A"/>
    <w:rsid w:val="0027347B"/>
    <w:rsid w:val="0027399F"/>
    <w:rsid w:val="0027453A"/>
    <w:rsid w:val="00274F05"/>
    <w:rsid w:val="00275D95"/>
    <w:rsid w:val="00276F34"/>
    <w:rsid w:val="00277280"/>
    <w:rsid w:val="00277CAA"/>
    <w:rsid w:val="002801A8"/>
    <w:rsid w:val="00281017"/>
    <w:rsid w:val="002840C1"/>
    <w:rsid w:val="002841B3"/>
    <w:rsid w:val="002842C9"/>
    <w:rsid w:val="002845BC"/>
    <w:rsid w:val="002848FC"/>
    <w:rsid w:val="002866F0"/>
    <w:rsid w:val="00286EAE"/>
    <w:rsid w:val="00287BF3"/>
    <w:rsid w:val="00287DC5"/>
    <w:rsid w:val="002901EC"/>
    <w:rsid w:val="0029230C"/>
    <w:rsid w:val="0029473B"/>
    <w:rsid w:val="00296B73"/>
    <w:rsid w:val="0029705C"/>
    <w:rsid w:val="002970D7"/>
    <w:rsid w:val="002A10B5"/>
    <w:rsid w:val="002A1438"/>
    <w:rsid w:val="002A17A3"/>
    <w:rsid w:val="002A2C16"/>
    <w:rsid w:val="002A33F0"/>
    <w:rsid w:val="002A3544"/>
    <w:rsid w:val="002A3C4F"/>
    <w:rsid w:val="002A4C9F"/>
    <w:rsid w:val="002A5936"/>
    <w:rsid w:val="002A6060"/>
    <w:rsid w:val="002A616C"/>
    <w:rsid w:val="002A77B0"/>
    <w:rsid w:val="002A783A"/>
    <w:rsid w:val="002A79B1"/>
    <w:rsid w:val="002A7F5D"/>
    <w:rsid w:val="002B1EF7"/>
    <w:rsid w:val="002B29C0"/>
    <w:rsid w:val="002B2C07"/>
    <w:rsid w:val="002B3545"/>
    <w:rsid w:val="002B3C73"/>
    <w:rsid w:val="002B7071"/>
    <w:rsid w:val="002C081F"/>
    <w:rsid w:val="002C0FCA"/>
    <w:rsid w:val="002C1D1A"/>
    <w:rsid w:val="002C318F"/>
    <w:rsid w:val="002C3600"/>
    <w:rsid w:val="002C465B"/>
    <w:rsid w:val="002C4BA9"/>
    <w:rsid w:val="002C4C81"/>
    <w:rsid w:val="002C4CED"/>
    <w:rsid w:val="002C5691"/>
    <w:rsid w:val="002C681D"/>
    <w:rsid w:val="002C71E2"/>
    <w:rsid w:val="002D0044"/>
    <w:rsid w:val="002D0C5C"/>
    <w:rsid w:val="002D312A"/>
    <w:rsid w:val="002D36A9"/>
    <w:rsid w:val="002D3A03"/>
    <w:rsid w:val="002D3D2E"/>
    <w:rsid w:val="002D45E4"/>
    <w:rsid w:val="002D52A5"/>
    <w:rsid w:val="002D542E"/>
    <w:rsid w:val="002D5C2E"/>
    <w:rsid w:val="002E0A51"/>
    <w:rsid w:val="002E1765"/>
    <w:rsid w:val="002E1E09"/>
    <w:rsid w:val="002E255D"/>
    <w:rsid w:val="002E2680"/>
    <w:rsid w:val="002E2895"/>
    <w:rsid w:val="002E3C91"/>
    <w:rsid w:val="002E3F32"/>
    <w:rsid w:val="002E5C2E"/>
    <w:rsid w:val="002E633E"/>
    <w:rsid w:val="002E7DDE"/>
    <w:rsid w:val="002F0556"/>
    <w:rsid w:val="002F19FA"/>
    <w:rsid w:val="002F2CEB"/>
    <w:rsid w:val="002F2FA7"/>
    <w:rsid w:val="002F32B1"/>
    <w:rsid w:val="002F439A"/>
    <w:rsid w:val="002F4C8D"/>
    <w:rsid w:val="002F6B6F"/>
    <w:rsid w:val="002F7B4B"/>
    <w:rsid w:val="003000D1"/>
    <w:rsid w:val="00301512"/>
    <w:rsid w:val="003035ED"/>
    <w:rsid w:val="00304A97"/>
    <w:rsid w:val="003053BA"/>
    <w:rsid w:val="00305EED"/>
    <w:rsid w:val="003061DC"/>
    <w:rsid w:val="00306BE8"/>
    <w:rsid w:val="00306C67"/>
    <w:rsid w:val="00306EC0"/>
    <w:rsid w:val="00307550"/>
    <w:rsid w:val="003107E8"/>
    <w:rsid w:val="003109CA"/>
    <w:rsid w:val="00312DCD"/>
    <w:rsid w:val="0031477E"/>
    <w:rsid w:val="0031521E"/>
    <w:rsid w:val="0031615E"/>
    <w:rsid w:val="00316AB1"/>
    <w:rsid w:val="0031770C"/>
    <w:rsid w:val="00317CC8"/>
    <w:rsid w:val="0032094C"/>
    <w:rsid w:val="00320975"/>
    <w:rsid w:val="0032120C"/>
    <w:rsid w:val="0032136E"/>
    <w:rsid w:val="0032170B"/>
    <w:rsid w:val="00321ABB"/>
    <w:rsid w:val="00323EEC"/>
    <w:rsid w:val="0032407B"/>
    <w:rsid w:val="00325662"/>
    <w:rsid w:val="00325DF3"/>
    <w:rsid w:val="00327111"/>
    <w:rsid w:val="003278E0"/>
    <w:rsid w:val="00327B07"/>
    <w:rsid w:val="00327C66"/>
    <w:rsid w:val="00327C82"/>
    <w:rsid w:val="00330414"/>
    <w:rsid w:val="00331BF2"/>
    <w:rsid w:val="00332088"/>
    <w:rsid w:val="00332F1F"/>
    <w:rsid w:val="003334E5"/>
    <w:rsid w:val="00334774"/>
    <w:rsid w:val="003355D4"/>
    <w:rsid w:val="0033641A"/>
    <w:rsid w:val="0033665D"/>
    <w:rsid w:val="003371BD"/>
    <w:rsid w:val="00337A2C"/>
    <w:rsid w:val="00340DC4"/>
    <w:rsid w:val="0034146C"/>
    <w:rsid w:val="00341CAF"/>
    <w:rsid w:val="00343A67"/>
    <w:rsid w:val="00343F8F"/>
    <w:rsid w:val="003447E9"/>
    <w:rsid w:val="003449DB"/>
    <w:rsid w:val="0034512B"/>
    <w:rsid w:val="0034537F"/>
    <w:rsid w:val="0034646B"/>
    <w:rsid w:val="00346ADA"/>
    <w:rsid w:val="003512A0"/>
    <w:rsid w:val="00354222"/>
    <w:rsid w:val="00355EF4"/>
    <w:rsid w:val="00356AAD"/>
    <w:rsid w:val="00356F60"/>
    <w:rsid w:val="003572FC"/>
    <w:rsid w:val="00357E5E"/>
    <w:rsid w:val="00360C23"/>
    <w:rsid w:val="003614E9"/>
    <w:rsid w:val="00361B3D"/>
    <w:rsid w:val="00363DC4"/>
    <w:rsid w:val="0036570C"/>
    <w:rsid w:val="0036588F"/>
    <w:rsid w:val="00365B52"/>
    <w:rsid w:val="00365B5F"/>
    <w:rsid w:val="00365CA6"/>
    <w:rsid w:val="00365ECA"/>
    <w:rsid w:val="00365ED2"/>
    <w:rsid w:val="003674DF"/>
    <w:rsid w:val="00367882"/>
    <w:rsid w:val="00367F8A"/>
    <w:rsid w:val="0037145E"/>
    <w:rsid w:val="00372860"/>
    <w:rsid w:val="00372AC8"/>
    <w:rsid w:val="00372EB1"/>
    <w:rsid w:val="00373C92"/>
    <w:rsid w:val="0037460B"/>
    <w:rsid w:val="003755B2"/>
    <w:rsid w:val="00377412"/>
    <w:rsid w:val="00377448"/>
    <w:rsid w:val="00377806"/>
    <w:rsid w:val="00377B7B"/>
    <w:rsid w:val="00380317"/>
    <w:rsid w:val="00380DDA"/>
    <w:rsid w:val="0038132A"/>
    <w:rsid w:val="00382B04"/>
    <w:rsid w:val="0038319C"/>
    <w:rsid w:val="00383D7F"/>
    <w:rsid w:val="003842B1"/>
    <w:rsid w:val="00384F71"/>
    <w:rsid w:val="003859DA"/>
    <w:rsid w:val="00386381"/>
    <w:rsid w:val="003864B7"/>
    <w:rsid w:val="00386C4E"/>
    <w:rsid w:val="00386D84"/>
    <w:rsid w:val="00387373"/>
    <w:rsid w:val="0039030F"/>
    <w:rsid w:val="003906E2"/>
    <w:rsid w:val="00390753"/>
    <w:rsid w:val="00390C59"/>
    <w:rsid w:val="00391AA9"/>
    <w:rsid w:val="00391C64"/>
    <w:rsid w:val="0039252D"/>
    <w:rsid w:val="003928FE"/>
    <w:rsid w:val="00392BD7"/>
    <w:rsid w:val="003931B6"/>
    <w:rsid w:val="00394108"/>
    <w:rsid w:val="003944C5"/>
    <w:rsid w:val="00394FF4"/>
    <w:rsid w:val="0039553A"/>
    <w:rsid w:val="003959BB"/>
    <w:rsid w:val="00395C74"/>
    <w:rsid w:val="00395DBD"/>
    <w:rsid w:val="00396248"/>
    <w:rsid w:val="00396EF3"/>
    <w:rsid w:val="00397DB6"/>
    <w:rsid w:val="003A028B"/>
    <w:rsid w:val="003A13DC"/>
    <w:rsid w:val="003A28FF"/>
    <w:rsid w:val="003A367D"/>
    <w:rsid w:val="003A58DF"/>
    <w:rsid w:val="003A5D2D"/>
    <w:rsid w:val="003A661C"/>
    <w:rsid w:val="003A6ECF"/>
    <w:rsid w:val="003A7072"/>
    <w:rsid w:val="003A70D3"/>
    <w:rsid w:val="003A77B7"/>
    <w:rsid w:val="003B0637"/>
    <w:rsid w:val="003B08C4"/>
    <w:rsid w:val="003B08CC"/>
    <w:rsid w:val="003B2559"/>
    <w:rsid w:val="003B2AA3"/>
    <w:rsid w:val="003B4C90"/>
    <w:rsid w:val="003B51B4"/>
    <w:rsid w:val="003B58A9"/>
    <w:rsid w:val="003B5CCC"/>
    <w:rsid w:val="003B67B3"/>
    <w:rsid w:val="003B7094"/>
    <w:rsid w:val="003B724E"/>
    <w:rsid w:val="003C0E6C"/>
    <w:rsid w:val="003C0EB2"/>
    <w:rsid w:val="003C1AC1"/>
    <w:rsid w:val="003C1AFB"/>
    <w:rsid w:val="003C2668"/>
    <w:rsid w:val="003C2B7F"/>
    <w:rsid w:val="003C3101"/>
    <w:rsid w:val="003C3E81"/>
    <w:rsid w:val="003C50D6"/>
    <w:rsid w:val="003C69C8"/>
    <w:rsid w:val="003C7590"/>
    <w:rsid w:val="003C7903"/>
    <w:rsid w:val="003D138A"/>
    <w:rsid w:val="003D36EA"/>
    <w:rsid w:val="003D42EA"/>
    <w:rsid w:val="003D4DC6"/>
    <w:rsid w:val="003D56BA"/>
    <w:rsid w:val="003D679C"/>
    <w:rsid w:val="003D77DE"/>
    <w:rsid w:val="003D7C80"/>
    <w:rsid w:val="003E05F1"/>
    <w:rsid w:val="003E0FB8"/>
    <w:rsid w:val="003E112E"/>
    <w:rsid w:val="003E19A5"/>
    <w:rsid w:val="003E6C27"/>
    <w:rsid w:val="003E6EFD"/>
    <w:rsid w:val="003E744F"/>
    <w:rsid w:val="003E79FA"/>
    <w:rsid w:val="003E7F5D"/>
    <w:rsid w:val="003F1326"/>
    <w:rsid w:val="003F2571"/>
    <w:rsid w:val="003F3A81"/>
    <w:rsid w:val="003F3AC0"/>
    <w:rsid w:val="003F3E6C"/>
    <w:rsid w:val="003F562F"/>
    <w:rsid w:val="003F5E90"/>
    <w:rsid w:val="003F6EB8"/>
    <w:rsid w:val="003F74BC"/>
    <w:rsid w:val="00400192"/>
    <w:rsid w:val="004003CC"/>
    <w:rsid w:val="004005AD"/>
    <w:rsid w:val="0040097B"/>
    <w:rsid w:val="00400D18"/>
    <w:rsid w:val="004012A7"/>
    <w:rsid w:val="00402364"/>
    <w:rsid w:val="00403354"/>
    <w:rsid w:val="004054A8"/>
    <w:rsid w:val="004061AF"/>
    <w:rsid w:val="004063CB"/>
    <w:rsid w:val="00406663"/>
    <w:rsid w:val="00407EFA"/>
    <w:rsid w:val="004104D5"/>
    <w:rsid w:val="0041069B"/>
    <w:rsid w:val="0041200B"/>
    <w:rsid w:val="00412AF1"/>
    <w:rsid w:val="004131A9"/>
    <w:rsid w:val="00413473"/>
    <w:rsid w:val="00414A14"/>
    <w:rsid w:val="00414BEB"/>
    <w:rsid w:val="0041574B"/>
    <w:rsid w:val="00415B01"/>
    <w:rsid w:val="004162CD"/>
    <w:rsid w:val="004162FE"/>
    <w:rsid w:val="004164EA"/>
    <w:rsid w:val="00420100"/>
    <w:rsid w:val="004209E0"/>
    <w:rsid w:val="004216BB"/>
    <w:rsid w:val="00421F4D"/>
    <w:rsid w:val="00422459"/>
    <w:rsid w:val="00424DCF"/>
    <w:rsid w:val="00426BA4"/>
    <w:rsid w:val="00430B60"/>
    <w:rsid w:val="0043121B"/>
    <w:rsid w:val="00431230"/>
    <w:rsid w:val="00431A0B"/>
    <w:rsid w:val="004320DE"/>
    <w:rsid w:val="004333C0"/>
    <w:rsid w:val="00434A4D"/>
    <w:rsid w:val="00435A02"/>
    <w:rsid w:val="00435BD9"/>
    <w:rsid w:val="0043639B"/>
    <w:rsid w:val="00436804"/>
    <w:rsid w:val="00437172"/>
    <w:rsid w:val="004375A9"/>
    <w:rsid w:val="004375F3"/>
    <w:rsid w:val="004376A3"/>
    <w:rsid w:val="00437BB3"/>
    <w:rsid w:val="00437F74"/>
    <w:rsid w:val="004404BC"/>
    <w:rsid w:val="00441A6F"/>
    <w:rsid w:val="004428CC"/>
    <w:rsid w:val="00443135"/>
    <w:rsid w:val="00443317"/>
    <w:rsid w:val="00445785"/>
    <w:rsid w:val="00445CA5"/>
    <w:rsid w:val="00446A5B"/>
    <w:rsid w:val="00446A7C"/>
    <w:rsid w:val="00452333"/>
    <w:rsid w:val="00452994"/>
    <w:rsid w:val="00453426"/>
    <w:rsid w:val="004555BB"/>
    <w:rsid w:val="00455B77"/>
    <w:rsid w:val="0045632D"/>
    <w:rsid w:val="00456F3D"/>
    <w:rsid w:val="00457D6F"/>
    <w:rsid w:val="00460314"/>
    <w:rsid w:val="00460A07"/>
    <w:rsid w:val="004612D9"/>
    <w:rsid w:val="004641EA"/>
    <w:rsid w:val="00464200"/>
    <w:rsid w:val="004647AF"/>
    <w:rsid w:val="00464AB9"/>
    <w:rsid w:val="00464AF0"/>
    <w:rsid w:val="00465255"/>
    <w:rsid w:val="004654FA"/>
    <w:rsid w:val="004661FD"/>
    <w:rsid w:val="00466A85"/>
    <w:rsid w:val="00467278"/>
    <w:rsid w:val="004678B9"/>
    <w:rsid w:val="00467FB4"/>
    <w:rsid w:val="004709BD"/>
    <w:rsid w:val="00471156"/>
    <w:rsid w:val="0047120F"/>
    <w:rsid w:val="0047340B"/>
    <w:rsid w:val="00474070"/>
    <w:rsid w:val="004752C8"/>
    <w:rsid w:val="0047553F"/>
    <w:rsid w:val="00476495"/>
    <w:rsid w:val="00477486"/>
    <w:rsid w:val="00480EB5"/>
    <w:rsid w:val="004814B0"/>
    <w:rsid w:val="00481A41"/>
    <w:rsid w:val="00481E9B"/>
    <w:rsid w:val="00482163"/>
    <w:rsid w:val="00482A31"/>
    <w:rsid w:val="004830A1"/>
    <w:rsid w:val="0048520F"/>
    <w:rsid w:val="00486841"/>
    <w:rsid w:val="00487DF0"/>
    <w:rsid w:val="00491146"/>
    <w:rsid w:val="004926C0"/>
    <w:rsid w:val="00493834"/>
    <w:rsid w:val="00493B98"/>
    <w:rsid w:val="004941F9"/>
    <w:rsid w:val="004961DE"/>
    <w:rsid w:val="004969BA"/>
    <w:rsid w:val="00496B4F"/>
    <w:rsid w:val="00497498"/>
    <w:rsid w:val="004A00E2"/>
    <w:rsid w:val="004A0613"/>
    <w:rsid w:val="004A10D6"/>
    <w:rsid w:val="004A2B91"/>
    <w:rsid w:val="004A2EF5"/>
    <w:rsid w:val="004A2F70"/>
    <w:rsid w:val="004A34A9"/>
    <w:rsid w:val="004A462E"/>
    <w:rsid w:val="004A4B8A"/>
    <w:rsid w:val="004A4D3A"/>
    <w:rsid w:val="004A58AC"/>
    <w:rsid w:val="004A7195"/>
    <w:rsid w:val="004A7705"/>
    <w:rsid w:val="004A7B3F"/>
    <w:rsid w:val="004A7ED1"/>
    <w:rsid w:val="004B1A1E"/>
    <w:rsid w:val="004B3148"/>
    <w:rsid w:val="004B3410"/>
    <w:rsid w:val="004B3459"/>
    <w:rsid w:val="004B59C5"/>
    <w:rsid w:val="004B77BA"/>
    <w:rsid w:val="004B7FD5"/>
    <w:rsid w:val="004C02F4"/>
    <w:rsid w:val="004C0454"/>
    <w:rsid w:val="004C05C7"/>
    <w:rsid w:val="004C0979"/>
    <w:rsid w:val="004C1E9F"/>
    <w:rsid w:val="004C2184"/>
    <w:rsid w:val="004C6E3B"/>
    <w:rsid w:val="004C6E75"/>
    <w:rsid w:val="004C792A"/>
    <w:rsid w:val="004C7A4C"/>
    <w:rsid w:val="004D0E79"/>
    <w:rsid w:val="004D3F0B"/>
    <w:rsid w:val="004D4B5C"/>
    <w:rsid w:val="004D6D71"/>
    <w:rsid w:val="004E0182"/>
    <w:rsid w:val="004E0E4B"/>
    <w:rsid w:val="004E21A3"/>
    <w:rsid w:val="004E2CFD"/>
    <w:rsid w:val="004E3064"/>
    <w:rsid w:val="004E3255"/>
    <w:rsid w:val="004E3A48"/>
    <w:rsid w:val="004E41D6"/>
    <w:rsid w:val="004E44B2"/>
    <w:rsid w:val="004E4DBD"/>
    <w:rsid w:val="004E523C"/>
    <w:rsid w:val="004E6E73"/>
    <w:rsid w:val="004E7276"/>
    <w:rsid w:val="004F03EF"/>
    <w:rsid w:val="004F0DB7"/>
    <w:rsid w:val="004F11FE"/>
    <w:rsid w:val="004F1F22"/>
    <w:rsid w:val="004F22A7"/>
    <w:rsid w:val="004F3943"/>
    <w:rsid w:val="004F45EA"/>
    <w:rsid w:val="004F5041"/>
    <w:rsid w:val="004F5DEF"/>
    <w:rsid w:val="004F62B2"/>
    <w:rsid w:val="004F6777"/>
    <w:rsid w:val="004F7414"/>
    <w:rsid w:val="00502226"/>
    <w:rsid w:val="0050244C"/>
    <w:rsid w:val="005029FC"/>
    <w:rsid w:val="00502B86"/>
    <w:rsid w:val="0050300C"/>
    <w:rsid w:val="0050343E"/>
    <w:rsid w:val="00503572"/>
    <w:rsid w:val="005044CE"/>
    <w:rsid w:val="005049A4"/>
    <w:rsid w:val="00504B54"/>
    <w:rsid w:val="005057A7"/>
    <w:rsid w:val="0050640F"/>
    <w:rsid w:val="00510F62"/>
    <w:rsid w:val="00511137"/>
    <w:rsid w:val="0051288E"/>
    <w:rsid w:val="00513BAF"/>
    <w:rsid w:val="00514AE2"/>
    <w:rsid w:val="005150D1"/>
    <w:rsid w:val="00515E98"/>
    <w:rsid w:val="00517476"/>
    <w:rsid w:val="00517885"/>
    <w:rsid w:val="00517F7B"/>
    <w:rsid w:val="0052031F"/>
    <w:rsid w:val="00520BEA"/>
    <w:rsid w:val="00521077"/>
    <w:rsid w:val="00521E21"/>
    <w:rsid w:val="005221E8"/>
    <w:rsid w:val="00522366"/>
    <w:rsid w:val="00522410"/>
    <w:rsid w:val="005227AE"/>
    <w:rsid w:val="00523F0C"/>
    <w:rsid w:val="00525AD3"/>
    <w:rsid w:val="00526245"/>
    <w:rsid w:val="00527DC8"/>
    <w:rsid w:val="00530282"/>
    <w:rsid w:val="00531012"/>
    <w:rsid w:val="00531B78"/>
    <w:rsid w:val="005320B6"/>
    <w:rsid w:val="00532323"/>
    <w:rsid w:val="0053316E"/>
    <w:rsid w:val="005332BF"/>
    <w:rsid w:val="00533627"/>
    <w:rsid w:val="0053379B"/>
    <w:rsid w:val="00534723"/>
    <w:rsid w:val="0053546F"/>
    <w:rsid w:val="00535697"/>
    <w:rsid w:val="00536148"/>
    <w:rsid w:val="00537B7A"/>
    <w:rsid w:val="00540B43"/>
    <w:rsid w:val="00540F6A"/>
    <w:rsid w:val="0054171C"/>
    <w:rsid w:val="0054229C"/>
    <w:rsid w:val="0054588B"/>
    <w:rsid w:val="00545890"/>
    <w:rsid w:val="00545A4E"/>
    <w:rsid w:val="00545CED"/>
    <w:rsid w:val="00546547"/>
    <w:rsid w:val="0054678A"/>
    <w:rsid w:val="005468F2"/>
    <w:rsid w:val="00546B32"/>
    <w:rsid w:val="005516D0"/>
    <w:rsid w:val="00553481"/>
    <w:rsid w:val="00554736"/>
    <w:rsid w:val="00555B02"/>
    <w:rsid w:val="00556234"/>
    <w:rsid w:val="0055647E"/>
    <w:rsid w:val="005567C2"/>
    <w:rsid w:val="0055703C"/>
    <w:rsid w:val="00557B79"/>
    <w:rsid w:val="00557D4A"/>
    <w:rsid w:val="00557E9B"/>
    <w:rsid w:val="0056048E"/>
    <w:rsid w:val="005605F2"/>
    <w:rsid w:val="00560C16"/>
    <w:rsid w:val="00561DC0"/>
    <w:rsid w:val="00562081"/>
    <w:rsid w:val="00563416"/>
    <w:rsid w:val="00563968"/>
    <w:rsid w:val="005656AB"/>
    <w:rsid w:val="00566613"/>
    <w:rsid w:val="00567795"/>
    <w:rsid w:val="00567D5C"/>
    <w:rsid w:val="005707BF"/>
    <w:rsid w:val="00570EE9"/>
    <w:rsid w:val="00571B0C"/>
    <w:rsid w:val="00571E49"/>
    <w:rsid w:val="00574291"/>
    <w:rsid w:val="00574517"/>
    <w:rsid w:val="005745C1"/>
    <w:rsid w:val="005750CA"/>
    <w:rsid w:val="0057563E"/>
    <w:rsid w:val="00576398"/>
    <w:rsid w:val="00582633"/>
    <w:rsid w:val="00584160"/>
    <w:rsid w:val="005846F3"/>
    <w:rsid w:val="00584726"/>
    <w:rsid w:val="00586824"/>
    <w:rsid w:val="00586B74"/>
    <w:rsid w:val="0058753D"/>
    <w:rsid w:val="00587794"/>
    <w:rsid w:val="00590536"/>
    <w:rsid w:val="00591BD4"/>
    <w:rsid w:val="00591F8B"/>
    <w:rsid w:val="005925C9"/>
    <w:rsid w:val="00592CA3"/>
    <w:rsid w:val="00592CD0"/>
    <w:rsid w:val="005966A6"/>
    <w:rsid w:val="005A01D5"/>
    <w:rsid w:val="005A09EC"/>
    <w:rsid w:val="005A19A6"/>
    <w:rsid w:val="005A1B3C"/>
    <w:rsid w:val="005A1CBB"/>
    <w:rsid w:val="005A1EA4"/>
    <w:rsid w:val="005A1F7F"/>
    <w:rsid w:val="005A20DF"/>
    <w:rsid w:val="005A3860"/>
    <w:rsid w:val="005A3B02"/>
    <w:rsid w:val="005A4482"/>
    <w:rsid w:val="005A6408"/>
    <w:rsid w:val="005A6477"/>
    <w:rsid w:val="005A68A2"/>
    <w:rsid w:val="005A77C0"/>
    <w:rsid w:val="005B0072"/>
    <w:rsid w:val="005B00B4"/>
    <w:rsid w:val="005B05DC"/>
    <w:rsid w:val="005B1AE1"/>
    <w:rsid w:val="005B1FD1"/>
    <w:rsid w:val="005B2108"/>
    <w:rsid w:val="005B25BE"/>
    <w:rsid w:val="005B26B7"/>
    <w:rsid w:val="005B5CF0"/>
    <w:rsid w:val="005B5D0C"/>
    <w:rsid w:val="005B6496"/>
    <w:rsid w:val="005B6C0F"/>
    <w:rsid w:val="005B7B15"/>
    <w:rsid w:val="005C059B"/>
    <w:rsid w:val="005C1374"/>
    <w:rsid w:val="005C14DC"/>
    <w:rsid w:val="005C38D4"/>
    <w:rsid w:val="005C43DA"/>
    <w:rsid w:val="005C4646"/>
    <w:rsid w:val="005C55A8"/>
    <w:rsid w:val="005C5938"/>
    <w:rsid w:val="005C6A58"/>
    <w:rsid w:val="005C74C6"/>
    <w:rsid w:val="005D0F74"/>
    <w:rsid w:val="005D2301"/>
    <w:rsid w:val="005D2F21"/>
    <w:rsid w:val="005D319D"/>
    <w:rsid w:val="005D3AFF"/>
    <w:rsid w:val="005D4308"/>
    <w:rsid w:val="005D437B"/>
    <w:rsid w:val="005D4A5E"/>
    <w:rsid w:val="005D5B44"/>
    <w:rsid w:val="005D649F"/>
    <w:rsid w:val="005D68C2"/>
    <w:rsid w:val="005D77BF"/>
    <w:rsid w:val="005D7CBE"/>
    <w:rsid w:val="005E10FC"/>
    <w:rsid w:val="005E3B85"/>
    <w:rsid w:val="005E3C7D"/>
    <w:rsid w:val="005E3F59"/>
    <w:rsid w:val="005E5B4D"/>
    <w:rsid w:val="005E5CC2"/>
    <w:rsid w:val="005E6176"/>
    <w:rsid w:val="005E6DBD"/>
    <w:rsid w:val="005E6FCF"/>
    <w:rsid w:val="005E7091"/>
    <w:rsid w:val="005E7788"/>
    <w:rsid w:val="005F042E"/>
    <w:rsid w:val="005F18C3"/>
    <w:rsid w:val="005F2A3A"/>
    <w:rsid w:val="005F2B03"/>
    <w:rsid w:val="005F5262"/>
    <w:rsid w:val="005F5484"/>
    <w:rsid w:val="0060089B"/>
    <w:rsid w:val="0060103C"/>
    <w:rsid w:val="0060153F"/>
    <w:rsid w:val="00602482"/>
    <w:rsid w:val="00602D5F"/>
    <w:rsid w:val="006035AD"/>
    <w:rsid w:val="00603AB8"/>
    <w:rsid w:val="0060592E"/>
    <w:rsid w:val="00605C28"/>
    <w:rsid w:val="006064AD"/>
    <w:rsid w:val="00606981"/>
    <w:rsid w:val="00607078"/>
    <w:rsid w:val="00610038"/>
    <w:rsid w:val="00613328"/>
    <w:rsid w:val="00614FD3"/>
    <w:rsid w:val="00615615"/>
    <w:rsid w:val="00617034"/>
    <w:rsid w:val="00617934"/>
    <w:rsid w:val="00620E71"/>
    <w:rsid w:val="00621EEB"/>
    <w:rsid w:val="006227A6"/>
    <w:rsid w:val="00623A84"/>
    <w:rsid w:val="00624217"/>
    <w:rsid w:val="00624CE9"/>
    <w:rsid w:val="00624DD3"/>
    <w:rsid w:val="006258EF"/>
    <w:rsid w:val="006300F2"/>
    <w:rsid w:val="006305BB"/>
    <w:rsid w:val="006307EF"/>
    <w:rsid w:val="0063123B"/>
    <w:rsid w:val="006312CF"/>
    <w:rsid w:val="00631462"/>
    <w:rsid w:val="00632213"/>
    <w:rsid w:val="00632C5F"/>
    <w:rsid w:val="00633D8E"/>
    <w:rsid w:val="00635691"/>
    <w:rsid w:val="0063581F"/>
    <w:rsid w:val="00636294"/>
    <w:rsid w:val="00636999"/>
    <w:rsid w:val="0063741F"/>
    <w:rsid w:val="0064014B"/>
    <w:rsid w:val="006409DA"/>
    <w:rsid w:val="00642647"/>
    <w:rsid w:val="006432D3"/>
    <w:rsid w:val="006433AD"/>
    <w:rsid w:val="00643EB8"/>
    <w:rsid w:val="00643FB6"/>
    <w:rsid w:val="00644D4B"/>
    <w:rsid w:val="00644F4A"/>
    <w:rsid w:val="00645952"/>
    <w:rsid w:val="00646D8F"/>
    <w:rsid w:val="006478BA"/>
    <w:rsid w:val="00647AD6"/>
    <w:rsid w:val="00647DB1"/>
    <w:rsid w:val="00647FD3"/>
    <w:rsid w:val="00650276"/>
    <w:rsid w:val="00650294"/>
    <w:rsid w:val="00653FC5"/>
    <w:rsid w:val="006555B9"/>
    <w:rsid w:val="00655BD8"/>
    <w:rsid w:val="00656C67"/>
    <w:rsid w:val="00657A08"/>
    <w:rsid w:val="00657A3E"/>
    <w:rsid w:val="00657A7C"/>
    <w:rsid w:val="00660F7A"/>
    <w:rsid w:val="00661416"/>
    <w:rsid w:val="00661AFC"/>
    <w:rsid w:val="00662C8C"/>
    <w:rsid w:val="00663678"/>
    <w:rsid w:val="00664C26"/>
    <w:rsid w:val="00664DA7"/>
    <w:rsid w:val="00666485"/>
    <w:rsid w:val="00666551"/>
    <w:rsid w:val="00667D2C"/>
    <w:rsid w:val="00667E13"/>
    <w:rsid w:val="00670DD2"/>
    <w:rsid w:val="006710F0"/>
    <w:rsid w:val="00671129"/>
    <w:rsid w:val="0067112E"/>
    <w:rsid w:val="0067188B"/>
    <w:rsid w:val="00672E68"/>
    <w:rsid w:val="0067324F"/>
    <w:rsid w:val="006733DC"/>
    <w:rsid w:val="006740BE"/>
    <w:rsid w:val="006744F5"/>
    <w:rsid w:val="006748CA"/>
    <w:rsid w:val="006751AC"/>
    <w:rsid w:val="0067540C"/>
    <w:rsid w:val="00675D06"/>
    <w:rsid w:val="00675EFA"/>
    <w:rsid w:val="0067606E"/>
    <w:rsid w:val="0067624F"/>
    <w:rsid w:val="00676374"/>
    <w:rsid w:val="006763C7"/>
    <w:rsid w:val="0067649D"/>
    <w:rsid w:val="006778F1"/>
    <w:rsid w:val="00677943"/>
    <w:rsid w:val="00677E98"/>
    <w:rsid w:val="00680616"/>
    <w:rsid w:val="006827FD"/>
    <w:rsid w:val="00683F35"/>
    <w:rsid w:val="00686475"/>
    <w:rsid w:val="00686684"/>
    <w:rsid w:val="00686BBC"/>
    <w:rsid w:val="00687FF3"/>
    <w:rsid w:val="00690A93"/>
    <w:rsid w:val="00690CBF"/>
    <w:rsid w:val="006910E9"/>
    <w:rsid w:val="006921C8"/>
    <w:rsid w:val="00692221"/>
    <w:rsid w:val="0069371A"/>
    <w:rsid w:val="0069441F"/>
    <w:rsid w:val="00696EB0"/>
    <w:rsid w:val="0069726B"/>
    <w:rsid w:val="00697B49"/>
    <w:rsid w:val="006A1150"/>
    <w:rsid w:val="006A12B8"/>
    <w:rsid w:val="006A15AA"/>
    <w:rsid w:val="006A1D8B"/>
    <w:rsid w:val="006A2255"/>
    <w:rsid w:val="006A2B24"/>
    <w:rsid w:val="006A3461"/>
    <w:rsid w:val="006A3645"/>
    <w:rsid w:val="006A45F7"/>
    <w:rsid w:val="006A552B"/>
    <w:rsid w:val="006A56F7"/>
    <w:rsid w:val="006A58B3"/>
    <w:rsid w:val="006A6740"/>
    <w:rsid w:val="006A7AED"/>
    <w:rsid w:val="006B0504"/>
    <w:rsid w:val="006B168C"/>
    <w:rsid w:val="006B18D1"/>
    <w:rsid w:val="006B2347"/>
    <w:rsid w:val="006B23E6"/>
    <w:rsid w:val="006B28A9"/>
    <w:rsid w:val="006B5DF8"/>
    <w:rsid w:val="006B66B7"/>
    <w:rsid w:val="006B7941"/>
    <w:rsid w:val="006C063A"/>
    <w:rsid w:val="006C0C03"/>
    <w:rsid w:val="006C2011"/>
    <w:rsid w:val="006C29E2"/>
    <w:rsid w:val="006C2AA9"/>
    <w:rsid w:val="006C2BA8"/>
    <w:rsid w:val="006C2CAB"/>
    <w:rsid w:val="006C314B"/>
    <w:rsid w:val="006C3320"/>
    <w:rsid w:val="006C33B6"/>
    <w:rsid w:val="006C35FC"/>
    <w:rsid w:val="006C4422"/>
    <w:rsid w:val="006C468B"/>
    <w:rsid w:val="006C4E81"/>
    <w:rsid w:val="006C537C"/>
    <w:rsid w:val="006C5EC9"/>
    <w:rsid w:val="006C5ED7"/>
    <w:rsid w:val="006C61AB"/>
    <w:rsid w:val="006C6CBF"/>
    <w:rsid w:val="006C75C2"/>
    <w:rsid w:val="006D2F73"/>
    <w:rsid w:val="006D4393"/>
    <w:rsid w:val="006D4AFA"/>
    <w:rsid w:val="006D576E"/>
    <w:rsid w:val="006D61D1"/>
    <w:rsid w:val="006D79B7"/>
    <w:rsid w:val="006D7E35"/>
    <w:rsid w:val="006E0051"/>
    <w:rsid w:val="006E0C06"/>
    <w:rsid w:val="006E14E6"/>
    <w:rsid w:val="006E170D"/>
    <w:rsid w:val="006E27E0"/>
    <w:rsid w:val="006E2A99"/>
    <w:rsid w:val="006E3AB8"/>
    <w:rsid w:val="006E3F08"/>
    <w:rsid w:val="006E4129"/>
    <w:rsid w:val="006E6BDE"/>
    <w:rsid w:val="006E6CFE"/>
    <w:rsid w:val="006E7BD5"/>
    <w:rsid w:val="006E7E0B"/>
    <w:rsid w:val="006F0E09"/>
    <w:rsid w:val="006F1EC7"/>
    <w:rsid w:val="006F2C6D"/>
    <w:rsid w:val="006F34E8"/>
    <w:rsid w:val="006F4048"/>
    <w:rsid w:val="006F4F73"/>
    <w:rsid w:val="006F53A1"/>
    <w:rsid w:val="006F586B"/>
    <w:rsid w:val="006F619E"/>
    <w:rsid w:val="006F7734"/>
    <w:rsid w:val="006F7C56"/>
    <w:rsid w:val="00700332"/>
    <w:rsid w:val="00700FAF"/>
    <w:rsid w:val="007012EA"/>
    <w:rsid w:val="00702627"/>
    <w:rsid w:val="00702ABA"/>
    <w:rsid w:val="00703468"/>
    <w:rsid w:val="0070374F"/>
    <w:rsid w:val="007037B2"/>
    <w:rsid w:val="00703ABF"/>
    <w:rsid w:val="00703BE0"/>
    <w:rsid w:val="00705814"/>
    <w:rsid w:val="0070656B"/>
    <w:rsid w:val="007070B3"/>
    <w:rsid w:val="00707C91"/>
    <w:rsid w:val="007102F1"/>
    <w:rsid w:val="00711F58"/>
    <w:rsid w:val="00712024"/>
    <w:rsid w:val="00713F75"/>
    <w:rsid w:val="0071469D"/>
    <w:rsid w:val="00714EA7"/>
    <w:rsid w:val="0071564C"/>
    <w:rsid w:val="00721527"/>
    <w:rsid w:val="0072241C"/>
    <w:rsid w:val="0072254C"/>
    <w:rsid w:val="007232CF"/>
    <w:rsid w:val="00735E57"/>
    <w:rsid w:val="007369B2"/>
    <w:rsid w:val="0073707B"/>
    <w:rsid w:val="00740753"/>
    <w:rsid w:val="00740EA3"/>
    <w:rsid w:val="0074110C"/>
    <w:rsid w:val="00741639"/>
    <w:rsid w:val="0074188A"/>
    <w:rsid w:val="007418C3"/>
    <w:rsid w:val="0074194D"/>
    <w:rsid w:val="00742257"/>
    <w:rsid w:val="00742B79"/>
    <w:rsid w:val="00742CC7"/>
    <w:rsid w:val="00745156"/>
    <w:rsid w:val="00745D71"/>
    <w:rsid w:val="00747B66"/>
    <w:rsid w:val="007512EB"/>
    <w:rsid w:val="007530D4"/>
    <w:rsid w:val="00753896"/>
    <w:rsid w:val="00753F70"/>
    <w:rsid w:val="007540BC"/>
    <w:rsid w:val="00754BE2"/>
    <w:rsid w:val="00754D2B"/>
    <w:rsid w:val="00755456"/>
    <w:rsid w:val="00755844"/>
    <w:rsid w:val="00755B28"/>
    <w:rsid w:val="00755D3E"/>
    <w:rsid w:val="007560EF"/>
    <w:rsid w:val="0075674D"/>
    <w:rsid w:val="00756B53"/>
    <w:rsid w:val="00763A80"/>
    <w:rsid w:val="00764593"/>
    <w:rsid w:val="00764AC1"/>
    <w:rsid w:val="0076511B"/>
    <w:rsid w:val="007654F0"/>
    <w:rsid w:val="00765EF8"/>
    <w:rsid w:val="00767061"/>
    <w:rsid w:val="0076715E"/>
    <w:rsid w:val="00767BA8"/>
    <w:rsid w:val="00767BB9"/>
    <w:rsid w:val="00770291"/>
    <w:rsid w:val="00770D47"/>
    <w:rsid w:val="00771649"/>
    <w:rsid w:val="007718C1"/>
    <w:rsid w:val="00772563"/>
    <w:rsid w:val="007726CA"/>
    <w:rsid w:val="00773CBB"/>
    <w:rsid w:val="007743C3"/>
    <w:rsid w:val="00774605"/>
    <w:rsid w:val="007753FE"/>
    <w:rsid w:val="00775CB0"/>
    <w:rsid w:val="0077668D"/>
    <w:rsid w:val="0077781F"/>
    <w:rsid w:val="00784E08"/>
    <w:rsid w:val="00784F76"/>
    <w:rsid w:val="0078788A"/>
    <w:rsid w:val="007900D2"/>
    <w:rsid w:val="0079026B"/>
    <w:rsid w:val="0079082F"/>
    <w:rsid w:val="00790EAB"/>
    <w:rsid w:val="007924E2"/>
    <w:rsid w:val="007927B1"/>
    <w:rsid w:val="0079282E"/>
    <w:rsid w:val="00792937"/>
    <w:rsid w:val="00792D70"/>
    <w:rsid w:val="0079316F"/>
    <w:rsid w:val="007939FD"/>
    <w:rsid w:val="00793FE8"/>
    <w:rsid w:val="00794CAF"/>
    <w:rsid w:val="00795272"/>
    <w:rsid w:val="007956E1"/>
    <w:rsid w:val="00795C67"/>
    <w:rsid w:val="00795FB7"/>
    <w:rsid w:val="00796F59"/>
    <w:rsid w:val="00797A2B"/>
    <w:rsid w:val="007A03BB"/>
    <w:rsid w:val="007A03EC"/>
    <w:rsid w:val="007A0F24"/>
    <w:rsid w:val="007A110C"/>
    <w:rsid w:val="007A1362"/>
    <w:rsid w:val="007A13A5"/>
    <w:rsid w:val="007A3282"/>
    <w:rsid w:val="007A5929"/>
    <w:rsid w:val="007A6368"/>
    <w:rsid w:val="007A6833"/>
    <w:rsid w:val="007A6AB7"/>
    <w:rsid w:val="007A7160"/>
    <w:rsid w:val="007A718F"/>
    <w:rsid w:val="007A786A"/>
    <w:rsid w:val="007B1292"/>
    <w:rsid w:val="007B164C"/>
    <w:rsid w:val="007B251B"/>
    <w:rsid w:val="007B4732"/>
    <w:rsid w:val="007B47F9"/>
    <w:rsid w:val="007B4AF1"/>
    <w:rsid w:val="007B5670"/>
    <w:rsid w:val="007B620F"/>
    <w:rsid w:val="007B6353"/>
    <w:rsid w:val="007B6B07"/>
    <w:rsid w:val="007B7BF4"/>
    <w:rsid w:val="007C0750"/>
    <w:rsid w:val="007C1BC0"/>
    <w:rsid w:val="007C22BC"/>
    <w:rsid w:val="007C23F1"/>
    <w:rsid w:val="007C3376"/>
    <w:rsid w:val="007C3E14"/>
    <w:rsid w:val="007C411C"/>
    <w:rsid w:val="007C4954"/>
    <w:rsid w:val="007C51FF"/>
    <w:rsid w:val="007C5DDF"/>
    <w:rsid w:val="007C731D"/>
    <w:rsid w:val="007C7667"/>
    <w:rsid w:val="007C7DFA"/>
    <w:rsid w:val="007D0554"/>
    <w:rsid w:val="007D0B81"/>
    <w:rsid w:val="007D265D"/>
    <w:rsid w:val="007D4B50"/>
    <w:rsid w:val="007D5683"/>
    <w:rsid w:val="007D60F9"/>
    <w:rsid w:val="007D781B"/>
    <w:rsid w:val="007D7B6A"/>
    <w:rsid w:val="007E0367"/>
    <w:rsid w:val="007E03CA"/>
    <w:rsid w:val="007E055B"/>
    <w:rsid w:val="007E065A"/>
    <w:rsid w:val="007E08B3"/>
    <w:rsid w:val="007E28C8"/>
    <w:rsid w:val="007E33DC"/>
    <w:rsid w:val="007E3602"/>
    <w:rsid w:val="007E37A3"/>
    <w:rsid w:val="007E3D05"/>
    <w:rsid w:val="007E44E9"/>
    <w:rsid w:val="007E53AC"/>
    <w:rsid w:val="007E5CF0"/>
    <w:rsid w:val="007E61CE"/>
    <w:rsid w:val="007E6AE1"/>
    <w:rsid w:val="007E6EF7"/>
    <w:rsid w:val="007E7B90"/>
    <w:rsid w:val="007F08F2"/>
    <w:rsid w:val="007F13AB"/>
    <w:rsid w:val="007F18E7"/>
    <w:rsid w:val="007F1950"/>
    <w:rsid w:val="007F2910"/>
    <w:rsid w:val="007F2938"/>
    <w:rsid w:val="007F3386"/>
    <w:rsid w:val="007F3706"/>
    <w:rsid w:val="007F3914"/>
    <w:rsid w:val="007F47F8"/>
    <w:rsid w:val="007F6099"/>
    <w:rsid w:val="007F61B0"/>
    <w:rsid w:val="007F6B80"/>
    <w:rsid w:val="007F7747"/>
    <w:rsid w:val="007F7A49"/>
    <w:rsid w:val="007F7A84"/>
    <w:rsid w:val="007F7C2D"/>
    <w:rsid w:val="007F7D00"/>
    <w:rsid w:val="008002E4"/>
    <w:rsid w:val="008004BA"/>
    <w:rsid w:val="00800FAE"/>
    <w:rsid w:val="00800FD8"/>
    <w:rsid w:val="00801080"/>
    <w:rsid w:val="008015B1"/>
    <w:rsid w:val="00801741"/>
    <w:rsid w:val="00801755"/>
    <w:rsid w:val="00801B9D"/>
    <w:rsid w:val="0080211F"/>
    <w:rsid w:val="00802743"/>
    <w:rsid w:val="0080313D"/>
    <w:rsid w:val="008035C1"/>
    <w:rsid w:val="008035E9"/>
    <w:rsid w:val="008044D4"/>
    <w:rsid w:val="00805F86"/>
    <w:rsid w:val="00806F08"/>
    <w:rsid w:val="008104C7"/>
    <w:rsid w:val="00810FC2"/>
    <w:rsid w:val="00813443"/>
    <w:rsid w:val="00813ACF"/>
    <w:rsid w:val="00816BD8"/>
    <w:rsid w:val="008170A5"/>
    <w:rsid w:val="0081785B"/>
    <w:rsid w:val="008209EB"/>
    <w:rsid w:val="0082112D"/>
    <w:rsid w:val="0082161A"/>
    <w:rsid w:val="00821D06"/>
    <w:rsid w:val="00822059"/>
    <w:rsid w:val="008222C0"/>
    <w:rsid w:val="00822C71"/>
    <w:rsid w:val="00822D67"/>
    <w:rsid w:val="00823CB1"/>
    <w:rsid w:val="00826D58"/>
    <w:rsid w:val="008274FF"/>
    <w:rsid w:val="00830D88"/>
    <w:rsid w:val="008316E4"/>
    <w:rsid w:val="00832266"/>
    <w:rsid w:val="00832651"/>
    <w:rsid w:val="008332F5"/>
    <w:rsid w:val="0083343C"/>
    <w:rsid w:val="00834880"/>
    <w:rsid w:val="008350F1"/>
    <w:rsid w:val="0083622A"/>
    <w:rsid w:val="0083737F"/>
    <w:rsid w:val="008374D1"/>
    <w:rsid w:val="00837626"/>
    <w:rsid w:val="00837E30"/>
    <w:rsid w:val="00840827"/>
    <w:rsid w:val="00841A7B"/>
    <w:rsid w:val="00842F08"/>
    <w:rsid w:val="008446EA"/>
    <w:rsid w:val="008452B8"/>
    <w:rsid w:val="008453AF"/>
    <w:rsid w:val="00845740"/>
    <w:rsid w:val="00845B36"/>
    <w:rsid w:val="00846392"/>
    <w:rsid w:val="00846F9E"/>
    <w:rsid w:val="008478E0"/>
    <w:rsid w:val="008514AD"/>
    <w:rsid w:val="0085166A"/>
    <w:rsid w:val="0085326E"/>
    <w:rsid w:val="008539F6"/>
    <w:rsid w:val="008542BD"/>
    <w:rsid w:val="00854710"/>
    <w:rsid w:val="00855010"/>
    <w:rsid w:val="008562CA"/>
    <w:rsid w:val="008605ED"/>
    <w:rsid w:val="0086082D"/>
    <w:rsid w:val="00860C12"/>
    <w:rsid w:val="008617A8"/>
    <w:rsid w:val="008617AF"/>
    <w:rsid w:val="00861A63"/>
    <w:rsid w:val="00861B38"/>
    <w:rsid w:val="00863780"/>
    <w:rsid w:val="00864031"/>
    <w:rsid w:val="0086537F"/>
    <w:rsid w:val="00866078"/>
    <w:rsid w:val="00870382"/>
    <w:rsid w:val="00870656"/>
    <w:rsid w:val="00871868"/>
    <w:rsid w:val="00871F4D"/>
    <w:rsid w:val="00872BD4"/>
    <w:rsid w:val="00872CF1"/>
    <w:rsid w:val="00873C1C"/>
    <w:rsid w:val="00874003"/>
    <w:rsid w:val="00875A27"/>
    <w:rsid w:val="008771F3"/>
    <w:rsid w:val="00880080"/>
    <w:rsid w:val="00880490"/>
    <w:rsid w:val="00880BB9"/>
    <w:rsid w:val="00881298"/>
    <w:rsid w:val="008815E8"/>
    <w:rsid w:val="00881D7B"/>
    <w:rsid w:val="008820B7"/>
    <w:rsid w:val="0088233A"/>
    <w:rsid w:val="0088271A"/>
    <w:rsid w:val="008835E9"/>
    <w:rsid w:val="0088498C"/>
    <w:rsid w:val="0088524A"/>
    <w:rsid w:val="0088718A"/>
    <w:rsid w:val="00890391"/>
    <w:rsid w:val="00890AF3"/>
    <w:rsid w:val="0089132C"/>
    <w:rsid w:val="00891B17"/>
    <w:rsid w:val="00891EBF"/>
    <w:rsid w:val="00891ECB"/>
    <w:rsid w:val="00892411"/>
    <w:rsid w:val="008936B6"/>
    <w:rsid w:val="008937A5"/>
    <w:rsid w:val="0089443F"/>
    <w:rsid w:val="008946AA"/>
    <w:rsid w:val="008954E7"/>
    <w:rsid w:val="00895CC2"/>
    <w:rsid w:val="00895EA6"/>
    <w:rsid w:val="00896AD7"/>
    <w:rsid w:val="008A241C"/>
    <w:rsid w:val="008A305E"/>
    <w:rsid w:val="008A3266"/>
    <w:rsid w:val="008A4D0C"/>
    <w:rsid w:val="008A4EDC"/>
    <w:rsid w:val="008A4F48"/>
    <w:rsid w:val="008A53B6"/>
    <w:rsid w:val="008A547A"/>
    <w:rsid w:val="008A62E0"/>
    <w:rsid w:val="008A74BF"/>
    <w:rsid w:val="008B097A"/>
    <w:rsid w:val="008B09F1"/>
    <w:rsid w:val="008B0C2C"/>
    <w:rsid w:val="008B0C8D"/>
    <w:rsid w:val="008B0E78"/>
    <w:rsid w:val="008B10D6"/>
    <w:rsid w:val="008B1872"/>
    <w:rsid w:val="008B1CE3"/>
    <w:rsid w:val="008B255A"/>
    <w:rsid w:val="008B28BC"/>
    <w:rsid w:val="008B3667"/>
    <w:rsid w:val="008B4215"/>
    <w:rsid w:val="008B4335"/>
    <w:rsid w:val="008B43B5"/>
    <w:rsid w:val="008B45DA"/>
    <w:rsid w:val="008B493E"/>
    <w:rsid w:val="008B5118"/>
    <w:rsid w:val="008B5AD7"/>
    <w:rsid w:val="008B629A"/>
    <w:rsid w:val="008B7556"/>
    <w:rsid w:val="008B7803"/>
    <w:rsid w:val="008B7CC9"/>
    <w:rsid w:val="008C12B0"/>
    <w:rsid w:val="008C2049"/>
    <w:rsid w:val="008C24C4"/>
    <w:rsid w:val="008C3B00"/>
    <w:rsid w:val="008C4965"/>
    <w:rsid w:val="008C4A7C"/>
    <w:rsid w:val="008C5D5C"/>
    <w:rsid w:val="008D0812"/>
    <w:rsid w:val="008D160E"/>
    <w:rsid w:val="008D2156"/>
    <w:rsid w:val="008D32A7"/>
    <w:rsid w:val="008D344B"/>
    <w:rsid w:val="008D3F34"/>
    <w:rsid w:val="008D4CC0"/>
    <w:rsid w:val="008D5690"/>
    <w:rsid w:val="008D5A16"/>
    <w:rsid w:val="008D70B5"/>
    <w:rsid w:val="008E1B1E"/>
    <w:rsid w:val="008E29DD"/>
    <w:rsid w:val="008E34DB"/>
    <w:rsid w:val="008E39CA"/>
    <w:rsid w:val="008E4393"/>
    <w:rsid w:val="008E583A"/>
    <w:rsid w:val="008E6E32"/>
    <w:rsid w:val="008E7264"/>
    <w:rsid w:val="008E78EE"/>
    <w:rsid w:val="008F03D3"/>
    <w:rsid w:val="008F0B0A"/>
    <w:rsid w:val="008F1007"/>
    <w:rsid w:val="008F1437"/>
    <w:rsid w:val="008F1B60"/>
    <w:rsid w:val="008F20E2"/>
    <w:rsid w:val="008F25F2"/>
    <w:rsid w:val="008F266B"/>
    <w:rsid w:val="008F3CA7"/>
    <w:rsid w:val="008F4414"/>
    <w:rsid w:val="008F5312"/>
    <w:rsid w:val="008F64E3"/>
    <w:rsid w:val="008F6EFF"/>
    <w:rsid w:val="008F7D8E"/>
    <w:rsid w:val="009006F5"/>
    <w:rsid w:val="00900766"/>
    <w:rsid w:val="009007DE"/>
    <w:rsid w:val="00901848"/>
    <w:rsid w:val="00901B24"/>
    <w:rsid w:val="0090245E"/>
    <w:rsid w:val="009029F1"/>
    <w:rsid w:val="00904348"/>
    <w:rsid w:val="0090479B"/>
    <w:rsid w:val="00904845"/>
    <w:rsid w:val="0090539D"/>
    <w:rsid w:val="0090611E"/>
    <w:rsid w:val="009073A3"/>
    <w:rsid w:val="009076C4"/>
    <w:rsid w:val="00911174"/>
    <w:rsid w:val="00912F74"/>
    <w:rsid w:val="00914A48"/>
    <w:rsid w:val="00914BDA"/>
    <w:rsid w:val="009152B7"/>
    <w:rsid w:val="0091590C"/>
    <w:rsid w:val="00915F39"/>
    <w:rsid w:val="009160E5"/>
    <w:rsid w:val="0091626E"/>
    <w:rsid w:val="00916EA6"/>
    <w:rsid w:val="0091714B"/>
    <w:rsid w:val="009222B4"/>
    <w:rsid w:val="0092271A"/>
    <w:rsid w:val="00923036"/>
    <w:rsid w:val="00923099"/>
    <w:rsid w:val="009231D4"/>
    <w:rsid w:val="0092335B"/>
    <w:rsid w:val="009236ED"/>
    <w:rsid w:val="00925FCF"/>
    <w:rsid w:val="00927002"/>
    <w:rsid w:val="009277BC"/>
    <w:rsid w:val="00927BE4"/>
    <w:rsid w:val="00927DE5"/>
    <w:rsid w:val="00930E54"/>
    <w:rsid w:val="00932944"/>
    <w:rsid w:val="00933026"/>
    <w:rsid w:val="00933FFF"/>
    <w:rsid w:val="00934294"/>
    <w:rsid w:val="009342C2"/>
    <w:rsid w:val="00934B53"/>
    <w:rsid w:val="00935229"/>
    <w:rsid w:val="00935CE5"/>
    <w:rsid w:val="009365AF"/>
    <w:rsid w:val="0093735F"/>
    <w:rsid w:val="00937516"/>
    <w:rsid w:val="00937A0D"/>
    <w:rsid w:val="00937DD7"/>
    <w:rsid w:val="00937DE4"/>
    <w:rsid w:val="00940A95"/>
    <w:rsid w:val="00940EAB"/>
    <w:rsid w:val="0094162C"/>
    <w:rsid w:val="00941ED6"/>
    <w:rsid w:val="0094200E"/>
    <w:rsid w:val="00942949"/>
    <w:rsid w:val="00944322"/>
    <w:rsid w:val="0094615F"/>
    <w:rsid w:val="00946793"/>
    <w:rsid w:val="0094725D"/>
    <w:rsid w:val="00947CC3"/>
    <w:rsid w:val="00950568"/>
    <w:rsid w:val="00950937"/>
    <w:rsid w:val="00950F25"/>
    <w:rsid w:val="00950FE8"/>
    <w:rsid w:val="00950FEB"/>
    <w:rsid w:val="0095126E"/>
    <w:rsid w:val="0095446E"/>
    <w:rsid w:val="00954F90"/>
    <w:rsid w:val="0095516D"/>
    <w:rsid w:val="00961CCC"/>
    <w:rsid w:val="009629A1"/>
    <w:rsid w:val="00963463"/>
    <w:rsid w:val="009644D0"/>
    <w:rsid w:val="00964551"/>
    <w:rsid w:val="0096509B"/>
    <w:rsid w:val="00965510"/>
    <w:rsid w:val="0096560A"/>
    <w:rsid w:val="0096719D"/>
    <w:rsid w:val="00967635"/>
    <w:rsid w:val="009703A1"/>
    <w:rsid w:val="00971E3B"/>
    <w:rsid w:val="00972B62"/>
    <w:rsid w:val="00972DDB"/>
    <w:rsid w:val="009752CB"/>
    <w:rsid w:val="00975E7B"/>
    <w:rsid w:val="009767B6"/>
    <w:rsid w:val="00977225"/>
    <w:rsid w:val="00977391"/>
    <w:rsid w:val="009774BE"/>
    <w:rsid w:val="00977881"/>
    <w:rsid w:val="00980267"/>
    <w:rsid w:val="00981669"/>
    <w:rsid w:val="00981C74"/>
    <w:rsid w:val="009826E7"/>
    <w:rsid w:val="00982867"/>
    <w:rsid w:val="009841DE"/>
    <w:rsid w:val="009845CC"/>
    <w:rsid w:val="00984ED1"/>
    <w:rsid w:val="0098508A"/>
    <w:rsid w:val="0098580E"/>
    <w:rsid w:val="00985F02"/>
    <w:rsid w:val="00986867"/>
    <w:rsid w:val="009877ED"/>
    <w:rsid w:val="00990E4B"/>
    <w:rsid w:val="00991378"/>
    <w:rsid w:val="009925B4"/>
    <w:rsid w:val="00992616"/>
    <w:rsid w:val="00992DF1"/>
    <w:rsid w:val="0099522A"/>
    <w:rsid w:val="00996159"/>
    <w:rsid w:val="00996AC7"/>
    <w:rsid w:val="00996C54"/>
    <w:rsid w:val="009974C8"/>
    <w:rsid w:val="00997A84"/>
    <w:rsid w:val="00997EF6"/>
    <w:rsid w:val="009A2F79"/>
    <w:rsid w:val="009A49F1"/>
    <w:rsid w:val="009A4ED2"/>
    <w:rsid w:val="009A50C4"/>
    <w:rsid w:val="009A63E5"/>
    <w:rsid w:val="009A6BE6"/>
    <w:rsid w:val="009A71A5"/>
    <w:rsid w:val="009B0338"/>
    <w:rsid w:val="009B0823"/>
    <w:rsid w:val="009B168D"/>
    <w:rsid w:val="009B266E"/>
    <w:rsid w:val="009B27D1"/>
    <w:rsid w:val="009B2B93"/>
    <w:rsid w:val="009B3201"/>
    <w:rsid w:val="009B3206"/>
    <w:rsid w:val="009B36D9"/>
    <w:rsid w:val="009B4D71"/>
    <w:rsid w:val="009B53B6"/>
    <w:rsid w:val="009B5797"/>
    <w:rsid w:val="009B62E4"/>
    <w:rsid w:val="009B67CC"/>
    <w:rsid w:val="009B6877"/>
    <w:rsid w:val="009B6B76"/>
    <w:rsid w:val="009B71C5"/>
    <w:rsid w:val="009B7838"/>
    <w:rsid w:val="009C040A"/>
    <w:rsid w:val="009C086D"/>
    <w:rsid w:val="009C0990"/>
    <w:rsid w:val="009C16C1"/>
    <w:rsid w:val="009C2174"/>
    <w:rsid w:val="009C27DE"/>
    <w:rsid w:val="009C28BE"/>
    <w:rsid w:val="009C3759"/>
    <w:rsid w:val="009C4FFC"/>
    <w:rsid w:val="009C68A4"/>
    <w:rsid w:val="009C6AD7"/>
    <w:rsid w:val="009D07BA"/>
    <w:rsid w:val="009D160E"/>
    <w:rsid w:val="009D26C8"/>
    <w:rsid w:val="009D2C72"/>
    <w:rsid w:val="009D2DCA"/>
    <w:rsid w:val="009D3D36"/>
    <w:rsid w:val="009D4611"/>
    <w:rsid w:val="009D4AEA"/>
    <w:rsid w:val="009D4D78"/>
    <w:rsid w:val="009D5173"/>
    <w:rsid w:val="009D5493"/>
    <w:rsid w:val="009D5E14"/>
    <w:rsid w:val="009D7BC5"/>
    <w:rsid w:val="009E0D71"/>
    <w:rsid w:val="009E1AC3"/>
    <w:rsid w:val="009E2D63"/>
    <w:rsid w:val="009E37C3"/>
    <w:rsid w:val="009E4655"/>
    <w:rsid w:val="009E4907"/>
    <w:rsid w:val="009E4E6F"/>
    <w:rsid w:val="009E5307"/>
    <w:rsid w:val="009E6019"/>
    <w:rsid w:val="009E6CF9"/>
    <w:rsid w:val="009E745A"/>
    <w:rsid w:val="009E7D9B"/>
    <w:rsid w:val="009F0243"/>
    <w:rsid w:val="009F071A"/>
    <w:rsid w:val="009F1038"/>
    <w:rsid w:val="009F148F"/>
    <w:rsid w:val="009F1697"/>
    <w:rsid w:val="009F1D00"/>
    <w:rsid w:val="009F22A1"/>
    <w:rsid w:val="009F25A4"/>
    <w:rsid w:val="009F3485"/>
    <w:rsid w:val="009F404F"/>
    <w:rsid w:val="009F4400"/>
    <w:rsid w:val="009F4BF5"/>
    <w:rsid w:val="009F52EE"/>
    <w:rsid w:val="009F6546"/>
    <w:rsid w:val="009F6A4A"/>
    <w:rsid w:val="009F71F4"/>
    <w:rsid w:val="009F755E"/>
    <w:rsid w:val="009F7A2F"/>
    <w:rsid w:val="00A0078C"/>
    <w:rsid w:val="00A01559"/>
    <w:rsid w:val="00A01F87"/>
    <w:rsid w:val="00A0213B"/>
    <w:rsid w:val="00A023B9"/>
    <w:rsid w:val="00A0337E"/>
    <w:rsid w:val="00A03813"/>
    <w:rsid w:val="00A073F5"/>
    <w:rsid w:val="00A0756D"/>
    <w:rsid w:val="00A10CA3"/>
    <w:rsid w:val="00A11D68"/>
    <w:rsid w:val="00A14245"/>
    <w:rsid w:val="00A14448"/>
    <w:rsid w:val="00A14F83"/>
    <w:rsid w:val="00A1600C"/>
    <w:rsid w:val="00A16447"/>
    <w:rsid w:val="00A16854"/>
    <w:rsid w:val="00A16ED5"/>
    <w:rsid w:val="00A16EEF"/>
    <w:rsid w:val="00A17086"/>
    <w:rsid w:val="00A174C5"/>
    <w:rsid w:val="00A17B2E"/>
    <w:rsid w:val="00A203C8"/>
    <w:rsid w:val="00A20A8E"/>
    <w:rsid w:val="00A20C17"/>
    <w:rsid w:val="00A219EC"/>
    <w:rsid w:val="00A22D75"/>
    <w:rsid w:val="00A2313A"/>
    <w:rsid w:val="00A235E2"/>
    <w:rsid w:val="00A23685"/>
    <w:rsid w:val="00A23773"/>
    <w:rsid w:val="00A23ACC"/>
    <w:rsid w:val="00A23C5C"/>
    <w:rsid w:val="00A240BC"/>
    <w:rsid w:val="00A2424B"/>
    <w:rsid w:val="00A25B7C"/>
    <w:rsid w:val="00A26189"/>
    <w:rsid w:val="00A261BB"/>
    <w:rsid w:val="00A2753C"/>
    <w:rsid w:val="00A27E8D"/>
    <w:rsid w:val="00A30DD5"/>
    <w:rsid w:val="00A3276A"/>
    <w:rsid w:val="00A32BFA"/>
    <w:rsid w:val="00A3363A"/>
    <w:rsid w:val="00A338F8"/>
    <w:rsid w:val="00A33D25"/>
    <w:rsid w:val="00A33E46"/>
    <w:rsid w:val="00A34143"/>
    <w:rsid w:val="00A345B0"/>
    <w:rsid w:val="00A3483F"/>
    <w:rsid w:val="00A363CC"/>
    <w:rsid w:val="00A372E4"/>
    <w:rsid w:val="00A400DC"/>
    <w:rsid w:val="00A40FD2"/>
    <w:rsid w:val="00A4174D"/>
    <w:rsid w:val="00A42872"/>
    <w:rsid w:val="00A42958"/>
    <w:rsid w:val="00A42EF3"/>
    <w:rsid w:val="00A431A4"/>
    <w:rsid w:val="00A45E4A"/>
    <w:rsid w:val="00A46064"/>
    <w:rsid w:val="00A466E8"/>
    <w:rsid w:val="00A50086"/>
    <w:rsid w:val="00A505E4"/>
    <w:rsid w:val="00A50CB1"/>
    <w:rsid w:val="00A51D6B"/>
    <w:rsid w:val="00A51FF8"/>
    <w:rsid w:val="00A520E2"/>
    <w:rsid w:val="00A53A96"/>
    <w:rsid w:val="00A542FC"/>
    <w:rsid w:val="00A543AD"/>
    <w:rsid w:val="00A55201"/>
    <w:rsid w:val="00A55B70"/>
    <w:rsid w:val="00A5789F"/>
    <w:rsid w:val="00A61E85"/>
    <w:rsid w:val="00A625B8"/>
    <w:rsid w:val="00A62847"/>
    <w:rsid w:val="00A6328E"/>
    <w:rsid w:val="00A632AA"/>
    <w:rsid w:val="00A633D2"/>
    <w:rsid w:val="00A633D6"/>
    <w:rsid w:val="00A63754"/>
    <w:rsid w:val="00A648CC"/>
    <w:rsid w:val="00A654F0"/>
    <w:rsid w:val="00A6562E"/>
    <w:rsid w:val="00A6563E"/>
    <w:rsid w:val="00A65810"/>
    <w:rsid w:val="00A65A6B"/>
    <w:rsid w:val="00A71F97"/>
    <w:rsid w:val="00A7202B"/>
    <w:rsid w:val="00A72343"/>
    <w:rsid w:val="00A72F50"/>
    <w:rsid w:val="00A74D47"/>
    <w:rsid w:val="00A76B39"/>
    <w:rsid w:val="00A77237"/>
    <w:rsid w:val="00A774CC"/>
    <w:rsid w:val="00A8123C"/>
    <w:rsid w:val="00A81BF6"/>
    <w:rsid w:val="00A82040"/>
    <w:rsid w:val="00A82168"/>
    <w:rsid w:val="00A85341"/>
    <w:rsid w:val="00A85498"/>
    <w:rsid w:val="00A854A8"/>
    <w:rsid w:val="00A86349"/>
    <w:rsid w:val="00A874E0"/>
    <w:rsid w:val="00A87716"/>
    <w:rsid w:val="00A87B46"/>
    <w:rsid w:val="00A90148"/>
    <w:rsid w:val="00A9179D"/>
    <w:rsid w:val="00A92927"/>
    <w:rsid w:val="00A929B5"/>
    <w:rsid w:val="00A92B40"/>
    <w:rsid w:val="00A93C9F"/>
    <w:rsid w:val="00A942D2"/>
    <w:rsid w:val="00A95921"/>
    <w:rsid w:val="00A96885"/>
    <w:rsid w:val="00A96896"/>
    <w:rsid w:val="00A9729B"/>
    <w:rsid w:val="00AA060B"/>
    <w:rsid w:val="00AA0957"/>
    <w:rsid w:val="00AA0C8E"/>
    <w:rsid w:val="00AA2027"/>
    <w:rsid w:val="00AA2A92"/>
    <w:rsid w:val="00AA2BCB"/>
    <w:rsid w:val="00AA4569"/>
    <w:rsid w:val="00AA46D2"/>
    <w:rsid w:val="00AA4910"/>
    <w:rsid w:val="00AA666C"/>
    <w:rsid w:val="00AA6B7F"/>
    <w:rsid w:val="00AA7981"/>
    <w:rsid w:val="00AA7A3F"/>
    <w:rsid w:val="00AB011A"/>
    <w:rsid w:val="00AB0391"/>
    <w:rsid w:val="00AB0987"/>
    <w:rsid w:val="00AB159F"/>
    <w:rsid w:val="00AB1C63"/>
    <w:rsid w:val="00AB4F34"/>
    <w:rsid w:val="00AB556C"/>
    <w:rsid w:val="00AB5A89"/>
    <w:rsid w:val="00AB6612"/>
    <w:rsid w:val="00AB6E32"/>
    <w:rsid w:val="00AB7854"/>
    <w:rsid w:val="00AB7977"/>
    <w:rsid w:val="00AB7BC4"/>
    <w:rsid w:val="00AC4F1F"/>
    <w:rsid w:val="00AC566F"/>
    <w:rsid w:val="00AC6282"/>
    <w:rsid w:val="00AD1324"/>
    <w:rsid w:val="00AD1A55"/>
    <w:rsid w:val="00AD2067"/>
    <w:rsid w:val="00AD380C"/>
    <w:rsid w:val="00AD39C2"/>
    <w:rsid w:val="00AD578B"/>
    <w:rsid w:val="00AD6628"/>
    <w:rsid w:val="00AD6BD3"/>
    <w:rsid w:val="00AD6F3B"/>
    <w:rsid w:val="00AD76BF"/>
    <w:rsid w:val="00AE1072"/>
    <w:rsid w:val="00AE123E"/>
    <w:rsid w:val="00AE18BF"/>
    <w:rsid w:val="00AE1AC8"/>
    <w:rsid w:val="00AE29EE"/>
    <w:rsid w:val="00AE2C80"/>
    <w:rsid w:val="00AF03D5"/>
    <w:rsid w:val="00AF0DBE"/>
    <w:rsid w:val="00AF19D7"/>
    <w:rsid w:val="00AF1B7C"/>
    <w:rsid w:val="00AF2E46"/>
    <w:rsid w:val="00AF4895"/>
    <w:rsid w:val="00AF4D0F"/>
    <w:rsid w:val="00AF5451"/>
    <w:rsid w:val="00AF586F"/>
    <w:rsid w:val="00AF5E01"/>
    <w:rsid w:val="00AF6410"/>
    <w:rsid w:val="00AF66C1"/>
    <w:rsid w:val="00AF688E"/>
    <w:rsid w:val="00AF6F41"/>
    <w:rsid w:val="00B005D6"/>
    <w:rsid w:val="00B00A84"/>
    <w:rsid w:val="00B01593"/>
    <w:rsid w:val="00B02113"/>
    <w:rsid w:val="00B02E33"/>
    <w:rsid w:val="00B03521"/>
    <w:rsid w:val="00B06C6F"/>
    <w:rsid w:val="00B07F00"/>
    <w:rsid w:val="00B1183B"/>
    <w:rsid w:val="00B11BE2"/>
    <w:rsid w:val="00B127F5"/>
    <w:rsid w:val="00B12A5D"/>
    <w:rsid w:val="00B132E2"/>
    <w:rsid w:val="00B13340"/>
    <w:rsid w:val="00B13453"/>
    <w:rsid w:val="00B1369B"/>
    <w:rsid w:val="00B13A4B"/>
    <w:rsid w:val="00B14175"/>
    <w:rsid w:val="00B148FF"/>
    <w:rsid w:val="00B15D2B"/>
    <w:rsid w:val="00B15F0C"/>
    <w:rsid w:val="00B1750C"/>
    <w:rsid w:val="00B204ED"/>
    <w:rsid w:val="00B206C2"/>
    <w:rsid w:val="00B207E8"/>
    <w:rsid w:val="00B21316"/>
    <w:rsid w:val="00B2249C"/>
    <w:rsid w:val="00B22CED"/>
    <w:rsid w:val="00B22E8C"/>
    <w:rsid w:val="00B23A96"/>
    <w:rsid w:val="00B23CD1"/>
    <w:rsid w:val="00B23DE9"/>
    <w:rsid w:val="00B24E94"/>
    <w:rsid w:val="00B25037"/>
    <w:rsid w:val="00B26EAE"/>
    <w:rsid w:val="00B27B8F"/>
    <w:rsid w:val="00B30F4B"/>
    <w:rsid w:val="00B315B7"/>
    <w:rsid w:val="00B31B23"/>
    <w:rsid w:val="00B32060"/>
    <w:rsid w:val="00B3258D"/>
    <w:rsid w:val="00B335D7"/>
    <w:rsid w:val="00B351B6"/>
    <w:rsid w:val="00B35BC4"/>
    <w:rsid w:val="00B360C5"/>
    <w:rsid w:val="00B361CE"/>
    <w:rsid w:val="00B36293"/>
    <w:rsid w:val="00B37BCD"/>
    <w:rsid w:val="00B37C4E"/>
    <w:rsid w:val="00B37D36"/>
    <w:rsid w:val="00B406EF"/>
    <w:rsid w:val="00B44884"/>
    <w:rsid w:val="00B51828"/>
    <w:rsid w:val="00B53DB6"/>
    <w:rsid w:val="00B54629"/>
    <w:rsid w:val="00B54689"/>
    <w:rsid w:val="00B56C3E"/>
    <w:rsid w:val="00B613EE"/>
    <w:rsid w:val="00B625E7"/>
    <w:rsid w:val="00B62BDC"/>
    <w:rsid w:val="00B62D19"/>
    <w:rsid w:val="00B630B1"/>
    <w:rsid w:val="00B64995"/>
    <w:rsid w:val="00B71243"/>
    <w:rsid w:val="00B71532"/>
    <w:rsid w:val="00B72CFB"/>
    <w:rsid w:val="00B72E25"/>
    <w:rsid w:val="00B741EF"/>
    <w:rsid w:val="00B744CD"/>
    <w:rsid w:val="00B76083"/>
    <w:rsid w:val="00B767B0"/>
    <w:rsid w:val="00B77C8A"/>
    <w:rsid w:val="00B77ED7"/>
    <w:rsid w:val="00B80EF4"/>
    <w:rsid w:val="00B81338"/>
    <w:rsid w:val="00B81AE3"/>
    <w:rsid w:val="00B833C0"/>
    <w:rsid w:val="00B83513"/>
    <w:rsid w:val="00B83D7A"/>
    <w:rsid w:val="00B84482"/>
    <w:rsid w:val="00B849E0"/>
    <w:rsid w:val="00B850BA"/>
    <w:rsid w:val="00B85DB5"/>
    <w:rsid w:val="00B8651B"/>
    <w:rsid w:val="00B8732E"/>
    <w:rsid w:val="00B877DA"/>
    <w:rsid w:val="00B9150E"/>
    <w:rsid w:val="00B92A63"/>
    <w:rsid w:val="00B945B7"/>
    <w:rsid w:val="00B958BA"/>
    <w:rsid w:val="00B96912"/>
    <w:rsid w:val="00BA004D"/>
    <w:rsid w:val="00BA048E"/>
    <w:rsid w:val="00BA04E1"/>
    <w:rsid w:val="00BA0896"/>
    <w:rsid w:val="00BA10F4"/>
    <w:rsid w:val="00BA151C"/>
    <w:rsid w:val="00BA1545"/>
    <w:rsid w:val="00BA1B15"/>
    <w:rsid w:val="00BA2737"/>
    <w:rsid w:val="00BA40CA"/>
    <w:rsid w:val="00BA47DC"/>
    <w:rsid w:val="00BA4C0D"/>
    <w:rsid w:val="00BA5EE5"/>
    <w:rsid w:val="00BA6E2D"/>
    <w:rsid w:val="00BA71E3"/>
    <w:rsid w:val="00BA76FF"/>
    <w:rsid w:val="00BA777F"/>
    <w:rsid w:val="00BB0975"/>
    <w:rsid w:val="00BB103A"/>
    <w:rsid w:val="00BB1994"/>
    <w:rsid w:val="00BB3272"/>
    <w:rsid w:val="00BB4CD2"/>
    <w:rsid w:val="00BB4D75"/>
    <w:rsid w:val="00BB67E2"/>
    <w:rsid w:val="00BB6D6D"/>
    <w:rsid w:val="00BC1204"/>
    <w:rsid w:val="00BC1B13"/>
    <w:rsid w:val="00BC1EE9"/>
    <w:rsid w:val="00BC2D47"/>
    <w:rsid w:val="00BC2FA0"/>
    <w:rsid w:val="00BC4144"/>
    <w:rsid w:val="00BC43DA"/>
    <w:rsid w:val="00BC5378"/>
    <w:rsid w:val="00BC5614"/>
    <w:rsid w:val="00BC689A"/>
    <w:rsid w:val="00BC7D6B"/>
    <w:rsid w:val="00BD0056"/>
    <w:rsid w:val="00BD0936"/>
    <w:rsid w:val="00BD0C22"/>
    <w:rsid w:val="00BD3EBC"/>
    <w:rsid w:val="00BD5560"/>
    <w:rsid w:val="00BD589E"/>
    <w:rsid w:val="00BD6983"/>
    <w:rsid w:val="00BD6C78"/>
    <w:rsid w:val="00BD762A"/>
    <w:rsid w:val="00BD77E6"/>
    <w:rsid w:val="00BD7A83"/>
    <w:rsid w:val="00BE059C"/>
    <w:rsid w:val="00BE07FF"/>
    <w:rsid w:val="00BE1882"/>
    <w:rsid w:val="00BE22E8"/>
    <w:rsid w:val="00BE35AA"/>
    <w:rsid w:val="00BE42AC"/>
    <w:rsid w:val="00BE4CAB"/>
    <w:rsid w:val="00BE4EDF"/>
    <w:rsid w:val="00BE50FF"/>
    <w:rsid w:val="00BE6394"/>
    <w:rsid w:val="00BE63D6"/>
    <w:rsid w:val="00BE66CA"/>
    <w:rsid w:val="00BE6A73"/>
    <w:rsid w:val="00BE702C"/>
    <w:rsid w:val="00BE729A"/>
    <w:rsid w:val="00BE7C51"/>
    <w:rsid w:val="00BF0F22"/>
    <w:rsid w:val="00BF12FD"/>
    <w:rsid w:val="00BF16C1"/>
    <w:rsid w:val="00BF1735"/>
    <w:rsid w:val="00BF1D27"/>
    <w:rsid w:val="00BF28D8"/>
    <w:rsid w:val="00BF29DB"/>
    <w:rsid w:val="00BF2EC4"/>
    <w:rsid w:val="00BF2FAE"/>
    <w:rsid w:val="00BF325A"/>
    <w:rsid w:val="00BF3308"/>
    <w:rsid w:val="00BF3B31"/>
    <w:rsid w:val="00BF62CF"/>
    <w:rsid w:val="00BF73BF"/>
    <w:rsid w:val="00BF75C8"/>
    <w:rsid w:val="00C0089F"/>
    <w:rsid w:val="00C0100B"/>
    <w:rsid w:val="00C03C5E"/>
    <w:rsid w:val="00C05DDB"/>
    <w:rsid w:val="00C05DEB"/>
    <w:rsid w:val="00C0618C"/>
    <w:rsid w:val="00C062A9"/>
    <w:rsid w:val="00C06995"/>
    <w:rsid w:val="00C06CE1"/>
    <w:rsid w:val="00C07841"/>
    <w:rsid w:val="00C07A26"/>
    <w:rsid w:val="00C07CB2"/>
    <w:rsid w:val="00C1031C"/>
    <w:rsid w:val="00C11C60"/>
    <w:rsid w:val="00C11E70"/>
    <w:rsid w:val="00C13416"/>
    <w:rsid w:val="00C1405A"/>
    <w:rsid w:val="00C14C39"/>
    <w:rsid w:val="00C1609D"/>
    <w:rsid w:val="00C16AE8"/>
    <w:rsid w:val="00C17A60"/>
    <w:rsid w:val="00C17C3C"/>
    <w:rsid w:val="00C2042B"/>
    <w:rsid w:val="00C21089"/>
    <w:rsid w:val="00C2130D"/>
    <w:rsid w:val="00C222CC"/>
    <w:rsid w:val="00C23C0D"/>
    <w:rsid w:val="00C23D3C"/>
    <w:rsid w:val="00C23F48"/>
    <w:rsid w:val="00C24BA4"/>
    <w:rsid w:val="00C252E3"/>
    <w:rsid w:val="00C26DF1"/>
    <w:rsid w:val="00C27D1E"/>
    <w:rsid w:val="00C27F1C"/>
    <w:rsid w:val="00C31A9C"/>
    <w:rsid w:val="00C32207"/>
    <w:rsid w:val="00C327D9"/>
    <w:rsid w:val="00C332B9"/>
    <w:rsid w:val="00C33435"/>
    <w:rsid w:val="00C33C5B"/>
    <w:rsid w:val="00C3445D"/>
    <w:rsid w:val="00C357D0"/>
    <w:rsid w:val="00C35A2F"/>
    <w:rsid w:val="00C36BB4"/>
    <w:rsid w:val="00C36FC6"/>
    <w:rsid w:val="00C417DB"/>
    <w:rsid w:val="00C41991"/>
    <w:rsid w:val="00C430D8"/>
    <w:rsid w:val="00C44AA5"/>
    <w:rsid w:val="00C44FF8"/>
    <w:rsid w:val="00C45E96"/>
    <w:rsid w:val="00C45F03"/>
    <w:rsid w:val="00C461EC"/>
    <w:rsid w:val="00C46353"/>
    <w:rsid w:val="00C46B64"/>
    <w:rsid w:val="00C46D9C"/>
    <w:rsid w:val="00C46E32"/>
    <w:rsid w:val="00C4708C"/>
    <w:rsid w:val="00C5008D"/>
    <w:rsid w:val="00C5104B"/>
    <w:rsid w:val="00C51B56"/>
    <w:rsid w:val="00C51F96"/>
    <w:rsid w:val="00C52C95"/>
    <w:rsid w:val="00C53269"/>
    <w:rsid w:val="00C53DCF"/>
    <w:rsid w:val="00C54C62"/>
    <w:rsid w:val="00C570CC"/>
    <w:rsid w:val="00C57C3D"/>
    <w:rsid w:val="00C6024B"/>
    <w:rsid w:val="00C604AA"/>
    <w:rsid w:val="00C61D2B"/>
    <w:rsid w:val="00C62614"/>
    <w:rsid w:val="00C63145"/>
    <w:rsid w:val="00C631AD"/>
    <w:rsid w:val="00C6453D"/>
    <w:rsid w:val="00C654B4"/>
    <w:rsid w:val="00C65E2A"/>
    <w:rsid w:val="00C665C6"/>
    <w:rsid w:val="00C6669D"/>
    <w:rsid w:val="00C66CB0"/>
    <w:rsid w:val="00C66E08"/>
    <w:rsid w:val="00C672FF"/>
    <w:rsid w:val="00C67CA6"/>
    <w:rsid w:val="00C67E29"/>
    <w:rsid w:val="00C70B5D"/>
    <w:rsid w:val="00C70DA6"/>
    <w:rsid w:val="00C710B4"/>
    <w:rsid w:val="00C719CC"/>
    <w:rsid w:val="00C72647"/>
    <w:rsid w:val="00C732BA"/>
    <w:rsid w:val="00C74215"/>
    <w:rsid w:val="00C74847"/>
    <w:rsid w:val="00C752FD"/>
    <w:rsid w:val="00C756D7"/>
    <w:rsid w:val="00C76178"/>
    <w:rsid w:val="00C77C7B"/>
    <w:rsid w:val="00C80095"/>
    <w:rsid w:val="00C8042F"/>
    <w:rsid w:val="00C80517"/>
    <w:rsid w:val="00C81137"/>
    <w:rsid w:val="00C8263C"/>
    <w:rsid w:val="00C837C4"/>
    <w:rsid w:val="00C848F1"/>
    <w:rsid w:val="00C85C63"/>
    <w:rsid w:val="00C866D6"/>
    <w:rsid w:val="00C872C0"/>
    <w:rsid w:val="00C87660"/>
    <w:rsid w:val="00C87BBF"/>
    <w:rsid w:val="00C87E17"/>
    <w:rsid w:val="00C9184D"/>
    <w:rsid w:val="00C9206C"/>
    <w:rsid w:val="00C9300A"/>
    <w:rsid w:val="00C93F54"/>
    <w:rsid w:val="00C93FA3"/>
    <w:rsid w:val="00C94189"/>
    <w:rsid w:val="00C942BD"/>
    <w:rsid w:val="00C943AB"/>
    <w:rsid w:val="00C9461C"/>
    <w:rsid w:val="00C9554F"/>
    <w:rsid w:val="00C95B41"/>
    <w:rsid w:val="00C961A8"/>
    <w:rsid w:val="00C975B7"/>
    <w:rsid w:val="00C97E96"/>
    <w:rsid w:val="00CA05E6"/>
    <w:rsid w:val="00CA0CCF"/>
    <w:rsid w:val="00CA1817"/>
    <w:rsid w:val="00CA1972"/>
    <w:rsid w:val="00CA1D1F"/>
    <w:rsid w:val="00CA3003"/>
    <w:rsid w:val="00CA38C4"/>
    <w:rsid w:val="00CA3A1C"/>
    <w:rsid w:val="00CA3D99"/>
    <w:rsid w:val="00CA4452"/>
    <w:rsid w:val="00CA4B18"/>
    <w:rsid w:val="00CA4B85"/>
    <w:rsid w:val="00CA4D4E"/>
    <w:rsid w:val="00CA5661"/>
    <w:rsid w:val="00CA6A55"/>
    <w:rsid w:val="00CA6A86"/>
    <w:rsid w:val="00CA7BBB"/>
    <w:rsid w:val="00CB0AE3"/>
    <w:rsid w:val="00CB1442"/>
    <w:rsid w:val="00CB3B72"/>
    <w:rsid w:val="00CB4377"/>
    <w:rsid w:val="00CB468C"/>
    <w:rsid w:val="00CB46EE"/>
    <w:rsid w:val="00CB4724"/>
    <w:rsid w:val="00CB4790"/>
    <w:rsid w:val="00CB5C51"/>
    <w:rsid w:val="00CB634F"/>
    <w:rsid w:val="00CB6609"/>
    <w:rsid w:val="00CB6762"/>
    <w:rsid w:val="00CB7159"/>
    <w:rsid w:val="00CC12AF"/>
    <w:rsid w:val="00CC1797"/>
    <w:rsid w:val="00CC21FC"/>
    <w:rsid w:val="00CC22B2"/>
    <w:rsid w:val="00CC30D0"/>
    <w:rsid w:val="00CC3D91"/>
    <w:rsid w:val="00CC4452"/>
    <w:rsid w:val="00CC4689"/>
    <w:rsid w:val="00CC607B"/>
    <w:rsid w:val="00CC6664"/>
    <w:rsid w:val="00CC6744"/>
    <w:rsid w:val="00CC7CF6"/>
    <w:rsid w:val="00CD028E"/>
    <w:rsid w:val="00CD03A1"/>
    <w:rsid w:val="00CD0CAA"/>
    <w:rsid w:val="00CD1810"/>
    <w:rsid w:val="00CD228D"/>
    <w:rsid w:val="00CD4681"/>
    <w:rsid w:val="00CD46A0"/>
    <w:rsid w:val="00CD53EC"/>
    <w:rsid w:val="00CD5936"/>
    <w:rsid w:val="00CD6A8A"/>
    <w:rsid w:val="00CD6B2E"/>
    <w:rsid w:val="00CD717E"/>
    <w:rsid w:val="00CD762C"/>
    <w:rsid w:val="00CE07A9"/>
    <w:rsid w:val="00CE10C1"/>
    <w:rsid w:val="00CE277A"/>
    <w:rsid w:val="00CE2F55"/>
    <w:rsid w:val="00CE4DDB"/>
    <w:rsid w:val="00CE513C"/>
    <w:rsid w:val="00CE61BE"/>
    <w:rsid w:val="00CF0151"/>
    <w:rsid w:val="00CF2471"/>
    <w:rsid w:val="00CF287C"/>
    <w:rsid w:val="00CF325A"/>
    <w:rsid w:val="00CF3A56"/>
    <w:rsid w:val="00CF3B13"/>
    <w:rsid w:val="00CF3D7F"/>
    <w:rsid w:val="00CF3FED"/>
    <w:rsid w:val="00CF4532"/>
    <w:rsid w:val="00CF49BE"/>
    <w:rsid w:val="00CF4E61"/>
    <w:rsid w:val="00CF5E88"/>
    <w:rsid w:val="00CF66A9"/>
    <w:rsid w:val="00CF693B"/>
    <w:rsid w:val="00CF74E2"/>
    <w:rsid w:val="00D0297C"/>
    <w:rsid w:val="00D0304D"/>
    <w:rsid w:val="00D03109"/>
    <w:rsid w:val="00D04925"/>
    <w:rsid w:val="00D05B02"/>
    <w:rsid w:val="00D05E6C"/>
    <w:rsid w:val="00D0649A"/>
    <w:rsid w:val="00D07E75"/>
    <w:rsid w:val="00D10E2E"/>
    <w:rsid w:val="00D11AB7"/>
    <w:rsid w:val="00D14014"/>
    <w:rsid w:val="00D1550D"/>
    <w:rsid w:val="00D15711"/>
    <w:rsid w:val="00D15D8B"/>
    <w:rsid w:val="00D1624C"/>
    <w:rsid w:val="00D16732"/>
    <w:rsid w:val="00D17AB6"/>
    <w:rsid w:val="00D20344"/>
    <w:rsid w:val="00D205E9"/>
    <w:rsid w:val="00D2064C"/>
    <w:rsid w:val="00D214F3"/>
    <w:rsid w:val="00D2193F"/>
    <w:rsid w:val="00D2255B"/>
    <w:rsid w:val="00D22B94"/>
    <w:rsid w:val="00D231A9"/>
    <w:rsid w:val="00D236AC"/>
    <w:rsid w:val="00D23743"/>
    <w:rsid w:val="00D23EDC"/>
    <w:rsid w:val="00D24B74"/>
    <w:rsid w:val="00D25568"/>
    <w:rsid w:val="00D25C69"/>
    <w:rsid w:val="00D27BD1"/>
    <w:rsid w:val="00D27E02"/>
    <w:rsid w:val="00D32062"/>
    <w:rsid w:val="00D320B3"/>
    <w:rsid w:val="00D32882"/>
    <w:rsid w:val="00D32A13"/>
    <w:rsid w:val="00D333F9"/>
    <w:rsid w:val="00D33979"/>
    <w:rsid w:val="00D33F48"/>
    <w:rsid w:val="00D34E73"/>
    <w:rsid w:val="00D36864"/>
    <w:rsid w:val="00D3724F"/>
    <w:rsid w:val="00D376E7"/>
    <w:rsid w:val="00D379B4"/>
    <w:rsid w:val="00D37D43"/>
    <w:rsid w:val="00D40612"/>
    <w:rsid w:val="00D40D0F"/>
    <w:rsid w:val="00D4106B"/>
    <w:rsid w:val="00D4116A"/>
    <w:rsid w:val="00D41E23"/>
    <w:rsid w:val="00D425C8"/>
    <w:rsid w:val="00D43BD3"/>
    <w:rsid w:val="00D446C5"/>
    <w:rsid w:val="00D44AC9"/>
    <w:rsid w:val="00D45018"/>
    <w:rsid w:val="00D500DC"/>
    <w:rsid w:val="00D50980"/>
    <w:rsid w:val="00D5130D"/>
    <w:rsid w:val="00D52AC3"/>
    <w:rsid w:val="00D533DB"/>
    <w:rsid w:val="00D53B27"/>
    <w:rsid w:val="00D54984"/>
    <w:rsid w:val="00D55679"/>
    <w:rsid w:val="00D57184"/>
    <w:rsid w:val="00D60088"/>
    <w:rsid w:val="00D601D5"/>
    <w:rsid w:val="00D601D6"/>
    <w:rsid w:val="00D60654"/>
    <w:rsid w:val="00D606E1"/>
    <w:rsid w:val="00D60992"/>
    <w:rsid w:val="00D60F52"/>
    <w:rsid w:val="00D61463"/>
    <w:rsid w:val="00D6190C"/>
    <w:rsid w:val="00D61915"/>
    <w:rsid w:val="00D619B8"/>
    <w:rsid w:val="00D62592"/>
    <w:rsid w:val="00D632D1"/>
    <w:rsid w:val="00D635BD"/>
    <w:rsid w:val="00D637A3"/>
    <w:rsid w:val="00D63D6C"/>
    <w:rsid w:val="00D642D9"/>
    <w:rsid w:val="00D64F7B"/>
    <w:rsid w:val="00D676C0"/>
    <w:rsid w:val="00D7075D"/>
    <w:rsid w:val="00D71C76"/>
    <w:rsid w:val="00D72868"/>
    <w:rsid w:val="00D72B2F"/>
    <w:rsid w:val="00D7426D"/>
    <w:rsid w:val="00D76474"/>
    <w:rsid w:val="00D7766F"/>
    <w:rsid w:val="00D77984"/>
    <w:rsid w:val="00D77C38"/>
    <w:rsid w:val="00D77D46"/>
    <w:rsid w:val="00D77E8A"/>
    <w:rsid w:val="00D77ECF"/>
    <w:rsid w:val="00D77F0E"/>
    <w:rsid w:val="00D80C88"/>
    <w:rsid w:val="00D8204A"/>
    <w:rsid w:val="00D820DB"/>
    <w:rsid w:val="00D82E14"/>
    <w:rsid w:val="00D8330F"/>
    <w:rsid w:val="00D8397F"/>
    <w:rsid w:val="00D854E1"/>
    <w:rsid w:val="00D870EF"/>
    <w:rsid w:val="00D87392"/>
    <w:rsid w:val="00D87C26"/>
    <w:rsid w:val="00D902C5"/>
    <w:rsid w:val="00D91DA5"/>
    <w:rsid w:val="00D9266E"/>
    <w:rsid w:val="00D930EB"/>
    <w:rsid w:val="00D9437D"/>
    <w:rsid w:val="00D9574D"/>
    <w:rsid w:val="00D9679E"/>
    <w:rsid w:val="00D96DBF"/>
    <w:rsid w:val="00D972A6"/>
    <w:rsid w:val="00D97BFD"/>
    <w:rsid w:val="00DA1AE5"/>
    <w:rsid w:val="00DA1D6D"/>
    <w:rsid w:val="00DA2703"/>
    <w:rsid w:val="00DA3335"/>
    <w:rsid w:val="00DA4098"/>
    <w:rsid w:val="00DA4427"/>
    <w:rsid w:val="00DA4707"/>
    <w:rsid w:val="00DA4C82"/>
    <w:rsid w:val="00DA55DA"/>
    <w:rsid w:val="00DA591B"/>
    <w:rsid w:val="00DB036A"/>
    <w:rsid w:val="00DB0AE4"/>
    <w:rsid w:val="00DB0EB7"/>
    <w:rsid w:val="00DB1443"/>
    <w:rsid w:val="00DB1A45"/>
    <w:rsid w:val="00DB23F2"/>
    <w:rsid w:val="00DB30A1"/>
    <w:rsid w:val="00DB3600"/>
    <w:rsid w:val="00DB54E9"/>
    <w:rsid w:val="00DB5C85"/>
    <w:rsid w:val="00DB615E"/>
    <w:rsid w:val="00DB6691"/>
    <w:rsid w:val="00DB68DE"/>
    <w:rsid w:val="00DB73A5"/>
    <w:rsid w:val="00DB7A1A"/>
    <w:rsid w:val="00DB7B78"/>
    <w:rsid w:val="00DC0219"/>
    <w:rsid w:val="00DC06B5"/>
    <w:rsid w:val="00DC0702"/>
    <w:rsid w:val="00DC1022"/>
    <w:rsid w:val="00DC13B9"/>
    <w:rsid w:val="00DC1F33"/>
    <w:rsid w:val="00DC234A"/>
    <w:rsid w:val="00DC3715"/>
    <w:rsid w:val="00DC3833"/>
    <w:rsid w:val="00DC432A"/>
    <w:rsid w:val="00DC4A8B"/>
    <w:rsid w:val="00DC7D74"/>
    <w:rsid w:val="00DC7E62"/>
    <w:rsid w:val="00DD0507"/>
    <w:rsid w:val="00DD0C67"/>
    <w:rsid w:val="00DD13D6"/>
    <w:rsid w:val="00DD14AF"/>
    <w:rsid w:val="00DD1BE2"/>
    <w:rsid w:val="00DD1CEF"/>
    <w:rsid w:val="00DD2B59"/>
    <w:rsid w:val="00DD335B"/>
    <w:rsid w:val="00DD3723"/>
    <w:rsid w:val="00DD40F2"/>
    <w:rsid w:val="00DD64B2"/>
    <w:rsid w:val="00DD662C"/>
    <w:rsid w:val="00DD7702"/>
    <w:rsid w:val="00DD7E79"/>
    <w:rsid w:val="00DE09F4"/>
    <w:rsid w:val="00DE118B"/>
    <w:rsid w:val="00DE17D6"/>
    <w:rsid w:val="00DE200A"/>
    <w:rsid w:val="00DE47A2"/>
    <w:rsid w:val="00DE5576"/>
    <w:rsid w:val="00DE6BC3"/>
    <w:rsid w:val="00DE785B"/>
    <w:rsid w:val="00DE78F2"/>
    <w:rsid w:val="00DE7930"/>
    <w:rsid w:val="00DF0750"/>
    <w:rsid w:val="00DF07E6"/>
    <w:rsid w:val="00DF0D4C"/>
    <w:rsid w:val="00DF0F82"/>
    <w:rsid w:val="00DF19BC"/>
    <w:rsid w:val="00DF1DD3"/>
    <w:rsid w:val="00DF2AFC"/>
    <w:rsid w:val="00DF51A9"/>
    <w:rsid w:val="00DF5990"/>
    <w:rsid w:val="00DF5A03"/>
    <w:rsid w:val="00DF7572"/>
    <w:rsid w:val="00DF7A19"/>
    <w:rsid w:val="00DF7DC2"/>
    <w:rsid w:val="00DF7ED4"/>
    <w:rsid w:val="00E00070"/>
    <w:rsid w:val="00E01395"/>
    <w:rsid w:val="00E01BC3"/>
    <w:rsid w:val="00E030F4"/>
    <w:rsid w:val="00E0482F"/>
    <w:rsid w:val="00E0491C"/>
    <w:rsid w:val="00E051C8"/>
    <w:rsid w:val="00E0787C"/>
    <w:rsid w:val="00E10534"/>
    <w:rsid w:val="00E10540"/>
    <w:rsid w:val="00E11868"/>
    <w:rsid w:val="00E118C8"/>
    <w:rsid w:val="00E13BCA"/>
    <w:rsid w:val="00E13C78"/>
    <w:rsid w:val="00E142D4"/>
    <w:rsid w:val="00E14762"/>
    <w:rsid w:val="00E14A89"/>
    <w:rsid w:val="00E154E5"/>
    <w:rsid w:val="00E155D1"/>
    <w:rsid w:val="00E15666"/>
    <w:rsid w:val="00E158F3"/>
    <w:rsid w:val="00E15B1E"/>
    <w:rsid w:val="00E162AF"/>
    <w:rsid w:val="00E16AD0"/>
    <w:rsid w:val="00E21436"/>
    <w:rsid w:val="00E21812"/>
    <w:rsid w:val="00E21F45"/>
    <w:rsid w:val="00E22BC3"/>
    <w:rsid w:val="00E23953"/>
    <w:rsid w:val="00E24D98"/>
    <w:rsid w:val="00E26DBC"/>
    <w:rsid w:val="00E272BF"/>
    <w:rsid w:val="00E27C0E"/>
    <w:rsid w:val="00E30992"/>
    <w:rsid w:val="00E30BC7"/>
    <w:rsid w:val="00E31446"/>
    <w:rsid w:val="00E329AC"/>
    <w:rsid w:val="00E339B1"/>
    <w:rsid w:val="00E33A25"/>
    <w:rsid w:val="00E33BFD"/>
    <w:rsid w:val="00E343B6"/>
    <w:rsid w:val="00E34D2D"/>
    <w:rsid w:val="00E375D8"/>
    <w:rsid w:val="00E37BE8"/>
    <w:rsid w:val="00E4058B"/>
    <w:rsid w:val="00E41200"/>
    <w:rsid w:val="00E4159B"/>
    <w:rsid w:val="00E42B72"/>
    <w:rsid w:val="00E43242"/>
    <w:rsid w:val="00E43497"/>
    <w:rsid w:val="00E4379F"/>
    <w:rsid w:val="00E43F6C"/>
    <w:rsid w:val="00E451A0"/>
    <w:rsid w:val="00E45337"/>
    <w:rsid w:val="00E463FC"/>
    <w:rsid w:val="00E46A70"/>
    <w:rsid w:val="00E5012B"/>
    <w:rsid w:val="00E51A85"/>
    <w:rsid w:val="00E54266"/>
    <w:rsid w:val="00E5541F"/>
    <w:rsid w:val="00E56EF6"/>
    <w:rsid w:val="00E60268"/>
    <w:rsid w:val="00E61BD9"/>
    <w:rsid w:val="00E6268B"/>
    <w:rsid w:val="00E6459E"/>
    <w:rsid w:val="00E6612A"/>
    <w:rsid w:val="00E67156"/>
    <w:rsid w:val="00E714A7"/>
    <w:rsid w:val="00E739C6"/>
    <w:rsid w:val="00E74DAD"/>
    <w:rsid w:val="00E75314"/>
    <w:rsid w:val="00E7584E"/>
    <w:rsid w:val="00E76F68"/>
    <w:rsid w:val="00E82AB8"/>
    <w:rsid w:val="00E84266"/>
    <w:rsid w:val="00E84815"/>
    <w:rsid w:val="00E874E5"/>
    <w:rsid w:val="00E90F1D"/>
    <w:rsid w:val="00E9122F"/>
    <w:rsid w:val="00E925F0"/>
    <w:rsid w:val="00E92C6D"/>
    <w:rsid w:val="00E9343E"/>
    <w:rsid w:val="00E940E0"/>
    <w:rsid w:val="00E944D2"/>
    <w:rsid w:val="00E95362"/>
    <w:rsid w:val="00E956F9"/>
    <w:rsid w:val="00E95D8F"/>
    <w:rsid w:val="00E962BF"/>
    <w:rsid w:val="00E96B37"/>
    <w:rsid w:val="00E96DF3"/>
    <w:rsid w:val="00E96FCF"/>
    <w:rsid w:val="00E97347"/>
    <w:rsid w:val="00E97A98"/>
    <w:rsid w:val="00EA0224"/>
    <w:rsid w:val="00EA0541"/>
    <w:rsid w:val="00EA08E1"/>
    <w:rsid w:val="00EA1769"/>
    <w:rsid w:val="00EA2C21"/>
    <w:rsid w:val="00EA2E1D"/>
    <w:rsid w:val="00EA3909"/>
    <w:rsid w:val="00EA3D78"/>
    <w:rsid w:val="00EA4C93"/>
    <w:rsid w:val="00EA4DBD"/>
    <w:rsid w:val="00EA5089"/>
    <w:rsid w:val="00EA52C9"/>
    <w:rsid w:val="00EA6E21"/>
    <w:rsid w:val="00EA7735"/>
    <w:rsid w:val="00EB01B0"/>
    <w:rsid w:val="00EB1BD2"/>
    <w:rsid w:val="00EB227B"/>
    <w:rsid w:val="00EB2C96"/>
    <w:rsid w:val="00EB2D20"/>
    <w:rsid w:val="00EB2F14"/>
    <w:rsid w:val="00EB5840"/>
    <w:rsid w:val="00EB6042"/>
    <w:rsid w:val="00EB66D9"/>
    <w:rsid w:val="00EB6733"/>
    <w:rsid w:val="00EB738A"/>
    <w:rsid w:val="00EC023A"/>
    <w:rsid w:val="00EC053D"/>
    <w:rsid w:val="00EC080F"/>
    <w:rsid w:val="00EC1D9A"/>
    <w:rsid w:val="00EC1E52"/>
    <w:rsid w:val="00EC2A02"/>
    <w:rsid w:val="00EC2F9E"/>
    <w:rsid w:val="00EC330E"/>
    <w:rsid w:val="00EC4453"/>
    <w:rsid w:val="00EC47FF"/>
    <w:rsid w:val="00EC52E3"/>
    <w:rsid w:val="00EC5B55"/>
    <w:rsid w:val="00EC76BA"/>
    <w:rsid w:val="00ED0FF1"/>
    <w:rsid w:val="00ED2244"/>
    <w:rsid w:val="00ED22F2"/>
    <w:rsid w:val="00ED27E4"/>
    <w:rsid w:val="00ED296F"/>
    <w:rsid w:val="00ED41A5"/>
    <w:rsid w:val="00ED4A53"/>
    <w:rsid w:val="00ED602B"/>
    <w:rsid w:val="00ED7784"/>
    <w:rsid w:val="00ED7E01"/>
    <w:rsid w:val="00EE087D"/>
    <w:rsid w:val="00EE0F51"/>
    <w:rsid w:val="00EE272F"/>
    <w:rsid w:val="00EE2988"/>
    <w:rsid w:val="00EE38CD"/>
    <w:rsid w:val="00EE38F7"/>
    <w:rsid w:val="00EE3BF1"/>
    <w:rsid w:val="00EE5683"/>
    <w:rsid w:val="00EE64FB"/>
    <w:rsid w:val="00EE651A"/>
    <w:rsid w:val="00EE66D8"/>
    <w:rsid w:val="00EE69BB"/>
    <w:rsid w:val="00EE6FF1"/>
    <w:rsid w:val="00EE7539"/>
    <w:rsid w:val="00EF0BB1"/>
    <w:rsid w:val="00EF150B"/>
    <w:rsid w:val="00EF15BE"/>
    <w:rsid w:val="00EF2B5A"/>
    <w:rsid w:val="00EF37A5"/>
    <w:rsid w:val="00EF3CF9"/>
    <w:rsid w:val="00EF410F"/>
    <w:rsid w:val="00EF4167"/>
    <w:rsid w:val="00EF56F2"/>
    <w:rsid w:val="00EF6954"/>
    <w:rsid w:val="00EF78A9"/>
    <w:rsid w:val="00F0192B"/>
    <w:rsid w:val="00F03777"/>
    <w:rsid w:val="00F0398F"/>
    <w:rsid w:val="00F04AF2"/>
    <w:rsid w:val="00F04C00"/>
    <w:rsid w:val="00F06661"/>
    <w:rsid w:val="00F06956"/>
    <w:rsid w:val="00F06DCE"/>
    <w:rsid w:val="00F100C3"/>
    <w:rsid w:val="00F10C8B"/>
    <w:rsid w:val="00F11726"/>
    <w:rsid w:val="00F12EE0"/>
    <w:rsid w:val="00F1307E"/>
    <w:rsid w:val="00F13839"/>
    <w:rsid w:val="00F1422C"/>
    <w:rsid w:val="00F14798"/>
    <w:rsid w:val="00F176A3"/>
    <w:rsid w:val="00F17ED5"/>
    <w:rsid w:val="00F206E3"/>
    <w:rsid w:val="00F208B2"/>
    <w:rsid w:val="00F21166"/>
    <w:rsid w:val="00F22705"/>
    <w:rsid w:val="00F23574"/>
    <w:rsid w:val="00F23C40"/>
    <w:rsid w:val="00F23E8D"/>
    <w:rsid w:val="00F25521"/>
    <w:rsid w:val="00F256EF"/>
    <w:rsid w:val="00F2668D"/>
    <w:rsid w:val="00F2732F"/>
    <w:rsid w:val="00F277B2"/>
    <w:rsid w:val="00F27EFB"/>
    <w:rsid w:val="00F30288"/>
    <w:rsid w:val="00F304E0"/>
    <w:rsid w:val="00F31530"/>
    <w:rsid w:val="00F315D8"/>
    <w:rsid w:val="00F31A9C"/>
    <w:rsid w:val="00F32114"/>
    <w:rsid w:val="00F32845"/>
    <w:rsid w:val="00F32C35"/>
    <w:rsid w:val="00F332AA"/>
    <w:rsid w:val="00F3396D"/>
    <w:rsid w:val="00F33A6C"/>
    <w:rsid w:val="00F33FE1"/>
    <w:rsid w:val="00F34A55"/>
    <w:rsid w:val="00F354A4"/>
    <w:rsid w:val="00F36372"/>
    <w:rsid w:val="00F3749D"/>
    <w:rsid w:val="00F37602"/>
    <w:rsid w:val="00F37EE1"/>
    <w:rsid w:val="00F4009C"/>
    <w:rsid w:val="00F41084"/>
    <w:rsid w:val="00F428CD"/>
    <w:rsid w:val="00F42A05"/>
    <w:rsid w:val="00F44329"/>
    <w:rsid w:val="00F44375"/>
    <w:rsid w:val="00F45957"/>
    <w:rsid w:val="00F45F6A"/>
    <w:rsid w:val="00F46AF8"/>
    <w:rsid w:val="00F46AF9"/>
    <w:rsid w:val="00F47ED4"/>
    <w:rsid w:val="00F50CC9"/>
    <w:rsid w:val="00F5263E"/>
    <w:rsid w:val="00F52646"/>
    <w:rsid w:val="00F52EFA"/>
    <w:rsid w:val="00F55005"/>
    <w:rsid w:val="00F550F2"/>
    <w:rsid w:val="00F55204"/>
    <w:rsid w:val="00F567F2"/>
    <w:rsid w:val="00F56839"/>
    <w:rsid w:val="00F568AF"/>
    <w:rsid w:val="00F5716F"/>
    <w:rsid w:val="00F57E87"/>
    <w:rsid w:val="00F6097E"/>
    <w:rsid w:val="00F6099D"/>
    <w:rsid w:val="00F61136"/>
    <w:rsid w:val="00F61E89"/>
    <w:rsid w:val="00F63E59"/>
    <w:rsid w:val="00F63FEA"/>
    <w:rsid w:val="00F64106"/>
    <w:rsid w:val="00F6490A"/>
    <w:rsid w:val="00F65DE9"/>
    <w:rsid w:val="00F66261"/>
    <w:rsid w:val="00F67F53"/>
    <w:rsid w:val="00F71918"/>
    <w:rsid w:val="00F71E40"/>
    <w:rsid w:val="00F7326B"/>
    <w:rsid w:val="00F734D8"/>
    <w:rsid w:val="00F7489F"/>
    <w:rsid w:val="00F74D71"/>
    <w:rsid w:val="00F74DC4"/>
    <w:rsid w:val="00F76782"/>
    <w:rsid w:val="00F76BF3"/>
    <w:rsid w:val="00F7751D"/>
    <w:rsid w:val="00F77649"/>
    <w:rsid w:val="00F77765"/>
    <w:rsid w:val="00F7792D"/>
    <w:rsid w:val="00F8182F"/>
    <w:rsid w:val="00F81CEF"/>
    <w:rsid w:val="00F82C2B"/>
    <w:rsid w:val="00F833D5"/>
    <w:rsid w:val="00F83953"/>
    <w:rsid w:val="00F83CC9"/>
    <w:rsid w:val="00F83EB4"/>
    <w:rsid w:val="00F84268"/>
    <w:rsid w:val="00F84F9E"/>
    <w:rsid w:val="00F857E2"/>
    <w:rsid w:val="00F85AEC"/>
    <w:rsid w:val="00F862E0"/>
    <w:rsid w:val="00F869DF"/>
    <w:rsid w:val="00F87B5E"/>
    <w:rsid w:val="00F87E57"/>
    <w:rsid w:val="00F907CF"/>
    <w:rsid w:val="00F924BA"/>
    <w:rsid w:val="00F9312B"/>
    <w:rsid w:val="00F93960"/>
    <w:rsid w:val="00F9799D"/>
    <w:rsid w:val="00F97A3A"/>
    <w:rsid w:val="00F97A4C"/>
    <w:rsid w:val="00FA085F"/>
    <w:rsid w:val="00FA0D7C"/>
    <w:rsid w:val="00FA3FEA"/>
    <w:rsid w:val="00FA43AD"/>
    <w:rsid w:val="00FA46BB"/>
    <w:rsid w:val="00FA4D3F"/>
    <w:rsid w:val="00FA532B"/>
    <w:rsid w:val="00FA55A9"/>
    <w:rsid w:val="00FA5E0E"/>
    <w:rsid w:val="00FA68AA"/>
    <w:rsid w:val="00FA71D6"/>
    <w:rsid w:val="00FA7451"/>
    <w:rsid w:val="00FB0595"/>
    <w:rsid w:val="00FB0610"/>
    <w:rsid w:val="00FB1140"/>
    <w:rsid w:val="00FB19D7"/>
    <w:rsid w:val="00FB1E19"/>
    <w:rsid w:val="00FB31B2"/>
    <w:rsid w:val="00FB3275"/>
    <w:rsid w:val="00FB3A78"/>
    <w:rsid w:val="00FB579F"/>
    <w:rsid w:val="00FB6A5B"/>
    <w:rsid w:val="00FB6B1A"/>
    <w:rsid w:val="00FB717F"/>
    <w:rsid w:val="00FB7753"/>
    <w:rsid w:val="00FB7843"/>
    <w:rsid w:val="00FB7C7F"/>
    <w:rsid w:val="00FC421E"/>
    <w:rsid w:val="00FC52CF"/>
    <w:rsid w:val="00FC55C4"/>
    <w:rsid w:val="00FC5D8F"/>
    <w:rsid w:val="00FC5EA7"/>
    <w:rsid w:val="00FC64B5"/>
    <w:rsid w:val="00FC7533"/>
    <w:rsid w:val="00FC7A56"/>
    <w:rsid w:val="00FD0100"/>
    <w:rsid w:val="00FD0AA6"/>
    <w:rsid w:val="00FD0BDE"/>
    <w:rsid w:val="00FD1909"/>
    <w:rsid w:val="00FD1BA8"/>
    <w:rsid w:val="00FD3A0E"/>
    <w:rsid w:val="00FD3A78"/>
    <w:rsid w:val="00FD4811"/>
    <w:rsid w:val="00FD5C4B"/>
    <w:rsid w:val="00FD5C87"/>
    <w:rsid w:val="00FD630F"/>
    <w:rsid w:val="00FD689B"/>
    <w:rsid w:val="00FD765C"/>
    <w:rsid w:val="00FD7FC6"/>
    <w:rsid w:val="00FE08F7"/>
    <w:rsid w:val="00FE0FEE"/>
    <w:rsid w:val="00FE1F25"/>
    <w:rsid w:val="00FE2230"/>
    <w:rsid w:val="00FE267A"/>
    <w:rsid w:val="00FE2BBF"/>
    <w:rsid w:val="00FE2E63"/>
    <w:rsid w:val="00FE3211"/>
    <w:rsid w:val="00FE5421"/>
    <w:rsid w:val="00FE580A"/>
    <w:rsid w:val="00FE6646"/>
    <w:rsid w:val="00FE7AD4"/>
    <w:rsid w:val="00FF0EEB"/>
    <w:rsid w:val="00FF2298"/>
    <w:rsid w:val="00FF33E0"/>
    <w:rsid w:val="00FF3E9E"/>
    <w:rsid w:val="00FF3FFF"/>
    <w:rsid w:val="00FF619F"/>
    <w:rsid w:val="00FF750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B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B0072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B0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B00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"/>
    <w:rsid w:val="005B0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rsid w:val="005B0072"/>
    <w:pPr>
      <w:keepNext/>
      <w:jc w:val="center"/>
      <w:outlineLvl w:val="1"/>
    </w:pPr>
    <w:rPr>
      <w:b/>
      <w:caps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0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05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05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72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5A19A6"/>
    <w:pPr>
      <w:ind w:left="720"/>
      <w:contextualSpacing/>
    </w:pPr>
  </w:style>
  <w:style w:type="paragraph" w:customStyle="1" w:styleId="Default">
    <w:name w:val="Default"/>
    <w:rsid w:val="00C66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b"/>
    <w:uiPriority w:val="99"/>
    <w:rsid w:val="00A363CC"/>
    <w:pPr>
      <w:spacing w:after="120"/>
      <w:ind w:left="283"/>
    </w:p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a"/>
    <w:uiPriority w:val="99"/>
    <w:rsid w:val="00A3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3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16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216B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d">
    <w:name w:val="Заголовок статьи"/>
    <w:basedOn w:val="a"/>
    <w:next w:val="a"/>
    <w:rsid w:val="004216B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styleId="ae">
    <w:name w:val="Hyperlink"/>
    <w:basedOn w:val="a0"/>
    <w:rsid w:val="004216BB"/>
    <w:rPr>
      <w:color w:val="0000FF"/>
      <w:u w:val="single"/>
    </w:rPr>
  </w:style>
  <w:style w:type="paragraph" w:styleId="af">
    <w:name w:val="Body Text"/>
    <w:basedOn w:val="a"/>
    <w:link w:val="af0"/>
    <w:unhideWhenUsed/>
    <w:rsid w:val="001A2BF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A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2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aliases w:val="Основной текст Знак Знак"/>
    <w:basedOn w:val="a0"/>
    <w:locked/>
    <w:rsid w:val="00BC689A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A774CC"/>
    <w:rPr>
      <w:color w:val="106BBE"/>
    </w:rPr>
  </w:style>
  <w:style w:type="paragraph" w:customStyle="1" w:styleId="210">
    <w:name w:val="Основной текст 21"/>
    <w:basedOn w:val="a"/>
    <w:rsid w:val="00A774CC"/>
    <w:pPr>
      <w:suppressAutoHyphens/>
      <w:spacing w:after="120" w:line="480" w:lineRule="auto"/>
    </w:pPr>
    <w:rPr>
      <w:lang w:eastAsia="ar-SA"/>
    </w:rPr>
  </w:style>
  <w:style w:type="paragraph" w:customStyle="1" w:styleId="ConsPlusCell">
    <w:name w:val="ConsPlusCell"/>
    <w:rsid w:val="00EC5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0D7DE7"/>
    <w:pPr>
      <w:jc w:val="center"/>
    </w:pPr>
    <w:rPr>
      <w:rFonts w:eastAsia="Calibri"/>
    </w:rPr>
  </w:style>
  <w:style w:type="character" w:customStyle="1" w:styleId="af3">
    <w:name w:val="Название Знак"/>
    <w:basedOn w:val="a0"/>
    <w:link w:val="af2"/>
    <w:rsid w:val="000D7D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3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9266E"/>
    <w:pPr>
      <w:spacing w:before="100" w:beforeAutospacing="1" w:after="100" w:afterAutospacing="1"/>
    </w:pPr>
  </w:style>
  <w:style w:type="paragraph" w:customStyle="1" w:styleId="ParaAttribute2">
    <w:name w:val="ParaAttribute2"/>
    <w:uiPriority w:val="99"/>
    <w:rsid w:val="002E289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2E2895"/>
    <w:rPr>
      <w:rFonts w:ascii="Times New Roman" w:eastAsia="Times New Roman"/>
      <w:sz w:val="24"/>
    </w:rPr>
  </w:style>
  <w:style w:type="character" w:customStyle="1" w:styleId="CharAttribute14">
    <w:name w:val="CharAttribute14"/>
    <w:rsid w:val="002E2895"/>
    <w:rPr>
      <w:rFonts w:ascii="Times New Roman" w:eastAsia="Times New Roman"/>
      <w:i/>
      <w:sz w:val="24"/>
      <w:u w:val="single"/>
    </w:rPr>
  </w:style>
  <w:style w:type="paragraph" w:styleId="af4">
    <w:name w:val="Normal (Web)"/>
    <w:basedOn w:val="a"/>
    <w:uiPriority w:val="99"/>
    <w:unhideWhenUsed/>
    <w:rsid w:val="00F0398F"/>
    <w:pPr>
      <w:spacing w:before="100" w:beforeAutospacing="1" w:after="115"/>
    </w:pPr>
    <w:rPr>
      <w:color w:val="000000"/>
    </w:rPr>
  </w:style>
  <w:style w:type="paragraph" w:customStyle="1" w:styleId="14">
    <w:name w:val="Абзац списка1"/>
    <w:basedOn w:val="a"/>
    <w:rsid w:val="003C69C8"/>
    <w:pPr>
      <w:ind w:left="708"/>
    </w:pPr>
  </w:style>
  <w:style w:type="character" w:styleId="af5">
    <w:name w:val="Strong"/>
    <w:basedOn w:val="a0"/>
    <w:uiPriority w:val="22"/>
    <w:qFormat/>
    <w:rsid w:val="00D214F3"/>
    <w:rPr>
      <w:b/>
      <w:bCs/>
    </w:rPr>
  </w:style>
  <w:style w:type="paragraph" w:customStyle="1" w:styleId="Style6">
    <w:name w:val="Style6"/>
    <w:basedOn w:val="a"/>
    <w:uiPriority w:val="99"/>
    <w:rsid w:val="00642647"/>
    <w:pPr>
      <w:widowControl w:val="0"/>
      <w:autoSpaceDE w:val="0"/>
      <w:autoSpaceDN w:val="0"/>
      <w:adjustRightInd w:val="0"/>
      <w:spacing w:line="670" w:lineRule="exact"/>
      <w:ind w:firstLine="1440"/>
      <w:jc w:val="both"/>
    </w:pPr>
  </w:style>
  <w:style w:type="paragraph" w:customStyle="1" w:styleId="rvps698610">
    <w:name w:val="rvps698610"/>
    <w:basedOn w:val="a"/>
    <w:uiPriority w:val="99"/>
    <w:rsid w:val="00065BD5"/>
    <w:pPr>
      <w:spacing w:after="150"/>
      <w:ind w:right="300"/>
    </w:pPr>
  </w:style>
  <w:style w:type="paragraph" w:customStyle="1" w:styleId="msonormalcxsplast">
    <w:name w:val="msonormalcxsplast"/>
    <w:basedOn w:val="a"/>
    <w:rsid w:val="000C35E8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2031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3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126BC6"/>
    <w:pPr>
      <w:spacing w:before="100" w:beforeAutospacing="1" w:after="100" w:afterAutospacing="1"/>
    </w:pPr>
  </w:style>
  <w:style w:type="character" w:styleId="af6">
    <w:name w:val="Emphasis"/>
    <w:basedOn w:val="a0"/>
    <w:qFormat/>
    <w:rsid w:val="008B45DA"/>
    <w:rPr>
      <w:i/>
      <w:iCs/>
    </w:rPr>
  </w:style>
  <w:style w:type="table" w:styleId="af7">
    <w:name w:val="Table Grid"/>
    <w:basedOn w:val="a1"/>
    <w:uiPriority w:val="59"/>
    <w:rsid w:val="0013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C010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02B4"/>
    <w:rPr>
      <w:rFonts w:eastAsia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702B4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1702B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1702B4"/>
    <w:rPr>
      <w:rFonts w:ascii="Consolas" w:hAnsi="Consolas" w:cs="Consolas"/>
      <w:sz w:val="21"/>
      <w:szCs w:val="21"/>
    </w:rPr>
  </w:style>
  <w:style w:type="character" w:customStyle="1" w:styleId="ConsPlusNormal0">
    <w:name w:val="ConsPlusNormal Знак"/>
    <w:link w:val="ConsPlusNormal"/>
    <w:locked/>
    <w:rsid w:val="007A6AB7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F29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F2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F0B823F4B307642AEE907A772A9440B7119C46677BABDEDBA0A3F118FCDC369C4A3F731FE953D354404ED43h6X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 baseline="0"/>
              <a:t>Изменение структуры государственных внутренних заимствований </a:t>
            </a:r>
          </a:p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 baseline="0"/>
              <a:t>в 2019-2021 годах (млрд. руб.)</a:t>
            </a:r>
          </a:p>
        </c:rich>
      </c:tx>
      <c:layout>
        <c:manualLayout>
          <c:xMode val="edge"/>
          <c:yMode val="edge"/>
          <c:x val="0.11888096544158037"/>
          <c:y val="4.5769015020879714E-3"/>
        </c:manualLayout>
      </c:layout>
      <c:spPr>
        <a:noFill/>
        <a:ln w="21308">
          <a:noFill/>
        </a:ln>
      </c:spPr>
    </c:title>
    <c:view3D>
      <c:rotY val="51"/>
      <c:depthPercent val="100"/>
      <c:rAngAx val="1"/>
    </c:view3D>
    <c:side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10654">
          <a:solidFill>
            <a:srgbClr val="808080"/>
          </a:solidFill>
          <a:prstDash val="solid"/>
        </a:ln>
      </c:spPr>
    </c:sideWall>
    <c:back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10654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596326035219272"/>
          <c:y val="0.24518854008684271"/>
          <c:w val="0.89261744966443179"/>
          <c:h val="0.42040816326531327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ценные бумаги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31962">
              <a:noFill/>
              <a:prstDash val="solid"/>
            </a:ln>
          </c:spPr>
          <c:dLbls>
            <c:dLbl>
              <c:idx val="2"/>
              <c:layout>
                <c:manualLayout>
                  <c:x val="8.045253558990404E-17"/>
                  <c:y val="3.1662269129287601E-2"/>
                </c:manualLayout>
              </c:layout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0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кредиты банков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 w="31962">
              <a:noFill/>
              <a:prstDash val="solid"/>
            </a:ln>
          </c:spPr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9</c:v>
                </c:pt>
                <c:pt idx="1">
                  <c:v>16.2</c:v>
                </c:pt>
                <c:pt idx="2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бюджетные кредиты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hape val="cylinder"/>
        <c:axId val="131109632"/>
        <c:axId val="131111168"/>
        <c:axId val="0"/>
      </c:bar3DChart>
      <c:catAx>
        <c:axId val="131109632"/>
        <c:scaling>
          <c:orientation val="minMax"/>
        </c:scaling>
        <c:axPos val="b"/>
        <c:numFmt formatCode="General" sourceLinked="1"/>
        <c:tickLblPos val="nextTo"/>
        <c:spPr>
          <a:ln w="26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111168"/>
        <c:crosses val="autoZero"/>
        <c:auto val="1"/>
        <c:lblAlgn val="ctr"/>
        <c:lblOffset val="100"/>
        <c:tickLblSkip val="1"/>
        <c:tickMarkSkip val="1"/>
      </c:catAx>
      <c:valAx>
        <c:axId val="131111168"/>
        <c:scaling>
          <c:orientation val="minMax"/>
          <c:max val="30"/>
          <c:min val="0"/>
        </c:scaling>
        <c:axPos val="l"/>
        <c:numFmt formatCode="0.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11096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4850747880322421E-2"/>
          <c:y val="0.88571428571428557"/>
          <c:w val="0.90427857516164756"/>
          <c:h val="8.6621652504518712E-2"/>
        </c:manualLayout>
      </c:layout>
      <c:spPr>
        <a:noFill/>
        <a:ln w="2663">
          <a:noFill/>
          <a:prstDash val="solid"/>
        </a:ln>
      </c:spPr>
      <c:txPr>
        <a:bodyPr/>
        <a:lstStyle/>
        <a:p>
          <a:pPr>
            <a:defRPr sz="950" b="1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scene3d>
      <a:camera prst="orthographicFront"/>
      <a:lightRig rig="threePt" dir="t"/>
    </a:scene3d>
    <a:sp3d>
      <a:bevelB/>
    </a:sp3d>
  </c:spPr>
  <c:txPr>
    <a:bodyPr/>
    <a:lstStyle/>
    <a:p>
      <a:pPr>
        <a:defRPr sz="9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0.15798</cdr:x>
      <cdr:y>0.29288</cdr:y>
    </cdr:from>
    <cdr:to>
      <cdr:x>0.2452</cdr:x>
      <cdr:y>0.48681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4401" y="704850"/>
          <a:ext cx="504824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0.15634</cdr:x>
      <cdr:y>0.33245</cdr:y>
    </cdr:from>
    <cdr:to>
      <cdr:x>0.24191</cdr:x>
      <cdr:y>0.4591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04875" y="800100"/>
          <a:ext cx="495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50" b="1" i="0" baseline="0">
            <a:latin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0.16456</cdr:x>
      <cdr:y>0.48285</cdr:y>
    </cdr:from>
    <cdr:to>
      <cdr:x>0.23862</cdr:x>
      <cdr:y>0.61346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52500" y="1162050"/>
          <a:ext cx="428625" cy="3143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50" b="1" i="0" baseline="0">
            <a:latin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0.16621</cdr:x>
      <cdr:y>0.6372</cdr:y>
    </cdr:from>
    <cdr:to>
      <cdr:x>0.25507</cdr:x>
      <cdr:y>0.73219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962025" y="1533525"/>
          <a:ext cx="514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50" b="1" i="0" baseline="0">
            <a:latin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0.0181</cdr:x>
      <cdr:y>0.74802</cdr:y>
    </cdr:from>
    <cdr:to>
      <cdr:x>0.15469</cdr:x>
      <cdr:y>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04775" y="1800225"/>
          <a:ext cx="790575" cy="606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50" b="1" i="0" baseline="0">
            <a:latin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21402</Words>
  <Characters>121995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Горгоцкая</dc:creator>
  <cp:lastModifiedBy>Самарцева</cp:lastModifiedBy>
  <cp:revision>2</cp:revision>
  <cp:lastPrinted>2018-11-23T04:34:00Z</cp:lastPrinted>
  <dcterms:created xsi:type="dcterms:W3CDTF">2018-12-06T11:11:00Z</dcterms:created>
  <dcterms:modified xsi:type="dcterms:W3CDTF">2018-12-06T11:11:00Z</dcterms:modified>
</cp:coreProperties>
</file>