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23" w:rsidRDefault="00F77A85" w:rsidP="005D4E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E0F43" w:rsidRDefault="00CE0F43" w:rsidP="008F3023">
      <w:pPr>
        <w:pStyle w:val="af0"/>
        <w:ind w:firstLine="680"/>
        <w:rPr>
          <w:szCs w:val="24"/>
        </w:rPr>
      </w:pPr>
    </w:p>
    <w:p w:rsidR="00CE0F43" w:rsidRPr="00CE0F43" w:rsidRDefault="00CE0F43" w:rsidP="00CE0F43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E0F43" w:rsidRPr="00CE0F43" w:rsidRDefault="00CE0F43" w:rsidP="00CE0F4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контрольно-счетной палаты Волгоградской области _________________  И. А. Дьяченко</w:t>
      </w:r>
    </w:p>
    <w:p w:rsidR="00CE0F43" w:rsidRPr="00CE0F43" w:rsidRDefault="00CE0F43" w:rsidP="00CE0F43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E0F43" w:rsidRPr="00CE0F43" w:rsidRDefault="00CE0F43" w:rsidP="00CE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0F43" w:rsidRPr="00CE0F43" w:rsidRDefault="00CE0F43" w:rsidP="00CE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CE0F43" w:rsidRPr="00CE0F43" w:rsidRDefault="00CE0F43" w:rsidP="00CE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внешней проверки бюджетной отчетности и отдельных вопросов исполнения областного бюджета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E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главным администратором средств областного бюджета – комитетом по обеспечению безопасности жизнедеятельности населения Волгоградской области</w:t>
      </w:r>
    </w:p>
    <w:p w:rsidR="00CE0F43" w:rsidRPr="00CE0F43" w:rsidRDefault="00CE0F43" w:rsidP="00CE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F43" w:rsidRPr="00CE0F43" w:rsidRDefault="00CE0F43" w:rsidP="00D00DE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палаты Волгоградской области (далее – КСП)</w:t>
      </w:r>
      <w:r w:rsidRPr="00CE0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068F1">
        <w:rPr>
          <w:rFonts w:ascii="Times New Roman" w:hAnsi="Times New Roman" w:cs="Times New Roman"/>
          <w:sz w:val="24"/>
          <w:szCs w:val="24"/>
        </w:rPr>
        <w:t>09.12.2016 №29/1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коллегии КСП от</w:t>
      </w:r>
      <w:r w:rsidR="0069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859" w:rsidRPr="008F3023">
        <w:rPr>
          <w:rFonts w:ascii="Times New Roman" w:hAnsi="Times New Roman" w:cs="Times New Roman"/>
          <w:sz w:val="24"/>
          <w:szCs w:val="24"/>
        </w:rPr>
        <w:t xml:space="preserve"> </w:t>
      </w:r>
      <w:r w:rsidR="00692859" w:rsidRPr="004068F1">
        <w:rPr>
          <w:rFonts w:ascii="Times New Roman" w:hAnsi="Times New Roman" w:cs="Times New Roman"/>
          <w:sz w:val="24"/>
          <w:szCs w:val="24"/>
        </w:rPr>
        <w:t>09.12.2016</w:t>
      </w:r>
      <w:r w:rsidR="00007C16">
        <w:rPr>
          <w:rFonts w:ascii="Times New Roman" w:hAnsi="Times New Roman" w:cs="Times New Roman"/>
          <w:sz w:val="24"/>
          <w:szCs w:val="24"/>
        </w:rPr>
        <w:t xml:space="preserve"> </w:t>
      </w:r>
      <w:r w:rsidR="00692859" w:rsidRPr="004068F1">
        <w:rPr>
          <w:rFonts w:ascii="Times New Roman" w:hAnsi="Times New Roman" w:cs="Times New Roman"/>
          <w:sz w:val="24"/>
          <w:szCs w:val="24"/>
        </w:rPr>
        <w:t xml:space="preserve"> №29/1</w:t>
      </w:r>
      <w:r w:rsidR="0069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подготовки заключения на годовой отчет об исполнении областного бюджета за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камеральная внешняя проверка бюджетной отчетности и отдельных вопросов исполнения областного бюджета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главным администратором средств областного бюджета</w:t>
      </w:r>
      <w:proofErr w:type="gramEnd"/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омитетом по обеспечению безопасности жизнедеятельности населения Волгоградской области (далее – Комитет)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проверки составлен один акт</w:t>
      </w:r>
      <w:r w:rsidR="00692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подписан без пояснений и замечаний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F43" w:rsidRPr="00CE0F43" w:rsidRDefault="00CE0F43" w:rsidP="00CE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является органом исполнительной власти Волгоградской области, уполномоченным в области защиты населения и территорий от чрезвычайных ситуаций природного и техногенного характера, пожарной безопасности, безопасности людей на водных объектах, гражданской обороны, а также оформления и выдачи удостоверений гражданам, подвергшимся радиационному воздействию.</w:t>
      </w:r>
    </w:p>
    <w:p w:rsidR="00CE0F43" w:rsidRPr="00CE0F43" w:rsidRDefault="00CE0F43" w:rsidP="00CE0F4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Волгоградской области </w:t>
      </w:r>
      <w:r w:rsidRPr="004C14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146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146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146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4C1467">
        <w:rPr>
          <w:rFonts w:ascii="Times New Roman" w:hAnsi="Times New Roman" w:cs="Times New Roman"/>
          <w:sz w:val="24"/>
          <w:szCs w:val="24"/>
        </w:rPr>
        <w:t>-ОД «Об областном бюджете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14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1467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Закон об областном бюджете) Комитет включен в перечень главных администраторов  доходов областного бюджета и главных распорядителей средств областного бюджета.</w:t>
      </w:r>
    </w:p>
    <w:p w:rsidR="00CE0F43" w:rsidRPr="00CE0F43" w:rsidRDefault="00CE0F43" w:rsidP="00CE0F4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об областном бюджете предельная штатная численность государственных гражданских служащих (далее – ГГС) Комитета утверждена в количестве 51 единицы. По отношению к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предельная штатная численность ГГС не изменилась.</w:t>
      </w:r>
    </w:p>
    <w:p w:rsidR="00CE0F43" w:rsidRPr="00CE0F43" w:rsidRDefault="00CE0F43" w:rsidP="00CE0F4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Штатная численность Комитета утверждена в количестве 61 ед. (из них 51 ед. ГГС), фактически на 31.12.201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должностей (из них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 w:rsidRPr="00CE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ед. ГГС).</w:t>
      </w:r>
    </w:p>
    <w:p w:rsidR="00CE0F43" w:rsidRPr="00CE0F43" w:rsidRDefault="00CE0F43" w:rsidP="00CE0F4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имел 10 подведомственных учреждений: 1 бюджетное - государственное бюджетное образовательное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Волгоградской области» (далее – ГБУ «УМЦ») и 9 казенных учреждений, являющихся получателями средств областного бюджета.</w:t>
      </w:r>
    </w:p>
    <w:p w:rsidR="00CE0F43" w:rsidRDefault="00CE0F43" w:rsidP="008F3023">
      <w:pPr>
        <w:pStyle w:val="af0"/>
        <w:ind w:firstLine="680"/>
        <w:rPr>
          <w:szCs w:val="24"/>
        </w:rPr>
      </w:pPr>
    </w:p>
    <w:p w:rsidR="004C1467" w:rsidRPr="004C1467" w:rsidRDefault="004C1467" w:rsidP="004C1467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Проверка полноты и достоверности  сводной бюджетной отчетности Комитета и бюджетной отчетности </w:t>
      </w:r>
      <w:r w:rsidR="00EE7FA0">
        <w:rPr>
          <w:rFonts w:ascii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4C1467" w:rsidRPr="004C1467" w:rsidRDefault="004C1467" w:rsidP="00183EA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1467">
        <w:rPr>
          <w:rFonts w:ascii="Times New Roman" w:hAnsi="Times New Roman" w:cs="Times New Roman"/>
          <w:sz w:val="24"/>
          <w:szCs w:val="24"/>
        </w:rPr>
        <w:t>Сводная бюджетная отчетность Комитета, ГБУ «УМЦ» и казенных учреждений представлена к проверке в составе, определенном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</w:t>
      </w:r>
      <w:r w:rsidR="00183EAC">
        <w:rPr>
          <w:rFonts w:ascii="Times New Roman" w:hAnsi="Times New Roman" w:cs="Times New Roman"/>
          <w:sz w:val="24"/>
          <w:szCs w:val="24"/>
        </w:rPr>
        <w:t xml:space="preserve"> и</w:t>
      </w:r>
      <w:r w:rsidRPr="004C1467">
        <w:rPr>
          <w:rFonts w:ascii="Times New Roman" w:hAnsi="Times New Roman" w:cs="Times New Roman"/>
          <w:sz w:val="24"/>
          <w:szCs w:val="24"/>
        </w:rPr>
        <w:t xml:space="preserve"> Инструкцией о порядке составления, представления годовой, квартальной бухгалтерской отчетности </w:t>
      </w:r>
      <w:r w:rsidRPr="004C1467">
        <w:rPr>
          <w:rFonts w:ascii="Times New Roman" w:hAnsi="Times New Roman" w:cs="Times New Roman"/>
          <w:bCs/>
          <w:sz w:val="24"/>
          <w:szCs w:val="24"/>
        </w:rPr>
        <w:t>государственных (муниципальных) бюджетных и</w:t>
      </w:r>
      <w:proofErr w:type="gramEnd"/>
      <w:r w:rsidRPr="004C1467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учреждений, утвержденной приказом Минфина РФ от 25.03.2011 № 33н.</w:t>
      </w:r>
    </w:p>
    <w:p w:rsidR="004C1467" w:rsidRDefault="00183EAC" w:rsidP="00183EA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1467" w:rsidRPr="004C1467">
        <w:rPr>
          <w:rFonts w:ascii="Times New Roman" w:hAnsi="Times New Roman" w:cs="Times New Roman"/>
          <w:sz w:val="24"/>
          <w:szCs w:val="24"/>
        </w:rPr>
        <w:t xml:space="preserve">роверкой правильности заполнения Комитетом и подведомственными ему </w:t>
      </w:r>
      <w:r w:rsidR="004C1467" w:rsidRPr="001850C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276F71" w:rsidRPr="001850C0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4C1467" w:rsidRPr="001850C0">
        <w:rPr>
          <w:rFonts w:ascii="Times New Roman" w:hAnsi="Times New Roman" w:cs="Times New Roman"/>
          <w:sz w:val="24"/>
          <w:szCs w:val="24"/>
        </w:rPr>
        <w:t>установлены</w:t>
      </w:r>
      <w:r w:rsidR="004C1467" w:rsidRPr="004C1467">
        <w:rPr>
          <w:rFonts w:ascii="Times New Roman" w:hAnsi="Times New Roman" w:cs="Times New Roman"/>
          <w:sz w:val="24"/>
          <w:szCs w:val="24"/>
        </w:rPr>
        <w:t xml:space="preserve"> следующие нарушения и недостатки:</w:t>
      </w:r>
    </w:p>
    <w:p w:rsidR="00240723" w:rsidRPr="00DB0203" w:rsidRDefault="00AE4CB3" w:rsidP="00AE4CB3">
      <w:pPr>
        <w:pStyle w:val="a3"/>
        <w:ind w:left="0" w:firstLine="851"/>
        <w:jc w:val="both"/>
      </w:pPr>
      <w:r>
        <w:t>-</w:t>
      </w:r>
      <w:r w:rsidR="00240723" w:rsidRPr="002A5DEE">
        <w:t xml:space="preserve"> </w:t>
      </w:r>
      <w:r w:rsidR="00B6037F">
        <w:t>в</w:t>
      </w:r>
      <w:r w:rsidR="00B6037F" w:rsidRPr="00E60990">
        <w:t xml:space="preserve"> нарушение </w:t>
      </w:r>
      <w:r w:rsidR="00D00DEA">
        <w:t>п.</w:t>
      </w:r>
      <w:r w:rsidR="00692859">
        <w:t>8</w:t>
      </w:r>
      <w:r w:rsidR="00B6037F" w:rsidRPr="00E60990">
        <w:t xml:space="preserve"> Инструкции № 191н</w:t>
      </w:r>
      <w:r w:rsidR="00B6037F" w:rsidRPr="002A5DEE">
        <w:t xml:space="preserve"> </w:t>
      </w:r>
      <w:r w:rsidR="00D00DEA" w:rsidRPr="00B6037F">
        <w:t>в текстовой части</w:t>
      </w:r>
      <w:r w:rsidR="00D00DEA">
        <w:t xml:space="preserve"> Пояснительной записки отсутствовала  информация о </w:t>
      </w:r>
      <w:proofErr w:type="spellStart"/>
      <w:r w:rsidR="00D00DEA">
        <w:t>невключении</w:t>
      </w:r>
      <w:proofErr w:type="spellEnd"/>
      <w:r w:rsidR="00D00DEA" w:rsidRPr="00AE4CB3">
        <w:t xml:space="preserve"> в состав бюджетной отчетности форм</w:t>
      </w:r>
      <w:r w:rsidR="00D00DEA">
        <w:t xml:space="preserve">ы 0503167 </w:t>
      </w:r>
      <w:r w:rsidR="00D00DEA">
        <w:lastRenderedPageBreak/>
        <w:t>«Сведения о целевых иностранных кредитах»</w:t>
      </w:r>
      <w:r w:rsidR="00692859">
        <w:t xml:space="preserve">, не имеющей числовых значений показателей. </w:t>
      </w:r>
      <w:r>
        <w:t>Во время проверки нарушение устранено</w:t>
      </w:r>
      <w:r w:rsidR="002966D1">
        <w:t>;</w:t>
      </w:r>
    </w:p>
    <w:p w:rsidR="007D17AD" w:rsidRDefault="007D17AD" w:rsidP="00B603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6E8">
        <w:rPr>
          <w:rFonts w:ascii="Times New Roman" w:hAnsi="Times New Roman" w:cs="Times New Roman"/>
          <w:sz w:val="24"/>
          <w:szCs w:val="24"/>
        </w:rPr>
        <w:t xml:space="preserve">- </w:t>
      </w:r>
      <w:r w:rsidRPr="007D17AD">
        <w:rPr>
          <w:rFonts w:ascii="Times New Roman" w:hAnsi="Times New Roman" w:cs="Times New Roman"/>
          <w:sz w:val="24"/>
          <w:szCs w:val="24"/>
        </w:rPr>
        <w:t>согласно требованиям п. 161</w:t>
      </w:r>
      <w:r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D1173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191н приложение к </w:t>
      </w:r>
      <w:r w:rsidR="00D117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ояснительной записке «</w:t>
      </w:r>
      <w:r w:rsidR="00A606E8">
        <w:rPr>
          <w:rFonts w:ascii="Times New Roman" w:hAnsi="Times New Roman" w:cs="Times New Roman"/>
          <w:sz w:val="24"/>
          <w:szCs w:val="24"/>
        </w:rPr>
        <w:t>Сведения о результатах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(форма 0503162) </w:t>
      </w:r>
      <w:r w:rsidR="00CE0F43">
        <w:rPr>
          <w:rFonts w:ascii="Times New Roman" w:hAnsi="Times New Roman" w:cs="Times New Roman"/>
          <w:sz w:val="24"/>
          <w:szCs w:val="24"/>
        </w:rPr>
        <w:t xml:space="preserve">должно </w:t>
      </w:r>
      <w:r>
        <w:rPr>
          <w:rFonts w:ascii="Times New Roman" w:hAnsi="Times New Roman" w:cs="Times New Roman"/>
          <w:sz w:val="24"/>
          <w:szCs w:val="24"/>
        </w:rPr>
        <w:t>содерж</w:t>
      </w:r>
      <w:r w:rsidR="00CE0F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E0F4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обобщенные за отчетный период данные о результатах деятельности субъекта бюджетной отчетности при исполнении </w:t>
      </w:r>
      <w:r w:rsidRPr="003E41B1">
        <w:rPr>
          <w:rFonts w:ascii="Times New Roman" w:hAnsi="Times New Roman" w:cs="Times New Roman"/>
          <w:sz w:val="24"/>
          <w:szCs w:val="24"/>
          <w:u w:val="single"/>
        </w:rPr>
        <w:t>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41B1">
        <w:rPr>
          <w:rFonts w:ascii="Times New Roman" w:hAnsi="Times New Roman" w:cs="Times New Roman"/>
          <w:sz w:val="24"/>
          <w:szCs w:val="24"/>
          <w:u w:val="single"/>
        </w:rPr>
        <w:t>в пределах предоставленных им субсидий</w:t>
      </w:r>
      <w:r>
        <w:rPr>
          <w:rFonts w:ascii="Times New Roman" w:hAnsi="Times New Roman" w:cs="Times New Roman"/>
          <w:sz w:val="24"/>
          <w:szCs w:val="24"/>
        </w:rPr>
        <w:t xml:space="preserve"> из соответствующего бюджета на исполнение государственного (муниципального) задания.</w:t>
      </w:r>
    </w:p>
    <w:p w:rsidR="007B27FB" w:rsidRDefault="007D17AD" w:rsidP="009A22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EA6">
        <w:rPr>
          <w:rFonts w:ascii="Times New Roman" w:hAnsi="Times New Roman" w:cs="Times New Roman"/>
          <w:sz w:val="24"/>
          <w:szCs w:val="24"/>
        </w:rPr>
        <w:t>В нарушение п.161 Инструкции в форме 0503162</w:t>
      </w:r>
      <w:r w:rsidR="004D1EA6">
        <w:rPr>
          <w:rFonts w:ascii="Times New Roman" w:hAnsi="Times New Roman" w:cs="Times New Roman"/>
          <w:sz w:val="24"/>
          <w:szCs w:val="24"/>
        </w:rPr>
        <w:t xml:space="preserve"> </w:t>
      </w:r>
      <w:r w:rsidRPr="004D1EA6">
        <w:rPr>
          <w:rFonts w:ascii="Times New Roman" w:hAnsi="Times New Roman" w:cs="Times New Roman"/>
          <w:sz w:val="24"/>
          <w:szCs w:val="24"/>
        </w:rPr>
        <w:t xml:space="preserve">  </w:t>
      </w:r>
      <w:r w:rsidR="00CE0F43">
        <w:rPr>
          <w:rFonts w:ascii="Times New Roman" w:hAnsi="Times New Roman" w:cs="Times New Roman"/>
          <w:sz w:val="24"/>
          <w:szCs w:val="24"/>
        </w:rPr>
        <w:t xml:space="preserve">наряду с </w:t>
      </w:r>
      <w:r w:rsidRPr="004D1EA6">
        <w:rPr>
          <w:rFonts w:ascii="Times New Roman" w:hAnsi="Times New Roman" w:cs="Times New Roman"/>
          <w:sz w:val="24"/>
          <w:szCs w:val="24"/>
        </w:rPr>
        <w:t>показател</w:t>
      </w:r>
      <w:r w:rsidR="00CE0F43">
        <w:rPr>
          <w:rFonts w:ascii="Times New Roman" w:hAnsi="Times New Roman" w:cs="Times New Roman"/>
          <w:sz w:val="24"/>
          <w:szCs w:val="24"/>
        </w:rPr>
        <w:t>ями</w:t>
      </w:r>
      <w:r w:rsidRPr="004D1EA6">
        <w:rPr>
          <w:rFonts w:ascii="Times New Roman" w:hAnsi="Times New Roman" w:cs="Times New Roman"/>
          <w:sz w:val="24"/>
          <w:szCs w:val="24"/>
        </w:rPr>
        <w:t xml:space="preserve"> исполнения </w:t>
      </w:r>
      <w:proofErr w:type="spellStart"/>
      <w:r w:rsidRPr="004D1EA6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4D1EA6">
        <w:rPr>
          <w:rFonts w:ascii="Times New Roman" w:hAnsi="Times New Roman" w:cs="Times New Roman"/>
          <w:sz w:val="24"/>
          <w:szCs w:val="24"/>
        </w:rPr>
        <w:t xml:space="preserve"> ГБУ «УМЦ»</w:t>
      </w:r>
      <w:r w:rsidR="00692859">
        <w:rPr>
          <w:rFonts w:ascii="Times New Roman" w:hAnsi="Times New Roman" w:cs="Times New Roman"/>
          <w:sz w:val="24"/>
          <w:szCs w:val="24"/>
        </w:rPr>
        <w:t xml:space="preserve"> </w:t>
      </w:r>
      <w:r w:rsidR="002D171B">
        <w:rPr>
          <w:rFonts w:ascii="Times New Roman" w:hAnsi="Times New Roman" w:cs="Times New Roman"/>
          <w:sz w:val="24"/>
          <w:szCs w:val="24"/>
        </w:rPr>
        <w:t xml:space="preserve"> </w:t>
      </w:r>
      <w:r w:rsidR="00E823B6" w:rsidRPr="004D1EA6">
        <w:rPr>
          <w:rFonts w:ascii="Times New Roman" w:hAnsi="Times New Roman" w:cs="Times New Roman"/>
          <w:sz w:val="24"/>
          <w:szCs w:val="24"/>
        </w:rPr>
        <w:t xml:space="preserve">Комитетом  </w:t>
      </w:r>
      <w:r w:rsidRPr="004D1EA6">
        <w:rPr>
          <w:rFonts w:ascii="Times New Roman" w:hAnsi="Times New Roman" w:cs="Times New Roman"/>
          <w:sz w:val="24"/>
          <w:szCs w:val="24"/>
        </w:rPr>
        <w:t>указан</w:t>
      </w:r>
      <w:r w:rsidR="00E823B6" w:rsidRPr="004D1EA6">
        <w:rPr>
          <w:rFonts w:ascii="Times New Roman" w:hAnsi="Times New Roman" w:cs="Times New Roman"/>
          <w:sz w:val="24"/>
          <w:szCs w:val="24"/>
        </w:rPr>
        <w:t>а информация о  достижении</w:t>
      </w:r>
      <w:r w:rsidRPr="004D1EA6">
        <w:rPr>
          <w:rFonts w:ascii="Times New Roman" w:hAnsi="Times New Roman" w:cs="Times New Roman"/>
          <w:sz w:val="24"/>
          <w:szCs w:val="24"/>
        </w:rPr>
        <w:t xml:space="preserve"> 17 целевых показателей </w:t>
      </w:r>
      <w:r w:rsidR="00E823B6" w:rsidRPr="004D1EA6">
        <w:rPr>
          <w:rFonts w:ascii="Times New Roman" w:hAnsi="Times New Roman" w:cs="Times New Roman"/>
          <w:sz w:val="24"/>
          <w:szCs w:val="24"/>
        </w:rPr>
        <w:t>государственной программы Волгоградской области "Защита населения и территории от чрезвычайных ситуаций, обеспечение пожарной безопасности" на 2014 - 2017 годы", утверждённой постановлением Правительства Волгоградской обл. от 22.11.2013 N 650-п (далее – Госпрограмма)</w:t>
      </w:r>
      <w:r w:rsidR="006C39B5" w:rsidRPr="004D1E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C8E" w:rsidRDefault="007B27FB" w:rsidP="009A22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4D1EA6" w:rsidRPr="004D1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4D1EA6" w:rsidRPr="004D1EA6">
        <w:rPr>
          <w:rFonts w:ascii="Times New Roman" w:hAnsi="Times New Roman" w:cs="Times New Roman"/>
          <w:sz w:val="24"/>
          <w:szCs w:val="24"/>
        </w:rPr>
        <w:t>форме отчётности з</w:t>
      </w:r>
      <w:r w:rsidR="006C39B5" w:rsidRPr="004D1EA6">
        <w:rPr>
          <w:rFonts w:ascii="Times New Roman" w:hAnsi="Times New Roman" w:cs="Times New Roman"/>
          <w:sz w:val="24"/>
          <w:szCs w:val="24"/>
        </w:rPr>
        <w:t xml:space="preserve">начения плановых и фактических показателей </w:t>
      </w:r>
      <w:r w:rsidR="00552C8E" w:rsidRPr="004D1EA6">
        <w:rPr>
          <w:rFonts w:ascii="Times New Roman" w:hAnsi="Times New Roman" w:cs="Times New Roman"/>
          <w:sz w:val="24"/>
          <w:szCs w:val="24"/>
        </w:rPr>
        <w:t xml:space="preserve">государственного задания </w:t>
      </w:r>
      <w:r w:rsidR="006C39B5" w:rsidRPr="004D1EA6">
        <w:rPr>
          <w:rFonts w:ascii="Times New Roman" w:hAnsi="Times New Roman" w:cs="Times New Roman"/>
          <w:sz w:val="24"/>
          <w:szCs w:val="24"/>
        </w:rPr>
        <w:t>не соответств</w:t>
      </w:r>
      <w:r w:rsidR="004D1EA6" w:rsidRPr="004D1EA6">
        <w:rPr>
          <w:rFonts w:ascii="Times New Roman" w:hAnsi="Times New Roman" w:cs="Times New Roman"/>
          <w:sz w:val="24"/>
          <w:szCs w:val="24"/>
        </w:rPr>
        <w:t>овали</w:t>
      </w:r>
      <w:r w:rsidR="00552C8E" w:rsidRPr="004D1EA6">
        <w:rPr>
          <w:rFonts w:ascii="Times New Roman" w:hAnsi="Times New Roman" w:cs="Times New Roman"/>
          <w:sz w:val="24"/>
          <w:szCs w:val="24"/>
        </w:rPr>
        <w:t xml:space="preserve"> значениям показателей </w:t>
      </w:r>
      <w:r w:rsidR="00552C8E" w:rsidRPr="007B27FB">
        <w:rPr>
          <w:rFonts w:ascii="Times New Roman" w:hAnsi="Times New Roman" w:cs="Times New Roman"/>
          <w:sz w:val="24"/>
          <w:szCs w:val="24"/>
          <w:u w:val="single"/>
        </w:rPr>
        <w:t>отчёта о выполнении государственного задания</w:t>
      </w:r>
      <w:r w:rsidR="00552C8E" w:rsidRPr="004D1EA6">
        <w:rPr>
          <w:rFonts w:ascii="Times New Roman" w:hAnsi="Times New Roman" w:cs="Times New Roman"/>
          <w:sz w:val="24"/>
          <w:szCs w:val="24"/>
        </w:rPr>
        <w:t>, представленного ГБУ «УМЦ».</w:t>
      </w:r>
    </w:p>
    <w:p w:rsidR="00E823B6" w:rsidRDefault="00552C8E" w:rsidP="00E823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4D1EA6">
        <w:rPr>
          <w:rFonts w:ascii="Times New Roman" w:hAnsi="Times New Roman" w:cs="Times New Roman"/>
          <w:sz w:val="24"/>
          <w:szCs w:val="24"/>
        </w:rPr>
        <w:t xml:space="preserve">исправленная </w:t>
      </w:r>
      <w:r>
        <w:rPr>
          <w:rFonts w:ascii="Times New Roman" w:hAnsi="Times New Roman" w:cs="Times New Roman"/>
          <w:sz w:val="24"/>
          <w:szCs w:val="24"/>
        </w:rPr>
        <w:t xml:space="preserve">форма отчётности </w:t>
      </w:r>
      <w:r w:rsidR="004D1EA6">
        <w:rPr>
          <w:rFonts w:ascii="Times New Roman" w:hAnsi="Times New Roman" w:cs="Times New Roman"/>
          <w:sz w:val="24"/>
          <w:szCs w:val="24"/>
        </w:rPr>
        <w:t xml:space="preserve">представлена  </w:t>
      </w:r>
      <w:r w:rsidR="00573693">
        <w:rPr>
          <w:rFonts w:ascii="Times New Roman" w:hAnsi="Times New Roman" w:cs="Times New Roman"/>
          <w:sz w:val="24"/>
          <w:szCs w:val="24"/>
        </w:rPr>
        <w:t xml:space="preserve">в  комитет финансов Волгоградской области (далее – </w:t>
      </w:r>
      <w:proofErr w:type="spellStart"/>
      <w:r w:rsidR="00573693">
        <w:rPr>
          <w:rFonts w:ascii="Times New Roman" w:hAnsi="Times New Roman" w:cs="Times New Roman"/>
          <w:sz w:val="24"/>
          <w:szCs w:val="24"/>
        </w:rPr>
        <w:t>Облфин</w:t>
      </w:r>
      <w:proofErr w:type="spellEnd"/>
      <w:r w:rsidR="00573693">
        <w:rPr>
          <w:rFonts w:ascii="Times New Roman" w:hAnsi="Times New Roman" w:cs="Times New Roman"/>
          <w:sz w:val="24"/>
          <w:szCs w:val="24"/>
        </w:rPr>
        <w:t>)</w:t>
      </w:r>
      <w:r w:rsidR="00E823B6">
        <w:rPr>
          <w:rFonts w:ascii="Times New Roman" w:hAnsi="Times New Roman" w:cs="Times New Roman"/>
          <w:sz w:val="24"/>
          <w:szCs w:val="24"/>
        </w:rPr>
        <w:t>;</w:t>
      </w:r>
    </w:p>
    <w:p w:rsidR="00D1173F" w:rsidRPr="00CC71A5" w:rsidRDefault="00CC71A5" w:rsidP="00CC71A5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="00EF094B">
        <w:rPr>
          <w:rFonts w:eastAsiaTheme="minorHAnsi"/>
        </w:rPr>
        <w:t xml:space="preserve"> </w:t>
      </w:r>
      <w:r w:rsidRPr="00CC71A5">
        <w:rPr>
          <w:rFonts w:eastAsiaTheme="minorHAnsi"/>
        </w:rPr>
        <w:t>в</w:t>
      </w:r>
      <w:r w:rsidR="00EF094B" w:rsidRPr="00CC71A5">
        <w:rPr>
          <w:rFonts w:eastAsiaTheme="minorHAnsi"/>
        </w:rPr>
        <w:t xml:space="preserve"> соответствии с п.п. 56, 58 Инструкции </w:t>
      </w:r>
      <w:r w:rsidR="00D1173F">
        <w:rPr>
          <w:rFonts w:eastAsiaTheme="minorHAnsi"/>
        </w:rPr>
        <w:t xml:space="preserve">по применению </w:t>
      </w:r>
      <w:r w:rsidR="00D1173F">
        <w:t>Единого плана счетов бухгалтерского учета для органов государственной власти (государственных органов), утверждённой приказом Минфина России от 01.12.2010 N 157н (далее - Инструкция</w:t>
      </w:r>
      <w:r w:rsidR="00D1173F" w:rsidRPr="00CC71A5">
        <w:rPr>
          <w:rFonts w:eastAsiaTheme="minorHAnsi"/>
        </w:rPr>
        <w:t xml:space="preserve"> </w:t>
      </w:r>
      <w:r w:rsidR="00EF094B" w:rsidRPr="00CC71A5">
        <w:rPr>
          <w:rFonts w:eastAsiaTheme="minorHAnsi"/>
        </w:rPr>
        <w:t>№ 157н</w:t>
      </w:r>
      <w:r w:rsidR="00D1173F">
        <w:rPr>
          <w:rFonts w:eastAsiaTheme="minorHAnsi"/>
        </w:rPr>
        <w:t>),</w:t>
      </w:r>
      <w:r w:rsidR="00EF094B" w:rsidRPr="00CC71A5">
        <w:rPr>
          <w:rFonts w:eastAsiaTheme="minorHAnsi"/>
        </w:rPr>
        <w:t xml:space="preserve">  исключительные права на использование продукта интеллектуальной деятельности (в т.ч. программных продуктов для ЭВМ) относятся к нематериальным активам. Согласно п. 66 Инструкции № 157н нематериальные активы, полученные в пользование, учитываются пользователем (лицензиатом) на </w:t>
      </w:r>
      <w:proofErr w:type="spellStart"/>
      <w:r w:rsidR="00EF094B" w:rsidRPr="00CC71A5">
        <w:rPr>
          <w:rFonts w:eastAsiaTheme="minorHAnsi"/>
        </w:rPr>
        <w:t>забалансовом</w:t>
      </w:r>
      <w:proofErr w:type="spellEnd"/>
      <w:r w:rsidR="00EF094B" w:rsidRPr="00CC71A5">
        <w:rPr>
          <w:rFonts w:eastAsiaTheme="minorHAnsi"/>
        </w:rPr>
        <w:t xml:space="preserve"> счете  01</w:t>
      </w:r>
      <w:r>
        <w:rPr>
          <w:rFonts w:eastAsiaTheme="minorHAnsi"/>
        </w:rPr>
        <w:t xml:space="preserve"> «</w:t>
      </w:r>
      <w:r w:rsidR="00EF094B" w:rsidRPr="00CC71A5">
        <w:rPr>
          <w:rFonts w:eastAsiaTheme="minorHAnsi"/>
        </w:rPr>
        <w:t>Имущество, полученное в пользование</w:t>
      </w:r>
      <w:r>
        <w:rPr>
          <w:rFonts w:eastAsiaTheme="minorHAnsi"/>
        </w:rPr>
        <w:t xml:space="preserve">» </w:t>
      </w:r>
      <w:r w:rsidR="00EF094B" w:rsidRPr="00CC71A5">
        <w:rPr>
          <w:rFonts w:eastAsiaTheme="minorHAnsi"/>
        </w:rPr>
        <w:t xml:space="preserve">в оценке, определяемой исходя </w:t>
      </w:r>
      <w:r w:rsidR="00EF094B" w:rsidRPr="00CC71A5">
        <w:rPr>
          <w:rFonts w:eastAsiaTheme="minorHAnsi"/>
          <w:u w:val="single"/>
        </w:rPr>
        <w:t>из размера вознаграждения, установленного в договоре.</w:t>
      </w:r>
      <w:r w:rsidR="00EF094B" w:rsidRPr="00CC71A5">
        <w:rPr>
          <w:rFonts w:eastAsiaTheme="minorHAnsi"/>
        </w:rPr>
        <w:t xml:space="preserve">  Платежи за предоставленное право использования результатов интеллектуальной деятельности или средств индивидуализации, производимые в виде периодических платежей, исчисляемые и уплачиваемые в порядке и сроки, установленные договором, включаются пользователем (лицензиатом) в расходы отчетного периода.</w:t>
      </w:r>
    </w:p>
    <w:p w:rsidR="00205858" w:rsidRDefault="008D35BB" w:rsidP="00EF094B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</w:t>
      </w:r>
      <w:r w:rsidR="00EF094B" w:rsidRPr="00CC71A5">
        <w:rPr>
          <w:rFonts w:eastAsiaTheme="minorHAnsi"/>
        </w:rPr>
        <w:t xml:space="preserve"> 201</w:t>
      </w:r>
      <w:r w:rsidR="00CC71A5" w:rsidRPr="00CC71A5">
        <w:rPr>
          <w:rFonts w:eastAsiaTheme="minorHAnsi"/>
        </w:rPr>
        <w:t>6</w:t>
      </w:r>
      <w:r w:rsidR="00EF094B" w:rsidRPr="00CC71A5">
        <w:rPr>
          <w:rFonts w:eastAsiaTheme="minorHAnsi"/>
        </w:rPr>
        <w:t xml:space="preserve"> году </w:t>
      </w:r>
      <w:r w:rsidR="00CC71A5" w:rsidRPr="00CC71A5">
        <w:rPr>
          <w:rFonts w:eastAsiaTheme="minorHAnsi"/>
        </w:rPr>
        <w:t>Комитету</w:t>
      </w:r>
      <w:r>
        <w:rPr>
          <w:rFonts w:eastAsiaTheme="minorHAnsi"/>
        </w:rPr>
        <w:t xml:space="preserve"> и его</w:t>
      </w:r>
      <w:r w:rsidR="00A632C4">
        <w:rPr>
          <w:rFonts w:eastAsiaTheme="minorHAnsi"/>
        </w:rPr>
        <w:t xml:space="preserve"> 8</w:t>
      </w:r>
      <w:r>
        <w:rPr>
          <w:rFonts w:eastAsiaTheme="minorHAnsi"/>
        </w:rPr>
        <w:t xml:space="preserve"> подведомственным </w:t>
      </w:r>
      <w:r w:rsidR="00952250">
        <w:rPr>
          <w:rFonts w:eastAsiaTheme="minorHAnsi"/>
        </w:rPr>
        <w:t xml:space="preserve">казенным </w:t>
      </w:r>
      <w:r>
        <w:rPr>
          <w:rFonts w:eastAsiaTheme="minorHAnsi"/>
        </w:rPr>
        <w:t xml:space="preserve">учреждениям </w:t>
      </w:r>
      <w:r w:rsidR="00CC71A5" w:rsidRPr="00CC71A5">
        <w:rPr>
          <w:rFonts w:eastAsiaTheme="minorHAnsi"/>
        </w:rPr>
        <w:t xml:space="preserve"> </w:t>
      </w:r>
      <w:r w:rsidR="00EF094B" w:rsidRPr="00CC71A5">
        <w:rPr>
          <w:rFonts w:eastAsiaTheme="minorHAnsi"/>
        </w:rPr>
        <w:t xml:space="preserve">оказаны услуги </w:t>
      </w:r>
      <w:r w:rsidR="00EF094B" w:rsidRPr="00CC71A5">
        <w:rPr>
          <w:rFonts w:eastAsiaTheme="minorHAnsi"/>
          <w:u w:val="single"/>
        </w:rPr>
        <w:t>по продлению существующих лицензий</w:t>
      </w:r>
      <w:r w:rsidR="00EF094B" w:rsidRPr="00CC71A5">
        <w:rPr>
          <w:rFonts w:eastAsiaTheme="minorHAnsi"/>
        </w:rPr>
        <w:t xml:space="preserve"> на неисключительные права по использованию </w:t>
      </w:r>
      <w:r w:rsidR="00205858">
        <w:rPr>
          <w:rFonts w:eastAsiaTheme="minorHAnsi"/>
        </w:rPr>
        <w:t>4</w:t>
      </w:r>
      <w:r w:rsidR="00EF094B" w:rsidRPr="00952250">
        <w:rPr>
          <w:rFonts w:eastAsiaTheme="minorHAnsi"/>
        </w:rPr>
        <w:t xml:space="preserve"> </w:t>
      </w:r>
      <w:r w:rsidR="00EF094B" w:rsidRPr="008D35BB">
        <w:rPr>
          <w:rFonts w:eastAsiaTheme="minorHAnsi"/>
        </w:rPr>
        <w:t>программных продуктов</w:t>
      </w:r>
      <w:r w:rsidR="00205858">
        <w:rPr>
          <w:rFonts w:eastAsiaTheme="minorHAnsi"/>
        </w:rPr>
        <w:t xml:space="preserve"> (</w:t>
      </w:r>
      <w:proofErr w:type="spellStart"/>
      <w:r w:rsidR="00205858">
        <w:rPr>
          <w:rFonts w:eastAsiaTheme="minorHAnsi"/>
          <w:lang w:val="en-US"/>
        </w:rPr>
        <w:t>Sekret</w:t>
      </w:r>
      <w:proofErr w:type="spellEnd"/>
      <w:r w:rsidR="00205858" w:rsidRPr="00205858">
        <w:rPr>
          <w:rFonts w:eastAsiaTheme="minorHAnsi"/>
        </w:rPr>
        <w:t xml:space="preserve"> </w:t>
      </w:r>
      <w:r w:rsidR="00205858">
        <w:rPr>
          <w:rFonts w:eastAsiaTheme="minorHAnsi"/>
          <w:lang w:val="en-US"/>
        </w:rPr>
        <w:t>Net</w:t>
      </w:r>
      <w:r w:rsidR="00205858" w:rsidRPr="00205858">
        <w:rPr>
          <w:rFonts w:eastAsiaTheme="minorHAnsi"/>
        </w:rPr>
        <w:t xml:space="preserve"> 7, </w:t>
      </w:r>
      <w:proofErr w:type="spellStart"/>
      <w:r w:rsidR="00205858">
        <w:rPr>
          <w:rFonts w:eastAsiaTheme="minorHAnsi"/>
          <w:lang w:val="en-US"/>
        </w:rPr>
        <w:t>WinPro</w:t>
      </w:r>
      <w:proofErr w:type="spellEnd"/>
      <w:r w:rsidR="00205858" w:rsidRPr="00205858">
        <w:rPr>
          <w:rFonts w:eastAsiaTheme="minorHAnsi"/>
        </w:rPr>
        <w:t xml:space="preserve"> 10, </w:t>
      </w:r>
      <w:proofErr w:type="spellStart"/>
      <w:r w:rsidR="00205858">
        <w:rPr>
          <w:rFonts w:eastAsiaTheme="minorHAnsi"/>
          <w:lang w:val="en-US"/>
        </w:rPr>
        <w:t>WinPro</w:t>
      </w:r>
      <w:proofErr w:type="spellEnd"/>
      <w:r w:rsidR="00205858" w:rsidRPr="00205858">
        <w:rPr>
          <w:rFonts w:eastAsiaTheme="minorHAnsi"/>
        </w:rPr>
        <w:t xml:space="preserve"> 8.1, </w:t>
      </w:r>
      <w:proofErr w:type="spellStart"/>
      <w:r w:rsidR="00205858">
        <w:rPr>
          <w:rFonts w:eastAsiaTheme="minorHAnsi"/>
        </w:rPr>
        <w:t>СБиС</w:t>
      </w:r>
      <w:proofErr w:type="spellEnd"/>
      <w:r w:rsidR="00205858">
        <w:rPr>
          <w:rFonts w:eastAsiaTheme="minorHAnsi"/>
        </w:rPr>
        <w:t xml:space="preserve"> ЭО)</w:t>
      </w:r>
      <w:r>
        <w:rPr>
          <w:rFonts w:eastAsiaTheme="minorHAnsi"/>
        </w:rPr>
        <w:t xml:space="preserve"> </w:t>
      </w:r>
      <w:r w:rsidRPr="008D35BB">
        <w:rPr>
          <w:rFonts w:eastAsiaTheme="minorHAnsi"/>
        </w:rPr>
        <w:t xml:space="preserve"> на сумму 2</w:t>
      </w:r>
      <w:r w:rsidR="00205858">
        <w:rPr>
          <w:rFonts w:eastAsiaTheme="minorHAnsi"/>
        </w:rPr>
        <w:t>0</w:t>
      </w:r>
      <w:r w:rsidR="00D452F2">
        <w:rPr>
          <w:rFonts w:eastAsiaTheme="minorHAnsi"/>
        </w:rPr>
        <w:t>3</w:t>
      </w:r>
      <w:r w:rsidR="00205858">
        <w:rPr>
          <w:rFonts w:eastAsiaTheme="minorHAnsi"/>
        </w:rPr>
        <w:t>,3</w:t>
      </w:r>
      <w:r w:rsidRPr="008D35BB">
        <w:rPr>
          <w:rFonts w:eastAsiaTheme="minorHAnsi"/>
        </w:rPr>
        <w:t xml:space="preserve"> тыс. руб</w:t>
      </w:r>
      <w:r w:rsidR="00692859">
        <w:rPr>
          <w:rFonts w:eastAsiaTheme="minorHAnsi"/>
        </w:rPr>
        <w:t>лей</w:t>
      </w:r>
      <w:r w:rsidRPr="008D35BB">
        <w:rPr>
          <w:rFonts w:eastAsiaTheme="minorHAnsi"/>
        </w:rPr>
        <w:t>.</w:t>
      </w:r>
      <w:r w:rsidR="00692859">
        <w:rPr>
          <w:rFonts w:eastAsiaTheme="minorHAnsi"/>
        </w:rPr>
        <w:t xml:space="preserve"> </w:t>
      </w:r>
      <w:r w:rsidR="00EF094B" w:rsidRPr="00CC71A5">
        <w:rPr>
          <w:rFonts w:eastAsiaTheme="minorHAnsi"/>
        </w:rPr>
        <w:t xml:space="preserve">При существующих периодических платежах за право пользования программными продуктами сами эти программные продукты на </w:t>
      </w:r>
      <w:proofErr w:type="spellStart"/>
      <w:r w:rsidR="00EF094B" w:rsidRPr="00CC71A5">
        <w:rPr>
          <w:rFonts w:eastAsiaTheme="minorHAnsi"/>
        </w:rPr>
        <w:t>забалансовом</w:t>
      </w:r>
      <w:proofErr w:type="spellEnd"/>
      <w:r w:rsidR="00EF094B" w:rsidRPr="00CC71A5">
        <w:rPr>
          <w:rFonts w:eastAsiaTheme="minorHAnsi"/>
        </w:rPr>
        <w:t xml:space="preserve"> счёте 01 </w:t>
      </w:r>
      <w:r w:rsidR="00CC71A5" w:rsidRPr="00CC71A5">
        <w:rPr>
          <w:rFonts w:eastAsiaTheme="minorHAnsi"/>
        </w:rPr>
        <w:t>Комитетом</w:t>
      </w:r>
      <w:r>
        <w:rPr>
          <w:rFonts w:eastAsiaTheme="minorHAnsi"/>
        </w:rPr>
        <w:t xml:space="preserve"> и его подведомственными учреждениями </w:t>
      </w:r>
      <w:r w:rsidR="00CC71A5" w:rsidRPr="00CC71A5">
        <w:rPr>
          <w:rFonts w:eastAsiaTheme="minorHAnsi"/>
        </w:rPr>
        <w:t xml:space="preserve"> </w:t>
      </w:r>
      <w:r w:rsidR="00EF094B" w:rsidRPr="00CC71A5">
        <w:rPr>
          <w:rFonts w:eastAsiaTheme="minorHAnsi"/>
        </w:rPr>
        <w:t>не учтены</w:t>
      </w:r>
      <w:r w:rsidR="00CC71A5" w:rsidRPr="00CC71A5">
        <w:rPr>
          <w:rFonts w:eastAsiaTheme="minorHAnsi"/>
        </w:rPr>
        <w:t xml:space="preserve">,  что является нарушением п. 66 Инструкции № 157н. Данное нарушение бухгалтерского учёта </w:t>
      </w:r>
      <w:r w:rsidR="00EF094B" w:rsidRPr="00CC71A5">
        <w:rPr>
          <w:rFonts w:eastAsiaTheme="minorHAnsi"/>
        </w:rPr>
        <w:t xml:space="preserve"> </w:t>
      </w:r>
      <w:r w:rsidR="00CC71A5" w:rsidRPr="00CC71A5">
        <w:rPr>
          <w:rFonts w:eastAsiaTheme="minorHAnsi"/>
        </w:rPr>
        <w:t>привело к искажению двух форм бюджетного учёта</w:t>
      </w:r>
      <w:r w:rsidR="00695D18">
        <w:rPr>
          <w:rFonts w:eastAsiaTheme="minorHAnsi"/>
        </w:rPr>
        <w:t xml:space="preserve"> - в</w:t>
      </w:r>
      <w:r w:rsidR="00EF094B" w:rsidRPr="00CC71A5">
        <w:rPr>
          <w:rFonts w:eastAsiaTheme="minorHAnsi"/>
        </w:rPr>
        <w:t xml:space="preserve"> </w:t>
      </w:r>
      <w:r w:rsidR="00CC71A5" w:rsidRPr="00CC71A5">
        <w:rPr>
          <w:rFonts w:eastAsiaTheme="minorHAnsi"/>
        </w:rPr>
        <w:t>«</w:t>
      </w:r>
      <w:r w:rsidR="00EF094B" w:rsidRPr="00CC71A5">
        <w:rPr>
          <w:rFonts w:eastAsiaTheme="minorHAnsi"/>
        </w:rPr>
        <w:t>Справк</w:t>
      </w:r>
      <w:r w:rsidR="00695D18">
        <w:rPr>
          <w:rFonts w:eastAsiaTheme="minorHAnsi"/>
        </w:rPr>
        <w:t>е</w:t>
      </w:r>
      <w:r w:rsidR="00EF094B" w:rsidRPr="00CC71A5">
        <w:rPr>
          <w:rFonts w:eastAsiaTheme="minorHAnsi"/>
        </w:rPr>
        <w:t xml:space="preserve"> о наличии имущества и обязательств на </w:t>
      </w:r>
      <w:proofErr w:type="spellStart"/>
      <w:r w:rsidR="00EF094B" w:rsidRPr="00CC71A5">
        <w:rPr>
          <w:rFonts w:eastAsiaTheme="minorHAnsi"/>
        </w:rPr>
        <w:t>забалансовых</w:t>
      </w:r>
      <w:proofErr w:type="spellEnd"/>
      <w:r w:rsidR="00EF094B" w:rsidRPr="00CC71A5">
        <w:rPr>
          <w:rFonts w:eastAsiaTheme="minorHAnsi"/>
        </w:rPr>
        <w:t xml:space="preserve"> счетах</w:t>
      </w:r>
      <w:r w:rsidR="00695D18">
        <w:rPr>
          <w:rFonts w:eastAsiaTheme="minorHAnsi"/>
        </w:rPr>
        <w:t>»,</w:t>
      </w:r>
      <w:r w:rsidR="00EF094B" w:rsidRPr="00CC71A5">
        <w:rPr>
          <w:rFonts w:eastAsiaTheme="minorHAnsi"/>
        </w:rPr>
        <w:t xml:space="preserve">  являющейся приложением к Балансу</w:t>
      </w:r>
      <w:r w:rsidR="00CC71A5" w:rsidRPr="00CC71A5">
        <w:rPr>
          <w:rFonts w:eastAsiaTheme="minorHAnsi"/>
        </w:rPr>
        <w:t xml:space="preserve"> (форма 0503130)</w:t>
      </w:r>
      <w:r w:rsidR="00D1173F">
        <w:rPr>
          <w:rFonts w:eastAsiaTheme="minorHAnsi"/>
        </w:rPr>
        <w:t>,</w:t>
      </w:r>
      <w:r w:rsidR="00CC71A5" w:rsidRPr="00CC71A5">
        <w:rPr>
          <w:rFonts w:eastAsiaTheme="minorHAnsi"/>
        </w:rPr>
        <w:t xml:space="preserve"> и в </w:t>
      </w:r>
      <w:r w:rsidR="00695D18">
        <w:rPr>
          <w:rFonts w:eastAsiaTheme="minorHAnsi"/>
        </w:rPr>
        <w:t>«</w:t>
      </w:r>
      <w:r w:rsidR="00CC71A5" w:rsidRPr="00CC71A5">
        <w:rPr>
          <w:rFonts w:eastAsiaTheme="minorHAnsi"/>
        </w:rPr>
        <w:t>Сведениях о движении нефинансовых актив</w:t>
      </w:r>
      <w:r w:rsidR="00D1173F">
        <w:rPr>
          <w:rFonts w:eastAsiaTheme="minorHAnsi"/>
        </w:rPr>
        <w:t>ов»</w:t>
      </w:r>
      <w:r w:rsidR="00CC71A5" w:rsidRPr="00CC71A5">
        <w:rPr>
          <w:rFonts w:eastAsiaTheme="minorHAnsi"/>
        </w:rPr>
        <w:t xml:space="preserve"> (форм</w:t>
      </w:r>
      <w:r w:rsidR="00695D18">
        <w:rPr>
          <w:rFonts w:eastAsiaTheme="minorHAnsi"/>
        </w:rPr>
        <w:t>а</w:t>
      </w:r>
      <w:r w:rsidR="00CC71A5" w:rsidRPr="00CC71A5">
        <w:rPr>
          <w:rFonts w:eastAsiaTheme="minorHAnsi"/>
        </w:rPr>
        <w:t xml:space="preserve"> 0503168)</w:t>
      </w:r>
      <w:r w:rsidR="00EF094B" w:rsidRPr="00CC71A5">
        <w:rPr>
          <w:rFonts w:eastAsiaTheme="minorHAnsi"/>
        </w:rPr>
        <w:t xml:space="preserve"> </w:t>
      </w:r>
      <w:r w:rsidR="00695D18">
        <w:rPr>
          <w:rFonts w:eastAsiaTheme="minorHAnsi"/>
        </w:rPr>
        <w:t xml:space="preserve">занижены показатели по счёту 01 на конец отчётного периода на </w:t>
      </w:r>
      <w:r w:rsidR="00695D18" w:rsidRPr="00205858">
        <w:rPr>
          <w:rFonts w:eastAsiaTheme="minorHAnsi"/>
        </w:rPr>
        <w:t>2</w:t>
      </w:r>
      <w:r w:rsidR="00205858">
        <w:rPr>
          <w:rFonts w:eastAsiaTheme="minorHAnsi"/>
        </w:rPr>
        <w:t>03,3</w:t>
      </w:r>
      <w:r w:rsidR="00695D18">
        <w:rPr>
          <w:rFonts w:eastAsiaTheme="minorHAnsi"/>
        </w:rPr>
        <w:t xml:space="preserve"> тыс. рублей. </w:t>
      </w:r>
    </w:p>
    <w:p w:rsidR="00EF094B" w:rsidRDefault="00695D18" w:rsidP="00EF094B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</w:t>
      </w:r>
      <w:r w:rsidR="000700E2">
        <w:rPr>
          <w:rFonts w:eastAsiaTheme="minorHAnsi"/>
        </w:rPr>
        <w:t>ходе</w:t>
      </w:r>
      <w:r>
        <w:rPr>
          <w:rFonts w:eastAsiaTheme="minorHAnsi"/>
        </w:rPr>
        <w:t xml:space="preserve"> проверки Комитетом </w:t>
      </w:r>
      <w:r w:rsidR="006656B2">
        <w:rPr>
          <w:rFonts w:eastAsiaTheme="minorHAnsi"/>
        </w:rPr>
        <w:t xml:space="preserve">и его подведомственными </w:t>
      </w:r>
      <w:r w:rsidR="00952250">
        <w:rPr>
          <w:rFonts w:eastAsiaTheme="minorHAnsi"/>
        </w:rPr>
        <w:t xml:space="preserve">казёнными </w:t>
      </w:r>
      <w:r w:rsidR="006656B2">
        <w:rPr>
          <w:rFonts w:eastAsiaTheme="minorHAnsi"/>
        </w:rPr>
        <w:t xml:space="preserve">учреждениями </w:t>
      </w:r>
      <w:r>
        <w:rPr>
          <w:rFonts w:eastAsiaTheme="minorHAnsi"/>
        </w:rPr>
        <w:t>внесены исправления в бухгалтерский учёт</w:t>
      </w:r>
      <w:r w:rsidR="007B27FB">
        <w:rPr>
          <w:rFonts w:eastAsiaTheme="minorHAnsi"/>
        </w:rPr>
        <w:t>;</w:t>
      </w:r>
      <w:r>
        <w:rPr>
          <w:rFonts w:eastAsiaTheme="minorHAnsi"/>
        </w:rPr>
        <w:t xml:space="preserve"> </w:t>
      </w:r>
      <w:r w:rsidR="007B27FB">
        <w:rPr>
          <w:rFonts w:eastAsiaTheme="minorHAnsi"/>
        </w:rPr>
        <w:t xml:space="preserve">сводная форма бюджетной отчётности </w:t>
      </w:r>
      <w:r w:rsidR="000700E2">
        <w:rPr>
          <w:rFonts w:eastAsiaTheme="minorHAnsi"/>
        </w:rPr>
        <w:t xml:space="preserve"> представлен</w:t>
      </w:r>
      <w:r w:rsidR="007B27FB">
        <w:rPr>
          <w:rFonts w:eastAsiaTheme="minorHAnsi"/>
        </w:rPr>
        <w:t>а</w:t>
      </w:r>
      <w:r w:rsidR="000700E2">
        <w:rPr>
          <w:rFonts w:eastAsiaTheme="minorHAnsi"/>
        </w:rPr>
        <w:t xml:space="preserve"> в</w:t>
      </w:r>
      <w:r w:rsidR="00573693">
        <w:rPr>
          <w:rFonts w:eastAsiaTheme="minorHAnsi"/>
        </w:rPr>
        <w:t xml:space="preserve"> </w:t>
      </w:r>
      <w:proofErr w:type="spellStart"/>
      <w:r w:rsidR="00573693">
        <w:rPr>
          <w:rFonts w:eastAsiaTheme="minorHAnsi"/>
        </w:rPr>
        <w:t>Облфин</w:t>
      </w:r>
      <w:proofErr w:type="spellEnd"/>
      <w:r w:rsidR="000700E2">
        <w:rPr>
          <w:rFonts w:eastAsiaTheme="minorHAnsi"/>
        </w:rPr>
        <w:t>;</w:t>
      </w:r>
    </w:p>
    <w:p w:rsidR="000114C4" w:rsidRPr="000114C4" w:rsidRDefault="00B03883" w:rsidP="000114C4">
      <w:pPr>
        <w:pStyle w:val="a3"/>
        <w:ind w:left="0" w:firstLine="851"/>
        <w:jc w:val="both"/>
      </w:pPr>
      <w:proofErr w:type="gramStart"/>
      <w:r>
        <w:t xml:space="preserve">- </w:t>
      </w:r>
      <w:r w:rsidR="0033151C">
        <w:t xml:space="preserve">в 2016 году Комитетом  получены в безвозмездное пользование от </w:t>
      </w:r>
      <w:r w:rsidR="00205858" w:rsidRPr="00205858">
        <w:t>ФГКУ "Ногинский СЦ МЧС России"</w:t>
      </w:r>
      <w:r w:rsidR="0033151C">
        <w:t xml:space="preserve"> 10 специализированных автотранспортных средств АРС-14 на сумму 10 987,5 тыс. руб. и переданы в безвозмездное пользование ГКУ «1 </w:t>
      </w:r>
      <w:r w:rsidR="00D1173F">
        <w:t>отряд противопожарной службы</w:t>
      </w:r>
      <w:r w:rsidR="0033151C">
        <w:t>»</w:t>
      </w:r>
      <w:r w:rsidR="00D1173F">
        <w:t xml:space="preserve"> (далее  – ГКУ «1отряд ПС»)</w:t>
      </w:r>
      <w:r w:rsidR="0033151C">
        <w:t xml:space="preserve"> по договору № 6 от 03.06.2016.</w:t>
      </w:r>
      <w:proofErr w:type="gramEnd"/>
      <w:r w:rsidR="0033151C">
        <w:t xml:space="preserve"> Операции по учёту передачи данных автотранспортных средств  не учитывались</w:t>
      </w:r>
      <w:r w:rsidR="008758F9">
        <w:t xml:space="preserve"> Комитетом</w:t>
      </w:r>
      <w:r w:rsidR="00573693">
        <w:t xml:space="preserve"> </w:t>
      </w:r>
      <w:r w:rsidR="000114C4">
        <w:t xml:space="preserve">на </w:t>
      </w:r>
      <w:proofErr w:type="spellStart"/>
      <w:r w:rsidR="000114C4">
        <w:t>забалансовом</w:t>
      </w:r>
      <w:proofErr w:type="spellEnd"/>
      <w:r w:rsidR="000114C4">
        <w:t xml:space="preserve"> счёте 26 «Имущество, переданное в безвозмездное пользование». </w:t>
      </w:r>
      <w:r w:rsidR="002378A2">
        <w:t xml:space="preserve">Операции по учёту получения  </w:t>
      </w:r>
      <w:r w:rsidR="007B27FB">
        <w:t xml:space="preserve">10 </w:t>
      </w:r>
      <w:r w:rsidR="002378A2">
        <w:t xml:space="preserve">АРС-14 не учтены </w:t>
      </w:r>
      <w:r w:rsidR="000114C4">
        <w:t>ГКУ «1</w:t>
      </w:r>
      <w:r w:rsidR="00D1173F">
        <w:t xml:space="preserve">отряд </w:t>
      </w:r>
      <w:r w:rsidR="000114C4">
        <w:t xml:space="preserve">ПС»  в бухгалтерском учёте на </w:t>
      </w:r>
      <w:proofErr w:type="spellStart"/>
      <w:r w:rsidR="000114C4">
        <w:t>забалансовом</w:t>
      </w:r>
      <w:proofErr w:type="spellEnd"/>
      <w:r w:rsidR="000114C4">
        <w:t xml:space="preserve"> счёте </w:t>
      </w:r>
      <w:r w:rsidR="008758F9">
        <w:t xml:space="preserve">  </w:t>
      </w:r>
      <w:r w:rsidR="000114C4">
        <w:t>01 «Имущество, полученное в пользование»</w:t>
      </w:r>
      <w:r w:rsidR="002378A2">
        <w:t>.</w:t>
      </w:r>
      <w:r w:rsidR="000114C4">
        <w:t xml:space="preserve"> </w:t>
      </w:r>
      <w:proofErr w:type="gramStart"/>
      <w:r w:rsidR="001A6AD8">
        <w:t xml:space="preserve">Отсутствие в учёте </w:t>
      </w:r>
      <w:r w:rsidR="001A6AD8">
        <w:lastRenderedPageBreak/>
        <w:t xml:space="preserve">данных фактов хозяйственной жизни является </w:t>
      </w:r>
      <w:r w:rsidR="00A55C7B">
        <w:t>нарушен</w:t>
      </w:r>
      <w:r w:rsidR="001A6AD8">
        <w:t xml:space="preserve">ием </w:t>
      </w:r>
      <w:r w:rsidR="00A55C7B">
        <w:t xml:space="preserve"> </w:t>
      </w:r>
      <w:r w:rsidR="001A6AD8">
        <w:t xml:space="preserve">п. </w:t>
      </w:r>
      <w:r w:rsidR="007B27FB">
        <w:t xml:space="preserve">1 </w:t>
      </w:r>
      <w:r w:rsidR="001A6AD8">
        <w:t xml:space="preserve">ст.10 </w:t>
      </w:r>
      <w:r w:rsidR="001A6AD8" w:rsidRPr="000114C4">
        <w:t>Федеральн</w:t>
      </w:r>
      <w:r w:rsidR="001A6AD8">
        <w:t>ого</w:t>
      </w:r>
      <w:r w:rsidR="001A6AD8" w:rsidRPr="000114C4">
        <w:t xml:space="preserve"> закон</w:t>
      </w:r>
      <w:r w:rsidR="001A6AD8">
        <w:t>а</w:t>
      </w:r>
      <w:r w:rsidR="001A6AD8" w:rsidRPr="000114C4">
        <w:t xml:space="preserve"> от 06.12.2011 N 402-ФЗ</w:t>
      </w:r>
      <w:r w:rsidR="00D1173F">
        <w:t xml:space="preserve"> «О бухгалтерском учёте» (далее – Закон № 402-ФЗ)</w:t>
      </w:r>
      <w:r w:rsidR="001A6AD8">
        <w:t>, согласно которому данные, содержащиеся в первичных учетных документах, подлежат своевременной регистрации и накоплению в регистрах бухгалтерского учета</w:t>
      </w:r>
      <w:r w:rsidR="00FD7C22">
        <w:t>,</w:t>
      </w:r>
      <w:r w:rsidR="001A6AD8">
        <w:t xml:space="preserve"> и </w:t>
      </w:r>
      <w:r w:rsidR="00A55C7B">
        <w:t xml:space="preserve">п.333, 383 </w:t>
      </w:r>
      <w:r w:rsidR="000114C4">
        <w:t>И</w:t>
      </w:r>
      <w:r w:rsidR="00A55C7B">
        <w:t xml:space="preserve">нструкции 157н, согласно которым  указанные счета </w:t>
      </w:r>
      <w:r w:rsidR="008758F9" w:rsidRPr="008758F9">
        <w:t>учета</w:t>
      </w:r>
      <w:r w:rsidR="00A55C7B">
        <w:t xml:space="preserve"> предназначены для </w:t>
      </w:r>
      <w:r w:rsidR="008758F9" w:rsidRPr="008758F9">
        <w:t>обеспечения надлежащего контроля за сохранностью</w:t>
      </w:r>
      <w:proofErr w:type="gramEnd"/>
      <w:r w:rsidR="008758F9" w:rsidRPr="008758F9">
        <w:t>, целевым использованием и движением</w:t>
      </w:r>
      <w:r w:rsidR="00A55C7B">
        <w:t xml:space="preserve"> имущества</w:t>
      </w:r>
      <w:r w:rsidR="001A6AD8">
        <w:t>.</w:t>
      </w:r>
      <w:r w:rsidR="000114C4">
        <w:t xml:space="preserve"> </w:t>
      </w:r>
    </w:p>
    <w:p w:rsidR="00A023BC" w:rsidRDefault="00FD7C22" w:rsidP="00A023BC">
      <w:pPr>
        <w:pStyle w:val="a3"/>
        <w:ind w:left="0" w:firstLine="851"/>
        <w:jc w:val="both"/>
      </w:pPr>
      <w:proofErr w:type="gramStart"/>
      <w:r>
        <w:t>Данное н</w:t>
      </w:r>
      <w:r w:rsidR="00A55C7B">
        <w:t>арушение привело к искажению</w:t>
      </w:r>
      <w:r w:rsidR="00A023BC">
        <w:t xml:space="preserve"> показателей </w:t>
      </w:r>
      <w:r w:rsidR="000114C4">
        <w:t xml:space="preserve">по счетам 01 и 26  </w:t>
      </w:r>
      <w:r w:rsidR="00A023BC">
        <w:t xml:space="preserve">на конец отчётного года на 10 993,5 тыс. руб.  в </w:t>
      </w:r>
      <w:r w:rsidR="00A55C7B">
        <w:t>двух форм</w:t>
      </w:r>
      <w:r w:rsidR="00A023BC">
        <w:t>ах</w:t>
      </w:r>
      <w:r w:rsidR="00A55C7B">
        <w:t xml:space="preserve"> годовой бюджетной отчётности Комитета, ГКУ «1 ОПС» и сводной отчётности</w:t>
      </w:r>
      <w:r>
        <w:t>, а именно:</w:t>
      </w:r>
      <w:r w:rsidR="00A023BC">
        <w:t xml:space="preserve">  в Справке о наличии имущества и обязательств на </w:t>
      </w:r>
      <w:proofErr w:type="spellStart"/>
      <w:r w:rsidR="00A023BC">
        <w:t>забалансовых</w:t>
      </w:r>
      <w:proofErr w:type="spellEnd"/>
      <w:r w:rsidR="00A023BC">
        <w:t xml:space="preserve"> счетах и в Сведениях о движении нефинансовых активов (форма 503168).</w:t>
      </w:r>
      <w:proofErr w:type="gramEnd"/>
    </w:p>
    <w:p w:rsidR="008758F9" w:rsidRDefault="00A55C7B" w:rsidP="00A023BC">
      <w:pPr>
        <w:pStyle w:val="a3"/>
        <w:ind w:left="0" w:firstLine="851"/>
        <w:jc w:val="both"/>
      </w:pPr>
      <w:r>
        <w:t xml:space="preserve"> </w:t>
      </w:r>
      <w:r w:rsidR="000700E2">
        <w:t xml:space="preserve">В ходе проверки Комитетом и ГКУ «1ОПС» данное нарушение устранено, исправленные формы </w:t>
      </w:r>
      <w:r w:rsidR="00FD7C22">
        <w:t xml:space="preserve">сводной </w:t>
      </w:r>
      <w:r w:rsidR="000700E2">
        <w:t>отчётности представлены в</w:t>
      </w:r>
      <w:r w:rsidR="00BE0FC2">
        <w:t xml:space="preserve"> </w:t>
      </w:r>
      <w:proofErr w:type="spellStart"/>
      <w:r w:rsidR="00BE0FC2">
        <w:t>Облфин</w:t>
      </w:r>
      <w:proofErr w:type="spellEnd"/>
      <w:r w:rsidR="000700E2">
        <w:t>;</w:t>
      </w:r>
    </w:p>
    <w:p w:rsidR="00A71964" w:rsidRPr="00A71964" w:rsidRDefault="00D8506C" w:rsidP="00A719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 согласно представленным данным аналитического учета </w:t>
      </w:r>
      <w:r w:rsidR="00CC27BC">
        <w:rPr>
          <w:rFonts w:ascii="Times New Roman" w:hAnsi="Times New Roman" w:cs="Times New Roman"/>
          <w:sz w:val="24"/>
          <w:szCs w:val="24"/>
        </w:rPr>
        <w:t>подведомственных Комитету учреждени</w:t>
      </w:r>
      <w:r w:rsidR="008F797D">
        <w:rPr>
          <w:rFonts w:ascii="Times New Roman" w:hAnsi="Times New Roman" w:cs="Times New Roman"/>
          <w:sz w:val="24"/>
          <w:szCs w:val="24"/>
        </w:rPr>
        <w:t>й</w:t>
      </w:r>
      <w:r w:rsidR="00CC27BC">
        <w:rPr>
          <w:rFonts w:ascii="Times New Roman" w:hAnsi="Times New Roman" w:cs="Times New Roman"/>
          <w:sz w:val="24"/>
          <w:szCs w:val="24"/>
        </w:rPr>
        <w:t xml:space="preserve"> противопожарной службы</w:t>
      </w:r>
      <w:r w:rsidR="006C53E9">
        <w:rPr>
          <w:rFonts w:ascii="Times New Roman" w:hAnsi="Times New Roman" w:cs="Times New Roman"/>
          <w:sz w:val="24"/>
          <w:szCs w:val="24"/>
        </w:rPr>
        <w:t xml:space="preserve"> (ГКУ «1 отряд ПС», ГКУ «5 отряд ПС»)</w:t>
      </w:r>
      <w:r w:rsidR="00CC27BC" w:rsidRPr="00A71964">
        <w:rPr>
          <w:rFonts w:ascii="Times New Roman" w:hAnsi="Times New Roman" w:cs="Times New Roman"/>
          <w:sz w:val="24"/>
          <w:szCs w:val="24"/>
        </w:rPr>
        <w:t xml:space="preserve"> 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71964" w:rsidRPr="00A71964">
        <w:rPr>
          <w:rFonts w:ascii="Times New Roman" w:hAnsi="Times New Roman" w:cs="Times New Roman"/>
          <w:sz w:val="24"/>
          <w:szCs w:val="24"/>
        </w:rPr>
        <w:t>забалансов</w:t>
      </w:r>
      <w:r w:rsidR="00CC27BC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A71964" w:rsidRPr="00A71964">
        <w:rPr>
          <w:rFonts w:ascii="Times New Roman" w:hAnsi="Times New Roman" w:cs="Times New Roman"/>
          <w:sz w:val="24"/>
          <w:szCs w:val="24"/>
        </w:rPr>
        <w:t xml:space="preserve"> счет</w:t>
      </w:r>
      <w:r w:rsidR="00CC27BC">
        <w:rPr>
          <w:rFonts w:ascii="Times New Roman" w:hAnsi="Times New Roman" w:cs="Times New Roman"/>
          <w:sz w:val="24"/>
          <w:szCs w:val="24"/>
        </w:rPr>
        <w:t xml:space="preserve">у 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 01 «Имущество, полученное в пользование»  по состоянию на 01.01.201</w:t>
      </w:r>
      <w:r w:rsidR="00CC27BC">
        <w:rPr>
          <w:rFonts w:ascii="Times New Roman" w:hAnsi="Times New Roman" w:cs="Times New Roman"/>
          <w:sz w:val="24"/>
          <w:szCs w:val="24"/>
        </w:rPr>
        <w:t>7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 числятся 7 нежилых помещений</w:t>
      </w:r>
      <w:r w:rsidR="001307CC">
        <w:rPr>
          <w:rFonts w:ascii="Times New Roman" w:hAnsi="Times New Roman" w:cs="Times New Roman"/>
          <w:sz w:val="24"/>
          <w:szCs w:val="24"/>
        </w:rPr>
        <w:t xml:space="preserve"> (пожарные ДЭПО)</w:t>
      </w:r>
      <w:r w:rsidR="00A71964" w:rsidRPr="00A71964">
        <w:rPr>
          <w:rFonts w:ascii="Times New Roman" w:hAnsi="Times New Roman" w:cs="Times New Roman"/>
          <w:sz w:val="24"/>
          <w:szCs w:val="24"/>
        </w:rPr>
        <w:t>, находящихся в пользовании</w:t>
      </w:r>
      <w:r w:rsidR="00CC27BC">
        <w:rPr>
          <w:rFonts w:ascii="Times New Roman" w:hAnsi="Times New Roman" w:cs="Times New Roman"/>
          <w:sz w:val="24"/>
          <w:szCs w:val="24"/>
        </w:rPr>
        <w:t xml:space="preserve"> 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и учитываемых </w:t>
      </w:r>
      <w:r w:rsidR="008F797D">
        <w:rPr>
          <w:rFonts w:ascii="Times New Roman" w:hAnsi="Times New Roman" w:cs="Times New Roman"/>
          <w:sz w:val="24"/>
          <w:szCs w:val="24"/>
        </w:rPr>
        <w:t>по 1 рублю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. Согласно пояснениям </w:t>
      </w:r>
      <w:r w:rsidR="008F797D">
        <w:rPr>
          <w:rFonts w:ascii="Times New Roman" w:hAnsi="Times New Roman" w:cs="Times New Roman"/>
          <w:sz w:val="24"/>
          <w:szCs w:val="24"/>
        </w:rPr>
        <w:t>Комитета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 указанный подход к учету находящегося в пользовании недвижимого имущества обусловлен отсутствием стоимости имущества в договорах безвозмездного пользования</w:t>
      </w:r>
      <w:r w:rsidR="008F797D">
        <w:rPr>
          <w:rFonts w:ascii="Times New Roman" w:hAnsi="Times New Roman" w:cs="Times New Roman"/>
          <w:sz w:val="24"/>
          <w:szCs w:val="24"/>
        </w:rPr>
        <w:t xml:space="preserve"> и в актах приёма </w:t>
      </w:r>
      <w:r w:rsidR="001307CC">
        <w:rPr>
          <w:rFonts w:ascii="Times New Roman" w:hAnsi="Times New Roman" w:cs="Times New Roman"/>
          <w:sz w:val="24"/>
          <w:szCs w:val="24"/>
        </w:rPr>
        <w:t>–</w:t>
      </w:r>
      <w:r w:rsidR="008F797D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1307CC">
        <w:rPr>
          <w:rFonts w:ascii="Times New Roman" w:hAnsi="Times New Roman" w:cs="Times New Roman"/>
          <w:sz w:val="24"/>
          <w:szCs w:val="24"/>
        </w:rPr>
        <w:t>, оформленных балансодержателями помещений (администрациями поселений)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. </w:t>
      </w:r>
      <w:r w:rsidR="008F797D">
        <w:rPr>
          <w:rFonts w:ascii="Times New Roman" w:hAnsi="Times New Roman" w:cs="Times New Roman"/>
          <w:sz w:val="24"/>
          <w:szCs w:val="24"/>
        </w:rPr>
        <w:t>Д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анный подход к учету имущества </w:t>
      </w:r>
      <w:r w:rsidR="007B27FB">
        <w:rPr>
          <w:rFonts w:ascii="Times New Roman" w:hAnsi="Times New Roman" w:cs="Times New Roman"/>
          <w:sz w:val="24"/>
          <w:szCs w:val="24"/>
        </w:rPr>
        <w:t xml:space="preserve">противоречит 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положениям ст. 12 </w:t>
      </w:r>
      <w:r w:rsidR="00D1173F">
        <w:rPr>
          <w:rFonts w:ascii="Times New Roman" w:hAnsi="Times New Roman" w:cs="Times New Roman"/>
          <w:sz w:val="24"/>
          <w:szCs w:val="24"/>
        </w:rPr>
        <w:t>Закона № 402-ФЗ</w:t>
      </w:r>
      <w:r w:rsidR="001307CC">
        <w:rPr>
          <w:rFonts w:ascii="Times New Roman" w:hAnsi="Times New Roman" w:cs="Times New Roman"/>
          <w:sz w:val="24"/>
          <w:szCs w:val="24"/>
        </w:rPr>
        <w:t>,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A71964" w:rsidRPr="00A7196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A71964" w:rsidRPr="00A71964">
        <w:rPr>
          <w:rFonts w:ascii="Times New Roman" w:hAnsi="Times New Roman" w:cs="Times New Roman"/>
          <w:sz w:val="24"/>
          <w:szCs w:val="24"/>
        </w:rPr>
        <w:t xml:space="preserve"> объекты бухгалтерского учета подлежат денежному измерению</w:t>
      </w:r>
      <w:r w:rsidR="008F797D">
        <w:rPr>
          <w:rFonts w:ascii="Times New Roman" w:hAnsi="Times New Roman" w:cs="Times New Roman"/>
          <w:sz w:val="24"/>
          <w:szCs w:val="24"/>
        </w:rPr>
        <w:t xml:space="preserve">.  Отсутствие стоимостного выражения факта хозяйственной жизни в договорах и актах приёма передачи противоречит требованиям к оформлению первичных документов, </w:t>
      </w:r>
      <w:r w:rsidR="006C53E9">
        <w:rPr>
          <w:rFonts w:ascii="Times New Roman" w:hAnsi="Times New Roman" w:cs="Times New Roman"/>
          <w:sz w:val="24"/>
          <w:szCs w:val="24"/>
        </w:rPr>
        <w:t>установленным п.9 указанного Закона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. </w:t>
      </w:r>
      <w:r w:rsidR="006C53E9">
        <w:rPr>
          <w:rFonts w:ascii="Times New Roman" w:hAnsi="Times New Roman" w:cs="Times New Roman"/>
          <w:sz w:val="24"/>
          <w:szCs w:val="24"/>
        </w:rPr>
        <w:t xml:space="preserve">Кроме того, п.333 Инструкции 157н 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предусмотрено, что объект имущества, полученный учреждением от балансодержателя имущества, учитывается на </w:t>
      </w:r>
      <w:proofErr w:type="spellStart"/>
      <w:r w:rsidR="00A71964" w:rsidRPr="00A71964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A71964" w:rsidRPr="00A71964">
        <w:rPr>
          <w:rFonts w:ascii="Times New Roman" w:hAnsi="Times New Roman" w:cs="Times New Roman"/>
          <w:sz w:val="24"/>
          <w:szCs w:val="24"/>
        </w:rPr>
        <w:t xml:space="preserve"> счете на основании акта приема-передачи </w:t>
      </w:r>
      <w:r w:rsidR="00A71964" w:rsidRPr="00205858">
        <w:rPr>
          <w:rFonts w:ascii="Times New Roman" w:hAnsi="Times New Roman" w:cs="Times New Roman"/>
          <w:sz w:val="24"/>
          <w:szCs w:val="24"/>
          <w:u w:val="single"/>
        </w:rPr>
        <w:t>по стоимости</w:t>
      </w:r>
      <w:r w:rsidR="00A71964" w:rsidRPr="00A71964">
        <w:rPr>
          <w:rFonts w:ascii="Times New Roman" w:hAnsi="Times New Roman" w:cs="Times New Roman"/>
          <w:sz w:val="24"/>
          <w:szCs w:val="24"/>
        </w:rPr>
        <w:t>, указанной (определенной) передающей стороной (собственником). Таким образом, договор</w:t>
      </w:r>
      <w:r w:rsidR="001307CC">
        <w:rPr>
          <w:rFonts w:ascii="Times New Roman" w:hAnsi="Times New Roman" w:cs="Times New Roman"/>
          <w:sz w:val="24"/>
          <w:szCs w:val="24"/>
        </w:rPr>
        <w:t>ы</w:t>
      </w:r>
      <w:r w:rsidR="00A71964" w:rsidRPr="00A71964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</w:t>
      </w:r>
      <w:r w:rsidR="00FD7C22">
        <w:rPr>
          <w:rFonts w:ascii="Times New Roman" w:hAnsi="Times New Roman" w:cs="Times New Roman"/>
          <w:sz w:val="24"/>
          <w:szCs w:val="24"/>
        </w:rPr>
        <w:t xml:space="preserve">7 </w:t>
      </w:r>
      <w:r w:rsidR="00A71964" w:rsidRPr="00A71964">
        <w:rPr>
          <w:rFonts w:ascii="Times New Roman" w:hAnsi="Times New Roman" w:cs="Times New Roman"/>
          <w:sz w:val="24"/>
          <w:szCs w:val="24"/>
        </w:rPr>
        <w:t>нежилыми помещениями с балансодержателями этих помещений</w:t>
      </w:r>
      <w:r w:rsidR="00205858">
        <w:rPr>
          <w:rFonts w:ascii="Times New Roman" w:hAnsi="Times New Roman" w:cs="Times New Roman"/>
          <w:sz w:val="24"/>
          <w:szCs w:val="24"/>
        </w:rPr>
        <w:t xml:space="preserve">, а также акты приёма – передачи этих помещений </w:t>
      </w:r>
      <w:r w:rsidR="00A71964" w:rsidRPr="00A71964">
        <w:rPr>
          <w:rFonts w:ascii="Times New Roman" w:hAnsi="Times New Roman" w:cs="Times New Roman"/>
          <w:sz w:val="24"/>
          <w:szCs w:val="24"/>
        </w:rPr>
        <w:t>требуют уточнения в части стоимости находящихся в пользовании помещений.</w:t>
      </w:r>
    </w:p>
    <w:p w:rsidR="005B5B4E" w:rsidRDefault="005B5B4E" w:rsidP="007D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AB1" w:rsidRPr="00273AB1" w:rsidRDefault="00273AB1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3AB1">
        <w:rPr>
          <w:rFonts w:ascii="Times New Roman" w:hAnsi="Times New Roman" w:cs="Times New Roman"/>
          <w:b/>
          <w:sz w:val="24"/>
          <w:szCs w:val="24"/>
        </w:rPr>
        <w:t>Исполнение плановых назначений по закрепленным доходам</w:t>
      </w:r>
    </w:p>
    <w:p w:rsidR="00273AB1" w:rsidRPr="00794689" w:rsidRDefault="00273AB1" w:rsidP="00EA75A3">
      <w:pPr>
        <w:pStyle w:val="1"/>
        <w:spacing w:before="0" w:after="0"/>
        <w:ind w:firstLine="680"/>
        <w:jc w:val="right"/>
        <w:rPr>
          <w:rFonts w:ascii="Times New Roman" w:hAnsi="Times New Roman" w:cs="Times New Roman"/>
          <w:b w:val="0"/>
          <w:i/>
          <w:color w:val="auto"/>
          <w:sz w:val="18"/>
          <w:szCs w:val="18"/>
        </w:rPr>
      </w:pPr>
    </w:p>
    <w:p w:rsidR="00D2490C" w:rsidRDefault="00F15AF7" w:rsidP="006B2B32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Calibri" w:hAnsi="Times New Roman"/>
          <w:b w:val="0"/>
          <w:bCs w:val="0"/>
          <w:color w:val="auto"/>
        </w:rPr>
        <w:t>П</w:t>
      </w:r>
      <w:r w:rsidR="001270AE" w:rsidRPr="00D14544">
        <w:rPr>
          <w:rFonts w:ascii="Times New Roman" w:eastAsia="Calibri" w:hAnsi="Times New Roman"/>
          <w:b w:val="0"/>
          <w:bCs w:val="0"/>
          <w:color w:val="auto"/>
        </w:rPr>
        <w:t xml:space="preserve">лановые назначения </w:t>
      </w:r>
      <w:r w:rsidR="001270AE" w:rsidRPr="00C906DC">
        <w:rPr>
          <w:rFonts w:ascii="Times New Roman" w:eastAsia="Calibri" w:hAnsi="Times New Roman"/>
          <w:b w:val="0"/>
          <w:bCs w:val="0"/>
          <w:color w:val="auto"/>
        </w:rPr>
        <w:t xml:space="preserve">по закрепленным за Комитетом доходам </w:t>
      </w:r>
      <w:r w:rsidR="008B6FB3">
        <w:rPr>
          <w:rFonts w:ascii="Times New Roman" w:eastAsia="Calibri" w:hAnsi="Times New Roman"/>
          <w:b w:val="0"/>
          <w:bCs w:val="0"/>
          <w:color w:val="auto"/>
        </w:rPr>
        <w:t>выполнены</w:t>
      </w:r>
      <w:r w:rsidR="001270AE" w:rsidRPr="00C906DC">
        <w:rPr>
          <w:rFonts w:ascii="Times New Roman" w:eastAsia="Calibri" w:hAnsi="Times New Roman"/>
          <w:b w:val="0"/>
          <w:bCs w:val="0"/>
          <w:color w:val="auto"/>
        </w:rPr>
        <w:t xml:space="preserve"> в сумме </w:t>
      </w:r>
      <w:r w:rsidR="00D2490C">
        <w:rPr>
          <w:rFonts w:ascii="Times New Roman" w:eastAsia="Calibri" w:hAnsi="Times New Roman"/>
          <w:b w:val="0"/>
          <w:bCs w:val="0"/>
          <w:color w:val="auto"/>
        </w:rPr>
        <w:t>46 798,0</w:t>
      </w:r>
      <w:r w:rsidR="005171EA">
        <w:rPr>
          <w:rFonts w:ascii="Times New Roman" w:hAnsi="Times New Roman" w:cs="Times New Roman"/>
          <w:b w:val="0"/>
        </w:rPr>
        <w:t xml:space="preserve"> </w:t>
      </w:r>
      <w:r w:rsidR="00023563" w:rsidRPr="001270AE">
        <w:rPr>
          <w:rFonts w:ascii="Times New Roman" w:hAnsi="Times New Roman" w:cs="Times New Roman"/>
          <w:b w:val="0"/>
        </w:rPr>
        <w:t>тыс. руб.</w:t>
      </w:r>
      <w:r w:rsidR="001270AE">
        <w:rPr>
          <w:rFonts w:ascii="Times New Roman" w:hAnsi="Times New Roman" w:cs="Times New Roman"/>
          <w:b w:val="0"/>
        </w:rPr>
        <w:t>, или н</w:t>
      </w:r>
      <w:r w:rsidR="00023563" w:rsidRPr="001270AE">
        <w:rPr>
          <w:rFonts w:ascii="Times New Roman" w:hAnsi="Times New Roman" w:cs="Times New Roman"/>
          <w:b w:val="0"/>
        </w:rPr>
        <w:t xml:space="preserve">а </w:t>
      </w:r>
      <w:r w:rsidR="00D2490C">
        <w:rPr>
          <w:rFonts w:ascii="Times New Roman" w:hAnsi="Times New Roman" w:cs="Times New Roman"/>
          <w:b w:val="0"/>
        </w:rPr>
        <w:t>92,5</w:t>
      </w:r>
      <w:r w:rsidR="005171EA">
        <w:rPr>
          <w:rFonts w:ascii="Times New Roman" w:hAnsi="Times New Roman" w:cs="Times New Roman"/>
          <w:b w:val="0"/>
        </w:rPr>
        <w:t xml:space="preserve"> процента.</w:t>
      </w:r>
      <w:r w:rsidR="00801561">
        <w:rPr>
          <w:rFonts w:ascii="Times New Roman" w:hAnsi="Times New Roman" w:cs="Times New Roman"/>
          <w:b w:val="0"/>
        </w:rPr>
        <w:t xml:space="preserve"> </w:t>
      </w:r>
      <w:r w:rsidR="00D2490C" w:rsidRPr="006B2B32">
        <w:rPr>
          <w:rFonts w:ascii="Times New Roman" w:hAnsi="Times New Roman" w:cs="Times New Roman"/>
          <w:b w:val="0"/>
        </w:rPr>
        <w:t>На</w:t>
      </w:r>
      <w:r w:rsidR="001307CC">
        <w:rPr>
          <w:rFonts w:ascii="Times New Roman" w:hAnsi="Times New Roman" w:cs="Times New Roman"/>
          <w:b w:val="0"/>
        </w:rPr>
        <w:t xml:space="preserve"> невыполнение</w:t>
      </w:r>
      <w:r w:rsidR="006B2B32">
        <w:rPr>
          <w:rFonts w:ascii="Times New Roman" w:hAnsi="Times New Roman" w:cs="Times New Roman"/>
          <w:b w:val="0"/>
        </w:rPr>
        <w:t xml:space="preserve">  </w:t>
      </w:r>
      <w:r w:rsidR="00411BE9">
        <w:rPr>
          <w:rFonts w:ascii="Times New Roman" w:hAnsi="Times New Roman" w:cs="Times New Roman"/>
          <w:b w:val="0"/>
        </w:rPr>
        <w:t xml:space="preserve">плана по доходам </w:t>
      </w:r>
      <w:r w:rsidR="00D2490C" w:rsidRPr="006B2B32">
        <w:rPr>
          <w:rFonts w:ascii="Times New Roman" w:hAnsi="Times New Roman" w:cs="Times New Roman"/>
          <w:b w:val="0"/>
        </w:rPr>
        <w:t>повлиял</w:t>
      </w:r>
      <w:r w:rsidR="00615853" w:rsidRPr="006B2B32">
        <w:rPr>
          <w:rFonts w:ascii="Times New Roman" w:hAnsi="Times New Roman" w:cs="Times New Roman"/>
          <w:b w:val="0"/>
        </w:rPr>
        <w:t xml:space="preserve"> </w:t>
      </w:r>
      <w:r w:rsidR="00D2490C" w:rsidRPr="006B2B32">
        <w:rPr>
          <w:rFonts w:ascii="Times New Roman" w:hAnsi="Times New Roman" w:cs="Times New Roman"/>
          <w:b w:val="0"/>
        </w:rPr>
        <w:t>возврат остатк</w:t>
      </w:r>
      <w:r w:rsidR="00615853" w:rsidRPr="006B2B32">
        <w:rPr>
          <w:rFonts w:ascii="Times New Roman" w:hAnsi="Times New Roman" w:cs="Times New Roman"/>
          <w:b w:val="0"/>
        </w:rPr>
        <w:t>а иного</w:t>
      </w:r>
      <w:r w:rsidR="00D2490C" w:rsidRPr="006B2B32">
        <w:rPr>
          <w:rFonts w:ascii="Times New Roman" w:hAnsi="Times New Roman" w:cs="Times New Roman"/>
          <w:b w:val="0"/>
        </w:rPr>
        <w:t xml:space="preserve"> </w:t>
      </w:r>
      <w:r w:rsidR="00615853" w:rsidRPr="006B2B32">
        <w:rPr>
          <w:rFonts w:ascii="Times New Roman" w:hAnsi="Times New Roman" w:cs="Times New Roman"/>
          <w:b w:val="0"/>
        </w:rPr>
        <w:t>межбюджетного трансферта, невостребованного  в 201</w:t>
      </w:r>
      <w:r w:rsidR="00DB73A2">
        <w:rPr>
          <w:rFonts w:ascii="Times New Roman" w:hAnsi="Times New Roman" w:cs="Times New Roman"/>
          <w:b w:val="0"/>
        </w:rPr>
        <w:t>6</w:t>
      </w:r>
      <w:r w:rsidR="00615853" w:rsidRPr="006B2B32">
        <w:rPr>
          <w:rFonts w:ascii="Times New Roman" w:hAnsi="Times New Roman" w:cs="Times New Roman"/>
          <w:b w:val="0"/>
        </w:rPr>
        <w:t xml:space="preserve"> году </w:t>
      </w:r>
      <w:r w:rsidR="00D2490C" w:rsidRPr="006B2B32">
        <w:rPr>
          <w:rFonts w:ascii="Times New Roman" w:hAnsi="Times New Roman" w:cs="Times New Roman"/>
          <w:b w:val="0"/>
        </w:rPr>
        <w:t xml:space="preserve"> </w:t>
      </w:r>
      <w:r w:rsidR="00615853" w:rsidRPr="006B2B32">
        <w:rPr>
          <w:rFonts w:ascii="Times New Roman" w:hAnsi="Times New Roman" w:cs="Times New Roman"/>
          <w:b w:val="0"/>
        </w:rPr>
        <w:t>для временного обустройства лиц, вынуждено покинувших Украину</w:t>
      </w:r>
      <w:r w:rsidR="003D237C" w:rsidRPr="006B2B32">
        <w:rPr>
          <w:rFonts w:ascii="Times New Roman" w:hAnsi="Times New Roman" w:cs="Times New Roman"/>
          <w:b w:val="0"/>
        </w:rPr>
        <w:t xml:space="preserve">, </w:t>
      </w:r>
      <w:r w:rsidR="00634877" w:rsidRPr="006B2B32">
        <w:rPr>
          <w:rFonts w:ascii="Times New Roman" w:hAnsi="Times New Roman" w:cs="Times New Roman"/>
          <w:b w:val="0"/>
        </w:rPr>
        <w:t>в сумме 4</w:t>
      </w:r>
      <w:r w:rsidR="007C7AF4">
        <w:rPr>
          <w:rFonts w:ascii="Times New Roman" w:hAnsi="Times New Roman" w:cs="Times New Roman"/>
          <w:b w:val="0"/>
        </w:rPr>
        <w:t xml:space="preserve"> </w:t>
      </w:r>
      <w:r w:rsidR="00634877" w:rsidRPr="006B2B32">
        <w:rPr>
          <w:rFonts w:ascii="Times New Roman" w:hAnsi="Times New Roman" w:cs="Times New Roman"/>
          <w:b w:val="0"/>
        </w:rPr>
        <w:t>039,1тыс. руб</w:t>
      </w:r>
      <w:r w:rsidR="008B6FB3">
        <w:rPr>
          <w:rFonts w:ascii="Times New Roman" w:hAnsi="Times New Roman" w:cs="Times New Roman"/>
          <w:b w:val="0"/>
        </w:rPr>
        <w:t>лей</w:t>
      </w:r>
      <w:r w:rsidR="00634877" w:rsidRPr="006B2B32">
        <w:rPr>
          <w:rFonts w:ascii="Times New Roman" w:hAnsi="Times New Roman" w:cs="Times New Roman"/>
          <w:b w:val="0"/>
        </w:rPr>
        <w:t xml:space="preserve">. </w:t>
      </w:r>
    </w:p>
    <w:p w:rsidR="008B6FB3" w:rsidRDefault="008B6FB3" w:rsidP="008B6FB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Наибольшие доли в общей сумме доходов занимают:</w:t>
      </w:r>
    </w:p>
    <w:p w:rsidR="008B6FB3" w:rsidRDefault="008B6FB3" w:rsidP="008B6FB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8B6FB3">
        <w:rPr>
          <w:rFonts w:ascii="Times New Roman" w:hAnsi="Times New Roman" w:cs="Times New Roman"/>
          <w:sz w:val="24"/>
          <w:szCs w:val="24"/>
        </w:rPr>
        <w:t>ежбюджетные трансферты, передаваемые бюджетам субъектов РФ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0686">
        <w:rPr>
          <w:rFonts w:ascii="Times New Roman" w:hAnsi="Times New Roman" w:cs="Times New Roman"/>
          <w:sz w:val="24"/>
          <w:szCs w:val="24"/>
        </w:rPr>
        <w:t>46,2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307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B6FB3" w:rsidRPr="008B6FB3" w:rsidRDefault="008B6FB3" w:rsidP="008B6FB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AF4">
        <w:rPr>
          <w:rFonts w:ascii="Times New Roman" w:hAnsi="Times New Roman" w:cs="Times New Roman"/>
          <w:sz w:val="24"/>
          <w:szCs w:val="24"/>
        </w:rPr>
        <w:t xml:space="preserve"> прочие доходы от компенсации затрат государства (</w:t>
      </w:r>
      <w:r w:rsidR="008D0686">
        <w:rPr>
          <w:rFonts w:ascii="Times New Roman" w:hAnsi="Times New Roman" w:cs="Times New Roman"/>
          <w:sz w:val="24"/>
          <w:szCs w:val="24"/>
        </w:rPr>
        <w:t>52,2</w:t>
      </w:r>
      <w:r w:rsidR="007C7AF4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307CC">
        <w:rPr>
          <w:rFonts w:ascii="Times New Roman" w:hAnsi="Times New Roman" w:cs="Times New Roman"/>
          <w:sz w:val="24"/>
          <w:szCs w:val="24"/>
        </w:rPr>
        <w:t>а</w:t>
      </w:r>
      <w:r w:rsidR="007C7AF4">
        <w:rPr>
          <w:rFonts w:ascii="Times New Roman" w:hAnsi="Times New Roman" w:cs="Times New Roman"/>
          <w:sz w:val="24"/>
          <w:szCs w:val="24"/>
        </w:rPr>
        <w:t>).</w:t>
      </w:r>
    </w:p>
    <w:p w:rsidR="00615853" w:rsidRDefault="00615853" w:rsidP="007C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D93" w:rsidRPr="00601D93" w:rsidRDefault="00601D93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93">
        <w:rPr>
          <w:rFonts w:ascii="Times New Roman" w:hAnsi="Times New Roman" w:cs="Times New Roman"/>
          <w:b/>
          <w:sz w:val="24"/>
          <w:szCs w:val="24"/>
        </w:rPr>
        <w:t>Исполнение  расходов</w:t>
      </w:r>
    </w:p>
    <w:p w:rsidR="00E51599" w:rsidRDefault="00601D93" w:rsidP="00E5159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93">
        <w:rPr>
          <w:rFonts w:ascii="Times New Roman" w:hAnsi="Times New Roman" w:cs="Times New Roman"/>
          <w:bCs/>
          <w:sz w:val="24"/>
          <w:szCs w:val="24"/>
        </w:rPr>
        <w:t xml:space="preserve">Законом об областном бюджете Комитету предусмотрены бюджетные ассигнования в размере </w:t>
      </w:r>
      <w:r w:rsidR="003D237C">
        <w:rPr>
          <w:rFonts w:ascii="Times New Roman" w:hAnsi="Times New Roman" w:cs="Times New Roman"/>
          <w:sz w:val="24"/>
          <w:szCs w:val="24"/>
        </w:rPr>
        <w:t xml:space="preserve">514 756,7 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  <w:r w:rsidR="00E515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44AC" w:rsidRDefault="00E51599" w:rsidP="00E5159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164A28">
        <w:rPr>
          <w:rFonts w:ascii="Times New Roman" w:hAnsi="Times New Roman" w:cs="Times New Roman"/>
          <w:bCs/>
          <w:sz w:val="24"/>
          <w:szCs w:val="24"/>
        </w:rPr>
        <w:t xml:space="preserve">бюджетной росписи Комитета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Отчету об исполнении бюджета </w:t>
      </w:r>
      <w:r w:rsidR="00601D93" w:rsidRPr="00601D93">
        <w:rPr>
          <w:rFonts w:ascii="Times New Roman" w:hAnsi="Times New Roman" w:cs="Times New Roman"/>
          <w:bCs/>
          <w:sz w:val="24"/>
          <w:szCs w:val="24"/>
        </w:rPr>
        <w:t xml:space="preserve">(ф. 0503127) </w:t>
      </w:r>
      <w:r w:rsidR="00866F04">
        <w:rPr>
          <w:rFonts w:ascii="Times New Roman" w:hAnsi="Times New Roman" w:cs="Times New Roman"/>
          <w:bCs/>
          <w:sz w:val="24"/>
          <w:szCs w:val="24"/>
        </w:rPr>
        <w:t>у</w:t>
      </w:r>
      <w:r w:rsidRPr="00601D93">
        <w:rPr>
          <w:rFonts w:ascii="Times New Roman" w:hAnsi="Times New Roman" w:cs="Times New Roman"/>
          <w:bCs/>
          <w:sz w:val="24"/>
          <w:szCs w:val="24"/>
        </w:rPr>
        <w:t>твержденны</w:t>
      </w:r>
      <w:r w:rsidR="00866F04">
        <w:rPr>
          <w:rFonts w:ascii="Times New Roman" w:hAnsi="Times New Roman" w:cs="Times New Roman"/>
          <w:bCs/>
          <w:sz w:val="24"/>
          <w:szCs w:val="24"/>
        </w:rPr>
        <w:t>е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е назначения по расходам составляют </w:t>
      </w:r>
      <w:r w:rsidR="003D237C">
        <w:rPr>
          <w:rFonts w:ascii="Times New Roman" w:hAnsi="Times New Roman" w:cs="Times New Roman"/>
          <w:bCs/>
          <w:sz w:val="24"/>
          <w:szCs w:val="24"/>
        </w:rPr>
        <w:t>559</w:t>
      </w:r>
      <w:r w:rsidR="007C7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37C">
        <w:rPr>
          <w:rFonts w:ascii="Times New Roman" w:hAnsi="Times New Roman" w:cs="Times New Roman"/>
          <w:bCs/>
          <w:sz w:val="24"/>
          <w:szCs w:val="24"/>
        </w:rPr>
        <w:t>781,4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F04">
        <w:rPr>
          <w:rFonts w:ascii="Times New Roman" w:hAnsi="Times New Roman" w:cs="Times New Roman"/>
          <w:bCs/>
          <w:sz w:val="24"/>
          <w:szCs w:val="24"/>
        </w:rPr>
        <w:t>тыс. руб., или  больше бюджетных ассигнований, предусмотренных Законом об областном бюджете,</w:t>
      </w:r>
      <w:r w:rsidR="002F3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56F">
        <w:rPr>
          <w:rFonts w:ascii="Times New Roman" w:hAnsi="Times New Roman" w:cs="Times New Roman"/>
          <w:bCs/>
          <w:sz w:val="24"/>
          <w:szCs w:val="24"/>
        </w:rPr>
        <w:lastRenderedPageBreak/>
        <w:t>на</w:t>
      </w:r>
      <w:r w:rsidR="0086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A28">
        <w:rPr>
          <w:rFonts w:ascii="Times New Roman" w:hAnsi="Times New Roman" w:cs="Times New Roman"/>
          <w:bCs/>
          <w:sz w:val="24"/>
          <w:szCs w:val="24"/>
        </w:rPr>
        <w:t>45 024,7</w:t>
      </w:r>
      <w:r w:rsidR="00601D93" w:rsidRPr="00601D93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  <w:r w:rsidR="006444AC">
        <w:rPr>
          <w:rFonts w:ascii="Times New Roman" w:hAnsi="Times New Roman" w:cs="Times New Roman"/>
          <w:bCs/>
          <w:sz w:val="24"/>
          <w:szCs w:val="24"/>
        </w:rPr>
        <w:t>Несоответствие Росписи Закону о бюджете  обусловлено следующим:</w:t>
      </w:r>
    </w:p>
    <w:p w:rsidR="00873FAC" w:rsidRDefault="006444AC" w:rsidP="00E5159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поступлением </w:t>
      </w:r>
      <w:r w:rsidR="0092445D">
        <w:rPr>
          <w:rFonts w:ascii="Times New Roman" w:hAnsi="Times New Roman" w:cs="Times New Roman"/>
          <w:bCs/>
          <w:sz w:val="24"/>
          <w:szCs w:val="24"/>
        </w:rPr>
        <w:t xml:space="preserve">остатков иных межбюджетных трансфертов прошлых лет </w:t>
      </w:r>
      <w:r>
        <w:rPr>
          <w:rFonts w:ascii="Times New Roman" w:hAnsi="Times New Roman" w:cs="Times New Roman"/>
          <w:sz w:val="24"/>
          <w:szCs w:val="24"/>
        </w:rPr>
        <w:t xml:space="preserve">из федерального бюджета </w:t>
      </w:r>
      <w:r w:rsidRPr="00726AE0">
        <w:rPr>
          <w:rFonts w:ascii="Times New Roman" w:hAnsi="Times New Roman" w:cs="Times New Roman"/>
          <w:sz w:val="24"/>
          <w:szCs w:val="24"/>
        </w:rPr>
        <w:t>на финансовое обеспечение мероприятий по социально-бытовому обустройству лиц, вынужденно покинувших территорию Украины,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FAC"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8D0686">
        <w:rPr>
          <w:rFonts w:ascii="Times New Roman" w:hAnsi="Times New Roman" w:cs="Times New Roman"/>
          <w:bCs/>
          <w:sz w:val="24"/>
          <w:szCs w:val="24"/>
        </w:rPr>
        <w:t>,</w:t>
      </w:r>
      <w:r w:rsidR="00873FAC">
        <w:rPr>
          <w:rFonts w:ascii="Times New Roman" w:hAnsi="Times New Roman" w:cs="Times New Roman"/>
          <w:bCs/>
          <w:sz w:val="24"/>
          <w:szCs w:val="24"/>
        </w:rPr>
        <w:t xml:space="preserve"> превышающей утверждённую Законом о бюджете</w:t>
      </w:r>
      <w:r w:rsidR="000945E7">
        <w:rPr>
          <w:rFonts w:ascii="Times New Roman" w:hAnsi="Times New Roman" w:cs="Times New Roman"/>
          <w:bCs/>
          <w:sz w:val="24"/>
          <w:szCs w:val="24"/>
        </w:rPr>
        <w:t>,</w:t>
      </w:r>
      <w:r w:rsidR="00873FAC">
        <w:rPr>
          <w:rFonts w:ascii="Times New Roman" w:hAnsi="Times New Roman" w:cs="Times New Roman"/>
          <w:bCs/>
          <w:sz w:val="24"/>
          <w:szCs w:val="24"/>
        </w:rPr>
        <w:t xml:space="preserve"> на 14 690,3 тыс. руб.;</w:t>
      </w:r>
    </w:p>
    <w:p w:rsidR="00601D93" w:rsidRPr="00601D93" w:rsidRDefault="00873FAC" w:rsidP="00E5159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444AC">
        <w:rPr>
          <w:rFonts w:ascii="Times New Roman" w:hAnsi="Times New Roman" w:cs="Times New Roman"/>
          <w:sz w:val="24"/>
          <w:szCs w:val="24"/>
        </w:rPr>
        <w:t xml:space="preserve"> выделением средств резервного фонда Администрации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D77A0">
        <w:rPr>
          <w:rFonts w:ascii="Times New Roman" w:hAnsi="Times New Roman" w:cs="Times New Roman"/>
          <w:sz w:val="24"/>
          <w:szCs w:val="24"/>
        </w:rPr>
        <w:t>30</w:t>
      </w:r>
      <w:r w:rsidR="007C7AF4">
        <w:rPr>
          <w:rFonts w:ascii="Times New Roman" w:hAnsi="Times New Roman" w:cs="Times New Roman"/>
          <w:sz w:val="24"/>
          <w:szCs w:val="24"/>
        </w:rPr>
        <w:t xml:space="preserve"> </w:t>
      </w:r>
      <w:r w:rsidR="002D77A0">
        <w:rPr>
          <w:rFonts w:ascii="Times New Roman" w:hAnsi="Times New Roman" w:cs="Times New Roman"/>
          <w:sz w:val="24"/>
          <w:szCs w:val="24"/>
        </w:rPr>
        <w:t>893,2 тыс. руб.</w:t>
      </w:r>
      <w:r w:rsidR="00FD237E">
        <w:rPr>
          <w:rFonts w:ascii="Times New Roman" w:hAnsi="Times New Roman" w:cs="Times New Roman"/>
          <w:sz w:val="24"/>
          <w:szCs w:val="24"/>
        </w:rPr>
        <w:t>,</w:t>
      </w:r>
      <w:r w:rsidR="002D77A0">
        <w:rPr>
          <w:rFonts w:ascii="Times New Roman" w:hAnsi="Times New Roman" w:cs="Times New Roman"/>
          <w:sz w:val="24"/>
          <w:szCs w:val="24"/>
        </w:rPr>
        <w:t xml:space="preserve"> </w:t>
      </w:r>
      <w:r w:rsidR="00FD237E">
        <w:rPr>
          <w:rFonts w:ascii="Times New Roman" w:hAnsi="Times New Roman" w:cs="Times New Roman"/>
          <w:sz w:val="24"/>
          <w:szCs w:val="24"/>
        </w:rPr>
        <w:t xml:space="preserve"> </w:t>
      </w:r>
      <w:r w:rsidR="002D77A0">
        <w:rPr>
          <w:rFonts w:ascii="Times New Roman" w:hAnsi="Times New Roman" w:cs="Times New Roman"/>
          <w:sz w:val="24"/>
          <w:szCs w:val="24"/>
        </w:rPr>
        <w:t xml:space="preserve">в т.ч. </w:t>
      </w:r>
      <w:r>
        <w:rPr>
          <w:rFonts w:ascii="Times New Roman" w:hAnsi="Times New Roman" w:cs="Times New Roman"/>
          <w:sz w:val="24"/>
          <w:szCs w:val="24"/>
        </w:rPr>
        <w:t>27 733,2 тыс. руб.</w:t>
      </w:r>
      <w:r w:rsidR="00FD237E">
        <w:rPr>
          <w:rFonts w:ascii="Times New Roman" w:hAnsi="Times New Roman" w:cs="Times New Roman"/>
          <w:sz w:val="24"/>
          <w:szCs w:val="24"/>
        </w:rPr>
        <w:t xml:space="preserve"> </w:t>
      </w:r>
      <w:r w:rsidR="006444AC">
        <w:rPr>
          <w:rFonts w:ascii="Times New Roman" w:hAnsi="Times New Roman" w:cs="Times New Roman"/>
          <w:sz w:val="24"/>
          <w:szCs w:val="24"/>
        </w:rPr>
        <w:t xml:space="preserve">на мероприятия, связанные с </w:t>
      </w:r>
      <w:r w:rsidR="00A83428">
        <w:rPr>
          <w:rFonts w:ascii="Times New Roman" w:hAnsi="Times New Roman" w:cs="Times New Roman"/>
          <w:sz w:val="24"/>
          <w:szCs w:val="24"/>
        </w:rPr>
        <w:t>ликвидацией последствий</w:t>
      </w:r>
      <w:r w:rsidR="006444AC">
        <w:rPr>
          <w:rFonts w:ascii="Times New Roman" w:hAnsi="Times New Roman" w:cs="Times New Roman"/>
          <w:sz w:val="24"/>
          <w:szCs w:val="24"/>
        </w:rPr>
        <w:t xml:space="preserve"> взрыва в жилом многоквартирном доме по адресу </w:t>
      </w:r>
      <w:r>
        <w:rPr>
          <w:rFonts w:ascii="Times New Roman" w:hAnsi="Times New Roman" w:cs="Times New Roman"/>
          <w:sz w:val="24"/>
          <w:szCs w:val="24"/>
        </w:rPr>
        <w:t xml:space="preserve">г. Волгоград, </w:t>
      </w:r>
      <w:r w:rsidR="006444AC">
        <w:rPr>
          <w:rFonts w:ascii="Times New Roman" w:hAnsi="Times New Roman" w:cs="Times New Roman"/>
          <w:sz w:val="24"/>
          <w:szCs w:val="24"/>
        </w:rPr>
        <w:t>ул. Космонавтов, 47</w:t>
      </w:r>
      <w:r w:rsidR="00FD237E">
        <w:rPr>
          <w:rFonts w:ascii="Times New Roman" w:hAnsi="Times New Roman" w:cs="Times New Roman"/>
          <w:sz w:val="24"/>
          <w:szCs w:val="24"/>
        </w:rPr>
        <w:t xml:space="preserve">, </w:t>
      </w:r>
      <w:r w:rsidR="002D77A0">
        <w:rPr>
          <w:rFonts w:ascii="Times New Roman" w:hAnsi="Times New Roman" w:cs="Times New Roman"/>
          <w:sz w:val="24"/>
          <w:szCs w:val="24"/>
        </w:rPr>
        <w:t>и 3 160,0  тыс. руб.</w:t>
      </w:r>
      <w:r w:rsidR="00FD237E">
        <w:rPr>
          <w:rFonts w:ascii="Times New Roman" w:hAnsi="Times New Roman" w:cs="Times New Roman"/>
          <w:sz w:val="24"/>
          <w:szCs w:val="24"/>
        </w:rPr>
        <w:t xml:space="preserve"> </w:t>
      </w:r>
      <w:r w:rsidR="00701D32" w:rsidRPr="00FD237E">
        <w:rPr>
          <w:rFonts w:ascii="Times New Roman" w:hAnsi="Times New Roman" w:cs="Times New Roman"/>
          <w:sz w:val="24"/>
          <w:szCs w:val="24"/>
        </w:rPr>
        <w:t xml:space="preserve">на </w:t>
      </w:r>
      <w:r w:rsidR="002159BA" w:rsidRPr="00FD237E">
        <w:rPr>
          <w:rFonts w:ascii="Times New Roman" w:hAnsi="Times New Roman" w:cs="Times New Roman"/>
          <w:sz w:val="24"/>
          <w:szCs w:val="24"/>
        </w:rPr>
        <w:t>транспортировку</w:t>
      </w:r>
      <w:r w:rsidR="00615853" w:rsidRPr="00FD237E">
        <w:rPr>
          <w:rFonts w:ascii="Times New Roman" w:hAnsi="Times New Roman" w:cs="Times New Roman"/>
          <w:sz w:val="24"/>
          <w:szCs w:val="24"/>
        </w:rPr>
        <w:t xml:space="preserve"> 40 специализированных транспортных средств</w:t>
      </w:r>
      <w:r w:rsidR="00FD237E" w:rsidRPr="00FD237E">
        <w:rPr>
          <w:rFonts w:ascii="Times New Roman" w:hAnsi="Times New Roman" w:cs="Times New Roman"/>
          <w:sz w:val="24"/>
          <w:szCs w:val="24"/>
        </w:rPr>
        <w:t xml:space="preserve">, </w:t>
      </w:r>
      <w:r w:rsidR="002159BA" w:rsidRPr="00FD237E">
        <w:rPr>
          <w:rFonts w:ascii="Times New Roman" w:hAnsi="Times New Roman" w:cs="Times New Roman"/>
          <w:sz w:val="24"/>
          <w:szCs w:val="24"/>
        </w:rPr>
        <w:t xml:space="preserve">переданных </w:t>
      </w:r>
      <w:r w:rsidR="00FD237E" w:rsidRPr="00FD237E">
        <w:rPr>
          <w:rFonts w:ascii="Times New Roman" w:hAnsi="Times New Roman" w:cs="Times New Roman"/>
          <w:sz w:val="24"/>
          <w:szCs w:val="24"/>
        </w:rPr>
        <w:t>Министерством обороны РФ</w:t>
      </w:r>
      <w:r w:rsidR="00FD237E">
        <w:rPr>
          <w:rFonts w:ascii="Times New Roman" w:hAnsi="Times New Roman" w:cs="Times New Roman"/>
          <w:sz w:val="24"/>
          <w:szCs w:val="24"/>
        </w:rPr>
        <w:t xml:space="preserve"> в собственность Волгоградской области;</w:t>
      </w:r>
      <w:proofErr w:type="gramEnd"/>
    </w:p>
    <w:p w:rsidR="0039072D" w:rsidRDefault="00701D32" w:rsidP="00455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9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сокращением бюджетных ассигнований на 558,8 тыс. руб. по письмам комитета финансов Волгоградской области от 20.12.2016 и от 23.12.2016 </w:t>
      </w:r>
      <w:r w:rsidR="003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</w:t>
      </w:r>
      <w:r w:rsidR="00B6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абз.6</w:t>
      </w:r>
      <w:r w:rsidR="0040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6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ст</w:t>
      </w:r>
      <w:r w:rsidR="003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6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36 </w:t>
      </w:r>
      <w:r w:rsidR="003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об областном бюджете</w:t>
      </w:r>
      <w:r w:rsidR="0040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559C1" w:rsidRDefault="004559C1" w:rsidP="00455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плановых показателей по расходам Комитета за 201</w:t>
      </w:r>
      <w:r w:rsidR="002D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отражено в </w:t>
      </w:r>
      <w:r w:rsidR="00254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455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аблице.</w:t>
      </w:r>
    </w:p>
    <w:tbl>
      <w:tblPr>
        <w:tblW w:w="9940" w:type="dxa"/>
        <w:tblInd w:w="92" w:type="dxa"/>
        <w:tblLook w:val="04A0"/>
      </w:tblPr>
      <w:tblGrid>
        <w:gridCol w:w="1026"/>
        <w:gridCol w:w="2103"/>
        <w:gridCol w:w="1160"/>
        <w:gridCol w:w="1160"/>
        <w:gridCol w:w="1206"/>
        <w:gridCol w:w="1065"/>
        <w:gridCol w:w="1099"/>
        <w:gridCol w:w="1121"/>
      </w:tblGrid>
      <w:tr w:rsidR="00F737A6" w:rsidRPr="00F737A6" w:rsidTr="00F50A78">
        <w:trPr>
          <w:trHeight w:val="98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Законом об областном бюджете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Росписью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Лимиты бюджетных обязательств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исполнено бюджет</w:t>
            </w:r>
            <w:proofErr w:type="gramStart"/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азначений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  <w:r w:rsidR="00F5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гр.6</w:t>
            </w:r>
            <w:proofErr w:type="gramStart"/>
            <w:r w:rsidR="00F5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F5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гр.4</w:t>
            </w:r>
          </w:p>
        </w:tc>
      </w:tr>
      <w:tr w:rsidR="00F50A78" w:rsidRPr="00F737A6" w:rsidTr="00F50A78">
        <w:trPr>
          <w:trHeight w:val="2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A78" w:rsidRPr="00F737A6" w:rsidRDefault="00F50A78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737A6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Расходы бюджета – 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514756,7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559781,4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558869,4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545434,4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14347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97,4</w:t>
            </w:r>
          </w:p>
        </w:tc>
      </w:tr>
      <w:tr w:rsidR="00F737A6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23568,5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65992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65992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F737A6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23568.5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A6" w:rsidRPr="00F737A6" w:rsidRDefault="00F737A6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CD693A" w:rsidRPr="00F737A6" w:rsidTr="00CD693A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(обустройство граждан Украины)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CD693A" w:rsidRDefault="00CD693A" w:rsidP="00CD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38156,4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CD693A" w:rsidRDefault="00CD693A" w:rsidP="00CD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CD693A" w:rsidRDefault="00CD693A" w:rsidP="00CD6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CD693A" w:rsidRPr="00F737A6" w:rsidTr="00980A4D">
        <w:trPr>
          <w:trHeight w:val="96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Волгоградской области (мероприятия, связанные с последствием взрыва многоквартирного дома)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11656,1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27733,2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27733,2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27713,6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477881,5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480482,7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479570,7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466975,6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13507,1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233586,3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233142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232300,6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222670,1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10471,9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CD693A" w:rsidRPr="00F737A6" w:rsidTr="00980A4D">
        <w:trPr>
          <w:trHeight w:val="7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ащита населения и 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иторий от ЧС, обеспечение пожарной безопасности" на 2014-2017 годы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7C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189443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188176,2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187335,6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177759,2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13010059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156758,6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151771,8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  <w:tr w:rsidR="00CD693A" w:rsidRPr="00F737A6" w:rsidTr="00980A4D">
        <w:trPr>
          <w:trHeight w:val="7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130120090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26684,3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26684,3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CD693A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130180140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и сборов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</w:tr>
      <w:tr w:rsidR="00CD693A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130180870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900000001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гос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органов Волгоградской области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44959,8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44909,9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налогов и сборов казёнными учреждениями 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CD693A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244295,2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247340,7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247270,2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244305,5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3035,2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"Пожарная безопасность Волгоградской области на 2014-2017 годы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244295,2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244180,7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244110,2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241145,5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980A4D" w:rsidRDefault="00CD693A" w:rsidP="0098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11020059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239750,1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239679,6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236880,6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11028014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налогов и сборов госорганами и казёнными учреждениями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3601,4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</w:t>
            </w:r>
          </w:p>
        </w:tc>
      </w:tr>
      <w:tr w:rsidR="00CD693A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11028087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CD693A" w:rsidRPr="00F737A6" w:rsidTr="00980A4D">
        <w:trPr>
          <w:trHeight w:val="4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Волгоградской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D693A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12588,8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94,6</w:t>
            </w:r>
          </w:p>
        </w:tc>
      </w:tr>
      <w:tr w:rsidR="00CD693A" w:rsidRPr="00F737A6" w:rsidTr="00980A4D">
        <w:trPr>
          <w:trHeight w:val="7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ащита населения и </w:t>
            </w:r>
            <w:proofErr w:type="spellStart"/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територий</w:t>
            </w:r>
            <w:proofErr w:type="spellEnd"/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ЧС, обеспечение пожарной безопасности" на 2014-2017 годы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</w:t>
            </w:r>
          </w:p>
        </w:tc>
      </w:tr>
      <w:tr w:rsidR="00CD693A" w:rsidRPr="00F737A6" w:rsidTr="00980A4D">
        <w:trPr>
          <w:trHeight w:val="2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3A" w:rsidRPr="00F737A6" w:rsidRDefault="00CD693A" w:rsidP="00F7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3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</w:t>
            </w:r>
          </w:p>
        </w:tc>
      </w:tr>
    </w:tbl>
    <w:p w:rsidR="006276CC" w:rsidRDefault="006276CC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бюджетные ассигнования исполнены. Неисполнение ассигнований составило всего </w:t>
      </w:r>
      <w:r w:rsidR="00056EA8">
        <w:rPr>
          <w:rFonts w:ascii="Times New Roman" w:eastAsia="Times New Roman" w:hAnsi="Times New Roman" w:cs="Times New Roman"/>
          <w:sz w:val="24"/>
          <w:szCs w:val="24"/>
          <w:lang w:eastAsia="ru-RU"/>
        </w:rPr>
        <w:t>2,6% (14 347,0 тыс. руб.) и обусловлено следующими причинами:</w:t>
      </w:r>
    </w:p>
    <w:p w:rsidR="00056EA8" w:rsidRDefault="00056EA8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недофинансированием заявок на оплату расходов</w:t>
      </w:r>
      <w:r w:rsid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265CCD">
        <w:rPr>
          <w:rFonts w:ascii="Times New Roman" w:eastAsia="Times New Roman" w:hAnsi="Times New Roman" w:cs="Times New Roman"/>
          <w:sz w:val="24"/>
          <w:szCs w:val="24"/>
          <w:lang w:eastAsia="ru-RU"/>
        </w:rPr>
        <w:t>468</w:t>
      </w:r>
      <w:r w:rsid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C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D9F" w:rsidRDefault="003A7D9F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5C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экономией фонда оплаты труда, отсутствием документов для оплаты в подведомственных казённых учреждениях (3864,5 тыс. руб.);</w:t>
      </w:r>
    </w:p>
    <w:p w:rsidR="00056EA8" w:rsidRDefault="00056EA8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5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</w:t>
      </w:r>
      <w:r w:rsidR="009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 (912,0 тыс. руб.), в т.ч. в связи со </w:t>
      </w:r>
      <w:r w:rsidR="004B6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сложившейся экономией бюджетных средств по результатам</w:t>
      </w:r>
      <w:r w:rsidR="00AE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процедур</w:t>
      </w:r>
      <w:r w:rsidR="00411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06" w:rsidRDefault="00265CCD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потребности в расходах на содержание пунктов временного размещения граждан Украины (102,4 тыс. рублей).</w:t>
      </w:r>
    </w:p>
    <w:p w:rsidR="00265CCD" w:rsidRDefault="00265CCD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FB" w:rsidRDefault="00A75AFB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 на оплату труда Комитета</w:t>
      </w:r>
      <w:r w:rsidR="00634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в сумме 33</w:t>
      </w:r>
      <w:r w:rsidR="00F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628,9 тыс. руб.</w:t>
      </w:r>
      <w:r w:rsidR="00634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на 99,9 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199" w:rsidRDefault="00634877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Отчёту об исполнении бюджета (ф.0503127) на премиальные выплаты 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C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A05">
        <w:rPr>
          <w:rFonts w:ascii="Times New Roman" w:eastAsia="Times New Roman" w:hAnsi="Times New Roman" w:cs="Times New Roman"/>
          <w:sz w:val="24"/>
          <w:szCs w:val="24"/>
          <w:lang w:eastAsia="ru-RU"/>
        </w:rPr>
        <w:t>1960,0</w:t>
      </w:r>
      <w:r w:rsidR="00B5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 которых исполнено </w:t>
      </w:r>
      <w:r w:rsidR="00DC4E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EEA">
        <w:rPr>
          <w:rFonts w:ascii="Times New Roman" w:eastAsia="Times New Roman" w:hAnsi="Times New Roman" w:cs="Times New Roman"/>
          <w:sz w:val="24"/>
          <w:szCs w:val="24"/>
          <w:lang w:eastAsia="ru-RU"/>
        </w:rPr>
        <w:t>957,2 тыс. руб. (</w:t>
      </w:r>
      <w:r w:rsidR="00B51199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DC4EEA">
        <w:rPr>
          <w:rFonts w:ascii="Times New Roman" w:eastAsia="Times New Roman" w:hAnsi="Times New Roman" w:cs="Times New Roman"/>
          <w:sz w:val="24"/>
          <w:szCs w:val="24"/>
          <w:lang w:eastAsia="ru-RU"/>
        </w:rPr>
        <w:t>,9%</w:t>
      </w:r>
      <w:r w:rsidR="00B511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1199" w:rsidRDefault="00B51199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 Комитета  произведены следующие премиальные выплаты:</w:t>
      </w:r>
    </w:p>
    <w:p w:rsidR="00B51199" w:rsidRPr="004A74C1" w:rsidRDefault="00B51199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премия по итогам года </w:t>
      </w:r>
      <w:r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972,5 тыс. руб.;</w:t>
      </w:r>
    </w:p>
    <w:p w:rsidR="00B51199" w:rsidRPr="004A74C1" w:rsidRDefault="00B51199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3421"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за выполнение особо важных и сложных заданий – 460,4 тыс. руб.;</w:t>
      </w:r>
    </w:p>
    <w:p w:rsidR="00B51199" w:rsidRPr="004A74C1" w:rsidRDefault="00B51199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3421"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поощрение за </w:t>
      </w:r>
      <w:r w:rsidR="00073421"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добросовестное выполнение должностных обязанностей – </w:t>
      </w:r>
      <w:r w:rsidR="007D384C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="00073421"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руб.;</w:t>
      </w:r>
    </w:p>
    <w:p w:rsidR="00073421" w:rsidRDefault="00073421" w:rsidP="00687A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C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помощь из экономии ФОТ (Постановление ГАВО от 14.12.2010 № 1900) – 20,3 тыс. рублей.</w:t>
      </w:r>
    </w:p>
    <w:p w:rsidR="00061CE4" w:rsidRDefault="00061CE4" w:rsidP="00E34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E345E4">
        <w:rPr>
          <w:rFonts w:ascii="Times New Roman" w:hAnsi="Times New Roman" w:cs="Times New Roman"/>
          <w:sz w:val="24"/>
          <w:szCs w:val="24"/>
        </w:rPr>
        <w:t xml:space="preserve">за счёт экономии  фонда оплаты труда в </w:t>
      </w:r>
      <w:r w:rsidR="0092445D">
        <w:rPr>
          <w:rFonts w:ascii="Times New Roman" w:hAnsi="Times New Roman" w:cs="Times New Roman"/>
          <w:sz w:val="24"/>
          <w:szCs w:val="24"/>
        </w:rPr>
        <w:t xml:space="preserve">сентябре, </w:t>
      </w:r>
      <w:r w:rsidR="00E345E4">
        <w:rPr>
          <w:rFonts w:ascii="Times New Roman" w:hAnsi="Times New Roman" w:cs="Times New Roman"/>
          <w:sz w:val="24"/>
          <w:szCs w:val="24"/>
        </w:rPr>
        <w:t>декабре 2016 года произведены компенсационные выплаты при сокращении</w:t>
      </w:r>
      <w:r w:rsidR="004A74C1">
        <w:rPr>
          <w:rFonts w:ascii="Times New Roman" w:hAnsi="Times New Roman" w:cs="Times New Roman"/>
          <w:sz w:val="24"/>
          <w:szCs w:val="24"/>
        </w:rPr>
        <w:t xml:space="preserve"> </w:t>
      </w:r>
      <w:r w:rsidR="00EE304C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4A74C1">
        <w:rPr>
          <w:rFonts w:ascii="Times New Roman" w:hAnsi="Times New Roman" w:cs="Times New Roman"/>
          <w:sz w:val="24"/>
          <w:szCs w:val="24"/>
        </w:rPr>
        <w:t>в су</w:t>
      </w:r>
      <w:r w:rsidR="00EE304C">
        <w:rPr>
          <w:rFonts w:ascii="Times New Roman" w:hAnsi="Times New Roman" w:cs="Times New Roman"/>
          <w:sz w:val="24"/>
          <w:szCs w:val="24"/>
        </w:rPr>
        <w:t>м</w:t>
      </w:r>
      <w:r w:rsidR="004A74C1">
        <w:rPr>
          <w:rFonts w:ascii="Times New Roman" w:hAnsi="Times New Roman" w:cs="Times New Roman"/>
          <w:sz w:val="24"/>
          <w:szCs w:val="24"/>
        </w:rPr>
        <w:t>ме 529,0 тыс. рублей</w:t>
      </w:r>
      <w:r w:rsidR="00E345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3A3" w:rsidRDefault="00E273A3" w:rsidP="00E34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806" w:rsidRPr="006C3806" w:rsidRDefault="006C3806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80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Сравнительный анализ показателей исполнения </w:t>
      </w:r>
    </w:p>
    <w:p w:rsidR="006C3806" w:rsidRPr="006C3806" w:rsidRDefault="006C3806" w:rsidP="006C3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806">
        <w:rPr>
          <w:rFonts w:ascii="Times New Roman" w:hAnsi="Times New Roman" w:cs="Times New Roman"/>
          <w:b/>
          <w:i/>
          <w:sz w:val="24"/>
          <w:szCs w:val="24"/>
        </w:rPr>
        <w:t>расходов областного бюджета за отчетный год и предыдущий год</w:t>
      </w:r>
    </w:p>
    <w:p w:rsidR="006C3806" w:rsidRPr="006C3806" w:rsidRDefault="006C3806" w:rsidP="0068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3806">
        <w:rPr>
          <w:rFonts w:ascii="Times New Roman" w:hAnsi="Times New Roman" w:cs="Times New Roman"/>
          <w:sz w:val="24"/>
          <w:szCs w:val="24"/>
        </w:rPr>
        <w:t>Сравнительный анализ показателей исполнения расходов областного бюджета за 201</w:t>
      </w:r>
      <w:r w:rsidR="00634877">
        <w:rPr>
          <w:rFonts w:ascii="Times New Roman" w:hAnsi="Times New Roman" w:cs="Times New Roman"/>
          <w:sz w:val="24"/>
          <w:szCs w:val="24"/>
        </w:rPr>
        <w:t>5</w:t>
      </w:r>
      <w:r w:rsidRPr="006C3806">
        <w:rPr>
          <w:rFonts w:ascii="Times New Roman" w:hAnsi="Times New Roman" w:cs="Times New Roman"/>
          <w:sz w:val="24"/>
          <w:szCs w:val="24"/>
        </w:rPr>
        <w:t xml:space="preserve"> год и 201</w:t>
      </w:r>
      <w:r w:rsidR="00634877">
        <w:rPr>
          <w:rFonts w:ascii="Times New Roman" w:hAnsi="Times New Roman" w:cs="Times New Roman"/>
          <w:sz w:val="24"/>
          <w:szCs w:val="24"/>
        </w:rPr>
        <w:t>6</w:t>
      </w:r>
      <w:r w:rsidRPr="006C3806">
        <w:rPr>
          <w:rFonts w:ascii="Times New Roman" w:hAnsi="Times New Roman" w:cs="Times New Roman"/>
          <w:sz w:val="24"/>
          <w:szCs w:val="24"/>
        </w:rPr>
        <w:t xml:space="preserve"> год представлен в таблице.</w:t>
      </w:r>
    </w:p>
    <w:p w:rsidR="004236AF" w:rsidRPr="004236AF" w:rsidRDefault="004236AF" w:rsidP="004236A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</w:t>
      </w:r>
      <w:proofErr w:type="gramStart"/>
      <w:r w:rsidRPr="00423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423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уб.</w:t>
      </w:r>
    </w:p>
    <w:tbl>
      <w:tblPr>
        <w:tblW w:w="9652" w:type="dxa"/>
        <w:tblInd w:w="95" w:type="dxa"/>
        <w:tblLayout w:type="fixed"/>
        <w:tblLook w:val="04A0"/>
      </w:tblPr>
      <w:tblGrid>
        <w:gridCol w:w="732"/>
        <w:gridCol w:w="4503"/>
        <w:gridCol w:w="960"/>
        <w:gridCol w:w="1473"/>
        <w:gridCol w:w="1111"/>
        <w:gridCol w:w="873"/>
      </w:tblGrid>
      <w:tr w:rsidR="004236AF" w:rsidRPr="006C3806" w:rsidTr="005805C2">
        <w:trPr>
          <w:trHeight w:val="300"/>
          <w:tblHeader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36AF" w:rsidRPr="00F5437F" w:rsidRDefault="004236AF" w:rsidP="00F543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F5437F" w:rsidRPr="00F54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36AF" w:rsidRPr="00F5437F" w:rsidRDefault="00F5437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4236AF" w:rsidRPr="006C3806" w:rsidTr="005805C2">
        <w:trPr>
          <w:trHeight w:val="300"/>
          <w:tblHeader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F5437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4236AF"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бсолют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36AF"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36AF" w:rsidRPr="00557F01" w:rsidRDefault="004236AF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F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A47BB" w:rsidRPr="00A27471" w:rsidTr="00854F50">
        <w:trPr>
          <w:trHeight w:val="44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7BB" w:rsidRPr="00A27471" w:rsidRDefault="003A47BB" w:rsidP="005805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7BB" w:rsidRPr="00A27471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74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– всего: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746 906,6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5805C2" w:rsidRDefault="003A47BB" w:rsidP="003A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545 434,4</w:t>
            </w:r>
          </w:p>
        </w:tc>
        <w:tc>
          <w:tcPr>
            <w:tcW w:w="111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5805C2" w:rsidRDefault="003A47BB" w:rsidP="003A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-201 472,2</w:t>
            </w:r>
          </w:p>
        </w:tc>
        <w:tc>
          <w:tcPr>
            <w:tcW w:w="8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5805C2" w:rsidRDefault="003A47BB" w:rsidP="003A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-27,0</w:t>
            </w:r>
          </w:p>
        </w:tc>
      </w:tr>
      <w:tr w:rsidR="003A47BB" w:rsidRPr="00A27471" w:rsidTr="00854F50">
        <w:trPr>
          <w:trHeight w:val="123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B" w:rsidRPr="00687AC6" w:rsidRDefault="003A47BB" w:rsidP="005805C2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7BB" w:rsidRPr="00687AC6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258</w:t>
            </w: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839,7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65870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-192969,7</w:t>
            </w:r>
          </w:p>
        </w:tc>
        <w:tc>
          <w:tcPr>
            <w:tcW w:w="8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-74,6</w:t>
            </w:r>
          </w:p>
        </w:tc>
      </w:tr>
      <w:tr w:rsidR="003A47BB" w:rsidRPr="00A27471" w:rsidTr="00854F50">
        <w:trPr>
          <w:trHeight w:val="525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B" w:rsidRPr="00687AC6" w:rsidRDefault="003A47BB" w:rsidP="005805C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7BB" w:rsidRPr="00687AC6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474 193,3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466975,6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-7217,7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</w:t>
            </w:r>
          </w:p>
        </w:tc>
      </w:tr>
      <w:tr w:rsidR="003A47BB" w:rsidRPr="00A27471" w:rsidTr="00854F50">
        <w:trPr>
          <w:trHeight w:val="231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B" w:rsidRPr="00687AC6" w:rsidRDefault="003A47BB" w:rsidP="005805C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i/>
                <w:sz w:val="18"/>
                <w:szCs w:val="18"/>
              </w:rPr>
              <w:t>0309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7BB" w:rsidRPr="00687AC6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232 029,0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222670,1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-9358,9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</w:t>
            </w:r>
          </w:p>
        </w:tc>
      </w:tr>
      <w:tr w:rsidR="003A47BB" w:rsidRPr="00A27471" w:rsidTr="00854F50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B" w:rsidRPr="00687AC6" w:rsidRDefault="003A47BB" w:rsidP="005805C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i/>
                <w:sz w:val="18"/>
                <w:szCs w:val="18"/>
              </w:rPr>
              <w:t>0310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7BB" w:rsidRPr="00687AC6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242 164,2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244305,5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3A47BB" w:rsidRPr="00A27471" w:rsidTr="00854F50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47BB" w:rsidRPr="00687AC6" w:rsidRDefault="003A47BB" w:rsidP="005805C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7BB" w:rsidRPr="00687AC6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13 873,6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12588,8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-1284,8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-9,3</w:t>
            </w:r>
          </w:p>
        </w:tc>
      </w:tr>
      <w:tr w:rsidR="003A47BB" w:rsidRPr="00A27471" w:rsidTr="00854F50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7BB" w:rsidRPr="00687AC6" w:rsidRDefault="003A47BB" w:rsidP="005805C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i/>
                <w:sz w:val="18"/>
                <w:szCs w:val="18"/>
              </w:rPr>
              <w:t>0705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7BB" w:rsidRPr="00687AC6" w:rsidRDefault="003A47BB" w:rsidP="005805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87A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854F50" w:rsidRDefault="003A47BB" w:rsidP="00854F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13 873,6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12588,8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-1284,8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47BB" w:rsidRPr="00286EE9" w:rsidRDefault="003A47BB" w:rsidP="00286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-9,3</w:t>
            </w:r>
          </w:p>
        </w:tc>
      </w:tr>
    </w:tbl>
    <w:p w:rsidR="00CF3CDD" w:rsidRDefault="00CF3CDD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68" w:rsidRDefault="00854F50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по отношению к 2015</w:t>
      </w:r>
      <w:r w:rsid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 снижение </w:t>
      </w:r>
      <w:r w:rsid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Комитета на </w:t>
      </w:r>
      <w:r w:rsidR="003A47BB">
        <w:rPr>
          <w:rFonts w:ascii="Times New Roman" w:eastAsia="Times New Roman" w:hAnsi="Times New Roman" w:cs="Times New Roman"/>
          <w:sz w:val="24"/>
          <w:szCs w:val="24"/>
          <w:lang w:eastAsia="ru-RU"/>
        </w:rPr>
        <w:t>201 472,2</w:t>
      </w:r>
      <w:r w:rsid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47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снижение </w:t>
      </w:r>
      <w:r w:rsidR="0009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</w:t>
      </w:r>
      <w:r w:rsidR="009119AF" w:rsidRP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за счет</w:t>
      </w:r>
      <w:r w:rsidR="009410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BE9" w:rsidRPr="00411BE9" w:rsidRDefault="00411BE9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11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подразделу 0113</w:t>
      </w:r>
    </w:p>
    <w:p w:rsidR="009119AF" w:rsidRDefault="00941068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уменьшения </w:t>
      </w:r>
      <w:r w:rsidR="009119AF" w:rsidRPr="0091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на обеспечение мероприятий по временному социально-бытовому обустройству лиц, вынужденно покинувших территорию Украины и находящихся в </w:t>
      </w:r>
      <w:r w:rsidR="00854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временного размещения (-</w:t>
      </w:r>
      <w:r w:rsidR="00286EE9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3A47BB">
        <w:rPr>
          <w:rFonts w:ascii="Times New Roman" w:eastAsia="Times New Roman" w:hAnsi="Times New Roman" w:cs="Times New Roman"/>
          <w:sz w:val="24"/>
          <w:szCs w:val="24"/>
          <w:lang w:eastAsia="ru-RU"/>
        </w:rPr>
        <w:t> 969,7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руб.);</w:t>
      </w:r>
    </w:p>
    <w:p w:rsidR="00411BE9" w:rsidRPr="00411BE9" w:rsidRDefault="00411BE9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Pr="00411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 подразделу 0309</w:t>
      </w:r>
    </w:p>
    <w:p w:rsidR="00067ADE" w:rsidRDefault="00067ADE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 w:rsidR="00411BE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</w:t>
      </w:r>
      <w:r w:rsidR="006E5C99"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единого центра обработки вызовов системы «112» </w:t>
      </w:r>
      <w:r w:rsidR="00411BE9"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="006E5C99"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>18028,8</w:t>
      </w:r>
      <w:r w:rsidR="006E5C99" w:rsidRPr="0021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</w:t>
      </w:r>
      <w:r w:rsidR="00411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BE9" w:rsidRDefault="00411BE9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3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погашение кредиторской задолженности </w:t>
      </w:r>
      <w:r w:rsidR="001A6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казённых учреждений в сфере гражданской обороны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обязательствам 2015 года (3712 тыс. руб.),  на оплату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</w:t>
      </w:r>
      <w:r w:rsidR="001A6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диспетчерского состава основного центра обработки  вызовов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«ЦУС»  в связи с увеличением их численности (</w:t>
      </w:r>
      <w:r w:rsidR="001A61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700 тыс. рублей);</w:t>
      </w:r>
    </w:p>
    <w:p w:rsidR="00411BE9" w:rsidRDefault="00411BE9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11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подразделу 0310</w:t>
      </w:r>
    </w:p>
    <w:p w:rsidR="00411BE9" w:rsidRPr="001A6167" w:rsidRDefault="001A6167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расходов на погашение кредиторской задолженности казённых учреждений в сфере противопожарной безопасности по обязательствам 2015 года (2141,3 тыс. рублей);</w:t>
      </w:r>
    </w:p>
    <w:p w:rsidR="00411BE9" w:rsidRPr="00411BE9" w:rsidRDefault="00411BE9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11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подразделу 0705</w:t>
      </w:r>
    </w:p>
    <w:p w:rsidR="006E5C99" w:rsidRDefault="00411BE9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кассовых</w:t>
      </w:r>
      <w:r w:rsidR="006E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</w:t>
      </w:r>
      <w:r w:rsidR="0063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E5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подведомственному учреждению ГБУ «УМЦ» (- 1 284,8 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9AF" w:rsidRDefault="009119AF" w:rsidP="0091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63" w:rsidRPr="00940563" w:rsidRDefault="00940563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563">
        <w:rPr>
          <w:rFonts w:ascii="Times New Roman" w:hAnsi="Times New Roman" w:cs="Times New Roman"/>
          <w:b/>
          <w:i/>
          <w:sz w:val="24"/>
          <w:szCs w:val="24"/>
        </w:rPr>
        <w:t>Динамика изменения дебиторской и кредиторской задолженностей</w:t>
      </w:r>
    </w:p>
    <w:p w:rsidR="004068F1" w:rsidRDefault="004068F1" w:rsidP="00DA25A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386" w:rsidRPr="00C06386" w:rsidRDefault="00396FBB" w:rsidP="00DA25A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Величина д</w:t>
      </w:r>
      <w:r w:rsidR="00C06386"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>ебиторск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C06386"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задолженност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06386"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</w:t>
      </w:r>
      <w:r w:rsidR="000953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2016 год </w:t>
      </w:r>
      <w:r w:rsidR="00945580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существенно не изменилась</w:t>
      </w:r>
      <w:r w:rsidR="000953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(уменьшилась на 0,8%) и </w:t>
      </w:r>
      <w:r w:rsidR="00095334"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составила </w:t>
      </w:r>
      <w:r w:rsidR="00007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3 199,3 тыс. руб.   </w:t>
      </w:r>
      <w:r w:rsidR="00095334">
        <w:rPr>
          <w:rFonts w:ascii="Times New Roman" w:eastAsia="Calibri" w:hAnsi="Times New Roman" w:cs="Times New Roman"/>
          <w:sz w:val="24"/>
          <w:szCs w:val="24"/>
          <w:lang w:eastAsia="ru-RU"/>
        </w:rPr>
        <w:t>на 01.01.2017</w:t>
      </w:r>
      <w:r w:rsidR="00007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953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6B5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22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сновная доля дебиторской задолженности </w:t>
      </w:r>
      <w:r w:rsidR="007C7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(75%) </w:t>
      </w:r>
      <w:r w:rsidR="00E22C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приходится на расчёты по выданным авансам </w:t>
      </w:r>
      <w:r w:rsidR="00E22C80" w:rsidRPr="00A11952">
        <w:rPr>
          <w:rFonts w:ascii="Times New Roman" w:eastAsia="Calibri" w:hAnsi="Times New Roman" w:cs="Times New Roman"/>
          <w:sz w:val="24"/>
          <w:szCs w:val="24"/>
          <w:lang w:eastAsia="ru-RU"/>
        </w:rPr>
        <w:t>(предоплата за коммунальные платежи</w:t>
      </w:r>
      <w:r w:rsidR="007C7AF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11952" w:rsidRPr="00A11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связь</w:t>
      </w:r>
      <w:r w:rsidR="00D76B5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C7A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2402,8 тыс. рублей.</w:t>
      </w:r>
    </w:p>
    <w:p w:rsidR="00C06386" w:rsidRPr="00C06386" w:rsidRDefault="00E22C80" w:rsidP="00DA25A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Просроченная дебиторская задолженность </w:t>
      </w:r>
      <w:r w:rsidR="00C06386"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>на 01.01.201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76B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572,5 тыс. руб. и сложилась в основном за счёт хищений материальных ценностей</w:t>
      </w:r>
      <w:r w:rsidR="00C06386" w:rsidRPr="00C063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пояснениям Комитета в настоящее время проводятся следственные действия.</w:t>
      </w:r>
    </w:p>
    <w:p w:rsidR="00AB556E" w:rsidRDefault="003D0137" w:rsidP="004E17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>Кредиторская задолженность Комитета на 01.01.201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составила 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>6 719</w:t>
      </w:r>
      <w:r w:rsidR="009455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6B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уменьшилась </w:t>
      </w: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год на 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>29 630,1</w:t>
      </w: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 81,5%)</w:t>
      </w:r>
      <w:r w:rsidR="009455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Существенное уменьшение кредиторской задолженности обусловлено отсутствием неиспользованных остатков </w:t>
      </w: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федеральной субсидии </w:t>
      </w:r>
      <w:r w:rsidR="0036445A" w:rsidRPr="006C023D">
        <w:rPr>
          <w:rFonts w:ascii="Times New Roman" w:hAnsi="Times New Roman" w:cs="Times New Roman"/>
          <w:sz w:val="24"/>
          <w:szCs w:val="24"/>
        </w:rPr>
        <w:t xml:space="preserve">на финансовое обеспечение мероприятий по социально-бытовому </w:t>
      </w:r>
      <w:r w:rsidR="0036445A" w:rsidRPr="006C023D">
        <w:rPr>
          <w:rFonts w:ascii="Times New Roman" w:hAnsi="Times New Roman" w:cs="Times New Roman"/>
          <w:sz w:val="24"/>
          <w:szCs w:val="24"/>
        </w:rPr>
        <w:lastRenderedPageBreak/>
        <w:t>обустройству лиц, вынужденно покинувших территорию Украины</w:t>
      </w:r>
      <w:r w:rsidR="0036445A">
        <w:rPr>
          <w:rFonts w:ascii="Times New Roman" w:hAnsi="Times New Roman" w:cs="Times New Roman"/>
          <w:sz w:val="24"/>
          <w:szCs w:val="24"/>
        </w:rPr>
        <w:t xml:space="preserve">, сокращением задолженности  по платежам в бюджет (на 97,7%). </w:t>
      </w:r>
      <w:r w:rsidR="0036445A"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доля кредиторской задолженности приходится на</w:t>
      </w:r>
      <w:r w:rsidR="006C0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5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расчеты по принятым обязательствам – </w:t>
      </w:r>
      <w:r w:rsidR="0036445A">
        <w:rPr>
          <w:rFonts w:ascii="Times New Roman" w:eastAsia="Calibri" w:hAnsi="Times New Roman" w:cs="Times New Roman"/>
          <w:sz w:val="24"/>
          <w:szCs w:val="24"/>
          <w:lang w:eastAsia="ru-RU"/>
        </w:rPr>
        <w:t>6 577,5</w:t>
      </w:r>
      <w:r w:rsidR="00AB55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="006C0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945E7">
        <w:rPr>
          <w:rFonts w:ascii="Times New Roman" w:eastAsia="Calibri" w:hAnsi="Times New Roman" w:cs="Times New Roman"/>
          <w:sz w:val="24"/>
          <w:szCs w:val="24"/>
          <w:lang w:eastAsia="ru-RU"/>
        </w:rPr>
        <w:t>из них 608,5 тыс. руб. являются просроченной задолженностью. О</w:t>
      </w:r>
      <w:r w:rsidR="006C0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сновная причина образования </w:t>
      </w:r>
      <w:r w:rsidR="000945E7">
        <w:rPr>
          <w:rFonts w:ascii="Times New Roman" w:eastAsia="Calibri" w:hAnsi="Times New Roman" w:cs="Times New Roman"/>
          <w:sz w:val="24"/>
          <w:szCs w:val="24"/>
          <w:lang w:eastAsia="ru-RU"/>
        </w:rPr>
        <w:t>задолженности</w:t>
      </w:r>
      <w:r w:rsidR="006C0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заключается в </w:t>
      </w:r>
      <w:r w:rsidR="006C023D"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</w:t>
      </w:r>
      <w:r w:rsidR="006C023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C023D"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финансирования </w:t>
      </w:r>
      <w:proofErr w:type="spellStart"/>
      <w:r w:rsidR="00F34951">
        <w:rPr>
          <w:rFonts w:ascii="Times New Roman" w:eastAsia="Calibri" w:hAnsi="Times New Roman" w:cs="Times New Roman"/>
          <w:sz w:val="24"/>
          <w:szCs w:val="24"/>
          <w:lang w:eastAsia="ru-RU"/>
        </w:rPr>
        <w:t>Облфином</w:t>
      </w:r>
      <w:proofErr w:type="spellEnd"/>
      <w:r w:rsidR="00F34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023D" w:rsidRPr="003D0137">
        <w:rPr>
          <w:rFonts w:ascii="Times New Roman" w:eastAsia="Calibri" w:hAnsi="Times New Roman" w:cs="Times New Roman"/>
          <w:sz w:val="24"/>
          <w:szCs w:val="24"/>
          <w:lang w:eastAsia="ru-RU"/>
        </w:rPr>
        <w:t>заявок</w:t>
      </w:r>
      <w:r w:rsidR="006C023D" w:rsidRPr="006C0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оплату расходов</w:t>
      </w:r>
      <w:r w:rsidR="006C0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C023D" w:rsidRPr="007271EE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непредставлением в Комитет поставщиками актов выполненных работ в срок до 25.12.2015.</w:t>
      </w:r>
      <w:r w:rsidR="00976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7BE" w:rsidRDefault="004E17BE" w:rsidP="004E17B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53E8" w:rsidRPr="00A32F36" w:rsidRDefault="002753E8" w:rsidP="00A32F3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F36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государственного задания </w:t>
      </w:r>
    </w:p>
    <w:p w:rsidR="002753E8" w:rsidRDefault="002753E8" w:rsidP="00A32F3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F36">
        <w:rPr>
          <w:rFonts w:ascii="Times New Roman" w:eastAsia="Calibri" w:hAnsi="Times New Roman" w:cs="Times New Roman"/>
          <w:b/>
          <w:sz w:val="24"/>
          <w:szCs w:val="24"/>
        </w:rPr>
        <w:t>на оказание государственных услуг (выполнение работ) ГБУ «УМЦ»</w:t>
      </w:r>
    </w:p>
    <w:p w:rsidR="004068F1" w:rsidRDefault="004068F1" w:rsidP="009C36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136" w:rsidRPr="00F5437F" w:rsidRDefault="003D5136" w:rsidP="009C36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E5">
        <w:rPr>
          <w:rFonts w:ascii="Times New Roman" w:eastAsia="Calibri" w:hAnsi="Times New Roman" w:cs="Times New Roman"/>
          <w:sz w:val="24"/>
          <w:szCs w:val="24"/>
        </w:rPr>
        <w:t xml:space="preserve">Основным видом деятельности ГБОУ </w:t>
      </w:r>
      <w:r w:rsidRPr="00F5437F">
        <w:rPr>
          <w:rFonts w:ascii="Times New Roman" w:eastAsia="Calibri" w:hAnsi="Times New Roman" w:cs="Times New Roman"/>
          <w:sz w:val="24"/>
          <w:szCs w:val="24"/>
        </w:rPr>
        <w:t xml:space="preserve">«УМЦ» является выполнение государственных услуг в целях реализации законодательства РФ и Волгоградской области по вопросам обучения в области гражданской обороны, защиты от чрезвычайных ситуаций природного и техногенного </w:t>
      </w:r>
      <w:r w:rsidR="00FE46E5" w:rsidRPr="00F5437F">
        <w:rPr>
          <w:rFonts w:ascii="Times New Roman" w:eastAsia="Calibri" w:hAnsi="Times New Roman" w:cs="Times New Roman"/>
          <w:sz w:val="24"/>
          <w:szCs w:val="24"/>
        </w:rPr>
        <w:t>характера и пожарной безопасности.</w:t>
      </w:r>
    </w:p>
    <w:p w:rsidR="00F63F9B" w:rsidRPr="00A12160" w:rsidRDefault="002753E8" w:rsidP="009C366B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i/>
          <w:color w:val="FF0000"/>
        </w:rPr>
      </w:pPr>
      <w:r w:rsidRPr="00F5437F">
        <w:rPr>
          <w:rFonts w:ascii="Times New Roman" w:hAnsi="Times New Roman"/>
          <w:b w:val="0"/>
          <w:color w:val="auto"/>
        </w:rPr>
        <w:t>Зако</w:t>
      </w:r>
      <w:r w:rsidR="00A32F36" w:rsidRPr="00F5437F">
        <w:rPr>
          <w:rFonts w:ascii="Times New Roman" w:hAnsi="Times New Roman"/>
          <w:b w:val="0"/>
          <w:color w:val="auto"/>
        </w:rPr>
        <w:t xml:space="preserve">ном об областном бюджете </w:t>
      </w:r>
      <w:r w:rsidRPr="00F5437F">
        <w:rPr>
          <w:rFonts w:ascii="Times New Roman" w:hAnsi="Times New Roman"/>
          <w:b w:val="0"/>
          <w:color w:val="auto"/>
        </w:rPr>
        <w:t>объем субсидии ГБУ «УМЦ»</w:t>
      </w:r>
      <w:r w:rsidRPr="00F7585E">
        <w:rPr>
          <w:rFonts w:ascii="Times New Roman" w:hAnsi="Times New Roman"/>
          <w:b w:val="0"/>
          <w:color w:val="auto"/>
        </w:rPr>
        <w:t xml:space="preserve"> </w:t>
      </w:r>
      <w:r w:rsidR="00A32F36" w:rsidRPr="00F7585E">
        <w:rPr>
          <w:rFonts w:ascii="Times New Roman" w:hAnsi="Times New Roman"/>
          <w:b w:val="0"/>
          <w:color w:val="auto"/>
        </w:rPr>
        <w:t xml:space="preserve">предусмотрен в размере </w:t>
      </w:r>
      <w:r w:rsidRPr="00F7585E">
        <w:rPr>
          <w:rFonts w:ascii="Times New Roman" w:hAnsi="Times New Roman"/>
          <w:b w:val="0"/>
          <w:color w:val="auto"/>
        </w:rPr>
        <w:t>1</w:t>
      </w:r>
      <w:r w:rsidR="003C0B43">
        <w:rPr>
          <w:rFonts w:ascii="Times New Roman" w:hAnsi="Times New Roman"/>
          <w:b w:val="0"/>
          <w:color w:val="auto"/>
        </w:rPr>
        <w:t>3 306,7</w:t>
      </w:r>
      <w:r w:rsidRPr="00F7585E">
        <w:rPr>
          <w:rFonts w:ascii="Times New Roman" w:hAnsi="Times New Roman"/>
          <w:b w:val="0"/>
          <w:color w:val="auto"/>
        </w:rPr>
        <w:t xml:space="preserve"> тыс. руб</w:t>
      </w:r>
      <w:r w:rsidR="00A32F36" w:rsidRPr="00F7585E">
        <w:rPr>
          <w:rFonts w:ascii="Times New Roman" w:hAnsi="Times New Roman"/>
          <w:b w:val="0"/>
          <w:color w:val="auto"/>
        </w:rPr>
        <w:t xml:space="preserve">лей. </w:t>
      </w:r>
      <w:r w:rsidR="00F63F9B">
        <w:rPr>
          <w:rFonts w:ascii="Times New Roman" w:hAnsi="Times New Roman"/>
          <w:b w:val="0"/>
          <w:color w:val="auto"/>
        </w:rPr>
        <w:t>С</w:t>
      </w:r>
      <w:r w:rsidR="00723267">
        <w:rPr>
          <w:rFonts w:ascii="Times New Roman" w:hAnsi="Times New Roman"/>
          <w:b w:val="0"/>
          <w:color w:val="auto"/>
        </w:rPr>
        <w:t>оглашение о предоставлении субсидии на выполнение государственного задания</w:t>
      </w:r>
      <w:r w:rsidR="00F63F9B">
        <w:rPr>
          <w:rFonts w:ascii="Times New Roman" w:hAnsi="Times New Roman"/>
          <w:b w:val="0"/>
          <w:color w:val="auto"/>
        </w:rPr>
        <w:t xml:space="preserve"> заключ</w:t>
      </w:r>
      <w:r w:rsidR="004952A8">
        <w:rPr>
          <w:rFonts w:ascii="Times New Roman" w:hAnsi="Times New Roman"/>
          <w:b w:val="0"/>
          <w:color w:val="auto"/>
        </w:rPr>
        <w:t>е</w:t>
      </w:r>
      <w:r w:rsidR="00F63F9B">
        <w:rPr>
          <w:rFonts w:ascii="Times New Roman" w:hAnsi="Times New Roman"/>
          <w:b w:val="0"/>
          <w:color w:val="auto"/>
        </w:rPr>
        <w:t>но Комитетом с ГБУ «УМЦ»</w:t>
      </w:r>
      <w:r w:rsidR="00723267">
        <w:rPr>
          <w:rFonts w:ascii="Times New Roman" w:hAnsi="Times New Roman"/>
          <w:b w:val="0"/>
          <w:color w:val="auto"/>
        </w:rPr>
        <w:t xml:space="preserve"> </w:t>
      </w:r>
      <w:r w:rsidR="00F63F9B">
        <w:rPr>
          <w:rFonts w:ascii="Times New Roman" w:hAnsi="Times New Roman"/>
          <w:b w:val="0"/>
          <w:color w:val="auto"/>
        </w:rPr>
        <w:t>на сум</w:t>
      </w:r>
      <w:r w:rsidR="00D76B59">
        <w:rPr>
          <w:rFonts w:ascii="Times New Roman" w:hAnsi="Times New Roman"/>
          <w:b w:val="0"/>
          <w:color w:val="auto"/>
        </w:rPr>
        <w:t>м</w:t>
      </w:r>
      <w:r w:rsidR="00F63F9B">
        <w:rPr>
          <w:rFonts w:ascii="Times New Roman" w:hAnsi="Times New Roman"/>
          <w:b w:val="0"/>
          <w:color w:val="auto"/>
        </w:rPr>
        <w:t>у</w:t>
      </w:r>
      <w:r w:rsidR="00723267">
        <w:rPr>
          <w:rFonts w:ascii="Times New Roman" w:hAnsi="Times New Roman"/>
          <w:b w:val="0"/>
          <w:color w:val="auto"/>
        </w:rPr>
        <w:t xml:space="preserve"> 13</w:t>
      </w:r>
      <w:r w:rsidR="00EE304C">
        <w:rPr>
          <w:rFonts w:ascii="Times New Roman" w:hAnsi="Times New Roman"/>
          <w:b w:val="0"/>
          <w:color w:val="auto"/>
        </w:rPr>
        <w:t xml:space="preserve"> </w:t>
      </w:r>
      <w:r w:rsidR="00723267">
        <w:rPr>
          <w:rFonts w:ascii="Times New Roman" w:hAnsi="Times New Roman"/>
          <w:b w:val="0"/>
          <w:color w:val="auto"/>
        </w:rPr>
        <w:t>306,7 тыс. руб</w:t>
      </w:r>
      <w:r w:rsidR="007B0D6A">
        <w:rPr>
          <w:rFonts w:ascii="Times New Roman" w:hAnsi="Times New Roman"/>
          <w:b w:val="0"/>
          <w:color w:val="auto"/>
        </w:rPr>
        <w:t>лей</w:t>
      </w:r>
      <w:r w:rsidR="00F63F9B">
        <w:rPr>
          <w:rFonts w:ascii="Times New Roman" w:hAnsi="Times New Roman"/>
          <w:b w:val="0"/>
          <w:color w:val="auto"/>
        </w:rPr>
        <w:t>. Субсидия предоставлена</w:t>
      </w:r>
      <w:r w:rsidR="00BA036B">
        <w:rPr>
          <w:rFonts w:ascii="Times New Roman" w:hAnsi="Times New Roman"/>
          <w:b w:val="0"/>
          <w:color w:val="auto"/>
        </w:rPr>
        <w:t xml:space="preserve"> </w:t>
      </w:r>
      <w:r w:rsidR="00F63F9B">
        <w:rPr>
          <w:rFonts w:ascii="Times New Roman" w:hAnsi="Times New Roman"/>
          <w:b w:val="0"/>
          <w:color w:val="auto"/>
        </w:rPr>
        <w:t>в сумме</w:t>
      </w:r>
      <w:r w:rsidR="00BA036B">
        <w:rPr>
          <w:rFonts w:ascii="Times New Roman" w:hAnsi="Times New Roman"/>
          <w:b w:val="0"/>
          <w:color w:val="auto"/>
        </w:rPr>
        <w:t xml:space="preserve"> 12 588,8 тыс. руб.</w:t>
      </w:r>
      <w:r w:rsidR="009154FF">
        <w:rPr>
          <w:rFonts w:ascii="Times New Roman" w:hAnsi="Times New Roman"/>
          <w:b w:val="0"/>
          <w:color w:val="auto"/>
        </w:rPr>
        <w:t xml:space="preserve"> (</w:t>
      </w:r>
      <w:r w:rsidR="00BA036B">
        <w:rPr>
          <w:rFonts w:ascii="Times New Roman" w:hAnsi="Times New Roman"/>
          <w:b w:val="0"/>
          <w:color w:val="auto"/>
        </w:rPr>
        <w:t>94,6</w:t>
      </w:r>
      <w:r w:rsidR="00DB4D4D">
        <w:rPr>
          <w:rFonts w:ascii="Times New Roman" w:hAnsi="Times New Roman"/>
          <w:b w:val="0"/>
          <w:color w:val="auto"/>
        </w:rPr>
        <w:t>%). Неисполнение</w:t>
      </w:r>
      <w:r w:rsidR="007B0D6A">
        <w:rPr>
          <w:rFonts w:ascii="Times New Roman" w:hAnsi="Times New Roman"/>
          <w:b w:val="0"/>
          <w:color w:val="auto"/>
        </w:rPr>
        <w:t xml:space="preserve"> бюджетны</w:t>
      </w:r>
      <w:r w:rsidR="00DB4D4D">
        <w:rPr>
          <w:rFonts w:ascii="Times New Roman" w:hAnsi="Times New Roman"/>
          <w:b w:val="0"/>
          <w:color w:val="auto"/>
        </w:rPr>
        <w:t>х</w:t>
      </w:r>
      <w:r w:rsidR="007B0D6A">
        <w:rPr>
          <w:rFonts w:ascii="Times New Roman" w:hAnsi="Times New Roman"/>
          <w:b w:val="0"/>
          <w:color w:val="auto"/>
        </w:rPr>
        <w:t xml:space="preserve"> обязательств в размере 717,9 тыс. руб.</w:t>
      </w:r>
      <w:r w:rsidR="00033FFA">
        <w:rPr>
          <w:rFonts w:ascii="Times New Roman" w:hAnsi="Times New Roman"/>
          <w:b w:val="0"/>
          <w:color w:val="auto"/>
        </w:rPr>
        <w:t xml:space="preserve"> </w:t>
      </w:r>
      <w:r w:rsidR="007B0D6A">
        <w:rPr>
          <w:rFonts w:ascii="Times New Roman" w:hAnsi="Times New Roman"/>
          <w:b w:val="0"/>
          <w:color w:val="auto"/>
        </w:rPr>
        <w:t>обусловлен</w:t>
      </w:r>
      <w:r w:rsidR="00DB4D4D">
        <w:rPr>
          <w:rFonts w:ascii="Times New Roman" w:hAnsi="Times New Roman"/>
          <w:b w:val="0"/>
          <w:color w:val="auto"/>
        </w:rPr>
        <w:t>о</w:t>
      </w:r>
      <w:r w:rsidR="00033FFA">
        <w:rPr>
          <w:rFonts w:ascii="Times New Roman" w:hAnsi="Times New Roman"/>
          <w:b w:val="0"/>
          <w:color w:val="auto"/>
        </w:rPr>
        <w:t xml:space="preserve"> </w:t>
      </w:r>
      <w:r w:rsidR="00EE304C">
        <w:rPr>
          <w:rFonts w:ascii="Times New Roman" w:hAnsi="Times New Roman"/>
          <w:b w:val="0"/>
          <w:color w:val="auto"/>
        </w:rPr>
        <w:t xml:space="preserve">отсутствием </w:t>
      </w:r>
      <w:r w:rsidR="00DB4D4D">
        <w:rPr>
          <w:rFonts w:ascii="Times New Roman" w:hAnsi="Times New Roman"/>
          <w:b w:val="0"/>
          <w:color w:val="auto"/>
        </w:rPr>
        <w:t xml:space="preserve">заявленной потребности в расходах </w:t>
      </w:r>
      <w:r w:rsidR="00EE304C" w:rsidRPr="00FD0D7B">
        <w:rPr>
          <w:rFonts w:ascii="Times New Roman" w:hAnsi="Times New Roman"/>
          <w:b w:val="0"/>
          <w:color w:val="auto"/>
        </w:rPr>
        <w:t>(</w:t>
      </w:r>
      <w:r w:rsidR="00EE304C" w:rsidRPr="009519E8">
        <w:rPr>
          <w:rFonts w:ascii="Times New Roman" w:hAnsi="Times New Roman"/>
          <w:b w:val="0"/>
          <w:color w:val="auto"/>
        </w:rPr>
        <w:t>333</w:t>
      </w:r>
      <w:r w:rsidR="00D76B59">
        <w:rPr>
          <w:rFonts w:ascii="Times New Roman" w:hAnsi="Times New Roman"/>
          <w:b w:val="0"/>
          <w:color w:val="auto"/>
        </w:rPr>
        <w:t xml:space="preserve"> </w:t>
      </w:r>
      <w:r w:rsidR="00EE304C" w:rsidRPr="009519E8">
        <w:rPr>
          <w:rFonts w:ascii="Times New Roman" w:hAnsi="Times New Roman"/>
          <w:b w:val="0"/>
          <w:color w:val="auto"/>
        </w:rPr>
        <w:t xml:space="preserve">тыс. руб.), а также </w:t>
      </w:r>
      <w:r w:rsidR="00F63F9B" w:rsidRPr="009519E8">
        <w:rPr>
          <w:rFonts w:ascii="Times New Roman" w:hAnsi="Times New Roman"/>
          <w:b w:val="0"/>
          <w:color w:val="auto"/>
        </w:rPr>
        <w:t>недофинансировани</w:t>
      </w:r>
      <w:r w:rsidR="00EE304C" w:rsidRPr="009519E8">
        <w:rPr>
          <w:rFonts w:ascii="Times New Roman" w:hAnsi="Times New Roman"/>
          <w:b w:val="0"/>
          <w:color w:val="auto"/>
        </w:rPr>
        <w:t xml:space="preserve">ем заявок </w:t>
      </w:r>
      <w:proofErr w:type="spellStart"/>
      <w:r w:rsidR="00DB4D4D">
        <w:rPr>
          <w:rFonts w:ascii="Times New Roman" w:hAnsi="Times New Roman"/>
          <w:b w:val="0"/>
          <w:color w:val="auto"/>
        </w:rPr>
        <w:t>Облфином</w:t>
      </w:r>
      <w:proofErr w:type="spellEnd"/>
      <w:r w:rsidR="00DB4D4D">
        <w:rPr>
          <w:rFonts w:ascii="Times New Roman" w:hAnsi="Times New Roman"/>
          <w:b w:val="0"/>
          <w:color w:val="auto"/>
        </w:rPr>
        <w:t xml:space="preserve"> </w:t>
      </w:r>
      <w:r w:rsidR="00392DEB" w:rsidRPr="009519E8">
        <w:rPr>
          <w:rFonts w:ascii="Times New Roman" w:hAnsi="Times New Roman"/>
          <w:b w:val="0"/>
          <w:color w:val="auto"/>
        </w:rPr>
        <w:t>(385,0 тыс. рублей)</w:t>
      </w:r>
      <w:r w:rsidR="009519E8">
        <w:rPr>
          <w:rFonts w:ascii="Times New Roman" w:hAnsi="Times New Roman"/>
          <w:b w:val="0"/>
          <w:color w:val="auto"/>
        </w:rPr>
        <w:t>.</w:t>
      </w:r>
    </w:p>
    <w:p w:rsidR="009C366B" w:rsidRDefault="009C366B" w:rsidP="009C3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 отчёту </w:t>
      </w:r>
      <w:r w:rsidR="00BD5F42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BD5F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BD5F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2016 год</w:t>
      </w:r>
      <w:r w:rsidR="00BD5F42">
        <w:rPr>
          <w:rFonts w:ascii="Times New Roman" w:hAnsi="Times New Roman" w:cs="Times New Roman"/>
          <w:sz w:val="24"/>
          <w:szCs w:val="24"/>
        </w:rPr>
        <w:t xml:space="preserve">  выполнено:</w:t>
      </w:r>
    </w:p>
    <w:p w:rsidR="00BD5F42" w:rsidRDefault="00BD5F42" w:rsidP="009C3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плановый показатель государственной услуги «реализация дополнительных профессиональных программ повышения квалификации» </w:t>
      </w:r>
      <w:r w:rsidR="00411CBE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</w:rPr>
        <w:t>1834 чел. выполнен на 109 %</w:t>
      </w:r>
      <w:r w:rsidR="00411CBE">
        <w:rPr>
          <w:rFonts w:ascii="Times New Roman" w:hAnsi="Times New Roman" w:cs="Times New Roman"/>
          <w:sz w:val="24"/>
          <w:szCs w:val="24"/>
        </w:rPr>
        <w:t>. О</w:t>
      </w:r>
      <w:r w:rsidR="00EE366C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="00411CBE">
        <w:rPr>
          <w:rFonts w:ascii="Times New Roman" w:hAnsi="Times New Roman" w:cs="Times New Roman"/>
          <w:sz w:val="24"/>
          <w:szCs w:val="24"/>
        </w:rPr>
        <w:t xml:space="preserve">прошли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EE366C">
        <w:rPr>
          <w:rFonts w:ascii="Times New Roman" w:hAnsi="Times New Roman" w:cs="Times New Roman"/>
          <w:sz w:val="24"/>
          <w:szCs w:val="24"/>
        </w:rPr>
        <w:t>2 чел</w:t>
      </w:r>
      <w:r w:rsidR="00411CBE">
        <w:rPr>
          <w:rFonts w:ascii="Times New Roman" w:hAnsi="Times New Roman" w:cs="Times New Roman"/>
          <w:sz w:val="24"/>
          <w:szCs w:val="24"/>
        </w:rPr>
        <w:t>овека</w:t>
      </w:r>
      <w:r w:rsidR="003B6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47D" w:rsidRDefault="00EE366C" w:rsidP="009C3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-плановый показатель государственной услуги «реализация дополнительных профессиональных программ переподготовки</w:t>
      </w:r>
      <w:r w:rsidR="00411CBE">
        <w:rPr>
          <w:rFonts w:ascii="Times New Roman" w:hAnsi="Times New Roman" w:cs="Times New Roman"/>
          <w:sz w:val="24"/>
          <w:szCs w:val="24"/>
        </w:rPr>
        <w:t xml:space="preserve">» в количестве 44 чел. выполнен на </w:t>
      </w:r>
      <w:r w:rsidR="00411CBE" w:rsidRPr="00F5437F">
        <w:rPr>
          <w:rFonts w:ascii="Times New Roman" w:hAnsi="Times New Roman" w:cs="Times New Roman"/>
          <w:sz w:val="24"/>
          <w:szCs w:val="24"/>
        </w:rPr>
        <w:t>150</w:t>
      </w:r>
      <w:r w:rsidR="009B0CF4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411CBE">
        <w:rPr>
          <w:rFonts w:ascii="Times New Roman" w:hAnsi="Times New Roman" w:cs="Times New Roman"/>
          <w:sz w:val="24"/>
          <w:szCs w:val="24"/>
        </w:rPr>
        <w:t>. Программу переподготовки  прошли 6</w:t>
      </w:r>
      <w:r w:rsidR="00F5437F">
        <w:rPr>
          <w:rFonts w:ascii="Times New Roman" w:hAnsi="Times New Roman" w:cs="Times New Roman"/>
          <w:sz w:val="24"/>
          <w:szCs w:val="24"/>
        </w:rPr>
        <w:t>6</w:t>
      </w:r>
      <w:r w:rsidR="00411CB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E90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258" w:rsidRDefault="003B68B5" w:rsidP="00455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Перевыполнение плановых показателей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объясняется </w:t>
      </w:r>
      <w:r w:rsidR="00D76B59">
        <w:rPr>
          <w:rFonts w:ascii="Times New Roman" w:hAnsi="Times New Roman" w:cs="Times New Roman"/>
          <w:sz w:val="24"/>
          <w:szCs w:val="24"/>
        </w:rPr>
        <w:t xml:space="preserve">возникновением </w:t>
      </w:r>
      <w:r w:rsidR="00007C16">
        <w:rPr>
          <w:rFonts w:ascii="Times New Roman" w:hAnsi="Times New Roman" w:cs="Times New Roman"/>
          <w:sz w:val="24"/>
          <w:szCs w:val="24"/>
        </w:rPr>
        <w:t xml:space="preserve">в 4 квартале 2016 года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потребности в переподготовке и повышении квалификации </w:t>
      </w:r>
      <w:r w:rsidR="00455CA0">
        <w:rPr>
          <w:rFonts w:ascii="Times New Roman" w:hAnsi="Times New Roman" w:cs="Times New Roman"/>
          <w:sz w:val="24"/>
          <w:szCs w:val="24"/>
        </w:rPr>
        <w:t xml:space="preserve">должностных лиц и специалистов по гражданской обороне и чрезвычайным ситуациям </w:t>
      </w:r>
      <w:proofErr w:type="spellStart"/>
      <w:r w:rsidR="00455CA0">
        <w:rPr>
          <w:rFonts w:ascii="Times New Roman" w:hAnsi="Times New Roman" w:cs="Times New Roman"/>
          <w:sz w:val="24"/>
          <w:szCs w:val="24"/>
        </w:rPr>
        <w:t>государтвенных</w:t>
      </w:r>
      <w:proofErr w:type="spellEnd"/>
      <w:r w:rsidR="00455CA0">
        <w:rPr>
          <w:rFonts w:ascii="Times New Roman" w:hAnsi="Times New Roman" w:cs="Times New Roman"/>
          <w:sz w:val="24"/>
          <w:szCs w:val="24"/>
        </w:rPr>
        <w:t xml:space="preserve"> учреждений,  подведомственных  органам исполнительной власти Волгоградской области</w:t>
      </w:r>
      <w:r w:rsidR="00007C16">
        <w:rPr>
          <w:rFonts w:ascii="Times New Roman" w:hAnsi="Times New Roman" w:cs="Times New Roman"/>
          <w:sz w:val="24"/>
          <w:szCs w:val="24"/>
        </w:rPr>
        <w:t>.</w:t>
      </w:r>
      <w:r w:rsidR="00455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37" w:rsidRDefault="00C21237" w:rsidP="00455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Сопоставление выполненных показателей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объёмом финансирования может свидетельствовать о некорректном расчёте затрат на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как следствие, о завышенном объёме субсидии.</w:t>
      </w:r>
    </w:p>
    <w:p w:rsidR="00364B0E" w:rsidRDefault="00364B0E" w:rsidP="00455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п.42 Положения о формировании государственного задания на оказание государственных услуг (выполнение работ) в отношении государственных учреждений Волгоградской области и финансовом обеспечении выполнения государственного задания, утверждённого п</w:t>
      </w:r>
      <w:r w:rsidR="00E5450A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5450A"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обл. от 30.12.2015 N 818-п</w:t>
      </w:r>
      <w:r w:rsidR="00394CCD">
        <w:rPr>
          <w:rFonts w:ascii="Times New Roman" w:hAnsi="Times New Roman" w:cs="Times New Roman"/>
          <w:sz w:val="24"/>
          <w:szCs w:val="24"/>
        </w:rPr>
        <w:t xml:space="preserve"> (далее – Положение № 818-п)</w:t>
      </w:r>
      <w:r w:rsidR="00FD0D7B">
        <w:rPr>
          <w:rFonts w:ascii="Times New Roman" w:hAnsi="Times New Roman" w:cs="Times New Roman"/>
          <w:sz w:val="24"/>
          <w:szCs w:val="24"/>
        </w:rPr>
        <w:t>,</w:t>
      </w:r>
      <w:r w:rsidR="00455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органы, осуществляющие функции и полномочия учредителя в отношении государственных бюджетных учреждений</w:t>
      </w:r>
      <w:r w:rsidR="00FD0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контроль за выполнением государственного задания.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Задачей контроля является оценка выполнения (невыполнения) государственного задания в установленных государственному учреждению объемах и </w:t>
      </w:r>
      <w:r w:rsidRPr="009B0CF4">
        <w:rPr>
          <w:rFonts w:ascii="Times New Roman" w:hAnsi="Times New Roman" w:cs="Times New Roman"/>
          <w:sz w:val="24"/>
          <w:szCs w:val="24"/>
          <w:u w:val="single"/>
        </w:rPr>
        <w:t>показателях качества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услуг.  </w:t>
      </w:r>
    </w:p>
    <w:p w:rsidR="00015048" w:rsidRPr="00015048" w:rsidRDefault="00D64E78" w:rsidP="000150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0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40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="00800F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CDD" w:rsidRPr="00CF3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требований к формированию,  ведению и утверждению ведомственных перечней государственных услуг и работ, оказываемых и выполняемых государственными учреждениями субъектов РФ, утверждённых постановлением Правительства РФ от 26.02.2014 № 151 (далее - Правила № 151)</w:t>
      </w:r>
      <w:r w:rsidR="000945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п.4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Волгоградской области, утверждённого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Волгоградской обл</w:t>
      </w:r>
      <w:r w:rsidR="00B840DD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</w:rPr>
        <w:t xml:space="preserve"> от 22.04.2015 N 174-п</w:t>
      </w:r>
      <w:r w:rsidR="00015048">
        <w:rPr>
          <w:rFonts w:ascii="Times New Roman" w:hAnsi="Times New Roman" w:cs="Times New Roman"/>
          <w:sz w:val="24"/>
          <w:szCs w:val="24"/>
        </w:rPr>
        <w:t xml:space="preserve"> (далее – Порядок № 174-п),  </w:t>
      </w:r>
      <w:r w:rsidR="00B840DD">
        <w:rPr>
          <w:rFonts w:ascii="Times New Roman" w:hAnsi="Times New Roman" w:cs="Times New Roman"/>
          <w:sz w:val="24"/>
          <w:szCs w:val="24"/>
        </w:rPr>
        <w:t xml:space="preserve"> </w:t>
      </w:r>
      <w:r w:rsidR="00015048">
        <w:rPr>
          <w:rFonts w:ascii="Times New Roman" w:hAnsi="Times New Roman" w:cs="Times New Roman"/>
          <w:sz w:val="24"/>
          <w:szCs w:val="24"/>
        </w:rPr>
        <w:t xml:space="preserve">ГРБС для подведомственных бюджетных учреждений устанавливают показатели качества  государственных услуг   </w:t>
      </w:r>
      <w:r w:rsidR="00015048" w:rsidRPr="00015048">
        <w:rPr>
          <w:rFonts w:ascii="Times New Roman" w:hAnsi="Times New Roman" w:cs="Times New Roman"/>
          <w:sz w:val="24"/>
          <w:szCs w:val="24"/>
          <w:u w:val="single"/>
        </w:rPr>
        <w:t>в ведомственном перечне государственных услуг.</w:t>
      </w:r>
    </w:p>
    <w:p w:rsidR="00B840DD" w:rsidRDefault="00015048" w:rsidP="000150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«и» п.</w:t>
      </w:r>
      <w:r w:rsidR="00800F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Правил № 151 и п.4 Порядка 174-п Комитетом не определены показатели качества для государственных услуг, выполняемых ГБУ «УМЦ»</w:t>
      </w:r>
      <w:r w:rsidR="004A5FF9">
        <w:rPr>
          <w:rFonts w:ascii="Times New Roman" w:hAnsi="Times New Roman" w:cs="Times New Roman"/>
          <w:sz w:val="24"/>
          <w:szCs w:val="24"/>
        </w:rPr>
        <w:t>.  Отсутствие показателей качества выполнения государственных услуг снижает объективность  оценки выполнения государственного задания и указывает на недостаточное исполнение Комитетом</w:t>
      </w:r>
      <w:r w:rsidR="004A5FF9" w:rsidRPr="004A5FF9">
        <w:rPr>
          <w:rFonts w:ascii="Times New Roman" w:hAnsi="Times New Roman" w:cs="Times New Roman"/>
          <w:sz w:val="24"/>
          <w:szCs w:val="24"/>
        </w:rPr>
        <w:t xml:space="preserve"> </w:t>
      </w:r>
      <w:r w:rsidR="004A5FF9">
        <w:rPr>
          <w:rFonts w:ascii="Times New Roman" w:hAnsi="Times New Roman" w:cs="Times New Roman"/>
          <w:sz w:val="24"/>
          <w:szCs w:val="24"/>
        </w:rPr>
        <w:t xml:space="preserve">полномочий, установленных п.1. ст.158 БК РФ  в части обеспечения результативности использования бюджетных средств. </w:t>
      </w:r>
    </w:p>
    <w:p w:rsidR="004068F1" w:rsidRDefault="004068F1" w:rsidP="004E7D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AD" w:rsidRPr="004E7DAD" w:rsidRDefault="004E7DAD" w:rsidP="004E7D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AD">
        <w:rPr>
          <w:rFonts w:ascii="Times New Roman" w:hAnsi="Times New Roman" w:cs="Times New Roman"/>
          <w:b/>
          <w:sz w:val="24"/>
          <w:szCs w:val="24"/>
        </w:rPr>
        <w:t xml:space="preserve">Государственная программа Волгоградской области </w:t>
      </w:r>
    </w:p>
    <w:p w:rsidR="004E7DAD" w:rsidRPr="004E7DAD" w:rsidRDefault="004E7DAD" w:rsidP="004E7DA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AD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</w:t>
      </w:r>
    </w:p>
    <w:p w:rsidR="004E7DAD" w:rsidRPr="004E7DAD" w:rsidRDefault="004E7DAD" w:rsidP="004E7DA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4E7DAD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безопасности» на 2014-2017 годы (далее – Госпрограмма)</w:t>
      </w:r>
    </w:p>
    <w:p w:rsidR="00CF3CDD" w:rsidRDefault="00CF3CDD" w:rsidP="00894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375F" w:rsidRPr="0044375F" w:rsidRDefault="004E7DAD" w:rsidP="0089495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DAD">
        <w:rPr>
          <w:rFonts w:ascii="Times New Roman" w:hAnsi="Times New Roman" w:cs="Times New Roman"/>
          <w:sz w:val="24"/>
          <w:szCs w:val="24"/>
        </w:rPr>
        <w:t>Госпрограмма утверждена постановлением Правительства Волгоградской области от 22.11.</w:t>
      </w:r>
      <w:r w:rsidRPr="009949A6">
        <w:rPr>
          <w:rFonts w:ascii="Times New Roman" w:hAnsi="Times New Roman" w:cs="Times New Roman"/>
          <w:color w:val="000000" w:themeColor="text1"/>
          <w:sz w:val="24"/>
          <w:szCs w:val="24"/>
        </w:rPr>
        <w:t>2013 № 650-п.</w:t>
      </w:r>
      <w:r w:rsidRPr="004A5F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44375F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>В Госпрограмму включены три подпрограммы:</w:t>
      </w:r>
    </w:p>
    <w:p w:rsidR="0044375F" w:rsidRPr="0044375F" w:rsidRDefault="00564CBA" w:rsidP="008949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44375F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«Пожарная безопасность Волгоградской области на 2014-2017 годы»;</w:t>
      </w:r>
    </w:p>
    <w:p w:rsidR="0044375F" w:rsidRPr="0044375F" w:rsidRDefault="00564CBA" w:rsidP="008949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44375F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годы»;</w:t>
      </w:r>
    </w:p>
    <w:p w:rsidR="0044375F" w:rsidRDefault="00564CBA" w:rsidP="008949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44375F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«Защита населения и территорий от чрезвычайных ситуаций на 2015-2017 годы».</w:t>
      </w:r>
    </w:p>
    <w:p w:rsidR="00894952" w:rsidRDefault="00894952" w:rsidP="008949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исполнителем госпрограммы является Комитет. Соисполнителями </w:t>
      </w:r>
      <w:r w:rsidR="00564CBA">
        <w:rPr>
          <w:rFonts w:ascii="Times New Roman" w:hAnsi="Times New Roman" w:cs="Times New Roman"/>
          <w:sz w:val="24"/>
          <w:szCs w:val="24"/>
        </w:rPr>
        <w:t>подпрограммы 1</w:t>
      </w:r>
      <w:r w:rsidR="00D76B59">
        <w:rPr>
          <w:rFonts w:ascii="Times New Roman" w:hAnsi="Times New Roman" w:cs="Times New Roman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sz w:val="24"/>
          <w:szCs w:val="24"/>
        </w:rPr>
        <w:t>комитет здравоохранения Волгоградской области, комитет образования и науки Волгоградской области, комитет социальной защиты населения Волгоградской области</w:t>
      </w:r>
      <w:r w:rsidR="00564CBA">
        <w:rPr>
          <w:rFonts w:ascii="Times New Roman" w:hAnsi="Times New Roman" w:cs="Times New Roman"/>
          <w:sz w:val="24"/>
          <w:szCs w:val="24"/>
        </w:rPr>
        <w:t>; исполнителем подпрограммы 2 -</w:t>
      </w:r>
      <w:r>
        <w:rPr>
          <w:rFonts w:ascii="Times New Roman" w:hAnsi="Times New Roman" w:cs="Times New Roman"/>
          <w:sz w:val="24"/>
          <w:szCs w:val="24"/>
        </w:rPr>
        <w:t xml:space="preserve"> комитет информационных технологий Волгоградской области.</w:t>
      </w:r>
    </w:p>
    <w:p w:rsidR="0044375F" w:rsidRDefault="00376A0D" w:rsidP="0089495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>Законом об областном бюджете на реализацию Госпрограммы утверждены бюджетные ассигнования в сумме 499 471,2 тыс. руб.</w:t>
      </w:r>
      <w:r w:rsidR="00BC0558">
        <w:rPr>
          <w:rFonts w:ascii="Times New Roman" w:hAnsi="Times New Roman" w:cs="Times New Roman"/>
          <w:color w:val="000000" w:themeColor="text1"/>
          <w:sz w:val="24"/>
          <w:szCs w:val="24"/>
        </w:rPr>
        <w:t>, из которых</w:t>
      </w:r>
      <w:r w:rsidR="00B92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плановые ассигнования Комитета </w:t>
      </w:r>
      <w:r w:rsidR="00F3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2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447 045,3 тыс. рублей. Согласно </w:t>
      </w:r>
      <w:r w:rsidR="00B92138"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докладу о реализации госпрограммы </w:t>
      </w:r>
      <w:r w:rsidR="00022B5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Годовой доклад)</w:t>
      </w:r>
      <w:r w:rsidR="00B92138"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фактическо</w:t>
      </w:r>
      <w:r w:rsidR="00B92138">
        <w:rPr>
          <w:rFonts w:ascii="Times New Roman" w:hAnsi="Times New Roman" w:cs="Times New Roman"/>
          <w:color w:val="000000" w:themeColor="text1"/>
          <w:sz w:val="24"/>
          <w:szCs w:val="24"/>
        </w:rPr>
        <w:t>е её</w:t>
      </w:r>
      <w:r w:rsidR="00B92138"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</w:t>
      </w:r>
      <w:r w:rsidR="00B9213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92138"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576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составило</w:t>
      </w:r>
      <w:r w:rsidRPr="0037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BCE">
        <w:rPr>
          <w:rFonts w:ascii="Times New Roman" w:hAnsi="Times New Roman" w:cs="Times New Roman"/>
          <w:color w:val="000000" w:themeColor="text1"/>
          <w:sz w:val="24"/>
          <w:szCs w:val="24"/>
        </w:rPr>
        <w:t>437 184,9 тыс. руб. (87,5</w:t>
      </w:r>
      <w:r w:rsidR="00A5557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9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A5557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кассовых расходах областного бюджета на реализацию подпрограмм в разрезе исполнителей мероприятий программы представлена в таблице.</w:t>
      </w:r>
    </w:p>
    <w:p w:rsidR="00376A0D" w:rsidRPr="00376A0D" w:rsidRDefault="00376A0D" w:rsidP="00376A0D">
      <w:pPr>
        <w:spacing w:after="0" w:line="240" w:lineRule="auto"/>
        <w:ind w:firstLine="6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 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12"/>
        <w:gridCol w:w="993"/>
        <w:gridCol w:w="992"/>
        <w:gridCol w:w="992"/>
        <w:gridCol w:w="932"/>
      </w:tblGrid>
      <w:tr w:rsidR="00376A0D" w:rsidRPr="00376A0D" w:rsidTr="002B035B">
        <w:trPr>
          <w:trHeight w:val="170"/>
          <w:jc w:val="center"/>
        </w:trPr>
        <w:tc>
          <w:tcPr>
            <w:tcW w:w="5612" w:type="dxa"/>
            <w:shd w:val="clear" w:color="auto" w:fill="EAF1DD"/>
            <w:vAlign w:val="center"/>
            <w:hideMark/>
          </w:tcPr>
          <w:p w:rsidR="00376A0D" w:rsidRPr="00376A0D" w:rsidRDefault="00376A0D" w:rsidP="002B035B">
            <w:pPr>
              <w:spacing w:after="0" w:line="240" w:lineRule="auto"/>
              <w:ind w:firstLine="680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spellStart"/>
            <w:r w:rsidR="002B035B">
              <w:rPr>
                <w:rFonts w:ascii="Times New Roman" w:hAnsi="Times New Roman" w:cs="Times New Roman"/>
                <w:color w:val="000000" w:themeColor="text1"/>
              </w:rPr>
              <w:t>подрограммы</w:t>
            </w:r>
            <w:proofErr w:type="spellEnd"/>
            <w:r w:rsidR="002B035B">
              <w:rPr>
                <w:rFonts w:ascii="Times New Roman" w:hAnsi="Times New Roman" w:cs="Times New Roman"/>
                <w:color w:val="000000" w:themeColor="text1"/>
              </w:rPr>
              <w:t>/ исполнителя</w:t>
            </w:r>
          </w:p>
        </w:tc>
        <w:tc>
          <w:tcPr>
            <w:tcW w:w="993" w:type="dxa"/>
            <w:shd w:val="clear" w:color="auto" w:fill="EAF1DD"/>
            <w:vAlign w:val="center"/>
            <w:hideMark/>
          </w:tcPr>
          <w:p w:rsidR="00376A0D" w:rsidRPr="00376A0D" w:rsidRDefault="00376A0D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</w:t>
            </w:r>
            <w:proofErr w:type="spellEnd"/>
          </w:p>
          <w:p w:rsidR="00376A0D" w:rsidRPr="00376A0D" w:rsidRDefault="00376A0D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дено</w:t>
            </w:r>
            <w:proofErr w:type="spellEnd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Законом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376A0D" w:rsidRPr="00376A0D" w:rsidRDefault="0014427A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</w:t>
            </w:r>
            <w:proofErr w:type="gramEnd"/>
          </w:p>
        </w:tc>
        <w:tc>
          <w:tcPr>
            <w:tcW w:w="992" w:type="dxa"/>
            <w:shd w:val="clear" w:color="auto" w:fill="EAF1DD"/>
            <w:vAlign w:val="center"/>
          </w:tcPr>
          <w:p w:rsidR="00376A0D" w:rsidRPr="00376A0D" w:rsidRDefault="00376A0D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32" w:type="dxa"/>
            <w:shd w:val="clear" w:color="auto" w:fill="EAF1DD"/>
            <w:vAlign w:val="center"/>
          </w:tcPr>
          <w:p w:rsidR="00376A0D" w:rsidRPr="00376A0D" w:rsidRDefault="00376A0D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6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2B035B" w:rsidRDefault="000C09B9" w:rsidP="002B035B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«Пожарная безопасность Волгоградской области на 2014-2017 годы», в.</w:t>
            </w:r>
            <w:proofErr w:type="gramStart"/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2B035B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254 721,0</w:t>
            </w:r>
          </w:p>
        </w:tc>
        <w:tc>
          <w:tcPr>
            <w:tcW w:w="992" w:type="dxa"/>
            <w:vAlign w:val="center"/>
          </w:tcPr>
          <w:p w:rsidR="000C09B9" w:rsidRPr="002B035B" w:rsidRDefault="000C09B9" w:rsidP="002B035B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246 279,6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0C0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441,4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3,3</w:t>
            </w:r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376A0D" w:rsidRDefault="000C09B9" w:rsidP="00BE0F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BE0F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376A0D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244 295,2</w:t>
            </w:r>
          </w:p>
        </w:tc>
        <w:tc>
          <w:tcPr>
            <w:tcW w:w="992" w:type="dxa"/>
            <w:vAlign w:val="center"/>
          </w:tcPr>
          <w:p w:rsidR="000C09B9" w:rsidRDefault="000C09B9" w:rsidP="00376A0D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241 145,5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149,7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376A0D" w:rsidRDefault="000C09B9" w:rsidP="000C09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комитет здравоохранения Волгоградской, комитет социальной защиты Волгоградской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376A0D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10 425,8</w:t>
            </w:r>
          </w:p>
        </w:tc>
        <w:tc>
          <w:tcPr>
            <w:tcW w:w="992" w:type="dxa"/>
            <w:vAlign w:val="center"/>
          </w:tcPr>
          <w:p w:rsidR="000C09B9" w:rsidRDefault="000C09B9" w:rsidP="00376A0D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5 134,1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291,7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50,8</w:t>
            </w:r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2B035B" w:rsidRDefault="000C09B9" w:rsidP="002B035B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«Создание системы обеспечения вызова экстренных оперативных служб по единому номеру «112» на базе единых дежурно-диспетчерских служб городских округов и муниципальных районов в Волгоградской области на 2014-2017 годы»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2B035B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42 000,0</w:t>
            </w:r>
          </w:p>
        </w:tc>
        <w:tc>
          <w:tcPr>
            <w:tcW w:w="992" w:type="dxa"/>
            <w:vAlign w:val="center"/>
          </w:tcPr>
          <w:p w:rsidR="000C09B9" w:rsidRPr="002B035B" w:rsidRDefault="000C09B9" w:rsidP="00376A0D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556,6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  <w:r w:rsid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443,4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98,7</w:t>
            </w:r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2B035B" w:rsidRDefault="000C09B9" w:rsidP="002B0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-комитет информационных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8B73C5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42 000,0</w:t>
            </w:r>
          </w:p>
        </w:tc>
        <w:tc>
          <w:tcPr>
            <w:tcW w:w="992" w:type="dxa"/>
            <w:vAlign w:val="center"/>
          </w:tcPr>
          <w:p w:rsidR="000C09B9" w:rsidRPr="008B73C5" w:rsidRDefault="000C09B9" w:rsidP="00376A0D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3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556,6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443,4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98,7</w:t>
            </w:r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2B035B" w:rsidRDefault="000C09B9" w:rsidP="002B035B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«Защита населения и территорий от чрезвычайных ситуаций на 2015-2017 годы»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2B035B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202 750,2</w:t>
            </w:r>
          </w:p>
        </w:tc>
        <w:tc>
          <w:tcPr>
            <w:tcW w:w="992" w:type="dxa"/>
            <w:vAlign w:val="center"/>
          </w:tcPr>
          <w:p w:rsidR="000C09B9" w:rsidRPr="002B035B" w:rsidRDefault="00BE0FC2" w:rsidP="00BE0FC2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190 348,1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BE0F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12 402,1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BE0F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</w:t>
            </w:r>
          </w:p>
        </w:tc>
      </w:tr>
      <w:tr w:rsidR="000C09B9" w:rsidRPr="002B035B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2B035B" w:rsidRDefault="000C09B9" w:rsidP="00BE0F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0F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2B035B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202 750,2</w:t>
            </w:r>
          </w:p>
        </w:tc>
        <w:tc>
          <w:tcPr>
            <w:tcW w:w="992" w:type="dxa"/>
            <w:vAlign w:val="center"/>
          </w:tcPr>
          <w:p w:rsidR="000C09B9" w:rsidRPr="002B035B" w:rsidRDefault="000C09B9" w:rsidP="00376A0D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190 348,1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402,1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</w:tr>
      <w:tr w:rsidR="000C09B9" w:rsidRPr="004A5FF9" w:rsidTr="000C09B9">
        <w:trPr>
          <w:trHeight w:val="20"/>
          <w:jc w:val="center"/>
        </w:trPr>
        <w:tc>
          <w:tcPr>
            <w:tcW w:w="5612" w:type="dxa"/>
            <w:shd w:val="clear" w:color="auto" w:fill="auto"/>
            <w:vAlign w:val="center"/>
            <w:hideMark/>
          </w:tcPr>
          <w:p w:rsidR="000C09B9" w:rsidRPr="008B73C5" w:rsidRDefault="000C09B9" w:rsidP="002B03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3C5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C09B9" w:rsidRPr="008B73C5" w:rsidRDefault="000C09B9" w:rsidP="0037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3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499 471,2</w:t>
            </w:r>
          </w:p>
        </w:tc>
        <w:tc>
          <w:tcPr>
            <w:tcW w:w="992" w:type="dxa"/>
            <w:vAlign w:val="center"/>
          </w:tcPr>
          <w:p w:rsidR="000C09B9" w:rsidRPr="008B73C5" w:rsidRDefault="000C09B9" w:rsidP="00376A0D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3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437 184,9</w:t>
            </w:r>
          </w:p>
        </w:tc>
        <w:tc>
          <w:tcPr>
            <w:tcW w:w="992" w:type="dxa"/>
            <w:vAlign w:val="center"/>
          </w:tcPr>
          <w:p w:rsidR="000C09B9" w:rsidRPr="000C09B9" w:rsidRDefault="00F34951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</w:t>
            </w:r>
            <w:r w:rsid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286,3</w:t>
            </w:r>
          </w:p>
        </w:tc>
        <w:tc>
          <w:tcPr>
            <w:tcW w:w="932" w:type="dxa"/>
            <w:vAlign w:val="center"/>
          </w:tcPr>
          <w:p w:rsidR="000C09B9" w:rsidRPr="000C09B9" w:rsidRDefault="004A3B87" w:rsidP="000C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0C09B9" w:rsidRPr="000C09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12,5</w:t>
            </w:r>
          </w:p>
        </w:tc>
      </w:tr>
    </w:tbl>
    <w:p w:rsidR="00CF3CDD" w:rsidRDefault="00CF3CDD" w:rsidP="004E7D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231FC" w:rsidRDefault="00564CBA" w:rsidP="004E7D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64CBA">
        <w:rPr>
          <w:rFonts w:ascii="Times New Roman" w:hAnsi="Times New Roman" w:cs="Times New Roman"/>
          <w:sz w:val="24"/>
          <w:szCs w:val="24"/>
        </w:rPr>
        <w:t>В целом</w:t>
      </w:r>
      <w:r w:rsidR="00C129F1">
        <w:rPr>
          <w:rFonts w:ascii="Times New Roman" w:hAnsi="Times New Roman" w:cs="Times New Roman"/>
          <w:sz w:val="24"/>
          <w:szCs w:val="24"/>
        </w:rPr>
        <w:t xml:space="preserve"> неисполнение бюджетных ассигнований  на реализацию госпрограммы составило 12,5 % в связи с недостаточным финансированием.</w:t>
      </w:r>
      <w:r w:rsidR="007271EE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C129F1">
        <w:rPr>
          <w:rFonts w:ascii="Times New Roman" w:hAnsi="Times New Roman" w:cs="Times New Roman"/>
          <w:sz w:val="24"/>
          <w:szCs w:val="24"/>
        </w:rPr>
        <w:t xml:space="preserve"> </w:t>
      </w:r>
      <w:r w:rsidR="007271EE">
        <w:rPr>
          <w:rFonts w:ascii="Times New Roman" w:hAnsi="Times New Roman" w:cs="Times New Roman"/>
          <w:sz w:val="24"/>
          <w:szCs w:val="24"/>
        </w:rPr>
        <w:t>м</w:t>
      </w:r>
      <w:r w:rsidR="00C129F1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C129F1">
        <w:rPr>
          <w:rFonts w:ascii="Times New Roman" w:hAnsi="Times New Roman" w:cs="Times New Roman"/>
          <w:sz w:val="24"/>
          <w:szCs w:val="24"/>
        </w:rPr>
        <w:lastRenderedPageBreak/>
        <w:t>подпрограммы 2</w:t>
      </w:r>
      <w:r w:rsidR="006F14F4">
        <w:rPr>
          <w:rFonts w:ascii="Times New Roman" w:hAnsi="Times New Roman" w:cs="Times New Roman"/>
          <w:sz w:val="24"/>
          <w:szCs w:val="24"/>
        </w:rPr>
        <w:t>, исполнителем которой является комитет информационных технологий Волгоградской области,</w:t>
      </w:r>
      <w:r w:rsidR="00C129F1">
        <w:rPr>
          <w:rFonts w:ascii="Times New Roman" w:hAnsi="Times New Roman" w:cs="Times New Roman"/>
          <w:sz w:val="24"/>
          <w:szCs w:val="24"/>
        </w:rPr>
        <w:t xml:space="preserve"> профинансированы всего на 1,3</w:t>
      </w:r>
      <w:r w:rsidR="007231FC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C129F1">
        <w:rPr>
          <w:rFonts w:ascii="Times New Roman" w:hAnsi="Times New Roman" w:cs="Times New Roman"/>
          <w:sz w:val="24"/>
          <w:szCs w:val="24"/>
        </w:rPr>
        <w:t>.</w:t>
      </w:r>
      <w:r w:rsidR="00AC2A1A">
        <w:rPr>
          <w:rFonts w:ascii="Times New Roman" w:hAnsi="Times New Roman" w:cs="Times New Roman"/>
          <w:sz w:val="24"/>
          <w:szCs w:val="24"/>
        </w:rPr>
        <w:t xml:space="preserve"> </w:t>
      </w:r>
      <w:r w:rsidR="006F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59" w:rsidRDefault="007231FC" w:rsidP="0044375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недостаточного финансирования</w:t>
      </w:r>
      <w:r w:rsidR="002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здравоохранения </w:t>
      </w:r>
      <w:r w:rsidR="00D76B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олгоградской области, комитет социальной защиты Волгоградской области </w:t>
      </w:r>
      <w:r w:rsidR="002F0D98">
        <w:rPr>
          <w:rFonts w:ascii="Times New Roman" w:hAnsi="Times New Roman" w:cs="Times New Roman"/>
          <w:color w:val="000000" w:themeColor="text1"/>
          <w:sz w:val="24"/>
          <w:szCs w:val="24"/>
        </w:rPr>
        <w:t>выполнили мероприятия по п</w:t>
      </w:r>
      <w:r w:rsidR="002F0D98" w:rsidRPr="002F0D98">
        <w:rPr>
          <w:rFonts w:ascii="Times New Roman" w:hAnsi="Times New Roman" w:cs="Times New Roman"/>
          <w:color w:val="000000" w:themeColor="text1"/>
          <w:sz w:val="24"/>
          <w:szCs w:val="24"/>
        </w:rPr>
        <w:t>овышени</w:t>
      </w:r>
      <w:r w:rsidR="002F0D9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F0D98" w:rsidRPr="002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противопожарной защищенности объектов здравоохранения</w:t>
      </w:r>
      <w:r w:rsidR="002F0D98">
        <w:rPr>
          <w:rFonts w:ascii="Times New Roman" w:hAnsi="Times New Roman" w:cs="Times New Roman"/>
          <w:color w:val="000000" w:themeColor="text1"/>
          <w:sz w:val="24"/>
          <w:szCs w:val="24"/>
        </w:rPr>
        <w:t>, объектов социальной защиты населения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D98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объёме</w:t>
      </w:r>
      <w:r w:rsidR="004A3B87">
        <w:rPr>
          <w:rFonts w:ascii="Times New Roman" w:hAnsi="Times New Roman" w:cs="Times New Roman"/>
          <w:color w:val="000000" w:themeColor="text1"/>
          <w:sz w:val="24"/>
          <w:szCs w:val="24"/>
        </w:rPr>
        <w:t>, что может отразиться на обеспечении пожарной безопасности социальных объектов</w:t>
      </w:r>
      <w:r w:rsidR="002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76B59" w:rsidRDefault="002F0D98" w:rsidP="0044375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исполнителями которых выступали Комитет и комитет информационных технологий Волгоградской области, выполнены.</w:t>
      </w:r>
      <w:r w:rsidR="00AC2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в связи с отсутствием финансирования </w:t>
      </w:r>
      <w:r w:rsidR="00771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госпрограммы </w:t>
      </w:r>
      <w:r w:rsidR="00130AF5">
        <w:rPr>
          <w:rFonts w:ascii="Times New Roman" w:hAnsi="Times New Roman" w:cs="Times New Roman"/>
          <w:color w:val="000000" w:themeColor="text1"/>
          <w:sz w:val="24"/>
          <w:szCs w:val="24"/>
        </w:rPr>
        <w:t>у комитета информационных технологий Волгоградской области сложилась кредиторская задолженность в размере 36068,1 тыс. рублей.</w:t>
      </w:r>
    </w:p>
    <w:p w:rsidR="004E7DAD" w:rsidRDefault="004E7DAD" w:rsidP="0044375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Госпрограммы является снижение социального, экономического ущерба от чрезвычайных ситуаций природного и техногенного характера, пожаров. </w:t>
      </w:r>
      <w:r w:rsidR="00AC2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Достижение цели измеряется </w:t>
      </w:r>
      <w:r w:rsidR="00AC2A1A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>5 целев</w:t>
      </w:r>
      <w:r w:rsidR="00130AF5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AC2A1A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130AF5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="00AC2A1A" w:rsidRPr="0044375F">
        <w:rPr>
          <w:rFonts w:ascii="Times New Roman" w:hAnsi="Times New Roman" w:cs="Times New Roman"/>
          <w:color w:val="000000" w:themeColor="text1"/>
          <w:sz w:val="24"/>
          <w:szCs w:val="24"/>
        </w:rPr>
        <w:t>, информация о достижении которых представлена в таблице.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30"/>
        <w:gridCol w:w="992"/>
        <w:gridCol w:w="1398"/>
        <w:gridCol w:w="992"/>
        <w:gridCol w:w="1154"/>
      </w:tblGrid>
      <w:tr w:rsidR="002958C3" w:rsidRPr="004A5FF9" w:rsidTr="00EE2EF8">
        <w:trPr>
          <w:trHeight w:val="170"/>
          <w:jc w:val="center"/>
        </w:trPr>
        <w:tc>
          <w:tcPr>
            <w:tcW w:w="5430" w:type="dxa"/>
            <w:shd w:val="clear" w:color="auto" w:fill="EAF1DD"/>
            <w:vAlign w:val="center"/>
            <w:hideMark/>
          </w:tcPr>
          <w:p w:rsidR="002958C3" w:rsidRPr="00564CBA" w:rsidRDefault="002958C3" w:rsidP="000005CD">
            <w:pPr>
              <w:spacing w:after="0" w:line="240" w:lineRule="auto"/>
              <w:ind w:firstLine="6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2" w:type="dxa"/>
            <w:shd w:val="clear" w:color="auto" w:fill="EAF1DD"/>
            <w:vAlign w:val="center"/>
            <w:hideMark/>
          </w:tcPr>
          <w:p w:rsidR="002958C3" w:rsidRPr="00564CBA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98" w:type="dxa"/>
            <w:shd w:val="clear" w:color="auto" w:fill="EAF1DD"/>
            <w:vAlign w:val="center"/>
          </w:tcPr>
          <w:p w:rsidR="002958C3" w:rsidRPr="00564CBA" w:rsidRDefault="002958C3" w:rsidP="004B77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2016 г.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2958C3" w:rsidRPr="00564CBA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  <w:p w:rsidR="002958C3" w:rsidRPr="00564CBA" w:rsidRDefault="002958C3" w:rsidP="004B77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г.</w:t>
            </w:r>
          </w:p>
        </w:tc>
        <w:tc>
          <w:tcPr>
            <w:tcW w:w="1154" w:type="dxa"/>
            <w:shd w:val="clear" w:color="auto" w:fill="EAF1DD"/>
            <w:vAlign w:val="center"/>
          </w:tcPr>
          <w:p w:rsidR="002958C3" w:rsidRDefault="00564CBA" w:rsidP="00564C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</w:t>
            </w:r>
            <w:proofErr w:type="spellStart"/>
            <w:r w:rsidRP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64CBA" w:rsidRPr="00564CBA" w:rsidRDefault="00564CBA" w:rsidP="00564C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недовыпол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958C3" w:rsidRPr="004A5FF9" w:rsidTr="00EE2EF8">
        <w:trPr>
          <w:trHeight w:val="20"/>
          <w:jc w:val="center"/>
        </w:trPr>
        <w:tc>
          <w:tcPr>
            <w:tcW w:w="9966" w:type="dxa"/>
            <w:gridSpan w:val="5"/>
            <w:shd w:val="clear" w:color="auto" w:fill="auto"/>
            <w:vAlign w:val="center"/>
            <w:hideMark/>
          </w:tcPr>
          <w:p w:rsidR="002958C3" w:rsidRPr="00376A0D" w:rsidRDefault="002958C3" w:rsidP="004E7DAD">
            <w:pPr>
              <w:spacing w:after="0" w:line="240" w:lineRule="auto"/>
              <w:ind w:firstLine="680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Снижение по отношению к показателю 2012 г:</w:t>
            </w:r>
          </w:p>
        </w:tc>
      </w:tr>
      <w:tr w:rsidR="002958C3" w:rsidRPr="004A5FF9" w:rsidTr="00EE2EF8">
        <w:trPr>
          <w:trHeight w:val="20"/>
          <w:jc w:val="center"/>
        </w:trPr>
        <w:tc>
          <w:tcPr>
            <w:tcW w:w="5430" w:type="dxa"/>
            <w:shd w:val="clear" w:color="auto" w:fill="auto"/>
            <w:vAlign w:val="center"/>
            <w:hideMark/>
          </w:tcPr>
          <w:p w:rsidR="002958C3" w:rsidRPr="00376A0D" w:rsidRDefault="002958C3" w:rsidP="004A3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количества зарегистрированных пожаров</w:t>
            </w:r>
            <w:r w:rsidR="00F543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A3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ед./ %</w:t>
            </w:r>
          </w:p>
        </w:tc>
        <w:tc>
          <w:tcPr>
            <w:tcW w:w="1398" w:type="dxa"/>
            <w:vAlign w:val="center"/>
          </w:tcPr>
          <w:p w:rsidR="002958C3" w:rsidRPr="00EE2EF8" w:rsidRDefault="004A3B87" w:rsidP="00A1511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3049 /</w:t>
            </w:r>
            <w:r w:rsidR="00EE2EF8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:rsidR="002958C3" w:rsidRPr="00A15119" w:rsidRDefault="004136E0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2852/10,2</w:t>
            </w:r>
          </w:p>
        </w:tc>
        <w:tc>
          <w:tcPr>
            <w:tcW w:w="1154" w:type="dxa"/>
            <w:vAlign w:val="center"/>
          </w:tcPr>
          <w:p w:rsidR="002958C3" w:rsidRPr="00A15119" w:rsidRDefault="004A3B87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A1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197/+6,2</w:t>
            </w:r>
          </w:p>
        </w:tc>
      </w:tr>
      <w:tr w:rsidR="002958C3" w:rsidRPr="004A5FF9" w:rsidTr="00EE2EF8">
        <w:trPr>
          <w:trHeight w:val="20"/>
          <w:jc w:val="center"/>
        </w:trPr>
        <w:tc>
          <w:tcPr>
            <w:tcW w:w="5430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количества погибших при пожарах людей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чел./ %</w:t>
            </w:r>
          </w:p>
        </w:tc>
        <w:tc>
          <w:tcPr>
            <w:tcW w:w="1398" w:type="dxa"/>
            <w:vAlign w:val="center"/>
          </w:tcPr>
          <w:p w:rsidR="002958C3" w:rsidRPr="00EE2EF8" w:rsidRDefault="004A3B87" w:rsidP="00A1511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 /</w:t>
            </w:r>
            <w:r w:rsidR="00EE2EF8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:rsidR="002958C3" w:rsidRPr="00A15119" w:rsidRDefault="004136E0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159/36,1</w:t>
            </w:r>
          </w:p>
        </w:tc>
        <w:tc>
          <w:tcPr>
            <w:tcW w:w="1154" w:type="dxa"/>
            <w:vAlign w:val="center"/>
          </w:tcPr>
          <w:p w:rsidR="002958C3" w:rsidRPr="00A15119" w:rsidRDefault="004A3B87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A1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80/+32,1</w:t>
            </w:r>
          </w:p>
        </w:tc>
      </w:tr>
      <w:tr w:rsidR="002958C3" w:rsidRPr="004A5FF9" w:rsidTr="00EE2EF8">
        <w:trPr>
          <w:trHeight w:val="20"/>
          <w:jc w:val="center"/>
        </w:trPr>
        <w:tc>
          <w:tcPr>
            <w:tcW w:w="5430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количества населения, получившего травмы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чел./ %</w:t>
            </w:r>
          </w:p>
        </w:tc>
        <w:tc>
          <w:tcPr>
            <w:tcW w:w="1398" w:type="dxa"/>
            <w:vAlign w:val="center"/>
          </w:tcPr>
          <w:p w:rsidR="002958C3" w:rsidRPr="00EE2EF8" w:rsidRDefault="004A3B87" w:rsidP="00A1511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209 / </w:t>
            </w:r>
            <w:r w:rsid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958C3" w:rsidRPr="00A15119" w:rsidRDefault="004136E0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201/7,8</w:t>
            </w:r>
          </w:p>
        </w:tc>
        <w:tc>
          <w:tcPr>
            <w:tcW w:w="1154" w:type="dxa"/>
            <w:vAlign w:val="center"/>
          </w:tcPr>
          <w:p w:rsidR="002958C3" w:rsidRPr="00A15119" w:rsidRDefault="004A3B87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8/+3,8</w:t>
            </w:r>
          </w:p>
        </w:tc>
      </w:tr>
      <w:tr w:rsidR="002958C3" w:rsidRPr="004A5FF9" w:rsidTr="00EE2EF8">
        <w:trPr>
          <w:trHeight w:val="20"/>
          <w:jc w:val="center"/>
        </w:trPr>
        <w:tc>
          <w:tcPr>
            <w:tcW w:w="5430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сокращение экономического ущерба от ЧС и происшествий на территории Волгоградской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млн. руб.</w:t>
            </w:r>
          </w:p>
        </w:tc>
        <w:tc>
          <w:tcPr>
            <w:tcW w:w="1398" w:type="dxa"/>
            <w:vAlign w:val="center"/>
          </w:tcPr>
          <w:p w:rsidR="002958C3" w:rsidRPr="00EE2EF8" w:rsidRDefault="004A3B87" w:rsidP="00A1511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E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 </w:t>
            </w:r>
            <w:r w:rsidR="00F5437F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448,2</w:t>
            </w:r>
          </w:p>
        </w:tc>
        <w:tc>
          <w:tcPr>
            <w:tcW w:w="992" w:type="dxa"/>
            <w:vAlign w:val="center"/>
          </w:tcPr>
          <w:p w:rsidR="002958C3" w:rsidRPr="00F5437F" w:rsidRDefault="00F5437F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154" w:type="dxa"/>
            <w:vAlign w:val="center"/>
          </w:tcPr>
          <w:p w:rsidR="002958C3" w:rsidRPr="00A15119" w:rsidRDefault="00564CBA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-67,1</w:t>
            </w:r>
          </w:p>
        </w:tc>
      </w:tr>
      <w:tr w:rsidR="002958C3" w:rsidRPr="004A5FF9" w:rsidTr="00EE2EF8">
        <w:trPr>
          <w:trHeight w:val="20"/>
          <w:jc w:val="center"/>
        </w:trPr>
        <w:tc>
          <w:tcPr>
            <w:tcW w:w="5430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снижение количества погибших на водных объектах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58C3" w:rsidRPr="00376A0D" w:rsidRDefault="002958C3" w:rsidP="000005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6A0D">
              <w:rPr>
                <w:rFonts w:ascii="Times New Roman" w:hAnsi="Times New Roman" w:cs="Times New Roman"/>
                <w:color w:val="000000" w:themeColor="text1"/>
              </w:rPr>
              <w:t>чел./ %</w:t>
            </w:r>
          </w:p>
        </w:tc>
        <w:tc>
          <w:tcPr>
            <w:tcW w:w="1398" w:type="dxa"/>
            <w:vAlign w:val="center"/>
          </w:tcPr>
          <w:p w:rsidR="002958C3" w:rsidRPr="00EE2EF8" w:rsidRDefault="004A3B87" w:rsidP="00A1511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135/ </w:t>
            </w:r>
            <w:r w:rsid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="002958C3" w:rsidRPr="00EE2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2958C3" w:rsidRPr="00A15119" w:rsidRDefault="00A15119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1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123/12,1</w:t>
            </w:r>
          </w:p>
        </w:tc>
        <w:tc>
          <w:tcPr>
            <w:tcW w:w="1154" w:type="dxa"/>
            <w:vAlign w:val="center"/>
          </w:tcPr>
          <w:p w:rsidR="002958C3" w:rsidRPr="00A15119" w:rsidRDefault="004A3B87" w:rsidP="00A15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564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12/+8,6</w:t>
            </w:r>
          </w:p>
        </w:tc>
      </w:tr>
    </w:tbl>
    <w:p w:rsidR="00CF3CDD" w:rsidRDefault="00CF3CDD" w:rsidP="00CE60F4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37F" w:rsidRPr="004E7DAD" w:rsidRDefault="004E7DAD" w:rsidP="00CE60F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C2A1A">
        <w:rPr>
          <w:rFonts w:ascii="Times New Roman" w:hAnsi="Times New Roman" w:cs="Times New Roman"/>
          <w:bCs/>
          <w:sz w:val="24"/>
          <w:szCs w:val="24"/>
        </w:rPr>
        <w:t>Как видно из таблицы, из 5-ти целевых показателей по 4-м плановые назначения перевыполнены.</w:t>
      </w:r>
      <w:r w:rsidR="004B635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F42810" w:rsidRPr="00CE60F4">
        <w:rPr>
          <w:rFonts w:ascii="Times New Roman" w:hAnsi="Times New Roman" w:cs="Times New Roman"/>
          <w:bCs/>
          <w:sz w:val="24"/>
          <w:szCs w:val="24"/>
        </w:rPr>
        <w:t>Н</w:t>
      </w:r>
      <w:r w:rsidR="004B635E" w:rsidRPr="00CE60F4">
        <w:rPr>
          <w:rFonts w:ascii="Times New Roman" w:hAnsi="Times New Roman" w:cs="Times New Roman"/>
          <w:bCs/>
          <w:sz w:val="24"/>
          <w:szCs w:val="24"/>
        </w:rPr>
        <w:t xml:space="preserve">изкое выполнение показателя «сокращение экономического ущерба от ЧС и происшествий Волгоградской области»  </w:t>
      </w:r>
      <w:r w:rsidR="00F42810" w:rsidRPr="00CE60F4">
        <w:rPr>
          <w:rFonts w:ascii="Times New Roman" w:hAnsi="Times New Roman" w:cs="Times New Roman"/>
          <w:bCs/>
          <w:sz w:val="24"/>
          <w:szCs w:val="24"/>
        </w:rPr>
        <w:t>связано с ликвидаци</w:t>
      </w:r>
      <w:r w:rsidR="00F5437F" w:rsidRPr="00CE60F4">
        <w:rPr>
          <w:rFonts w:ascii="Times New Roman" w:hAnsi="Times New Roman" w:cs="Times New Roman"/>
          <w:bCs/>
          <w:sz w:val="24"/>
          <w:szCs w:val="24"/>
        </w:rPr>
        <w:t>ей</w:t>
      </w:r>
      <w:r w:rsidR="00F42810" w:rsidRPr="00CE60F4">
        <w:rPr>
          <w:rFonts w:ascii="Times New Roman" w:hAnsi="Times New Roman" w:cs="Times New Roman"/>
          <w:bCs/>
          <w:sz w:val="24"/>
          <w:szCs w:val="24"/>
        </w:rPr>
        <w:t xml:space="preserve"> последствий взрыва дома по </w:t>
      </w:r>
      <w:r w:rsidR="008D5C04" w:rsidRPr="00CE60F4">
        <w:rPr>
          <w:rFonts w:ascii="Times New Roman" w:hAnsi="Times New Roman" w:cs="Times New Roman"/>
          <w:bCs/>
          <w:sz w:val="24"/>
          <w:szCs w:val="24"/>
        </w:rPr>
        <w:t xml:space="preserve">адресу  г. Волгоград, </w:t>
      </w:r>
      <w:r w:rsidR="00F42810" w:rsidRPr="00CE60F4">
        <w:rPr>
          <w:rFonts w:ascii="Times New Roman" w:hAnsi="Times New Roman" w:cs="Times New Roman"/>
          <w:bCs/>
          <w:sz w:val="24"/>
          <w:szCs w:val="24"/>
        </w:rPr>
        <w:t>ул. Космонавтов, 47</w:t>
      </w:r>
      <w:r w:rsidR="00F5437F" w:rsidRPr="00CE60F4">
        <w:rPr>
          <w:rFonts w:ascii="Times New Roman" w:hAnsi="Times New Roman" w:cs="Times New Roman"/>
          <w:bCs/>
          <w:sz w:val="24"/>
          <w:szCs w:val="24"/>
        </w:rPr>
        <w:t>,  а также</w:t>
      </w:r>
      <w:r w:rsidR="007271E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5437F" w:rsidRPr="00CE60F4">
        <w:rPr>
          <w:rFonts w:ascii="Times New Roman" w:hAnsi="Times New Roman" w:cs="Times New Roman"/>
          <w:bCs/>
          <w:sz w:val="24"/>
          <w:szCs w:val="24"/>
        </w:rPr>
        <w:t xml:space="preserve"> тем, что фактический </w:t>
      </w:r>
      <w:r w:rsidR="00CE6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37F" w:rsidRPr="00CE60F4">
        <w:rPr>
          <w:rFonts w:ascii="Times New Roman" w:hAnsi="Times New Roman" w:cs="Times New Roman"/>
          <w:bCs/>
          <w:sz w:val="24"/>
          <w:szCs w:val="24"/>
        </w:rPr>
        <w:t>ввод в эксплуатацию системы</w:t>
      </w:r>
      <w:r w:rsidR="00130AF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5437F" w:rsidRPr="00CE60F4">
        <w:rPr>
          <w:rFonts w:ascii="Times New Roman" w:hAnsi="Times New Roman" w:cs="Times New Roman"/>
          <w:bCs/>
          <w:sz w:val="24"/>
          <w:szCs w:val="24"/>
        </w:rPr>
        <w:t>112</w:t>
      </w:r>
      <w:r w:rsidR="00130AF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5437F" w:rsidRPr="00CE60F4">
        <w:rPr>
          <w:rFonts w:ascii="Times New Roman" w:hAnsi="Times New Roman" w:cs="Times New Roman"/>
          <w:bCs/>
          <w:sz w:val="24"/>
          <w:szCs w:val="24"/>
        </w:rPr>
        <w:t xml:space="preserve"> в муниципальных районах Волгоградской области произошел в конце декабря 2016 года и не  мог повлиять на показатели деятельности 2016 года.</w:t>
      </w:r>
      <w:proofErr w:type="gramEnd"/>
    </w:p>
    <w:p w:rsidR="008D5C04" w:rsidRDefault="00415578" w:rsidP="008D5C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5C04">
        <w:rPr>
          <w:rFonts w:ascii="Times New Roman" w:hAnsi="Times New Roman" w:cs="Times New Roman"/>
          <w:sz w:val="24"/>
          <w:szCs w:val="24"/>
        </w:rPr>
        <w:t>ценк</w:t>
      </w:r>
      <w:r w:rsidR="00CE60F4">
        <w:rPr>
          <w:rFonts w:ascii="Times New Roman" w:hAnsi="Times New Roman" w:cs="Times New Roman"/>
          <w:sz w:val="24"/>
          <w:szCs w:val="24"/>
        </w:rPr>
        <w:t>а</w:t>
      </w:r>
      <w:r w:rsidR="008D5C04">
        <w:rPr>
          <w:rFonts w:ascii="Times New Roman" w:hAnsi="Times New Roman" w:cs="Times New Roman"/>
          <w:sz w:val="24"/>
          <w:szCs w:val="24"/>
        </w:rPr>
        <w:t xml:space="preserve"> эффективности реализации государственной программы рассчитан</w:t>
      </w:r>
      <w:r>
        <w:rPr>
          <w:rFonts w:ascii="Times New Roman" w:hAnsi="Times New Roman" w:cs="Times New Roman"/>
          <w:sz w:val="24"/>
          <w:szCs w:val="24"/>
        </w:rPr>
        <w:t>а Комитетом</w:t>
      </w:r>
      <w:r w:rsidR="008D5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положениями разд</w:t>
      </w:r>
      <w:r w:rsidR="007271EE">
        <w:rPr>
          <w:rFonts w:ascii="Times New Roman" w:hAnsi="Times New Roman" w:cs="Times New Roman"/>
          <w:sz w:val="24"/>
          <w:szCs w:val="24"/>
        </w:rPr>
        <w:t xml:space="preserve">ела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D5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разработки, реализации и оценки эффективности реализации государственных программ Волгоградской области, утверждённого  постановлением Правительства Волгоградской обл. от 27.08.2013 N 423-п.  Оценка определена с </w:t>
      </w:r>
      <w:r w:rsidR="008D5C04">
        <w:rPr>
          <w:rFonts w:ascii="Times New Roman" w:hAnsi="Times New Roman" w:cs="Times New Roman"/>
          <w:sz w:val="24"/>
          <w:szCs w:val="24"/>
        </w:rPr>
        <w:t xml:space="preserve">учётом степени выполнения  целевых показателей,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8D5C04">
        <w:rPr>
          <w:rFonts w:ascii="Times New Roman" w:hAnsi="Times New Roman" w:cs="Times New Roman"/>
          <w:sz w:val="24"/>
          <w:szCs w:val="24"/>
        </w:rPr>
        <w:t>мероприятий, фактического финансирования и 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5C04">
        <w:rPr>
          <w:rFonts w:ascii="Times New Roman" w:hAnsi="Times New Roman" w:cs="Times New Roman"/>
          <w:sz w:val="24"/>
          <w:szCs w:val="24"/>
        </w:rPr>
        <w:t xml:space="preserve"> 87,3%, что соответствует </w:t>
      </w:r>
      <w:r>
        <w:rPr>
          <w:rFonts w:ascii="Times New Roman" w:hAnsi="Times New Roman" w:cs="Times New Roman"/>
          <w:sz w:val="24"/>
          <w:szCs w:val="24"/>
        </w:rPr>
        <w:t>средней эффективности.</w:t>
      </w:r>
      <w:r w:rsidR="008D5C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1EE" w:rsidRDefault="007271EE" w:rsidP="00FF590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590C" w:rsidRPr="004E7DAD" w:rsidRDefault="00FF590C" w:rsidP="00FF590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7DAD">
        <w:rPr>
          <w:rFonts w:ascii="Times New Roman" w:hAnsi="Times New Roman" w:cs="Times New Roman"/>
          <w:b/>
          <w:i/>
          <w:sz w:val="24"/>
          <w:szCs w:val="24"/>
        </w:rPr>
        <w:t>Состояние внутреннего финансового контроля и</w:t>
      </w:r>
    </w:p>
    <w:p w:rsidR="00FF590C" w:rsidRPr="004E7DAD" w:rsidRDefault="00FF590C" w:rsidP="00FF590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7DAD">
        <w:rPr>
          <w:rFonts w:ascii="Times New Roman" w:hAnsi="Times New Roman" w:cs="Times New Roman"/>
          <w:b/>
          <w:i/>
          <w:sz w:val="24"/>
          <w:szCs w:val="24"/>
        </w:rPr>
        <w:t xml:space="preserve"> внутреннего финансового аудита</w:t>
      </w:r>
    </w:p>
    <w:p w:rsidR="00CF3CDD" w:rsidRDefault="00CF3CDD" w:rsidP="009455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5580" w:rsidRPr="00945580" w:rsidRDefault="00FF590C" w:rsidP="0094558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27A">
        <w:rPr>
          <w:rFonts w:ascii="Times New Roman" w:hAnsi="Times New Roman" w:cs="Times New Roman"/>
          <w:sz w:val="24"/>
          <w:szCs w:val="24"/>
        </w:rPr>
        <w:t>В целях регламентации порядка осуществления внутреннего финансового аудита</w:t>
      </w:r>
      <w:r w:rsidR="009949A6" w:rsidRPr="0014427A">
        <w:rPr>
          <w:rFonts w:ascii="Times New Roman" w:hAnsi="Times New Roman" w:cs="Times New Roman"/>
          <w:sz w:val="24"/>
          <w:szCs w:val="24"/>
        </w:rPr>
        <w:t xml:space="preserve"> и внутреннего</w:t>
      </w:r>
      <w:r w:rsidR="007271EE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Pr="0014427A">
        <w:rPr>
          <w:rFonts w:ascii="Times New Roman" w:hAnsi="Times New Roman" w:cs="Times New Roman"/>
          <w:sz w:val="24"/>
          <w:szCs w:val="24"/>
        </w:rPr>
        <w:t xml:space="preserve"> в Комитете издан приказ от 18.12.2014 № 306 «О некоторых мерах по реализации постановления Правительства Волгоградской области от 26 мая 2014 г. № 266-п «Об утверждении порядка осуществления внутреннего финансового контроля и внутреннего финансового аудита на территории Волгоградской области» (далее – Приказ № 306)</w:t>
      </w:r>
      <w:r w:rsidR="00945580">
        <w:rPr>
          <w:rFonts w:ascii="Times New Roman" w:hAnsi="Times New Roman" w:cs="Times New Roman"/>
          <w:sz w:val="24"/>
          <w:szCs w:val="24"/>
        </w:rPr>
        <w:t>,</w:t>
      </w:r>
      <w:r w:rsidR="00945580" w:rsidRPr="0094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утверждены различные порядки осуществления финансового контроля и</w:t>
      </w:r>
      <w:proofErr w:type="gramEnd"/>
      <w:r w:rsidR="00945580" w:rsidRPr="0094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аудита.</w:t>
      </w:r>
    </w:p>
    <w:p w:rsidR="00FF590C" w:rsidRPr="004E7DAD" w:rsidRDefault="00945580" w:rsidP="00FF590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B0791">
        <w:rPr>
          <w:rFonts w:ascii="Times New Roman" w:hAnsi="Times New Roman" w:cs="Times New Roman"/>
          <w:sz w:val="24"/>
          <w:szCs w:val="24"/>
        </w:rPr>
        <w:t xml:space="preserve"> рамках внутреннего финансового аудита </w:t>
      </w:r>
      <w:r w:rsidR="00FF590C" w:rsidRPr="004E7DAD">
        <w:rPr>
          <w:rFonts w:ascii="Times New Roman" w:hAnsi="Times New Roman" w:cs="Times New Roman"/>
          <w:sz w:val="24"/>
          <w:szCs w:val="24"/>
        </w:rPr>
        <w:t xml:space="preserve">осуществлены проверки финансово-хозяйственной деятельности </w:t>
      </w:r>
      <w:r w:rsidR="00FB1905">
        <w:rPr>
          <w:rFonts w:ascii="Times New Roman" w:hAnsi="Times New Roman" w:cs="Times New Roman"/>
          <w:sz w:val="24"/>
          <w:szCs w:val="24"/>
        </w:rPr>
        <w:t xml:space="preserve"> </w:t>
      </w:r>
      <w:r w:rsidR="00FF590C" w:rsidRPr="004E7DAD">
        <w:rPr>
          <w:rFonts w:ascii="Times New Roman" w:hAnsi="Times New Roman" w:cs="Times New Roman"/>
          <w:sz w:val="24"/>
          <w:szCs w:val="24"/>
        </w:rPr>
        <w:t>ГКУ «</w:t>
      </w:r>
      <w:r w:rsidR="00FB1905">
        <w:rPr>
          <w:rFonts w:ascii="Times New Roman" w:hAnsi="Times New Roman" w:cs="Times New Roman"/>
          <w:sz w:val="24"/>
          <w:szCs w:val="24"/>
        </w:rPr>
        <w:t>4 отряд ОПС», ГКУ «5 отряд ОПС»</w:t>
      </w:r>
      <w:r w:rsidR="00FF590C" w:rsidRPr="004E7DAD">
        <w:rPr>
          <w:rFonts w:ascii="Times New Roman" w:hAnsi="Times New Roman" w:cs="Times New Roman"/>
          <w:sz w:val="24"/>
          <w:szCs w:val="24"/>
        </w:rPr>
        <w:t xml:space="preserve">, </w:t>
      </w:r>
      <w:r w:rsidR="00FB1905">
        <w:rPr>
          <w:rFonts w:ascii="Times New Roman" w:hAnsi="Times New Roman" w:cs="Times New Roman"/>
          <w:sz w:val="24"/>
          <w:szCs w:val="24"/>
        </w:rPr>
        <w:t xml:space="preserve">ГКУ «Служба спасения». </w:t>
      </w:r>
      <w:r w:rsidR="00FF590C" w:rsidRPr="004E7DAD">
        <w:rPr>
          <w:rFonts w:ascii="Times New Roman" w:hAnsi="Times New Roman" w:cs="Times New Roman"/>
          <w:sz w:val="24"/>
          <w:szCs w:val="24"/>
        </w:rPr>
        <w:t xml:space="preserve">В ходе проверок выявлены следующие нарушения: </w:t>
      </w:r>
      <w:r w:rsidR="00FB1905">
        <w:rPr>
          <w:rFonts w:ascii="Times New Roman" w:hAnsi="Times New Roman" w:cs="Times New Roman"/>
          <w:sz w:val="24"/>
          <w:szCs w:val="24"/>
        </w:rPr>
        <w:t>ошибки в на</w:t>
      </w:r>
      <w:r w:rsidR="001D55AC">
        <w:rPr>
          <w:rFonts w:ascii="Times New Roman" w:hAnsi="Times New Roman" w:cs="Times New Roman"/>
          <w:sz w:val="24"/>
          <w:szCs w:val="24"/>
        </w:rPr>
        <w:t>ч</w:t>
      </w:r>
      <w:r w:rsidR="00FB1905">
        <w:rPr>
          <w:rFonts w:ascii="Times New Roman" w:hAnsi="Times New Roman" w:cs="Times New Roman"/>
          <w:sz w:val="24"/>
          <w:szCs w:val="24"/>
        </w:rPr>
        <w:t xml:space="preserve">ислении </w:t>
      </w:r>
      <w:r w:rsidR="00FB1905">
        <w:rPr>
          <w:rFonts w:ascii="Times New Roman" w:hAnsi="Times New Roman" w:cs="Times New Roman"/>
          <w:sz w:val="24"/>
          <w:szCs w:val="24"/>
        </w:rPr>
        <w:lastRenderedPageBreak/>
        <w:t xml:space="preserve">заработной платы, ошибки в отчётности, </w:t>
      </w:r>
      <w:r w:rsidR="00DA3E75">
        <w:rPr>
          <w:rFonts w:ascii="Times New Roman" w:hAnsi="Times New Roman" w:cs="Times New Roman"/>
          <w:sz w:val="24"/>
          <w:szCs w:val="24"/>
        </w:rPr>
        <w:t>несоответствие отдельных нормативных актов учреждений действующему законодательству</w:t>
      </w:r>
      <w:r w:rsidR="009325AB">
        <w:rPr>
          <w:rFonts w:ascii="Times New Roman" w:hAnsi="Times New Roman" w:cs="Times New Roman"/>
          <w:sz w:val="24"/>
          <w:szCs w:val="24"/>
        </w:rPr>
        <w:t>.</w:t>
      </w:r>
      <w:r w:rsidR="00DA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AB" w:rsidRPr="00945580" w:rsidRDefault="009325AB" w:rsidP="00932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внутреннего финансового контроля</w:t>
      </w:r>
      <w:r w:rsidR="00BB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 Комитета</w:t>
      </w:r>
      <w:r w:rsidRPr="0094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</w:t>
      </w:r>
      <w:r w:rsidR="00BB1C02">
        <w:rPr>
          <w:rFonts w:ascii="Times New Roman" w:hAnsi="Times New Roman" w:cs="Times New Roman"/>
          <w:sz w:val="24"/>
          <w:szCs w:val="24"/>
        </w:rPr>
        <w:t xml:space="preserve">несвоевременная актуализация карты внутреннего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отдела государственного заказа и административно-хозяйственной деятельности</w:t>
      </w:r>
      <w:r w:rsidR="00BB1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DAD" w:rsidRDefault="00BB1C02" w:rsidP="009222D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информации Комитета </w:t>
      </w:r>
      <w:r w:rsidRPr="004E7DAD">
        <w:rPr>
          <w:rFonts w:ascii="Times New Roman" w:hAnsi="Times New Roman" w:cs="Times New Roman"/>
          <w:sz w:val="24"/>
          <w:szCs w:val="24"/>
        </w:rPr>
        <w:t xml:space="preserve">выявленные нарушения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2D4" w:rsidRPr="004E7DAD">
        <w:rPr>
          <w:rFonts w:ascii="Times New Roman" w:hAnsi="Times New Roman" w:cs="Times New Roman"/>
          <w:sz w:val="24"/>
          <w:szCs w:val="24"/>
        </w:rPr>
        <w:t>устранены</w:t>
      </w:r>
      <w:r w:rsidR="009222D4">
        <w:rPr>
          <w:rFonts w:ascii="Times New Roman" w:hAnsi="Times New Roman" w:cs="Times New Roman"/>
          <w:sz w:val="24"/>
          <w:szCs w:val="24"/>
        </w:rPr>
        <w:t xml:space="preserve"> н</w:t>
      </w:r>
      <w:r w:rsidRPr="004E7DAD">
        <w:rPr>
          <w:rFonts w:ascii="Times New Roman" w:hAnsi="Times New Roman" w:cs="Times New Roman"/>
          <w:sz w:val="24"/>
          <w:szCs w:val="24"/>
        </w:rPr>
        <w:t xml:space="preserve">а дату </w:t>
      </w:r>
      <w:r w:rsidR="009222D4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4E7DAD">
        <w:rPr>
          <w:rFonts w:ascii="Times New Roman" w:hAnsi="Times New Roman" w:cs="Times New Roman"/>
          <w:sz w:val="24"/>
          <w:szCs w:val="24"/>
        </w:rPr>
        <w:t>проверки</w:t>
      </w:r>
      <w:r w:rsidR="00922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C02" w:rsidRDefault="00BB1C02" w:rsidP="009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3CDD" w:rsidRDefault="00CF3CDD" w:rsidP="009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25AB" w:rsidRPr="009325AB" w:rsidRDefault="009325AB" w:rsidP="0093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2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5A7CF5" w:rsidRPr="00433A2D" w:rsidRDefault="005A7CF5" w:rsidP="005A7CF5">
      <w:pPr>
        <w:pStyle w:val="a3"/>
        <w:numPr>
          <w:ilvl w:val="0"/>
          <w:numId w:val="14"/>
        </w:numPr>
        <w:ind w:left="0" w:firstLine="851"/>
        <w:jc w:val="both"/>
      </w:pPr>
      <w:r w:rsidRPr="00433A2D">
        <w:t xml:space="preserve">В результате несоблюдения требований п.8, п.155, п.161 Инструкции 191н  </w:t>
      </w:r>
      <w:r w:rsidR="00433A2D" w:rsidRPr="00433A2D">
        <w:t>Комитетом</w:t>
      </w:r>
      <w:r w:rsidRPr="00433A2D">
        <w:t xml:space="preserve"> допущено </w:t>
      </w:r>
      <w:r w:rsidR="00130AF5">
        <w:t>3</w:t>
      </w:r>
      <w:r w:rsidRPr="00433A2D">
        <w:t xml:space="preserve"> нарушени</w:t>
      </w:r>
      <w:r w:rsidR="00130AF5">
        <w:t>я</w:t>
      </w:r>
      <w:r w:rsidRPr="00433A2D">
        <w:t xml:space="preserve"> </w:t>
      </w:r>
      <w:r w:rsidR="00433A2D" w:rsidRPr="00433A2D">
        <w:t xml:space="preserve">в части </w:t>
      </w:r>
      <w:r w:rsidRPr="00433A2D">
        <w:t>заполнения</w:t>
      </w:r>
      <w:r w:rsidR="00433A2D" w:rsidRPr="00433A2D">
        <w:t xml:space="preserve"> и состава</w:t>
      </w:r>
      <w:r w:rsidRPr="00433A2D">
        <w:t xml:space="preserve"> </w:t>
      </w:r>
      <w:r w:rsidR="00433A2D" w:rsidRPr="00433A2D">
        <w:t>2</w:t>
      </w:r>
      <w:r w:rsidRPr="00433A2D">
        <w:t xml:space="preserve"> форм бюджетной отчё</w:t>
      </w:r>
      <w:r w:rsidR="00433A2D" w:rsidRPr="00433A2D">
        <w:t xml:space="preserve">тности:  Пояснительной записки и </w:t>
      </w:r>
      <w:r w:rsidRPr="00433A2D">
        <w:t>Сведений о результатах деятельности. Нарушения устранены в ходе проверки.</w:t>
      </w:r>
    </w:p>
    <w:p w:rsidR="00C043F6" w:rsidRPr="00876C29" w:rsidRDefault="00876C29" w:rsidP="00876C29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r>
        <w:rPr>
          <w:rFonts w:eastAsiaTheme="minorHAnsi"/>
        </w:rPr>
        <w:t xml:space="preserve">В нарушение п.66 </w:t>
      </w:r>
      <w:r w:rsidR="00BB1C02">
        <w:rPr>
          <w:rFonts w:eastAsiaTheme="minorHAnsi"/>
        </w:rPr>
        <w:t>И</w:t>
      </w:r>
      <w:r>
        <w:rPr>
          <w:rFonts w:eastAsiaTheme="minorHAnsi"/>
        </w:rPr>
        <w:t xml:space="preserve">нструкции 157н </w:t>
      </w:r>
      <w:r w:rsidRPr="00CC71A5">
        <w:rPr>
          <w:rFonts w:eastAsiaTheme="minorHAnsi"/>
        </w:rPr>
        <w:t>Комитетом</w:t>
      </w:r>
      <w:r>
        <w:rPr>
          <w:rFonts w:eastAsiaTheme="minorHAnsi"/>
        </w:rPr>
        <w:t xml:space="preserve"> и его 8 подведомственными </w:t>
      </w:r>
      <w:r w:rsidR="00455CA0">
        <w:rPr>
          <w:rFonts w:eastAsiaTheme="minorHAnsi"/>
        </w:rPr>
        <w:t xml:space="preserve">казёнными </w:t>
      </w:r>
      <w:r>
        <w:rPr>
          <w:rFonts w:eastAsiaTheme="minorHAnsi"/>
        </w:rPr>
        <w:t xml:space="preserve">учреждениями </w:t>
      </w:r>
      <w:r w:rsidRPr="00CC71A5">
        <w:rPr>
          <w:rFonts w:eastAsiaTheme="minorHAnsi"/>
        </w:rPr>
        <w:t xml:space="preserve"> не учтены прав</w:t>
      </w:r>
      <w:r>
        <w:rPr>
          <w:rFonts w:eastAsiaTheme="minorHAnsi"/>
        </w:rPr>
        <w:t>а</w:t>
      </w:r>
      <w:r w:rsidRPr="00CC71A5">
        <w:rPr>
          <w:rFonts w:eastAsiaTheme="minorHAnsi"/>
        </w:rPr>
        <w:t xml:space="preserve"> пользования программными продуктами на </w:t>
      </w:r>
      <w:proofErr w:type="spellStart"/>
      <w:r w:rsidRPr="00CC71A5">
        <w:rPr>
          <w:rFonts w:eastAsiaTheme="minorHAnsi"/>
        </w:rPr>
        <w:t>забалансовом</w:t>
      </w:r>
      <w:proofErr w:type="spellEnd"/>
      <w:r w:rsidRPr="00CC71A5">
        <w:rPr>
          <w:rFonts w:eastAsiaTheme="minorHAnsi"/>
        </w:rPr>
        <w:t xml:space="preserve"> счёте 01</w:t>
      </w:r>
      <w:r>
        <w:rPr>
          <w:rFonts w:eastAsiaTheme="minorHAnsi"/>
        </w:rPr>
        <w:t xml:space="preserve"> «Имущество,  полученное в пользование»</w:t>
      </w:r>
      <w:r w:rsidRPr="00CC71A5">
        <w:rPr>
          <w:rFonts w:eastAsiaTheme="minorHAnsi"/>
        </w:rPr>
        <w:t>. Данное нарушение бухгалтерского учёта  привело к искажению двух форм бюджетного учёта</w:t>
      </w:r>
      <w:r>
        <w:rPr>
          <w:rFonts w:eastAsiaTheme="minorHAnsi"/>
        </w:rPr>
        <w:t xml:space="preserve"> - в</w:t>
      </w:r>
      <w:r w:rsidRPr="00CC71A5">
        <w:rPr>
          <w:rFonts w:eastAsiaTheme="minorHAnsi"/>
        </w:rPr>
        <w:t xml:space="preserve"> «Справк</w:t>
      </w:r>
      <w:r>
        <w:rPr>
          <w:rFonts w:eastAsiaTheme="minorHAnsi"/>
        </w:rPr>
        <w:t>е</w:t>
      </w:r>
      <w:r w:rsidRPr="00CC71A5">
        <w:rPr>
          <w:rFonts w:eastAsiaTheme="minorHAnsi"/>
        </w:rPr>
        <w:t xml:space="preserve"> о наличии имущества и обязательств на </w:t>
      </w:r>
      <w:proofErr w:type="spellStart"/>
      <w:r w:rsidRPr="00CC71A5">
        <w:rPr>
          <w:rFonts w:eastAsiaTheme="minorHAnsi"/>
        </w:rPr>
        <w:t>забалансовых</w:t>
      </w:r>
      <w:proofErr w:type="spellEnd"/>
      <w:r w:rsidRPr="00CC71A5">
        <w:rPr>
          <w:rFonts w:eastAsiaTheme="minorHAnsi"/>
        </w:rPr>
        <w:t xml:space="preserve"> счетах</w:t>
      </w:r>
      <w:r>
        <w:rPr>
          <w:rFonts w:eastAsiaTheme="minorHAnsi"/>
        </w:rPr>
        <w:t>»,</w:t>
      </w:r>
      <w:r w:rsidRPr="00CC71A5">
        <w:rPr>
          <w:rFonts w:eastAsiaTheme="minorHAnsi"/>
        </w:rPr>
        <w:t xml:space="preserve">  являющейся приложением к Балансу (форма 0503130)</w:t>
      </w:r>
      <w:r w:rsidR="00EE2EF8">
        <w:rPr>
          <w:rFonts w:eastAsiaTheme="minorHAnsi"/>
        </w:rPr>
        <w:t>,</w:t>
      </w:r>
      <w:r w:rsidRPr="00CC71A5">
        <w:rPr>
          <w:rFonts w:eastAsiaTheme="minorHAnsi"/>
        </w:rPr>
        <w:t xml:space="preserve"> и в </w:t>
      </w:r>
      <w:r>
        <w:rPr>
          <w:rFonts w:eastAsiaTheme="minorHAnsi"/>
        </w:rPr>
        <w:t>«</w:t>
      </w:r>
      <w:r w:rsidRPr="00CC71A5">
        <w:rPr>
          <w:rFonts w:eastAsiaTheme="minorHAnsi"/>
        </w:rPr>
        <w:t>Сведениях о движении нефинансовых активах (форм</w:t>
      </w:r>
      <w:r>
        <w:rPr>
          <w:rFonts w:eastAsiaTheme="minorHAnsi"/>
        </w:rPr>
        <w:t>а</w:t>
      </w:r>
      <w:r w:rsidRPr="00CC71A5">
        <w:rPr>
          <w:rFonts w:eastAsiaTheme="minorHAnsi"/>
        </w:rPr>
        <w:t xml:space="preserve"> 0503168) </w:t>
      </w:r>
      <w:r>
        <w:rPr>
          <w:rFonts w:eastAsiaTheme="minorHAnsi"/>
        </w:rPr>
        <w:t xml:space="preserve">занижены показатели по счёту 01 на конец отчётного периода на </w:t>
      </w:r>
      <w:r w:rsidRPr="00205858">
        <w:rPr>
          <w:rFonts w:eastAsiaTheme="minorHAnsi"/>
        </w:rPr>
        <w:t>2</w:t>
      </w:r>
      <w:r>
        <w:rPr>
          <w:rFonts w:eastAsiaTheme="minorHAnsi"/>
        </w:rPr>
        <w:t>03,3 тыс. рублей.</w:t>
      </w:r>
      <w:r w:rsidR="00D066CF">
        <w:rPr>
          <w:rFonts w:eastAsiaTheme="minorHAnsi"/>
        </w:rPr>
        <w:t xml:space="preserve"> Нарушения устранены в ходе проверки.</w:t>
      </w:r>
    </w:p>
    <w:p w:rsidR="00876C29" w:rsidRPr="000114C4" w:rsidRDefault="00876C29" w:rsidP="00876C29">
      <w:pPr>
        <w:pStyle w:val="a3"/>
        <w:numPr>
          <w:ilvl w:val="0"/>
          <w:numId w:val="14"/>
        </w:numPr>
        <w:ind w:left="0" w:firstLine="851"/>
        <w:jc w:val="both"/>
      </w:pPr>
      <w:proofErr w:type="gramStart"/>
      <w:r>
        <w:t xml:space="preserve">В нарушение п. 1 ст.10 </w:t>
      </w:r>
      <w:r w:rsidRPr="000114C4">
        <w:t>Федеральн</w:t>
      </w:r>
      <w:r>
        <w:t>ого</w:t>
      </w:r>
      <w:r w:rsidRPr="000114C4">
        <w:t xml:space="preserve"> закон</w:t>
      </w:r>
      <w:r>
        <w:t>а</w:t>
      </w:r>
      <w:r w:rsidRPr="000114C4">
        <w:t xml:space="preserve"> от 06.12.2011 N 402-ФЗ</w:t>
      </w:r>
      <w:r>
        <w:t xml:space="preserve"> </w:t>
      </w:r>
      <w:r w:rsidRPr="00A71964">
        <w:t>«О бухгалтерском учете»</w:t>
      </w:r>
      <w:r>
        <w:t xml:space="preserve"> Комитетом и его подведомственным учреждением ГКУ «1 ОПС» в бухгалтерском учёте не учтены операции по получению и передач</w:t>
      </w:r>
      <w:r w:rsidR="00D066CF">
        <w:t>е 10 специальных автотранспортных средств А</w:t>
      </w:r>
      <w:r w:rsidR="00BB1C02">
        <w:t>РС</w:t>
      </w:r>
      <w:r w:rsidR="00D066CF">
        <w:t xml:space="preserve">-14, что привело к искажению форм сводной отчётности и  отчётности ГКУ «1ОПС»: в Справке о наличии имущества и обязательств на </w:t>
      </w:r>
      <w:proofErr w:type="spellStart"/>
      <w:r w:rsidR="00D066CF">
        <w:t>забалансовых</w:t>
      </w:r>
      <w:proofErr w:type="spellEnd"/>
      <w:r w:rsidR="00D066CF">
        <w:t xml:space="preserve"> счетах и</w:t>
      </w:r>
      <w:proofErr w:type="gramEnd"/>
      <w:r w:rsidR="00D066CF">
        <w:t xml:space="preserve"> в Сведениях о движении нефинансовых активов (форма 503168) занижены показатели по счёту 01 «Имущество, полученное  в пользование» и 26 «Имущество, переданное в безвозмездное пользование» на конец отчётного года на 10 993,5 тыс. рублей.  </w:t>
      </w:r>
    </w:p>
    <w:p w:rsidR="00876C29" w:rsidRDefault="00D066CF" w:rsidP="00876C29">
      <w:pPr>
        <w:pStyle w:val="a3"/>
        <w:autoSpaceDE w:val="0"/>
        <w:autoSpaceDN w:val="0"/>
        <w:adjustRightInd w:val="0"/>
        <w:ind w:left="0" w:firstLine="851"/>
        <w:jc w:val="both"/>
      </w:pPr>
      <w:r>
        <w:t>Нарушения устранены в ходе проверки.</w:t>
      </w:r>
    </w:p>
    <w:p w:rsidR="00752766" w:rsidRDefault="00D066CF" w:rsidP="00752766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proofErr w:type="gramStart"/>
      <w:r>
        <w:t>В несоблюдение</w:t>
      </w:r>
      <w:r w:rsidR="000E1F49">
        <w:t xml:space="preserve"> </w:t>
      </w:r>
      <w:r>
        <w:t xml:space="preserve">требований  </w:t>
      </w:r>
      <w:r w:rsidR="00F80B83">
        <w:t xml:space="preserve">п.5 ст.9, </w:t>
      </w:r>
      <w:r w:rsidRPr="00A71964">
        <w:t>ст. 12 Федерального закона от 06.12.2011 № 402-ФЗ «О бухгалтерском учете», согласно котор</w:t>
      </w:r>
      <w:r w:rsidR="00F80B83">
        <w:t>ым</w:t>
      </w:r>
      <w:r w:rsidRPr="00A71964">
        <w:t xml:space="preserve"> объекты бухгалтерского учета подлежат денежному измерению</w:t>
      </w:r>
      <w:r>
        <w:t>,</w:t>
      </w:r>
      <w:r w:rsidR="00F80B83">
        <w:t xml:space="preserve"> </w:t>
      </w:r>
      <w:r>
        <w:t xml:space="preserve"> </w:t>
      </w:r>
      <w:r w:rsidR="00F80B83">
        <w:t>и денежное</w:t>
      </w:r>
      <w:r w:rsidR="00F80B83" w:rsidRPr="00F80B83">
        <w:t xml:space="preserve"> измерени</w:t>
      </w:r>
      <w:r w:rsidR="00F80B83">
        <w:t>е</w:t>
      </w:r>
      <w:r w:rsidR="00F80B83" w:rsidRPr="00F80B83">
        <w:t xml:space="preserve"> факта хозяйственной жизни </w:t>
      </w:r>
      <w:r w:rsidR="00F80B83">
        <w:t xml:space="preserve">является обязательным реквизитом первичного документа,  </w:t>
      </w:r>
      <w:r>
        <w:t xml:space="preserve">ГКУ «1 ОПС» и ГКУ «5 ОПС» приняли нежилые помещения в пользование </w:t>
      </w:r>
      <w:r w:rsidR="00F80B83">
        <w:t>по 1 рублю</w:t>
      </w:r>
      <w:r w:rsidR="00EE2EF8">
        <w:t xml:space="preserve"> </w:t>
      </w:r>
      <w:r w:rsidR="00F80B83">
        <w:t xml:space="preserve"> в связи  с отсутствием их стоимости в</w:t>
      </w:r>
      <w:r>
        <w:t xml:space="preserve"> ак</w:t>
      </w:r>
      <w:r w:rsidR="006C2B20">
        <w:t>та</w:t>
      </w:r>
      <w:r w:rsidR="00F80B83">
        <w:t>х</w:t>
      </w:r>
      <w:r w:rsidR="006C2B20">
        <w:t xml:space="preserve"> приёма-передачи</w:t>
      </w:r>
      <w:proofErr w:type="gramEnd"/>
      <w:r w:rsidR="00F80B83">
        <w:t>.</w:t>
      </w:r>
      <w:r w:rsidR="006C2B20">
        <w:t xml:space="preserve"> </w:t>
      </w:r>
      <w:r w:rsidR="00752766">
        <w:t xml:space="preserve">В целях устранения данного нарушения </w:t>
      </w:r>
      <w:r w:rsidR="009D5770">
        <w:t xml:space="preserve"> </w:t>
      </w:r>
      <w:r w:rsidR="00752766" w:rsidRPr="00A71964">
        <w:t>договор</w:t>
      </w:r>
      <w:r w:rsidR="00BB1C02">
        <w:t>ы</w:t>
      </w:r>
      <w:r w:rsidR="00752766" w:rsidRPr="00A71964">
        <w:t xml:space="preserve"> безвозме</w:t>
      </w:r>
      <w:r w:rsidR="00752766">
        <w:t xml:space="preserve">здного пользования, а также акты приёма – передачи этих помещений </w:t>
      </w:r>
      <w:r w:rsidR="00752766" w:rsidRPr="00A71964">
        <w:t>требуют уточнения в части стоимости находящихся в пользовании помещений.</w:t>
      </w:r>
    </w:p>
    <w:p w:rsidR="00BA5752" w:rsidRDefault="00BA5752" w:rsidP="00752766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</w:pPr>
      <w:r>
        <w:t xml:space="preserve">Плановые показатели государственного задания ГБУ «УМЦ» выполнены </w:t>
      </w:r>
      <w:r w:rsidR="00D5447D">
        <w:t>по государственной услуге «реализация дополнительных профессиональных программ повышения квалификации»  на 109 %, по государственной услуге «реализация дополнительных профессиональных программ переподготовки» на 150 процентов. П</w:t>
      </w:r>
      <w:r>
        <w:t xml:space="preserve">ри этом субсидия на финансовое обеспечение государственного задания профинансирована </w:t>
      </w:r>
      <w:r w:rsidR="0004447C">
        <w:t xml:space="preserve">всего </w:t>
      </w:r>
      <w:r>
        <w:t>на 94,6 процента.</w:t>
      </w:r>
      <w:r w:rsidR="0004447C">
        <w:t xml:space="preserve"> Одной из причин недофинансирования является отсутствие потребности в расходах на сумму 333,0 тыс. рублей. Сложившаяся ситуация </w:t>
      </w:r>
      <w:r w:rsidR="00C21237">
        <w:t xml:space="preserve">также </w:t>
      </w:r>
      <w:r w:rsidR="0004447C">
        <w:t xml:space="preserve">может указывать на </w:t>
      </w:r>
      <w:r w:rsidR="003B68F2">
        <w:t>некорректный расчёт</w:t>
      </w:r>
      <w:r w:rsidR="0004447C">
        <w:t xml:space="preserve"> норматива затрат на выполнение государственных услуг, котор</w:t>
      </w:r>
      <w:r w:rsidR="003B68F2">
        <w:t>ый</w:t>
      </w:r>
      <w:r w:rsidR="0004447C">
        <w:t xml:space="preserve"> приводит к </w:t>
      </w:r>
      <w:r w:rsidR="003B68F2">
        <w:t>завышенному объёму субсидии.</w:t>
      </w:r>
      <w:r w:rsidR="0004447C">
        <w:t xml:space="preserve"> </w:t>
      </w:r>
    </w:p>
    <w:p w:rsidR="007B7385" w:rsidRDefault="00CF3CDD" w:rsidP="007B7385">
      <w:pPr>
        <w:pStyle w:val="a3"/>
        <w:numPr>
          <w:ilvl w:val="0"/>
          <w:numId w:val="14"/>
        </w:numPr>
        <w:ind w:left="0" w:firstLine="851"/>
        <w:jc w:val="both"/>
      </w:pPr>
      <w:r>
        <w:t>Из-за</w:t>
      </w:r>
      <w:r w:rsidR="00394CCD" w:rsidRPr="00394CCD">
        <w:t xml:space="preserve"> </w:t>
      </w:r>
      <w:r>
        <w:t>несоблюдения</w:t>
      </w:r>
      <w:r w:rsidR="00394CCD">
        <w:t xml:space="preserve"> положений</w:t>
      </w:r>
      <w:r w:rsidR="00394CCD" w:rsidRPr="00394CCD">
        <w:t xml:space="preserve"> </w:t>
      </w:r>
      <w:proofErr w:type="spellStart"/>
      <w:r w:rsidR="00394CCD" w:rsidRPr="00394CCD">
        <w:t>п</w:t>
      </w:r>
      <w:r w:rsidR="00771802">
        <w:t>п</w:t>
      </w:r>
      <w:proofErr w:type="spellEnd"/>
      <w:r w:rsidR="00771802">
        <w:t>.</w:t>
      </w:r>
      <w:r w:rsidR="00394CCD" w:rsidRPr="00394CCD">
        <w:t xml:space="preserve"> «и» п.3  Правил № 151 и п.4 Порядка № 174-п   </w:t>
      </w:r>
      <w:r w:rsidR="00394CCD">
        <w:t xml:space="preserve">Комитетом не </w:t>
      </w:r>
      <w:r w:rsidR="00394CCD" w:rsidRPr="00394CCD">
        <w:t>устан</w:t>
      </w:r>
      <w:r w:rsidR="00394CCD">
        <w:t>о</w:t>
      </w:r>
      <w:r w:rsidR="00394CCD" w:rsidRPr="00394CCD">
        <w:t>вл</w:t>
      </w:r>
      <w:r w:rsidR="00394CCD">
        <w:t>ены</w:t>
      </w:r>
      <w:r w:rsidR="00394CCD" w:rsidRPr="00394CCD">
        <w:t xml:space="preserve"> </w:t>
      </w:r>
      <w:r>
        <w:t>д</w:t>
      </w:r>
      <w:r w:rsidRPr="00394CCD">
        <w:t xml:space="preserve">ля </w:t>
      </w:r>
      <w:r>
        <w:t xml:space="preserve">ГБУ «УМЦ» </w:t>
      </w:r>
      <w:r w:rsidR="00394CCD" w:rsidRPr="00394CCD">
        <w:t xml:space="preserve">показатели качества  государственных услуг   </w:t>
      </w:r>
      <w:r w:rsidR="00394CCD" w:rsidRPr="005D5F7B">
        <w:rPr>
          <w:u w:val="single"/>
        </w:rPr>
        <w:t>в ведомственном перечне государственных услуг</w:t>
      </w:r>
      <w:r w:rsidR="00394CCD" w:rsidRPr="00394CCD">
        <w:t xml:space="preserve">, что привело к их отсутствию в государственном задании.  </w:t>
      </w:r>
      <w:r w:rsidR="007B7385">
        <w:t xml:space="preserve">Отсутствие показателей качества </w:t>
      </w:r>
      <w:r w:rsidR="007B7385" w:rsidRPr="007B7385">
        <w:t xml:space="preserve">снижает объективность  оценки </w:t>
      </w:r>
      <w:r w:rsidR="007B7385" w:rsidRPr="007B7385">
        <w:lastRenderedPageBreak/>
        <w:t>выполнения государственного задания</w:t>
      </w:r>
      <w:r w:rsidR="007B7385">
        <w:t xml:space="preserve">, которую учредитель обязан дать в рамках </w:t>
      </w:r>
      <w:proofErr w:type="gramStart"/>
      <w:r w:rsidR="007B7385">
        <w:t>контроля за</w:t>
      </w:r>
      <w:proofErr w:type="gramEnd"/>
      <w:r w:rsidR="007B7385">
        <w:t xml:space="preserve"> его выполнением</w:t>
      </w:r>
      <w:r w:rsidR="005C015A">
        <w:t>,</w:t>
      </w:r>
      <w:r w:rsidR="007B7385" w:rsidRPr="007B7385">
        <w:t xml:space="preserve"> и указывает на недостаточное исполнение Комитетом полномочий, установленных п.1. ст.158 БК РФ  в части обеспечения результативности использования бюджетных средств.</w:t>
      </w:r>
    </w:p>
    <w:p w:rsidR="00BB1C02" w:rsidRDefault="00BB1C02" w:rsidP="00AC3C8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95906" w:rsidRPr="009A168C" w:rsidRDefault="00595906" w:rsidP="00AC3C8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A168C"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</w:p>
    <w:p w:rsidR="00595906" w:rsidRPr="00595906" w:rsidRDefault="00595906" w:rsidP="00AC3C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595906">
        <w:rPr>
          <w:rFonts w:ascii="Times New Roman" w:hAnsi="Times New Roman" w:cs="Times New Roman"/>
          <w:i/>
          <w:u w:val="single"/>
        </w:rPr>
        <w:t>Комитету по обеспечению безопасности жизнедеятельности населения Волгоградской области:</w:t>
      </w:r>
    </w:p>
    <w:p w:rsidR="00BF27B4" w:rsidRPr="00BF27B4" w:rsidRDefault="00BF27B4" w:rsidP="00BF2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>1.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выполнения требований статей 9,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 Закона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402-ФЗ 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денежного измерения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объек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бухгалтерского учета </w:t>
      </w:r>
      <w:r w:rsidR="00BB1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подведомственным учреждениям ГКУ «1 ОПС» и ГКУ «5 ОПС»</w:t>
      </w:r>
      <w:r w:rsidR="00BB1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BB1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необходимость 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>прове</w:t>
      </w:r>
      <w:r w:rsidR="00BB1C02">
        <w:rPr>
          <w:rFonts w:ascii="Times New Roman" w:eastAsia="Calibri" w:hAnsi="Times New Roman" w:cs="Times New Roman"/>
          <w:sz w:val="24"/>
          <w:szCs w:val="24"/>
          <w:lang w:eastAsia="ru-RU"/>
        </w:rPr>
        <w:t>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балансодержателями по определению стоимости недвижимого 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находящегося в пользовании  и учитываемого на </w:t>
      </w:r>
      <w:proofErr w:type="spellStart"/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BF27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счете 01 «Имущество, полученное в пользование».</w:t>
      </w:r>
    </w:p>
    <w:p w:rsidR="00FE75DE" w:rsidRDefault="00BF27B4" w:rsidP="00595906">
      <w:pPr>
        <w:pStyle w:val="a3"/>
        <w:ind w:left="0" w:firstLine="680"/>
        <w:jc w:val="both"/>
      </w:pPr>
      <w:r>
        <w:t>2</w:t>
      </w:r>
      <w:r w:rsidR="00595906">
        <w:t xml:space="preserve">. </w:t>
      </w:r>
      <w:r w:rsidR="00FE75DE">
        <w:t xml:space="preserve">В целях обеспечения объективности </w:t>
      </w:r>
      <w:proofErr w:type="gramStart"/>
      <w:r w:rsidR="00FE75DE">
        <w:t>контроля за</w:t>
      </w:r>
      <w:proofErr w:type="gramEnd"/>
      <w:r w:rsidR="00FE75DE">
        <w:t xml:space="preserve"> выполнением государственного задания ГБУ «УМЦ» и исполнения положений </w:t>
      </w:r>
      <w:proofErr w:type="spellStart"/>
      <w:r w:rsidR="00FE75DE">
        <w:t>пп</w:t>
      </w:r>
      <w:proofErr w:type="spellEnd"/>
      <w:r w:rsidR="00FE75DE">
        <w:t xml:space="preserve">. «и» п.3 Правил № 151 и п.4 Порядка 174-п предусмотреть показатели качества выполнения государственных услуг в ведомственном перечне государственных услуг и работ, оказываемых и выполняемых государственным бюджетным учреждением, подведомственным Комитету. </w:t>
      </w:r>
    </w:p>
    <w:p w:rsidR="00BA5752" w:rsidRDefault="00BA5752" w:rsidP="00595906">
      <w:pPr>
        <w:pStyle w:val="a3"/>
        <w:ind w:left="0" w:firstLine="680"/>
        <w:jc w:val="both"/>
      </w:pPr>
      <w:r>
        <w:t>3.</w:t>
      </w:r>
      <w:r w:rsidR="006021A2">
        <w:t xml:space="preserve"> С целью эффективности использования бюджетных средств, предусмотренных на финансовое обеспечение государственного задания, провести анализ расчета норматива затрат на выполнение государственных услуг ГБУ «УМЦ» и,  при необходимости, внести в него изменения. </w:t>
      </w:r>
    </w:p>
    <w:p w:rsidR="00595906" w:rsidRDefault="00595906" w:rsidP="00595906">
      <w:pPr>
        <w:pStyle w:val="a3"/>
        <w:ind w:left="0" w:firstLine="680"/>
        <w:jc w:val="both"/>
      </w:pPr>
    </w:p>
    <w:p w:rsidR="006021A2" w:rsidRDefault="006021A2" w:rsidP="00595906">
      <w:pPr>
        <w:tabs>
          <w:tab w:val="left" w:pos="298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906" w:rsidRPr="00595906" w:rsidRDefault="00595906" w:rsidP="00595906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5906">
        <w:rPr>
          <w:rFonts w:ascii="Times New Roman" w:hAnsi="Times New Roman" w:cs="Times New Roman"/>
          <w:b/>
          <w:i/>
          <w:sz w:val="24"/>
          <w:szCs w:val="24"/>
        </w:rPr>
        <w:t xml:space="preserve">Аудитор    </w:t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590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Н.Л. </w:t>
      </w:r>
      <w:proofErr w:type="spellStart"/>
      <w:r w:rsidRPr="00595906">
        <w:rPr>
          <w:rFonts w:ascii="Times New Roman" w:hAnsi="Times New Roman" w:cs="Times New Roman"/>
          <w:b/>
          <w:i/>
          <w:sz w:val="24"/>
          <w:szCs w:val="24"/>
        </w:rPr>
        <w:t>Ноздрюхина</w:t>
      </w:r>
      <w:proofErr w:type="spellEnd"/>
    </w:p>
    <w:p w:rsidR="00595906" w:rsidRPr="002D217B" w:rsidRDefault="00595906" w:rsidP="00595906">
      <w:pPr>
        <w:pStyle w:val="a3"/>
        <w:ind w:left="0" w:firstLine="851"/>
        <w:jc w:val="both"/>
        <w:rPr>
          <w:color w:val="365F91" w:themeColor="accent1" w:themeShade="BF"/>
        </w:rPr>
      </w:pPr>
    </w:p>
    <w:p w:rsidR="008048EB" w:rsidRPr="00595906" w:rsidRDefault="008048EB" w:rsidP="00595906">
      <w:pPr>
        <w:jc w:val="both"/>
        <w:rPr>
          <w:color w:val="365F91" w:themeColor="accent1" w:themeShade="BF"/>
        </w:rPr>
      </w:pPr>
    </w:p>
    <w:p w:rsidR="005D5F7B" w:rsidRPr="002D217B" w:rsidRDefault="005D5F7B" w:rsidP="00FA1021">
      <w:pPr>
        <w:autoSpaceDE w:val="0"/>
        <w:autoSpaceDN w:val="0"/>
        <w:adjustRightInd w:val="0"/>
        <w:ind w:left="708"/>
        <w:jc w:val="both"/>
        <w:rPr>
          <w:color w:val="365F91" w:themeColor="accent1" w:themeShade="BF"/>
        </w:rPr>
      </w:pPr>
    </w:p>
    <w:p w:rsidR="00752766" w:rsidRPr="002D217B" w:rsidRDefault="00752766" w:rsidP="00433A2D">
      <w:pPr>
        <w:pStyle w:val="a3"/>
        <w:autoSpaceDE w:val="0"/>
        <w:autoSpaceDN w:val="0"/>
        <w:adjustRightInd w:val="0"/>
        <w:ind w:left="851"/>
        <w:jc w:val="both"/>
        <w:rPr>
          <w:color w:val="365F91" w:themeColor="accent1" w:themeShade="BF"/>
        </w:rPr>
      </w:pPr>
    </w:p>
    <w:p w:rsidR="00752766" w:rsidRPr="002D217B" w:rsidRDefault="00752766" w:rsidP="00752766">
      <w:pPr>
        <w:pStyle w:val="a3"/>
        <w:autoSpaceDE w:val="0"/>
        <w:autoSpaceDN w:val="0"/>
        <w:adjustRightInd w:val="0"/>
        <w:ind w:left="0" w:firstLine="851"/>
        <w:jc w:val="both"/>
        <w:rPr>
          <w:color w:val="365F91" w:themeColor="accent1" w:themeShade="BF"/>
        </w:rPr>
      </w:pPr>
    </w:p>
    <w:sectPr w:rsidR="00752766" w:rsidRPr="002D217B" w:rsidSect="007271EE">
      <w:headerReference w:type="default" r:id="rId8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D6" w:rsidRDefault="00867BD6" w:rsidP="00793870">
      <w:pPr>
        <w:spacing w:after="0" w:line="240" w:lineRule="auto"/>
      </w:pPr>
      <w:r>
        <w:separator/>
      </w:r>
    </w:p>
  </w:endnote>
  <w:endnote w:type="continuationSeparator" w:id="0">
    <w:p w:rsidR="00867BD6" w:rsidRDefault="00867BD6" w:rsidP="007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D6" w:rsidRDefault="00867BD6" w:rsidP="00793870">
      <w:pPr>
        <w:spacing w:after="0" w:line="240" w:lineRule="auto"/>
      </w:pPr>
      <w:r>
        <w:separator/>
      </w:r>
    </w:p>
  </w:footnote>
  <w:footnote w:type="continuationSeparator" w:id="0">
    <w:p w:rsidR="00867BD6" w:rsidRDefault="00867BD6" w:rsidP="007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2063"/>
      <w:docPartObj>
        <w:docPartGallery w:val="Page Numbers (Top of Page)"/>
        <w:docPartUnique/>
      </w:docPartObj>
    </w:sdtPr>
    <w:sdtContent>
      <w:p w:rsidR="000E1F49" w:rsidRDefault="000E1F49">
        <w:pPr>
          <w:pStyle w:val="aa"/>
          <w:jc w:val="center"/>
        </w:pPr>
        <w:fldSimple w:instr=" PAGE   \* MERGEFORMAT ">
          <w:r w:rsidR="00C226D4">
            <w:rPr>
              <w:noProof/>
            </w:rPr>
            <w:t>10</w:t>
          </w:r>
        </w:fldSimple>
      </w:p>
    </w:sdtContent>
  </w:sdt>
  <w:p w:rsidR="000E1F49" w:rsidRDefault="000E1F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4C88725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643BEE"/>
    <w:multiLevelType w:val="hybridMultilevel"/>
    <w:tmpl w:val="4F168286"/>
    <w:lvl w:ilvl="0" w:tplc="2C9E1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E5DE0"/>
    <w:multiLevelType w:val="hybridMultilevel"/>
    <w:tmpl w:val="BE8A5EBC"/>
    <w:lvl w:ilvl="0" w:tplc="15F84208">
      <w:start w:val="9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0E1C72"/>
    <w:multiLevelType w:val="hybridMultilevel"/>
    <w:tmpl w:val="E432D16C"/>
    <w:lvl w:ilvl="0" w:tplc="C714D42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4322230"/>
    <w:multiLevelType w:val="hybridMultilevel"/>
    <w:tmpl w:val="A426D5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EC2EDD"/>
    <w:multiLevelType w:val="hybridMultilevel"/>
    <w:tmpl w:val="BD52733C"/>
    <w:lvl w:ilvl="0" w:tplc="FF18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5783753E"/>
    <w:multiLevelType w:val="hybridMultilevel"/>
    <w:tmpl w:val="B39CFCB2"/>
    <w:lvl w:ilvl="0" w:tplc="F6DE37D8">
      <w:start w:val="1"/>
      <w:numFmt w:val="decimal"/>
      <w:lvlText w:val="%1."/>
      <w:lvlJc w:val="left"/>
      <w:pPr>
        <w:ind w:left="2013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D26373"/>
    <w:multiLevelType w:val="hybridMultilevel"/>
    <w:tmpl w:val="8F206BDE"/>
    <w:lvl w:ilvl="0" w:tplc="3DF8BF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0414FD"/>
    <w:multiLevelType w:val="hybridMultilevel"/>
    <w:tmpl w:val="839E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0359DB"/>
    <w:multiLevelType w:val="hybridMultilevel"/>
    <w:tmpl w:val="73CCCF5E"/>
    <w:lvl w:ilvl="0" w:tplc="2084D4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C74F9B"/>
    <w:multiLevelType w:val="hybridMultilevel"/>
    <w:tmpl w:val="B57A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0454F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B2A13"/>
    <w:multiLevelType w:val="hybridMultilevel"/>
    <w:tmpl w:val="BC884D38"/>
    <w:lvl w:ilvl="0" w:tplc="55B459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7C51120E"/>
    <w:multiLevelType w:val="hybridMultilevel"/>
    <w:tmpl w:val="8E980700"/>
    <w:lvl w:ilvl="0" w:tplc="CA5A722A">
      <w:start w:val="1"/>
      <w:numFmt w:val="decimal"/>
      <w:lvlText w:val="%1."/>
      <w:lvlJc w:val="left"/>
      <w:pPr>
        <w:ind w:left="176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C6"/>
    <w:rsid w:val="000005CD"/>
    <w:rsid w:val="00007C16"/>
    <w:rsid w:val="000114C4"/>
    <w:rsid w:val="00014A0A"/>
    <w:rsid w:val="00015048"/>
    <w:rsid w:val="0002000E"/>
    <w:rsid w:val="00022B50"/>
    <w:rsid w:val="00023563"/>
    <w:rsid w:val="00024EB1"/>
    <w:rsid w:val="0002643C"/>
    <w:rsid w:val="000308B3"/>
    <w:rsid w:val="00031272"/>
    <w:rsid w:val="00032491"/>
    <w:rsid w:val="00032C43"/>
    <w:rsid w:val="00033FFA"/>
    <w:rsid w:val="00034B92"/>
    <w:rsid w:val="00040DBB"/>
    <w:rsid w:val="00041AAE"/>
    <w:rsid w:val="0004447C"/>
    <w:rsid w:val="00056EA8"/>
    <w:rsid w:val="00061CE4"/>
    <w:rsid w:val="00063887"/>
    <w:rsid w:val="00067ADE"/>
    <w:rsid w:val="000700E2"/>
    <w:rsid w:val="000720D8"/>
    <w:rsid w:val="00073421"/>
    <w:rsid w:val="00077278"/>
    <w:rsid w:val="00085D25"/>
    <w:rsid w:val="00087B00"/>
    <w:rsid w:val="000945E7"/>
    <w:rsid w:val="00095334"/>
    <w:rsid w:val="00095C6C"/>
    <w:rsid w:val="000A2D28"/>
    <w:rsid w:val="000A5B1F"/>
    <w:rsid w:val="000B5864"/>
    <w:rsid w:val="000C09B9"/>
    <w:rsid w:val="000C153A"/>
    <w:rsid w:val="000C563E"/>
    <w:rsid w:val="000C7B3A"/>
    <w:rsid w:val="000E1F49"/>
    <w:rsid w:val="000F013B"/>
    <w:rsid w:val="00105143"/>
    <w:rsid w:val="001270AE"/>
    <w:rsid w:val="001307CC"/>
    <w:rsid w:val="00130AF5"/>
    <w:rsid w:val="001329C4"/>
    <w:rsid w:val="0013402C"/>
    <w:rsid w:val="00143CE9"/>
    <w:rsid w:val="0014427A"/>
    <w:rsid w:val="00152E86"/>
    <w:rsid w:val="00164A28"/>
    <w:rsid w:val="00165B8C"/>
    <w:rsid w:val="00165F8A"/>
    <w:rsid w:val="001676EF"/>
    <w:rsid w:val="00170237"/>
    <w:rsid w:val="00170CA0"/>
    <w:rsid w:val="001733B0"/>
    <w:rsid w:val="0017377A"/>
    <w:rsid w:val="00183EAC"/>
    <w:rsid w:val="001843B4"/>
    <w:rsid w:val="001850C0"/>
    <w:rsid w:val="00192BA2"/>
    <w:rsid w:val="001962C0"/>
    <w:rsid w:val="001966A0"/>
    <w:rsid w:val="001A0057"/>
    <w:rsid w:val="001A137B"/>
    <w:rsid w:val="001A50F1"/>
    <w:rsid w:val="001A6167"/>
    <w:rsid w:val="001A6AD8"/>
    <w:rsid w:val="001B73BE"/>
    <w:rsid w:val="001C0492"/>
    <w:rsid w:val="001D1453"/>
    <w:rsid w:val="001D55AC"/>
    <w:rsid w:val="001D64F5"/>
    <w:rsid w:val="001D6AFC"/>
    <w:rsid w:val="001E2CE6"/>
    <w:rsid w:val="001E6033"/>
    <w:rsid w:val="001F15E8"/>
    <w:rsid w:val="001F33E3"/>
    <w:rsid w:val="00202C5A"/>
    <w:rsid w:val="002033D6"/>
    <w:rsid w:val="00205705"/>
    <w:rsid w:val="00205858"/>
    <w:rsid w:val="002076C1"/>
    <w:rsid w:val="00215620"/>
    <w:rsid w:val="002159BA"/>
    <w:rsid w:val="00232DC0"/>
    <w:rsid w:val="00234748"/>
    <w:rsid w:val="00234CF6"/>
    <w:rsid w:val="002352B7"/>
    <w:rsid w:val="0023687A"/>
    <w:rsid w:val="002378A2"/>
    <w:rsid w:val="00240723"/>
    <w:rsid w:val="002407F2"/>
    <w:rsid w:val="00243A6E"/>
    <w:rsid w:val="0025472E"/>
    <w:rsid w:val="00254A99"/>
    <w:rsid w:val="00261003"/>
    <w:rsid w:val="00262479"/>
    <w:rsid w:val="0026468F"/>
    <w:rsid w:val="00265CCD"/>
    <w:rsid w:val="002735BD"/>
    <w:rsid w:val="00273AB1"/>
    <w:rsid w:val="002753E8"/>
    <w:rsid w:val="00276F71"/>
    <w:rsid w:val="002820EC"/>
    <w:rsid w:val="00286EE9"/>
    <w:rsid w:val="002876B8"/>
    <w:rsid w:val="002958C3"/>
    <w:rsid w:val="00295BBF"/>
    <w:rsid w:val="002966D1"/>
    <w:rsid w:val="002A66B2"/>
    <w:rsid w:val="002B035B"/>
    <w:rsid w:val="002B0791"/>
    <w:rsid w:val="002B136C"/>
    <w:rsid w:val="002B403D"/>
    <w:rsid w:val="002C0B7A"/>
    <w:rsid w:val="002D14D7"/>
    <w:rsid w:val="002D171B"/>
    <w:rsid w:val="002D217B"/>
    <w:rsid w:val="002D5258"/>
    <w:rsid w:val="002D57FA"/>
    <w:rsid w:val="002D77A0"/>
    <w:rsid w:val="002E1401"/>
    <w:rsid w:val="002E5C5D"/>
    <w:rsid w:val="002E7519"/>
    <w:rsid w:val="002F0D98"/>
    <w:rsid w:val="002F2F5E"/>
    <w:rsid w:val="002F356F"/>
    <w:rsid w:val="002F476A"/>
    <w:rsid w:val="002F6613"/>
    <w:rsid w:val="003017D2"/>
    <w:rsid w:val="00307861"/>
    <w:rsid w:val="003137AD"/>
    <w:rsid w:val="0033151C"/>
    <w:rsid w:val="00332B01"/>
    <w:rsid w:val="0033779B"/>
    <w:rsid w:val="00344202"/>
    <w:rsid w:val="003565C6"/>
    <w:rsid w:val="0036445A"/>
    <w:rsid w:val="00364B0E"/>
    <w:rsid w:val="0036535D"/>
    <w:rsid w:val="003671F8"/>
    <w:rsid w:val="003710C7"/>
    <w:rsid w:val="00375768"/>
    <w:rsid w:val="00376A0D"/>
    <w:rsid w:val="003848F9"/>
    <w:rsid w:val="00384FCB"/>
    <w:rsid w:val="003853D6"/>
    <w:rsid w:val="003866D5"/>
    <w:rsid w:val="0039072D"/>
    <w:rsid w:val="0039077C"/>
    <w:rsid w:val="00392DEB"/>
    <w:rsid w:val="00394CCD"/>
    <w:rsid w:val="00396DB4"/>
    <w:rsid w:val="00396FBB"/>
    <w:rsid w:val="003A47BB"/>
    <w:rsid w:val="003A65B9"/>
    <w:rsid w:val="003A7D9F"/>
    <w:rsid w:val="003B68B5"/>
    <w:rsid w:val="003B68F2"/>
    <w:rsid w:val="003C0B43"/>
    <w:rsid w:val="003C3272"/>
    <w:rsid w:val="003D0137"/>
    <w:rsid w:val="003D237C"/>
    <w:rsid w:val="003D4728"/>
    <w:rsid w:val="003D5136"/>
    <w:rsid w:val="003E38CA"/>
    <w:rsid w:val="003E41B1"/>
    <w:rsid w:val="003E6308"/>
    <w:rsid w:val="003F2063"/>
    <w:rsid w:val="003F53C4"/>
    <w:rsid w:val="0040143F"/>
    <w:rsid w:val="004068F1"/>
    <w:rsid w:val="00411BE9"/>
    <w:rsid w:val="00411CBE"/>
    <w:rsid w:val="00412BFD"/>
    <w:rsid w:val="004136E0"/>
    <w:rsid w:val="00415578"/>
    <w:rsid w:val="004236AF"/>
    <w:rsid w:val="00433A2D"/>
    <w:rsid w:val="004362B7"/>
    <w:rsid w:val="0044375F"/>
    <w:rsid w:val="004455C2"/>
    <w:rsid w:val="00450983"/>
    <w:rsid w:val="004548C1"/>
    <w:rsid w:val="004559C1"/>
    <w:rsid w:val="00455CA0"/>
    <w:rsid w:val="004638A5"/>
    <w:rsid w:val="00484E4D"/>
    <w:rsid w:val="00493F5E"/>
    <w:rsid w:val="004952A8"/>
    <w:rsid w:val="004976BA"/>
    <w:rsid w:val="004A0E8B"/>
    <w:rsid w:val="004A2370"/>
    <w:rsid w:val="004A3B87"/>
    <w:rsid w:val="004A5FF9"/>
    <w:rsid w:val="004A6133"/>
    <w:rsid w:val="004A74C1"/>
    <w:rsid w:val="004B01BC"/>
    <w:rsid w:val="004B635E"/>
    <w:rsid w:val="004B6401"/>
    <w:rsid w:val="004B758F"/>
    <w:rsid w:val="004B779C"/>
    <w:rsid w:val="004C0676"/>
    <w:rsid w:val="004C1467"/>
    <w:rsid w:val="004D1EA6"/>
    <w:rsid w:val="004D6C09"/>
    <w:rsid w:val="004E17BE"/>
    <w:rsid w:val="004E7DAD"/>
    <w:rsid w:val="004F2A90"/>
    <w:rsid w:val="004F3583"/>
    <w:rsid w:val="00501CF7"/>
    <w:rsid w:val="00503282"/>
    <w:rsid w:val="005079AA"/>
    <w:rsid w:val="00510E04"/>
    <w:rsid w:val="00512F4F"/>
    <w:rsid w:val="00515A94"/>
    <w:rsid w:val="00515D12"/>
    <w:rsid w:val="005171EA"/>
    <w:rsid w:val="00523447"/>
    <w:rsid w:val="00524E4A"/>
    <w:rsid w:val="00531F8B"/>
    <w:rsid w:val="00533B83"/>
    <w:rsid w:val="00534EF1"/>
    <w:rsid w:val="00536E01"/>
    <w:rsid w:val="005418DD"/>
    <w:rsid w:val="00541B58"/>
    <w:rsid w:val="00543E11"/>
    <w:rsid w:val="00545DE7"/>
    <w:rsid w:val="00551F10"/>
    <w:rsid w:val="00552C8E"/>
    <w:rsid w:val="005553D3"/>
    <w:rsid w:val="00557F01"/>
    <w:rsid w:val="00564CBA"/>
    <w:rsid w:val="00573693"/>
    <w:rsid w:val="005805C2"/>
    <w:rsid w:val="00585AB7"/>
    <w:rsid w:val="00595817"/>
    <w:rsid w:val="00595906"/>
    <w:rsid w:val="005A3F9B"/>
    <w:rsid w:val="005A7CF5"/>
    <w:rsid w:val="005B199B"/>
    <w:rsid w:val="005B21D2"/>
    <w:rsid w:val="005B362C"/>
    <w:rsid w:val="005B5B4E"/>
    <w:rsid w:val="005C015A"/>
    <w:rsid w:val="005C06D4"/>
    <w:rsid w:val="005C666E"/>
    <w:rsid w:val="005C690F"/>
    <w:rsid w:val="005C6949"/>
    <w:rsid w:val="005D3867"/>
    <w:rsid w:val="005D4E52"/>
    <w:rsid w:val="005D5F7B"/>
    <w:rsid w:val="005E140A"/>
    <w:rsid w:val="005E19C5"/>
    <w:rsid w:val="005E350D"/>
    <w:rsid w:val="005E6219"/>
    <w:rsid w:val="00601D93"/>
    <w:rsid w:val="006021A2"/>
    <w:rsid w:val="0060307B"/>
    <w:rsid w:val="006058E2"/>
    <w:rsid w:val="006101BB"/>
    <w:rsid w:val="00615853"/>
    <w:rsid w:val="006276CC"/>
    <w:rsid w:val="00627766"/>
    <w:rsid w:val="0063020B"/>
    <w:rsid w:val="00634877"/>
    <w:rsid w:val="006365C3"/>
    <w:rsid w:val="006444AC"/>
    <w:rsid w:val="00645101"/>
    <w:rsid w:val="00651125"/>
    <w:rsid w:val="00651E46"/>
    <w:rsid w:val="00655104"/>
    <w:rsid w:val="00664C08"/>
    <w:rsid w:val="006656B2"/>
    <w:rsid w:val="006761F1"/>
    <w:rsid w:val="0068124D"/>
    <w:rsid w:val="00686A68"/>
    <w:rsid w:val="00687AC6"/>
    <w:rsid w:val="006910F9"/>
    <w:rsid w:val="00692859"/>
    <w:rsid w:val="00695D18"/>
    <w:rsid w:val="006A75AD"/>
    <w:rsid w:val="006B1665"/>
    <w:rsid w:val="006B198F"/>
    <w:rsid w:val="006B2B32"/>
    <w:rsid w:val="006C023D"/>
    <w:rsid w:val="006C030B"/>
    <w:rsid w:val="006C2B20"/>
    <w:rsid w:val="006C3806"/>
    <w:rsid w:val="006C39B5"/>
    <w:rsid w:val="006C3D62"/>
    <w:rsid w:val="006C53E9"/>
    <w:rsid w:val="006D0651"/>
    <w:rsid w:val="006D16DB"/>
    <w:rsid w:val="006D42F9"/>
    <w:rsid w:val="006D494E"/>
    <w:rsid w:val="006D65D2"/>
    <w:rsid w:val="006E20C1"/>
    <w:rsid w:val="006E5C99"/>
    <w:rsid w:val="006F1303"/>
    <w:rsid w:val="006F14F4"/>
    <w:rsid w:val="006F266C"/>
    <w:rsid w:val="006F672B"/>
    <w:rsid w:val="006F68F2"/>
    <w:rsid w:val="00701D32"/>
    <w:rsid w:val="007100AB"/>
    <w:rsid w:val="00710421"/>
    <w:rsid w:val="00711C12"/>
    <w:rsid w:val="007231FC"/>
    <w:rsid w:val="00723267"/>
    <w:rsid w:val="00726AE0"/>
    <w:rsid w:val="007271EE"/>
    <w:rsid w:val="00730546"/>
    <w:rsid w:val="007368C7"/>
    <w:rsid w:val="00745FBF"/>
    <w:rsid w:val="00752766"/>
    <w:rsid w:val="0076407E"/>
    <w:rsid w:val="00771802"/>
    <w:rsid w:val="007727FE"/>
    <w:rsid w:val="00775B8D"/>
    <w:rsid w:val="00782EED"/>
    <w:rsid w:val="00793870"/>
    <w:rsid w:val="00794689"/>
    <w:rsid w:val="00795401"/>
    <w:rsid w:val="007A594E"/>
    <w:rsid w:val="007A71A5"/>
    <w:rsid w:val="007B0D6A"/>
    <w:rsid w:val="007B27FB"/>
    <w:rsid w:val="007B7385"/>
    <w:rsid w:val="007C2DEC"/>
    <w:rsid w:val="007C330F"/>
    <w:rsid w:val="007C7AF4"/>
    <w:rsid w:val="007D17AD"/>
    <w:rsid w:val="007D384C"/>
    <w:rsid w:val="007D43CB"/>
    <w:rsid w:val="007D5A30"/>
    <w:rsid w:val="007D74F7"/>
    <w:rsid w:val="007E07C6"/>
    <w:rsid w:val="007E72B3"/>
    <w:rsid w:val="007F5D1B"/>
    <w:rsid w:val="00800FE9"/>
    <w:rsid w:val="00801394"/>
    <w:rsid w:val="00801561"/>
    <w:rsid w:val="008048EB"/>
    <w:rsid w:val="00812990"/>
    <w:rsid w:val="008129D9"/>
    <w:rsid w:val="008149FD"/>
    <w:rsid w:val="00826686"/>
    <w:rsid w:val="00832EBD"/>
    <w:rsid w:val="00833BF4"/>
    <w:rsid w:val="008352FE"/>
    <w:rsid w:val="00841190"/>
    <w:rsid w:val="00854F50"/>
    <w:rsid w:val="00861113"/>
    <w:rsid w:val="00866287"/>
    <w:rsid w:val="00866F04"/>
    <w:rsid w:val="00867BD6"/>
    <w:rsid w:val="008707C2"/>
    <w:rsid w:val="0087358A"/>
    <w:rsid w:val="00873FAC"/>
    <w:rsid w:val="008758F9"/>
    <w:rsid w:val="00876642"/>
    <w:rsid w:val="0087668A"/>
    <w:rsid w:val="00876C29"/>
    <w:rsid w:val="008945D9"/>
    <w:rsid w:val="00894952"/>
    <w:rsid w:val="0089528F"/>
    <w:rsid w:val="008A1945"/>
    <w:rsid w:val="008A2670"/>
    <w:rsid w:val="008A5A42"/>
    <w:rsid w:val="008A6FB4"/>
    <w:rsid w:val="008A77D4"/>
    <w:rsid w:val="008B136C"/>
    <w:rsid w:val="008B5768"/>
    <w:rsid w:val="008B6FB3"/>
    <w:rsid w:val="008B73C5"/>
    <w:rsid w:val="008B7BE8"/>
    <w:rsid w:val="008C1B65"/>
    <w:rsid w:val="008C403D"/>
    <w:rsid w:val="008D0686"/>
    <w:rsid w:val="008D35BB"/>
    <w:rsid w:val="008D5C04"/>
    <w:rsid w:val="008F3023"/>
    <w:rsid w:val="008F76BE"/>
    <w:rsid w:val="008F797D"/>
    <w:rsid w:val="00903838"/>
    <w:rsid w:val="009119AF"/>
    <w:rsid w:val="009154FF"/>
    <w:rsid w:val="00921381"/>
    <w:rsid w:val="009220E5"/>
    <w:rsid w:val="009222D4"/>
    <w:rsid w:val="0092445D"/>
    <w:rsid w:val="00925FFB"/>
    <w:rsid w:val="009271E5"/>
    <w:rsid w:val="0092758D"/>
    <w:rsid w:val="0092768E"/>
    <w:rsid w:val="009325AB"/>
    <w:rsid w:val="00940563"/>
    <w:rsid w:val="0094059C"/>
    <w:rsid w:val="00941068"/>
    <w:rsid w:val="009427F2"/>
    <w:rsid w:val="00945580"/>
    <w:rsid w:val="00946090"/>
    <w:rsid w:val="009470B4"/>
    <w:rsid w:val="009519E8"/>
    <w:rsid w:val="00951DBA"/>
    <w:rsid w:val="00952250"/>
    <w:rsid w:val="00953FCD"/>
    <w:rsid w:val="00956297"/>
    <w:rsid w:val="00960614"/>
    <w:rsid w:val="009617AD"/>
    <w:rsid w:val="009704A7"/>
    <w:rsid w:val="00972238"/>
    <w:rsid w:val="009768F6"/>
    <w:rsid w:val="00976A8A"/>
    <w:rsid w:val="0098076B"/>
    <w:rsid w:val="00980A4D"/>
    <w:rsid w:val="009844BA"/>
    <w:rsid w:val="009949A6"/>
    <w:rsid w:val="009A168C"/>
    <w:rsid w:val="009A2247"/>
    <w:rsid w:val="009A77DD"/>
    <w:rsid w:val="009B0CF4"/>
    <w:rsid w:val="009C366B"/>
    <w:rsid w:val="009C7A8E"/>
    <w:rsid w:val="009D5770"/>
    <w:rsid w:val="009E0BEA"/>
    <w:rsid w:val="009E3661"/>
    <w:rsid w:val="009E5CED"/>
    <w:rsid w:val="009F1C58"/>
    <w:rsid w:val="009F4059"/>
    <w:rsid w:val="009F43BE"/>
    <w:rsid w:val="009F76FA"/>
    <w:rsid w:val="00A023BC"/>
    <w:rsid w:val="00A11952"/>
    <w:rsid w:val="00A12160"/>
    <w:rsid w:val="00A15119"/>
    <w:rsid w:val="00A15B64"/>
    <w:rsid w:val="00A2027E"/>
    <w:rsid w:val="00A27471"/>
    <w:rsid w:val="00A31521"/>
    <w:rsid w:val="00A32F36"/>
    <w:rsid w:val="00A3359D"/>
    <w:rsid w:val="00A34E84"/>
    <w:rsid w:val="00A47972"/>
    <w:rsid w:val="00A53431"/>
    <w:rsid w:val="00A55576"/>
    <w:rsid w:val="00A5580F"/>
    <w:rsid w:val="00A55C7B"/>
    <w:rsid w:val="00A606E8"/>
    <w:rsid w:val="00A632C4"/>
    <w:rsid w:val="00A63A11"/>
    <w:rsid w:val="00A64082"/>
    <w:rsid w:val="00A640F7"/>
    <w:rsid w:val="00A65A05"/>
    <w:rsid w:val="00A71964"/>
    <w:rsid w:val="00A738E6"/>
    <w:rsid w:val="00A75AFB"/>
    <w:rsid w:val="00A83428"/>
    <w:rsid w:val="00A9312D"/>
    <w:rsid w:val="00A95431"/>
    <w:rsid w:val="00AA6AB4"/>
    <w:rsid w:val="00AB556E"/>
    <w:rsid w:val="00AB78C8"/>
    <w:rsid w:val="00AC2A1A"/>
    <w:rsid w:val="00AC3C8D"/>
    <w:rsid w:val="00AC5F8F"/>
    <w:rsid w:val="00AD0F17"/>
    <w:rsid w:val="00AE4CB3"/>
    <w:rsid w:val="00AE4E06"/>
    <w:rsid w:val="00AE53B1"/>
    <w:rsid w:val="00AF1721"/>
    <w:rsid w:val="00AF6089"/>
    <w:rsid w:val="00AF63E3"/>
    <w:rsid w:val="00AF658B"/>
    <w:rsid w:val="00B00AE9"/>
    <w:rsid w:val="00B03883"/>
    <w:rsid w:val="00B22F85"/>
    <w:rsid w:val="00B40D9D"/>
    <w:rsid w:val="00B51199"/>
    <w:rsid w:val="00B52B70"/>
    <w:rsid w:val="00B5557B"/>
    <w:rsid w:val="00B576BF"/>
    <w:rsid w:val="00B6037F"/>
    <w:rsid w:val="00B608B4"/>
    <w:rsid w:val="00B64953"/>
    <w:rsid w:val="00B67236"/>
    <w:rsid w:val="00B840DD"/>
    <w:rsid w:val="00B92138"/>
    <w:rsid w:val="00B978E7"/>
    <w:rsid w:val="00B978FC"/>
    <w:rsid w:val="00BA036B"/>
    <w:rsid w:val="00BA0A93"/>
    <w:rsid w:val="00BA5752"/>
    <w:rsid w:val="00BA6E6F"/>
    <w:rsid w:val="00BB1C02"/>
    <w:rsid w:val="00BB224A"/>
    <w:rsid w:val="00BC0558"/>
    <w:rsid w:val="00BC5896"/>
    <w:rsid w:val="00BD5F42"/>
    <w:rsid w:val="00BD665D"/>
    <w:rsid w:val="00BE0FC2"/>
    <w:rsid w:val="00BE2D9F"/>
    <w:rsid w:val="00BF0FD7"/>
    <w:rsid w:val="00BF24C5"/>
    <w:rsid w:val="00BF27B4"/>
    <w:rsid w:val="00BF7306"/>
    <w:rsid w:val="00C031C2"/>
    <w:rsid w:val="00C043F6"/>
    <w:rsid w:val="00C06386"/>
    <w:rsid w:val="00C1005C"/>
    <w:rsid w:val="00C129F1"/>
    <w:rsid w:val="00C21237"/>
    <w:rsid w:val="00C226D4"/>
    <w:rsid w:val="00C24695"/>
    <w:rsid w:val="00C2487B"/>
    <w:rsid w:val="00C307A9"/>
    <w:rsid w:val="00C310CC"/>
    <w:rsid w:val="00C40D53"/>
    <w:rsid w:val="00C40DB7"/>
    <w:rsid w:val="00C41280"/>
    <w:rsid w:val="00C437E7"/>
    <w:rsid w:val="00C4719A"/>
    <w:rsid w:val="00C540D3"/>
    <w:rsid w:val="00C66A02"/>
    <w:rsid w:val="00C705E6"/>
    <w:rsid w:val="00C73EF3"/>
    <w:rsid w:val="00C77F8D"/>
    <w:rsid w:val="00C812DC"/>
    <w:rsid w:val="00C83C24"/>
    <w:rsid w:val="00C842BE"/>
    <w:rsid w:val="00C85B61"/>
    <w:rsid w:val="00C90C40"/>
    <w:rsid w:val="00C91149"/>
    <w:rsid w:val="00C91E7D"/>
    <w:rsid w:val="00C96BCE"/>
    <w:rsid w:val="00CA0FA3"/>
    <w:rsid w:val="00CA768F"/>
    <w:rsid w:val="00CB04FB"/>
    <w:rsid w:val="00CC27BC"/>
    <w:rsid w:val="00CC4362"/>
    <w:rsid w:val="00CC71A5"/>
    <w:rsid w:val="00CD693A"/>
    <w:rsid w:val="00CE0F43"/>
    <w:rsid w:val="00CE20FB"/>
    <w:rsid w:val="00CE5310"/>
    <w:rsid w:val="00CE60F4"/>
    <w:rsid w:val="00CF122B"/>
    <w:rsid w:val="00CF3CDD"/>
    <w:rsid w:val="00D00DEA"/>
    <w:rsid w:val="00D02930"/>
    <w:rsid w:val="00D066CF"/>
    <w:rsid w:val="00D103CD"/>
    <w:rsid w:val="00D1173F"/>
    <w:rsid w:val="00D14396"/>
    <w:rsid w:val="00D161A6"/>
    <w:rsid w:val="00D16868"/>
    <w:rsid w:val="00D248D9"/>
    <w:rsid w:val="00D2490C"/>
    <w:rsid w:val="00D31E59"/>
    <w:rsid w:val="00D321A5"/>
    <w:rsid w:val="00D375CE"/>
    <w:rsid w:val="00D43E92"/>
    <w:rsid w:val="00D452F2"/>
    <w:rsid w:val="00D45C59"/>
    <w:rsid w:val="00D5447D"/>
    <w:rsid w:val="00D54DB1"/>
    <w:rsid w:val="00D5523A"/>
    <w:rsid w:val="00D601FA"/>
    <w:rsid w:val="00D60DCC"/>
    <w:rsid w:val="00D64485"/>
    <w:rsid w:val="00D64E78"/>
    <w:rsid w:val="00D71CA6"/>
    <w:rsid w:val="00D76B59"/>
    <w:rsid w:val="00D77EBD"/>
    <w:rsid w:val="00D8506C"/>
    <w:rsid w:val="00D941D7"/>
    <w:rsid w:val="00D95C49"/>
    <w:rsid w:val="00DA25AB"/>
    <w:rsid w:val="00DA3E75"/>
    <w:rsid w:val="00DB4D4D"/>
    <w:rsid w:val="00DB73A2"/>
    <w:rsid w:val="00DC3041"/>
    <w:rsid w:val="00DC3EB1"/>
    <w:rsid w:val="00DC4EEA"/>
    <w:rsid w:val="00DD12D6"/>
    <w:rsid w:val="00DD143A"/>
    <w:rsid w:val="00DD2CFA"/>
    <w:rsid w:val="00DD3D69"/>
    <w:rsid w:val="00DF38A3"/>
    <w:rsid w:val="00DF7746"/>
    <w:rsid w:val="00E02955"/>
    <w:rsid w:val="00E05ECE"/>
    <w:rsid w:val="00E12305"/>
    <w:rsid w:val="00E205F9"/>
    <w:rsid w:val="00E22C80"/>
    <w:rsid w:val="00E2547E"/>
    <w:rsid w:val="00E273A3"/>
    <w:rsid w:val="00E345E4"/>
    <w:rsid w:val="00E34C48"/>
    <w:rsid w:val="00E373A4"/>
    <w:rsid w:val="00E37AE6"/>
    <w:rsid w:val="00E40C70"/>
    <w:rsid w:val="00E463F8"/>
    <w:rsid w:val="00E51599"/>
    <w:rsid w:val="00E52639"/>
    <w:rsid w:val="00E5450A"/>
    <w:rsid w:val="00E60990"/>
    <w:rsid w:val="00E62280"/>
    <w:rsid w:val="00E631FD"/>
    <w:rsid w:val="00E64EA7"/>
    <w:rsid w:val="00E73682"/>
    <w:rsid w:val="00E73BDA"/>
    <w:rsid w:val="00E7472C"/>
    <w:rsid w:val="00E82259"/>
    <w:rsid w:val="00E823B6"/>
    <w:rsid w:val="00E87F13"/>
    <w:rsid w:val="00E9047D"/>
    <w:rsid w:val="00E97767"/>
    <w:rsid w:val="00EA553B"/>
    <w:rsid w:val="00EA75A3"/>
    <w:rsid w:val="00EB11E4"/>
    <w:rsid w:val="00EB29A4"/>
    <w:rsid w:val="00EB3E9A"/>
    <w:rsid w:val="00EC23D8"/>
    <w:rsid w:val="00EC390D"/>
    <w:rsid w:val="00EC575D"/>
    <w:rsid w:val="00EC7B16"/>
    <w:rsid w:val="00ED1FC0"/>
    <w:rsid w:val="00EE2EF8"/>
    <w:rsid w:val="00EE304C"/>
    <w:rsid w:val="00EE366C"/>
    <w:rsid w:val="00EE7FA0"/>
    <w:rsid w:val="00EF094B"/>
    <w:rsid w:val="00EF2CEF"/>
    <w:rsid w:val="00EF6CD3"/>
    <w:rsid w:val="00F029C7"/>
    <w:rsid w:val="00F15AF7"/>
    <w:rsid w:val="00F24299"/>
    <w:rsid w:val="00F2616E"/>
    <w:rsid w:val="00F27767"/>
    <w:rsid w:val="00F34951"/>
    <w:rsid w:val="00F37EE0"/>
    <w:rsid w:val="00F42810"/>
    <w:rsid w:val="00F466CD"/>
    <w:rsid w:val="00F50A78"/>
    <w:rsid w:val="00F5437F"/>
    <w:rsid w:val="00F63F9B"/>
    <w:rsid w:val="00F678EE"/>
    <w:rsid w:val="00F72E6F"/>
    <w:rsid w:val="00F737A6"/>
    <w:rsid w:val="00F7585E"/>
    <w:rsid w:val="00F7692A"/>
    <w:rsid w:val="00F77A85"/>
    <w:rsid w:val="00F80B83"/>
    <w:rsid w:val="00F82474"/>
    <w:rsid w:val="00F84C3F"/>
    <w:rsid w:val="00F878AC"/>
    <w:rsid w:val="00F93A9D"/>
    <w:rsid w:val="00F95E7E"/>
    <w:rsid w:val="00FA1021"/>
    <w:rsid w:val="00FB1905"/>
    <w:rsid w:val="00FB2AE7"/>
    <w:rsid w:val="00FB39FA"/>
    <w:rsid w:val="00FC08ED"/>
    <w:rsid w:val="00FC4D8C"/>
    <w:rsid w:val="00FC58BC"/>
    <w:rsid w:val="00FD0D7B"/>
    <w:rsid w:val="00FD237E"/>
    <w:rsid w:val="00FD4654"/>
    <w:rsid w:val="00FD72EE"/>
    <w:rsid w:val="00FD7C22"/>
    <w:rsid w:val="00FE05E5"/>
    <w:rsid w:val="00FE46E5"/>
    <w:rsid w:val="00FE550E"/>
    <w:rsid w:val="00FE75DE"/>
    <w:rsid w:val="00FF23A0"/>
    <w:rsid w:val="00FF5532"/>
    <w:rsid w:val="00FF590C"/>
    <w:rsid w:val="00FF7441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E"/>
  </w:style>
  <w:style w:type="paragraph" w:styleId="1">
    <w:name w:val="heading 1"/>
    <w:basedOn w:val="a"/>
    <w:next w:val="a"/>
    <w:link w:val="10"/>
    <w:uiPriority w:val="99"/>
    <w:qFormat/>
    <w:rsid w:val="00543E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5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0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5E621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43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E0BEA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E0BE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E0B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563"/>
  </w:style>
  <w:style w:type="paragraph" w:styleId="aa">
    <w:name w:val="header"/>
    <w:basedOn w:val="a"/>
    <w:link w:val="ab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870"/>
  </w:style>
  <w:style w:type="paragraph" w:styleId="ac">
    <w:name w:val="footer"/>
    <w:basedOn w:val="a"/>
    <w:link w:val="ad"/>
    <w:uiPriority w:val="99"/>
    <w:semiHidden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3870"/>
  </w:style>
  <w:style w:type="paragraph" w:styleId="ae">
    <w:name w:val="Body Text"/>
    <w:aliases w:val="Òàáë òåêñò"/>
    <w:basedOn w:val="a"/>
    <w:link w:val="11"/>
    <w:rsid w:val="008F3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3023"/>
  </w:style>
  <w:style w:type="paragraph" w:styleId="af0">
    <w:name w:val="Title"/>
    <w:basedOn w:val="a"/>
    <w:link w:val="af1"/>
    <w:qFormat/>
    <w:rsid w:val="008F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F3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F30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F3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E7D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8379-862A-4AC6-BD39-9B30C3E8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8605</TotalTime>
  <Pages>11</Pages>
  <Words>5146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Горина_2</dc:creator>
  <cp:lastModifiedBy>Тафинцева И.В.</cp:lastModifiedBy>
  <cp:revision>175</cp:revision>
  <cp:lastPrinted>2017-03-22T09:39:00Z</cp:lastPrinted>
  <dcterms:created xsi:type="dcterms:W3CDTF">2016-04-01T08:13:00Z</dcterms:created>
  <dcterms:modified xsi:type="dcterms:W3CDTF">2017-03-22T10:03:00Z</dcterms:modified>
</cp:coreProperties>
</file>