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0D" w:rsidRPr="003C1E36" w:rsidRDefault="008C3C0D" w:rsidP="00B32132">
      <w:pPr>
        <w:pStyle w:val="a5"/>
        <w:tabs>
          <w:tab w:val="left" w:pos="8007"/>
        </w:tabs>
        <w:rPr>
          <w:color w:val="FF0000"/>
          <w:szCs w:val="24"/>
        </w:rPr>
      </w:pPr>
    </w:p>
    <w:p w:rsidR="008C3C0D" w:rsidRPr="00D92534" w:rsidRDefault="008C3C0D" w:rsidP="00BF6E94">
      <w:pPr>
        <w:ind w:left="4956" w:firstLine="708"/>
        <w:rPr>
          <w:b/>
          <w:bCs/>
          <w:caps/>
        </w:rPr>
      </w:pPr>
      <w:r w:rsidRPr="00D92534">
        <w:rPr>
          <w:b/>
          <w:bCs/>
          <w:caps/>
        </w:rPr>
        <w:t>УТВЕРЖДАЮ</w:t>
      </w:r>
    </w:p>
    <w:p w:rsidR="008C3C0D" w:rsidRPr="00D92534" w:rsidRDefault="008C3C0D" w:rsidP="00BF6E94">
      <w:pPr>
        <w:ind w:left="5664"/>
        <w:rPr>
          <w:b/>
        </w:rPr>
      </w:pPr>
      <w:r w:rsidRPr="00D92534">
        <w:rPr>
          <w:b/>
        </w:rPr>
        <w:t>Председатель контрольно-счетной палаты Волгоградской области</w:t>
      </w:r>
    </w:p>
    <w:p w:rsidR="008C3C0D" w:rsidRPr="00D92534" w:rsidRDefault="008C3C0D" w:rsidP="00BF6E94">
      <w:pPr>
        <w:ind w:left="4956" w:firstLine="708"/>
        <w:rPr>
          <w:b/>
          <w:bCs/>
        </w:rPr>
      </w:pPr>
    </w:p>
    <w:p w:rsidR="008C3C0D" w:rsidRPr="00D92534" w:rsidRDefault="008C3C0D" w:rsidP="00BF6E94">
      <w:pPr>
        <w:ind w:left="4956" w:firstLine="708"/>
        <w:rPr>
          <w:b/>
          <w:bCs/>
        </w:rPr>
      </w:pPr>
      <w:r w:rsidRPr="00D92534">
        <w:rPr>
          <w:b/>
          <w:bCs/>
        </w:rPr>
        <w:t>____________ И.А. Дьяченко</w:t>
      </w:r>
    </w:p>
    <w:p w:rsidR="008C3C0D" w:rsidRPr="00D92534" w:rsidRDefault="008C3C0D" w:rsidP="00BF6E94">
      <w:pPr>
        <w:ind w:left="4956" w:firstLine="708"/>
        <w:rPr>
          <w:b/>
          <w:bCs/>
        </w:rPr>
      </w:pPr>
    </w:p>
    <w:p w:rsidR="008C3C0D" w:rsidRPr="00D92534" w:rsidRDefault="008C3C0D" w:rsidP="00BF6E94">
      <w:pPr>
        <w:ind w:left="4956" w:firstLine="708"/>
        <w:rPr>
          <w:b/>
          <w:bCs/>
        </w:rPr>
      </w:pPr>
      <w:r w:rsidRPr="00D92534">
        <w:rPr>
          <w:b/>
          <w:bCs/>
        </w:rPr>
        <w:t>«______»  ____________  2020 года</w:t>
      </w:r>
    </w:p>
    <w:p w:rsidR="008C3C0D" w:rsidRPr="00D92534" w:rsidRDefault="008C3C0D" w:rsidP="00B32132">
      <w:pPr>
        <w:pStyle w:val="a5"/>
        <w:tabs>
          <w:tab w:val="left" w:pos="8007"/>
        </w:tabs>
        <w:rPr>
          <w:szCs w:val="24"/>
        </w:rPr>
      </w:pPr>
    </w:p>
    <w:p w:rsidR="008C3C0D" w:rsidRPr="00D92534" w:rsidRDefault="008C3C0D" w:rsidP="00B32132">
      <w:pPr>
        <w:pStyle w:val="a5"/>
        <w:tabs>
          <w:tab w:val="left" w:pos="8007"/>
        </w:tabs>
        <w:rPr>
          <w:szCs w:val="24"/>
        </w:rPr>
      </w:pPr>
      <w:r w:rsidRPr="00D92534">
        <w:rPr>
          <w:szCs w:val="24"/>
        </w:rPr>
        <w:t>Заключение</w:t>
      </w:r>
    </w:p>
    <w:p w:rsidR="008C3C0D" w:rsidRPr="00D92534" w:rsidRDefault="008C3C0D" w:rsidP="00B32132">
      <w:pPr>
        <w:pStyle w:val="a5"/>
        <w:rPr>
          <w:i/>
          <w:szCs w:val="24"/>
        </w:rPr>
      </w:pPr>
      <w:r w:rsidRPr="00D92534">
        <w:rPr>
          <w:i/>
          <w:szCs w:val="24"/>
        </w:rPr>
        <w:t xml:space="preserve">по результатам внешней проверки бюджетной отчетности и </w:t>
      </w:r>
    </w:p>
    <w:p w:rsidR="008C3C0D" w:rsidRPr="00D92534" w:rsidRDefault="008C3C0D" w:rsidP="00B32132">
      <w:pPr>
        <w:pStyle w:val="a5"/>
      </w:pPr>
      <w:r w:rsidRPr="00D92534">
        <w:rPr>
          <w:i/>
          <w:szCs w:val="24"/>
        </w:rPr>
        <w:t>отдельных вопросов исполнения областного бюджета</w:t>
      </w:r>
      <w:r w:rsidRPr="00D92534">
        <w:rPr>
          <w:i/>
        </w:rPr>
        <w:t xml:space="preserve"> за 2019 год главным администратором средств областного бюджета – комитетом культуры Волгоградской области</w:t>
      </w:r>
    </w:p>
    <w:p w:rsidR="008C3C0D" w:rsidRPr="00D92534" w:rsidRDefault="008C3C0D" w:rsidP="00B32132">
      <w:pPr>
        <w:pStyle w:val="a5"/>
      </w:pPr>
    </w:p>
    <w:p w:rsidR="008C3C0D" w:rsidRPr="00D92534" w:rsidRDefault="008C3C0D" w:rsidP="00BF6E94">
      <w:pPr>
        <w:ind w:firstLine="720"/>
        <w:jc w:val="both"/>
      </w:pPr>
      <w:r w:rsidRPr="00D92534">
        <w:t xml:space="preserve">Камеральная проверка проведена в соответствии </w:t>
      </w:r>
      <w:r w:rsidRPr="00D92534">
        <w:rPr>
          <w:snapToGrid w:val="0"/>
        </w:rPr>
        <w:t xml:space="preserve">со Стандартом финансового контроля </w:t>
      </w:r>
      <w:r w:rsidRPr="00D92534">
        <w:t>«Последующий контроль за исполнением бюджета Волгоградской области»</w:t>
      </w:r>
      <w:r w:rsidRPr="00D92534">
        <w:rPr>
          <w:snapToGrid w:val="0"/>
        </w:rPr>
        <w:t>, утвержденным постановлением коллегии КСП от 30.09.2008 № 37 (далее Стандарт финансового контроля КСП),</w:t>
      </w:r>
      <w:r w:rsidRPr="00D92534">
        <w:t xml:space="preserve"> на основе бюджетной отчетности комитета культуры Волгоградской области (далее – Облкультура, Комитет) за 2019 год. </w:t>
      </w:r>
    </w:p>
    <w:p w:rsidR="008C3C0D" w:rsidRPr="00D92534" w:rsidRDefault="008C3C0D" w:rsidP="00E514E4">
      <w:pPr>
        <w:ind w:firstLine="709"/>
        <w:jc w:val="both"/>
      </w:pPr>
      <w:r w:rsidRPr="00D92534">
        <w:t xml:space="preserve">В соответствии с Законом Волгоградской области от 15.03.2012 № 22-ОД «О системе органов исполнительной власти Волгоградской области» Комитет входит в систему органов исполнительной власти Волгоградской области. </w:t>
      </w:r>
    </w:p>
    <w:p w:rsidR="008C3C0D" w:rsidRPr="00D92534" w:rsidRDefault="008C3C0D" w:rsidP="00E514E4">
      <w:pPr>
        <w:ind w:firstLine="709"/>
        <w:jc w:val="both"/>
        <w:rPr>
          <w:rFonts w:eastAsia="Times New Roman"/>
          <w:lang w:eastAsia="en-US"/>
        </w:rPr>
      </w:pPr>
      <w:r w:rsidRPr="00D92534">
        <w:rPr>
          <w:rFonts w:eastAsia="Times New Roman"/>
          <w:lang w:eastAsia="en-US"/>
        </w:rPr>
        <w:t xml:space="preserve">Согласно Положению о Комитете, утвержденному постановлением Губернатора Волгоградской области от 19.12.2016 №943, Комитет является органом, уполномоченным в сфере культуры и искусства, государственного управления архивным делом в Волгоградской области, контроля за сохранностью, комплектованием, учетом и использованием документов архивного фонда Волгоградской области как составной части архивного фонда РФ и других архивных документов, делопроизводства и документооборота в органах исполнительной власти Волгоградской области, рассекречивания и продления сроков засекречивания архивных документов Волгоградской области. </w:t>
      </w:r>
    </w:p>
    <w:p w:rsidR="008C3C0D" w:rsidRPr="00D92534" w:rsidRDefault="008C3C0D" w:rsidP="00E514E4">
      <w:pPr>
        <w:ind w:firstLine="709"/>
        <w:jc w:val="both"/>
      </w:pPr>
      <w:r w:rsidRPr="00D92534">
        <w:t>В ведении Комитета по состоянию на 01.01.2019 находились 26 учреждений (6 казенных, 1 автономное, 19 бюджетных), на 01.01.2020 - 25 учреждений, что обусловлено передачей в 2019 году государственного автономного учреждения культуры «Агентство развития туризма и социокультурных проектов» в ведение комитета по развитию туризма Волгоградской области в соответствии с постановлением Администрации Волгоградской области от 18.10.2018 №466-п.</w:t>
      </w:r>
      <w:r w:rsidR="00B40673" w:rsidRPr="00D92534">
        <w:rPr>
          <w:color w:val="FF0000"/>
        </w:rPr>
        <w:t xml:space="preserve"> </w:t>
      </w:r>
      <w:r w:rsidR="00B40673" w:rsidRPr="00D92534">
        <w:rPr>
          <w:vanish/>
          <w:color w:val="FF0000"/>
        </w:rPr>
        <w:t xml:space="preserve">рке не анализировалией программы.423-пю КСП, требует соответтсвуующих корректировок </w:t>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r w:rsidR="00B40673" w:rsidRPr="00D92534">
        <w:rPr>
          <w:vanish/>
          <w:color w:val="FF0000"/>
        </w:rPr>
        <w:pgNum/>
      </w:r>
    </w:p>
    <w:p w:rsidR="008C3C0D" w:rsidRPr="00D92534" w:rsidRDefault="008C3C0D" w:rsidP="00E514E4">
      <w:pPr>
        <w:ind w:firstLine="709"/>
        <w:jc w:val="both"/>
      </w:pPr>
      <w:r w:rsidRPr="00D92534">
        <w:t>Предельная штатная численность государственных гражданских служащих (далее – ГГС) Комитета утверждена постановлением Губернатора Волгоградской области от 24.10.2019 №100 в количестве 47 единиц. Фактическая штатная численность на 01.01.2020 – 48 единиц, в том числе государственная должность - 1 единица, ГГС – 42 единицы, обеспе</w:t>
      </w:r>
      <w:r w:rsidR="003221C7" w:rsidRPr="00D92534">
        <w:t>чивающие специалисты – 5 единиц</w:t>
      </w:r>
      <w:r w:rsidR="00B40673" w:rsidRPr="00D92534">
        <w:rPr>
          <w:color w:val="FF0000"/>
        </w:rPr>
        <w:t>.</w:t>
      </w:r>
    </w:p>
    <w:p w:rsidR="003221C7" w:rsidRPr="00D92534" w:rsidRDefault="003221C7" w:rsidP="00B32132">
      <w:pPr>
        <w:ind w:firstLine="709"/>
        <w:jc w:val="center"/>
        <w:rPr>
          <w:b/>
          <w:i/>
        </w:rPr>
      </w:pPr>
    </w:p>
    <w:p w:rsidR="008C3C0D" w:rsidRPr="00D92534" w:rsidRDefault="008C3C0D" w:rsidP="00B32132">
      <w:pPr>
        <w:ind w:firstLine="709"/>
        <w:jc w:val="center"/>
        <w:rPr>
          <w:b/>
          <w:i/>
        </w:rPr>
      </w:pPr>
      <w:r w:rsidRPr="00D92534">
        <w:rPr>
          <w:b/>
          <w:i/>
        </w:rPr>
        <w:t>Проверка полноты бюджетной отчетности. Визуальный контроль бюджетной отчетности</w:t>
      </w:r>
    </w:p>
    <w:p w:rsidR="008C3C0D" w:rsidRPr="00D92534" w:rsidRDefault="008C3C0D" w:rsidP="0047037D">
      <w:pPr>
        <w:autoSpaceDE w:val="0"/>
        <w:autoSpaceDN w:val="0"/>
        <w:adjustRightInd w:val="0"/>
        <w:ind w:firstLine="709"/>
        <w:jc w:val="both"/>
      </w:pPr>
      <w:r w:rsidRPr="00D92534">
        <w:t xml:space="preserve">Сводная бюджетная </w:t>
      </w:r>
      <w:r w:rsidRPr="00D92534">
        <w:rPr>
          <w:bCs/>
        </w:rPr>
        <w:t xml:space="preserve">отчетность Комитета за 2019 год представлена к </w:t>
      </w:r>
      <w:r w:rsidRPr="00D92534">
        <w:t>проверке в составе, определенном ст. 264.1 Бюджетного кодекса РФ (далее – БК РФ) и предусмотренном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Инструкция № 191н).</w:t>
      </w:r>
    </w:p>
    <w:p w:rsidR="008C3C0D" w:rsidRPr="00D92534" w:rsidRDefault="008C3C0D" w:rsidP="00900C4E">
      <w:pPr>
        <w:autoSpaceDE w:val="0"/>
        <w:autoSpaceDN w:val="0"/>
        <w:adjustRightInd w:val="0"/>
        <w:ind w:firstLine="709"/>
        <w:jc w:val="both"/>
      </w:pPr>
      <w:r w:rsidRPr="00D92534">
        <w:t>Информация о комплектности и соответствии установленным формам бюджетной отчетности представлена в приложении №1.</w:t>
      </w:r>
    </w:p>
    <w:p w:rsidR="008C3C0D" w:rsidRPr="00D92534" w:rsidRDefault="008C3C0D" w:rsidP="00900C4E">
      <w:pPr>
        <w:autoSpaceDE w:val="0"/>
        <w:autoSpaceDN w:val="0"/>
        <w:adjustRightInd w:val="0"/>
        <w:ind w:firstLine="709"/>
        <w:jc w:val="both"/>
        <w:rPr>
          <w:rStyle w:val="iceouttxt51"/>
          <w:b/>
        </w:rPr>
      </w:pPr>
      <w:r w:rsidRPr="00D92534">
        <w:rPr>
          <w:rFonts w:eastAsia="Times New Roman"/>
          <w:lang w:eastAsia="en-US"/>
        </w:rPr>
        <w:lastRenderedPageBreak/>
        <w:t xml:space="preserve">Бюджетная отчетность Комитета за 2019 год сдана в </w:t>
      </w:r>
      <w:r w:rsidRPr="00D92534">
        <w:t xml:space="preserve">комитет финансов Волгоградской области (далее Облфин) </w:t>
      </w:r>
      <w:r w:rsidRPr="00D92534">
        <w:rPr>
          <w:rFonts w:eastAsia="Times New Roman"/>
          <w:lang w:eastAsia="en-US"/>
        </w:rPr>
        <w:t xml:space="preserve">17.02.2020 в срок, установленный Облфином (19.02.2020). </w:t>
      </w:r>
    </w:p>
    <w:p w:rsidR="008C3C0D" w:rsidRPr="00D92534" w:rsidRDefault="008C3C0D" w:rsidP="0047037D">
      <w:pPr>
        <w:ind w:firstLine="720"/>
        <w:jc w:val="both"/>
      </w:pPr>
      <w:r w:rsidRPr="00D92534">
        <w:t>Все формы отчетности подписаны руководителем и исполняющим обязанности главного бухгалтера Комитета, формы, содержащие плановые (прогнозные) показатели, – начальником отдела бюджетного планирования Комитета.</w:t>
      </w:r>
    </w:p>
    <w:p w:rsidR="008C3C0D" w:rsidRPr="00D92534" w:rsidRDefault="008C3C0D" w:rsidP="00DF6FA1">
      <w:pPr>
        <w:ind w:firstLine="720"/>
        <w:jc w:val="both"/>
        <w:rPr>
          <w:color w:val="FF0000"/>
        </w:rPr>
      </w:pPr>
      <w:r w:rsidRPr="00D92534">
        <w:t>Проверкой отчетности Комитета установлены 5 случаев нарушения требований Инструкции №191н, которые отражены в приложении №1 (№ п/п 5, 7, 8, 14, 16). В ходе проверки в установленном порядке устранены грубые нарушения в 2 формах бюджетной отчетности (№ п/п 7, 16).</w:t>
      </w:r>
      <w:r w:rsidRPr="00D92534">
        <w:tab/>
        <w:t>Письмом от 25.03.2020  №15-01-13/1541 в КСП представлены уточненные формы бюджетной отчетности, сданные в Облфин. При этом бюджетная отчетность была принята Облфином 04.03.2020 без замечаний.</w:t>
      </w:r>
    </w:p>
    <w:p w:rsidR="00D92534" w:rsidRDefault="00D92534" w:rsidP="00234D5A">
      <w:pPr>
        <w:pStyle w:val="ab"/>
        <w:spacing w:after="0"/>
        <w:ind w:left="0" w:firstLine="709"/>
        <w:jc w:val="center"/>
        <w:rPr>
          <w:b/>
          <w:i/>
        </w:rPr>
      </w:pPr>
    </w:p>
    <w:p w:rsidR="008C3C0D" w:rsidRPr="00D92534" w:rsidRDefault="008C3C0D" w:rsidP="00234D5A">
      <w:pPr>
        <w:pStyle w:val="ab"/>
        <w:spacing w:after="0"/>
        <w:ind w:left="0" w:firstLine="709"/>
        <w:jc w:val="center"/>
        <w:rPr>
          <w:b/>
          <w:i/>
        </w:rPr>
      </w:pPr>
      <w:r w:rsidRPr="00D92534">
        <w:rPr>
          <w:b/>
          <w:i/>
        </w:rPr>
        <w:t>Основные показатели отчетности</w:t>
      </w:r>
    </w:p>
    <w:p w:rsidR="008C3C0D" w:rsidRPr="00D92534" w:rsidRDefault="008C3C0D" w:rsidP="00234D5A">
      <w:pPr>
        <w:autoSpaceDE w:val="0"/>
        <w:autoSpaceDN w:val="0"/>
        <w:adjustRightInd w:val="0"/>
        <w:ind w:firstLine="709"/>
        <w:jc w:val="both"/>
        <w:outlineLvl w:val="0"/>
        <w:rPr>
          <w:i/>
          <w:u w:val="single"/>
        </w:rPr>
      </w:pPr>
      <w:r w:rsidRPr="00D92534">
        <w:rPr>
          <w:i/>
          <w:u w:val="single"/>
        </w:rPr>
        <w:t>Исполнение доходов</w:t>
      </w:r>
    </w:p>
    <w:p w:rsidR="008C3C0D" w:rsidRPr="00D92534" w:rsidRDefault="008C3C0D" w:rsidP="00171154">
      <w:pPr>
        <w:autoSpaceDE w:val="0"/>
        <w:autoSpaceDN w:val="0"/>
        <w:adjustRightInd w:val="0"/>
        <w:ind w:firstLine="709"/>
        <w:jc w:val="both"/>
        <w:rPr>
          <w:sz w:val="23"/>
          <w:szCs w:val="23"/>
        </w:rPr>
      </w:pPr>
      <w:r w:rsidRPr="00D92534">
        <w:rPr>
          <w:rFonts w:eastAsia="Times New Roman"/>
          <w:lang w:eastAsia="en-US"/>
        </w:rPr>
        <w:t xml:space="preserve">Законом Волгоградской области от 07.12.2018 № 134-ОД «Об областном бюджете на 2019 год и на плановый период 2020 и 2021 годов» (далее - </w:t>
      </w:r>
      <w:r w:rsidRPr="00D92534">
        <w:t>Закон об областном</w:t>
      </w:r>
      <w:r w:rsidRPr="00D92534">
        <w:rPr>
          <w:sz w:val="23"/>
          <w:szCs w:val="23"/>
        </w:rPr>
        <w:t xml:space="preserve"> бюджете на 2019 год) Комитет определен главным администратором доходов областного бюджета. </w:t>
      </w:r>
    </w:p>
    <w:p w:rsidR="008C3C0D" w:rsidRPr="00D92534" w:rsidRDefault="008C3C0D" w:rsidP="00171154">
      <w:pPr>
        <w:pStyle w:val="ConsPlusNormal"/>
        <w:ind w:firstLine="708"/>
        <w:jc w:val="both"/>
        <w:outlineLvl w:val="0"/>
        <w:rPr>
          <w:rFonts w:ascii="Times New Roman" w:eastAsia="Times New Roman" w:hAnsi="Times New Roman" w:cs="Times New Roman"/>
          <w:sz w:val="24"/>
          <w:szCs w:val="24"/>
        </w:rPr>
      </w:pPr>
      <w:r w:rsidRPr="00D92534">
        <w:rPr>
          <w:rFonts w:ascii="Times New Roman" w:eastAsia="Times New Roman" w:hAnsi="Times New Roman"/>
          <w:bCs/>
          <w:sz w:val="23"/>
          <w:szCs w:val="23"/>
        </w:rPr>
        <w:t>Данные об администрируемых Комитетом доходах и их фактическом поступлении за 2019 год отражены в приложении №2.</w:t>
      </w:r>
    </w:p>
    <w:p w:rsidR="008C3C0D" w:rsidRPr="00D92534" w:rsidRDefault="008C3C0D" w:rsidP="00D176ED">
      <w:pPr>
        <w:ind w:firstLine="708"/>
        <w:jc w:val="both"/>
      </w:pPr>
      <w:r w:rsidRPr="00D92534">
        <w:t xml:space="preserve">Доходы бюджета исполнены в сумме </w:t>
      </w:r>
      <w:r w:rsidRPr="00D92534">
        <w:rPr>
          <w:bCs/>
        </w:rPr>
        <w:t>63881,5</w:t>
      </w:r>
      <w:r w:rsidRPr="00D92534">
        <w:t xml:space="preserve"> тыс. руб., что превышает плановые назначения на </w:t>
      </w:r>
      <w:r w:rsidRPr="00D92534">
        <w:rPr>
          <w:bCs/>
        </w:rPr>
        <w:t>501,6</w:t>
      </w:r>
      <w:r w:rsidRPr="00D92534">
        <w:t xml:space="preserve"> тыс. руб. или 0,8 процента. В разрезе источников доходов исполнение по отношению к прогнозным показателям составило от 0 до 13,7 раза.  </w:t>
      </w:r>
    </w:p>
    <w:p w:rsidR="008C3C0D" w:rsidRPr="00D92534" w:rsidRDefault="008C3C0D" w:rsidP="00D176ED">
      <w:pPr>
        <w:ind w:firstLine="709"/>
        <w:jc w:val="both"/>
      </w:pPr>
      <w:r w:rsidRPr="00D92534">
        <w:t>В соответствии со Стандартом финансового контроля КСП отклонение прогнозных и фактических поступлений, превосходящее 10 % как в положительную, так и в отрицательную сторону, полученное при анализе результата, следует расценивать как некачественное планирование.</w:t>
      </w:r>
    </w:p>
    <w:p w:rsidR="008C3C0D" w:rsidRPr="00D92534" w:rsidRDefault="008C3C0D" w:rsidP="00D176ED">
      <w:pPr>
        <w:tabs>
          <w:tab w:val="left" w:pos="1372"/>
        </w:tabs>
        <w:autoSpaceDE w:val="0"/>
        <w:autoSpaceDN w:val="0"/>
        <w:adjustRightInd w:val="0"/>
        <w:ind w:firstLine="708"/>
        <w:jc w:val="both"/>
        <w:outlineLvl w:val="2"/>
      </w:pPr>
      <w:r w:rsidRPr="00D92534">
        <w:t xml:space="preserve">Согласно пояснениям Комитета основными причинами отклонения кассового исполнения отдельных видов доходов от прогнозных значений являются: </w:t>
      </w:r>
    </w:p>
    <w:p w:rsidR="008C3C0D" w:rsidRPr="00D92534" w:rsidRDefault="008C3C0D" w:rsidP="00D176ED">
      <w:pPr>
        <w:tabs>
          <w:tab w:val="left" w:pos="1372"/>
        </w:tabs>
        <w:autoSpaceDE w:val="0"/>
        <w:autoSpaceDN w:val="0"/>
        <w:adjustRightInd w:val="0"/>
        <w:ind w:firstLine="708"/>
        <w:jc w:val="both"/>
        <w:outlineLvl w:val="2"/>
      </w:pPr>
      <w:r w:rsidRPr="00D92534">
        <w:t xml:space="preserve">- прочие государственные пошлины за совершение прочих юридически значимых действий, подлежащие зачислению в бюджет субъекта РФ, не поступали в 2019 году по причине отсутствия потребности в проставлении апостиля на архивных документах; </w:t>
      </w:r>
    </w:p>
    <w:p w:rsidR="008C3C0D" w:rsidRPr="00D92534" w:rsidRDefault="008C3C0D" w:rsidP="003F1610">
      <w:pPr>
        <w:tabs>
          <w:tab w:val="left" w:pos="1372"/>
        </w:tabs>
        <w:autoSpaceDE w:val="0"/>
        <w:autoSpaceDN w:val="0"/>
        <w:adjustRightInd w:val="0"/>
        <w:ind w:firstLine="708"/>
        <w:jc w:val="both"/>
        <w:outlineLvl w:val="2"/>
      </w:pPr>
      <w:r w:rsidRPr="00D92534">
        <w:t xml:space="preserve">- исполнение доходов, поступающих в порядке возмещения расходов, понесенных в связи с эксплуатацией имущества субъектов РФ превысило плановые назначения в 13,7 раза по причине поступления доходов от возмещения затрат по содержанию имущества в соответствии с договорами, заключенными </w:t>
      </w:r>
      <w:r w:rsidR="003221C7" w:rsidRPr="00D92534">
        <w:t xml:space="preserve">только в ноябре 2019 года </w:t>
      </w:r>
      <w:r w:rsidRPr="00D92534">
        <w:t>государственным казенным учреждением Волгоградской области «Центр документации новейшей истории Волгоградской области» с государственным казенным учреждением Волгоградской области «</w:t>
      </w:r>
      <w:r w:rsidRPr="00D92534">
        <w:rPr>
          <w:shd w:val="clear" w:color="auto" w:fill="FFFFFF"/>
        </w:rPr>
        <w:t>Государственный архив документов социально-правовой защиты граждан Волгоградской области</w:t>
      </w:r>
      <w:r w:rsidRPr="00D92534">
        <w:t>» и комитетом юстиции Волгоградской</w:t>
      </w:r>
      <w:r w:rsidR="003221C7" w:rsidRPr="00D92534">
        <w:t xml:space="preserve"> области</w:t>
      </w:r>
      <w:r w:rsidRPr="00D92534">
        <w:t>;</w:t>
      </w:r>
    </w:p>
    <w:p w:rsidR="008C3C0D" w:rsidRPr="00D92534" w:rsidRDefault="008C3C0D" w:rsidP="000777D0">
      <w:pPr>
        <w:tabs>
          <w:tab w:val="left" w:pos="1372"/>
        </w:tabs>
        <w:autoSpaceDE w:val="0"/>
        <w:autoSpaceDN w:val="0"/>
        <w:adjustRightInd w:val="0"/>
        <w:ind w:firstLine="708"/>
        <w:jc w:val="both"/>
        <w:outlineLvl w:val="2"/>
      </w:pPr>
      <w:r w:rsidRPr="00D92534">
        <w:t>- исполнение прочих доходов от компенсации затрат бюджетов субъектов РФ превысило плановые назначения в 6,5 раза в связи с возвратом дебиторской задолженности прошлых лет;</w:t>
      </w:r>
    </w:p>
    <w:p w:rsidR="008C3C0D" w:rsidRPr="00D92534" w:rsidRDefault="008C3C0D" w:rsidP="00D176ED">
      <w:pPr>
        <w:tabs>
          <w:tab w:val="left" w:pos="1372"/>
        </w:tabs>
        <w:autoSpaceDE w:val="0"/>
        <w:autoSpaceDN w:val="0"/>
        <w:adjustRightInd w:val="0"/>
        <w:ind w:firstLine="708"/>
        <w:jc w:val="both"/>
        <w:outlineLvl w:val="2"/>
      </w:pPr>
      <w:r w:rsidRPr="00D92534">
        <w:t>- исполнение по денежным взысканиям, налагаемым в возмещение ущерба, причиненного в результате незаконного или нецелевого использования бюджетных средств, превысило плановые назначения  в 2,2 раза в связи с поступлением денежных взысканий по исполнительным производствам;</w:t>
      </w:r>
    </w:p>
    <w:p w:rsidR="008C3C0D" w:rsidRPr="00D92534" w:rsidRDefault="008C3C0D" w:rsidP="00D176ED">
      <w:pPr>
        <w:tabs>
          <w:tab w:val="left" w:pos="1372"/>
        </w:tabs>
        <w:autoSpaceDE w:val="0"/>
        <w:autoSpaceDN w:val="0"/>
        <w:adjustRightInd w:val="0"/>
        <w:ind w:firstLine="708"/>
        <w:jc w:val="both"/>
        <w:outlineLvl w:val="2"/>
      </w:pPr>
      <w:r w:rsidRPr="00D92534">
        <w:t>- прочие поступления от денежных взысканий (штрафов) и иных сумм в возмещение ущерба, зачисляемые в бюджеты субъектов РФ не исполнены на 99%, по причине отсутствия поступлений от денежных взысканий (штрафов);</w:t>
      </w:r>
    </w:p>
    <w:p w:rsidR="008C3C0D" w:rsidRPr="00D92534" w:rsidRDefault="008C3C0D" w:rsidP="00D176ED">
      <w:pPr>
        <w:tabs>
          <w:tab w:val="left" w:pos="1372"/>
        </w:tabs>
        <w:autoSpaceDE w:val="0"/>
        <w:autoSpaceDN w:val="0"/>
        <w:adjustRightInd w:val="0"/>
        <w:ind w:firstLine="708"/>
        <w:jc w:val="both"/>
        <w:outlineLvl w:val="2"/>
      </w:pPr>
      <w:r w:rsidRPr="00D92534">
        <w:t>- невыясненные поступления, зачисляемые в бюджеты субъектов РФ, составили 0,6 тыс. руб.;</w:t>
      </w:r>
    </w:p>
    <w:p w:rsidR="008C3C0D" w:rsidRPr="00D92534" w:rsidRDefault="008C3C0D" w:rsidP="00D176ED">
      <w:pPr>
        <w:tabs>
          <w:tab w:val="left" w:pos="1372"/>
        </w:tabs>
        <w:autoSpaceDE w:val="0"/>
        <w:autoSpaceDN w:val="0"/>
        <w:adjustRightInd w:val="0"/>
        <w:ind w:firstLine="708"/>
        <w:jc w:val="both"/>
        <w:outlineLvl w:val="2"/>
      </w:pPr>
      <w:r w:rsidRPr="00D92534">
        <w:lastRenderedPageBreak/>
        <w:t>- доходы бюджетов субъектов РФ от возврата бюджетными учреждениями остатков субсидий прошлых лет не исполнены на 66,9%;</w:t>
      </w:r>
    </w:p>
    <w:p w:rsidR="008C3C0D" w:rsidRPr="00D92534" w:rsidRDefault="008C3C0D" w:rsidP="00D176ED">
      <w:pPr>
        <w:tabs>
          <w:tab w:val="left" w:pos="1372"/>
        </w:tabs>
        <w:autoSpaceDE w:val="0"/>
        <w:autoSpaceDN w:val="0"/>
        <w:adjustRightInd w:val="0"/>
        <w:ind w:firstLine="708"/>
        <w:jc w:val="both"/>
        <w:outlineLvl w:val="2"/>
      </w:pPr>
      <w:r w:rsidRPr="00D92534">
        <w:t>- доходы бюджетов субъектов РФ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не исполнены на 21,1процента.</w:t>
      </w:r>
    </w:p>
    <w:p w:rsidR="008C3C0D" w:rsidRPr="00D92534" w:rsidRDefault="008C3C0D" w:rsidP="005014EF">
      <w:pPr>
        <w:autoSpaceDE w:val="0"/>
        <w:autoSpaceDN w:val="0"/>
        <w:adjustRightInd w:val="0"/>
        <w:ind w:firstLine="708"/>
        <w:jc w:val="both"/>
        <w:outlineLvl w:val="2"/>
      </w:pPr>
      <w:r w:rsidRPr="00D92534">
        <w:t>В адрес Облфина Комитетом направлены письма от 17.06.2019 №15-01-07/2/3119 (по доходам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и от 06.12.2019 №15-01-07/2/6448 (по доходам от оказания платных услуг и компенсации затрат государства; по доходам от штрафов, санкций, возмещения ущерба) с предложением уточнить бюджетные назначения по доходам на 2019 год. Предложения Комитета о внесении соответствующих изменений Облфином не учтены.</w:t>
      </w:r>
    </w:p>
    <w:p w:rsidR="008C3C0D" w:rsidRPr="00D92534" w:rsidRDefault="008C3C0D" w:rsidP="005014EF">
      <w:pPr>
        <w:autoSpaceDE w:val="0"/>
        <w:autoSpaceDN w:val="0"/>
        <w:adjustRightInd w:val="0"/>
        <w:ind w:firstLine="708"/>
        <w:jc w:val="both"/>
        <w:outlineLvl w:val="2"/>
        <w:rPr>
          <w:i/>
          <w:u w:val="single"/>
        </w:rPr>
      </w:pPr>
      <w:r w:rsidRPr="00D92534">
        <w:t>Следует отметить, что по состоянию на 01.06.2019 исполнение прочих доходов от компенсации затрат бюджетов субъектов РФ и исполнение по денежным взысканиям, налагаемым в возмещение ущерба, причиненного в результате незаконного или нецелевого использования бюджетных средств превысило плановые назначения в 6,1 раза и в 3,2 раза соответственно. Однако Комитетом предложения по увеличению бюджетных назначений по доходам в Облфин своевременно не направлены, что свидетельствует о некачественном планировании. Кроме того, несвоевременное заключение договоров подведомственными учреждениями в части компенсации расходов, понесенных в связи с эксплуатацией имущества субъектов РФ привело к невозможности осуществления Комитетом качественного планирования поступления доходов в течении года.</w:t>
      </w:r>
    </w:p>
    <w:p w:rsidR="008C3C0D" w:rsidRPr="00D92534" w:rsidRDefault="008C3C0D" w:rsidP="00381D72">
      <w:pPr>
        <w:autoSpaceDE w:val="0"/>
        <w:autoSpaceDN w:val="0"/>
        <w:adjustRightInd w:val="0"/>
        <w:ind w:firstLine="709"/>
        <w:jc w:val="both"/>
        <w:rPr>
          <w:i/>
          <w:u w:val="single"/>
        </w:rPr>
      </w:pPr>
      <w:r w:rsidRPr="00D92534">
        <w:rPr>
          <w:i/>
          <w:u w:val="single"/>
        </w:rPr>
        <w:t>Исполнение расходов</w:t>
      </w:r>
    </w:p>
    <w:p w:rsidR="008C3C0D" w:rsidRPr="00D92534" w:rsidRDefault="008C3C0D" w:rsidP="001E5678">
      <w:pPr>
        <w:ind w:firstLine="709"/>
        <w:jc w:val="both"/>
        <w:rPr>
          <w:b/>
          <w:bCs/>
        </w:rPr>
      </w:pPr>
      <w:r w:rsidRPr="00D92534">
        <w:t xml:space="preserve">Законом об областном бюджете на 2019 год Комитету предусмотрены бюджетные ассигнования в сумме </w:t>
      </w:r>
      <w:r w:rsidRPr="00D92534">
        <w:rPr>
          <w:bCs/>
        </w:rPr>
        <w:t>1579478,3</w:t>
      </w:r>
      <w:r w:rsidRPr="00D92534">
        <w:t xml:space="preserve"> тыс. рублей. </w:t>
      </w:r>
    </w:p>
    <w:p w:rsidR="008C3C0D" w:rsidRPr="00D92534" w:rsidRDefault="008C3C0D" w:rsidP="001E5678">
      <w:pPr>
        <w:autoSpaceDE w:val="0"/>
        <w:autoSpaceDN w:val="0"/>
        <w:adjustRightInd w:val="0"/>
        <w:ind w:firstLine="709"/>
        <w:jc w:val="both"/>
      </w:pPr>
      <w:r w:rsidRPr="00D92534">
        <w:t xml:space="preserve">Бюджетной росписью утверждены бюджетные назначения в сумме </w:t>
      </w:r>
      <w:r w:rsidRPr="00D92534">
        <w:rPr>
          <w:bCs/>
        </w:rPr>
        <w:t>1580289,6</w:t>
      </w:r>
      <w:r w:rsidRPr="00D92534">
        <w:t xml:space="preserve">    тыс. руб., что на 811,3 тыс. руб. или на 0,05% больше утвержденного Законом об областном бюджете на 2019 год объема бюджетных ассигнований, в связи с внесением изменений в соответствии со ст. 217 БК РФ, ст.48 Закона об областном бюджете на 2019 год:</w:t>
      </w:r>
    </w:p>
    <w:p w:rsidR="008C3C0D" w:rsidRPr="00D92534" w:rsidRDefault="008C3C0D" w:rsidP="001E5678">
      <w:pPr>
        <w:autoSpaceDE w:val="0"/>
        <w:autoSpaceDN w:val="0"/>
        <w:adjustRightInd w:val="0"/>
        <w:ind w:firstLine="709"/>
        <w:jc w:val="both"/>
      </w:pPr>
      <w:r w:rsidRPr="00D92534">
        <w:t>- увеличены расходы</w:t>
      </w:r>
      <w:r w:rsidR="003221C7" w:rsidRPr="00D92534">
        <w:t>:</w:t>
      </w:r>
      <w:r w:rsidRPr="00D92534">
        <w:t xml:space="preserve"> на закупку товаров, работ и услуг на 3813,8 тыс. руб., на социальное обеспечение и иные выплаты населению – 428 тыс. руб., на уплату налогов и исполнение судебных актов – 463,4 тыс. руб.;</w:t>
      </w:r>
    </w:p>
    <w:p w:rsidR="008C3C0D" w:rsidRPr="00D92534" w:rsidRDefault="008C3C0D" w:rsidP="001E5678">
      <w:pPr>
        <w:autoSpaceDE w:val="0"/>
        <w:autoSpaceDN w:val="0"/>
        <w:adjustRightInd w:val="0"/>
        <w:ind w:firstLine="709"/>
        <w:jc w:val="both"/>
      </w:pPr>
      <w:r w:rsidRPr="00D92534">
        <w:t xml:space="preserve">- уменьшены расходы на выплату персоналу </w:t>
      </w:r>
      <w:r w:rsidR="003221C7" w:rsidRPr="00D92534">
        <w:t>на</w:t>
      </w:r>
      <w:r w:rsidRPr="00D92534">
        <w:t xml:space="preserve"> 225,9 тыс. руб. и на предоставление субсидий бюджетным и автономным учреждениям </w:t>
      </w:r>
      <w:r w:rsidR="003221C7" w:rsidRPr="00D92534">
        <w:t>на</w:t>
      </w:r>
      <w:r w:rsidRPr="00D92534">
        <w:t xml:space="preserve"> 3668 тыс. рублей. </w:t>
      </w:r>
    </w:p>
    <w:p w:rsidR="008C3C0D" w:rsidRPr="00D92534" w:rsidRDefault="008C3C0D" w:rsidP="001E5678">
      <w:pPr>
        <w:ind w:firstLine="709"/>
        <w:jc w:val="both"/>
      </w:pPr>
      <w:r w:rsidRPr="00D92534">
        <w:t xml:space="preserve">Исполнение кассовых расходов составило </w:t>
      </w:r>
      <w:r w:rsidRPr="00D92534">
        <w:rPr>
          <w:bCs/>
        </w:rPr>
        <w:t>1556353,4</w:t>
      </w:r>
      <w:r w:rsidRPr="00D92534">
        <w:t xml:space="preserve"> тыс. руб., или 98,5% от бюджетных назначений, утвержденных бюджетной росписью и 98,7% от доведенных лимитов (1576830,3 тыс. рублей). </w:t>
      </w:r>
    </w:p>
    <w:p w:rsidR="008C3C0D" w:rsidRPr="00D92534" w:rsidRDefault="008C3C0D" w:rsidP="001E5678">
      <w:pPr>
        <w:ind w:firstLine="709"/>
        <w:jc w:val="both"/>
      </w:pPr>
      <w:r w:rsidRPr="00D92534">
        <w:t>Сравнительный анализ плановых и фактических показателей исполнения расходов областного бюджета за 2019 год в разрезе подразделов и целевых статей расходов приведен в приложении №3.</w:t>
      </w:r>
    </w:p>
    <w:p w:rsidR="008C3C0D" w:rsidRPr="00D92534" w:rsidRDefault="008C3C0D" w:rsidP="001E5678">
      <w:pPr>
        <w:ind w:firstLine="709"/>
        <w:jc w:val="both"/>
      </w:pPr>
      <w:r w:rsidRPr="00D92534">
        <w:t>Общая сумма неисполненных назначений на 01.01.2020 составила 23936,2 тыс. руб., или 1,5% от бюджетных назначений, утвержденных бюджетной росписью, и связана с:</w:t>
      </w:r>
    </w:p>
    <w:p w:rsidR="008C3C0D" w:rsidRPr="00D92534" w:rsidRDefault="008C3C0D" w:rsidP="001E5678">
      <w:pPr>
        <w:ind w:firstLine="709"/>
        <w:jc w:val="both"/>
      </w:pPr>
      <w:r w:rsidRPr="00D92534">
        <w:t>- отсутствием заявок от работников культуры на получение мер социальной поддержки по оплате жилья и коммунальных услуг – 5566,0 тыс. руб.;</w:t>
      </w:r>
    </w:p>
    <w:p w:rsidR="008C3C0D" w:rsidRPr="00D92534" w:rsidRDefault="008C3C0D" w:rsidP="001E5678">
      <w:pPr>
        <w:ind w:firstLine="709"/>
        <w:jc w:val="both"/>
      </w:pPr>
      <w:r w:rsidRPr="00D92534">
        <w:t>- отсутствием финансирования заявок – 459,2 тыс. руб.;</w:t>
      </w:r>
    </w:p>
    <w:p w:rsidR="008C3C0D" w:rsidRPr="00D92534" w:rsidRDefault="008C3C0D" w:rsidP="001E5678">
      <w:pPr>
        <w:ind w:firstLine="709"/>
        <w:jc w:val="both"/>
      </w:pPr>
      <w:r w:rsidRPr="00D92534">
        <w:t>- сокращением количества получателей государственной премии – 326,5 тыс. руб.;</w:t>
      </w:r>
    </w:p>
    <w:p w:rsidR="008C3C0D" w:rsidRPr="00D92534" w:rsidRDefault="008C3C0D" w:rsidP="001E5678">
      <w:pPr>
        <w:ind w:firstLine="709"/>
        <w:jc w:val="both"/>
      </w:pPr>
      <w:r w:rsidRPr="00D92534">
        <w:t xml:space="preserve">- отсутствием лимитов бюджетных обязательств – 3459,3 тыс. руб.; </w:t>
      </w:r>
    </w:p>
    <w:p w:rsidR="008C3C0D" w:rsidRPr="00D92534" w:rsidRDefault="008C3C0D" w:rsidP="001E5678">
      <w:pPr>
        <w:ind w:firstLine="709"/>
        <w:jc w:val="both"/>
      </w:pPr>
      <w:r w:rsidRPr="00D92534">
        <w:t>- отсутствием кассового плана, в результате чего Комитетом не перечислены субсидии учреждениям на выполнение государственных заданий  – 3491,0 тыс. руб.;</w:t>
      </w:r>
    </w:p>
    <w:p w:rsidR="008C3C0D" w:rsidRPr="00D92534" w:rsidRDefault="008C3C0D" w:rsidP="001E5678">
      <w:pPr>
        <w:ind w:firstLine="709"/>
        <w:jc w:val="both"/>
      </w:pPr>
      <w:r w:rsidRPr="00D92534">
        <w:t xml:space="preserve">- невозможностью заключения подведомственным учреждением договоров на выполнение ремонтных работ по причине неготовности проектно-сметной документации – 8020,9 тыс. руб.; </w:t>
      </w:r>
    </w:p>
    <w:p w:rsidR="008C3C0D" w:rsidRPr="00D92534" w:rsidRDefault="008C3C0D" w:rsidP="001E5678">
      <w:pPr>
        <w:ind w:firstLine="709"/>
        <w:jc w:val="both"/>
      </w:pPr>
      <w:r w:rsidRPr="00D92534">
        <w:lastRenderedPageBreak/>
        <w:t>- отсутствием потребности в средствах у подведомственных учреждений – 2100,5 тыс. руб.;</w:t>
      </w:r>
    </w:p>
    <w:p w:rsidR="008C3C0D" w:rsidRPr="00D92534" w:rsidRDefault="008C3C0D" w:rsidP="001E5678">
      <w:pPr>
        <w:ind w:firstLine="709"/>
        <w:jc w:val="both"/>
      </w:pPr>
      <w:r w:rsidRPr="00D92534">
        <w:t>- отсутствием потребности Комитета в оплате коммунальных услуг – 512,8 тыс. рублей.</w:t>
      </w:r>
    </w:p>
    <w:p w:rsidR="008C3C0D" w:rsidRPr="00D92534" w:rsidRDefault="008C3C0D" w:rsidP="001E5678">
      <w:pPr>
        <w:ind w:firstLine="709"/>
        <w:jc w:val="both"/>
      </w:pPr>
      <w:r w:rsidRPr="00D92534">
        <w:t>В соответствии со Стандартом финансового контроля КСП объективными причинами неисполнения расходов являются отсутствие средств в бюджете и выделение лимитов в конце года. Таким образом, неисполнение Комитетом бюджетных ассигнований в сумме 16526,7 тыс. руб., или 1% (5566+326,5+8020,9+2100,5+512,8 тыс. руб.) в соответствии со Стандартом финансового контроля КСП являются необъективными причинами неисполнения расходов областного бюджета.</w:t>
      </w:r>
    </w:p>
    <w:p w:rsidR="008C3C0D" w:rsidRPr="00D92534" w:rsidRDefault="008C3C0D" w:rsidP="001E5678">
      <w:pPr>
        <w:ind w:firstLine="709"/>
        <w:jc w:val="both"/>
      </w:pPr>
      <w:r w:rsidRPr="00D92534">
        <w:t xml:space="preserve">Сравнение показателей исполнения расходов областного бюджета за отчетный и предыдущий год в разрезе разделов и подразделов бюджетной классификации отражено в таблице №1.  </w:t>
      </w:r>
    </w:p>
    <w:p w:rsidR="008C3C0D" w:rsidRPr="00D92534" w:rsidRDefault="008C3C0D" w:rsidP="001E5678">
      <w:pPr>
        <w:ind w:firstLine="720"/>
        <w:jc w:val="right"/>
      </w:pPr>
      <w:r w:rsidRPr="00D92534">
        <w:t>Таблица №1, тыс. руб.</w:t>
      </w:r>
    </w:p>
    <w:tbl>
      <w:tblPr>
        <w:tblW w:w="9366" w:type="dxa"/>
        <w:tblLook w:val="00A0"/>
      </w:tblPr>
      <w:tblGrid>
        <w:gridCol w:w="4121"/>
        <w:gridCol w:w="709"/>
        <w:gridCol w:w="1066"/>
        <w:gridCol w:w="1066"/>
        <w:gridCol w:w="1270"/>
        <w:gridCol w:w="1134"/>
      </w:tblGrid>
      <w:tr w:rsidR="008C3C0D" w:rsidRPr="00D92534">
        <w:trPr>
          <w:trHeight w:val="20"/>
        </w:trPr>
        <w:tc>
          <w:tcPr>
            <w:tcW w:w="4121" w:type="dxa"/>
            <w:vMerge w:val="restart"/>
            <w:tcBorders>
              <w:top w:val="single" w:sz="4" w:space="0" w:color="auto"/>
              <w:left w:val="single" w:sz="4" w:space="0" w:color="auto"/>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КБК</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jc w:val="center"/>
              <w:rPr>
                <w:sz w:val="16"/>
                <w:szCs w:val="16"/>
              </w:rPr>
            </w:pPr>
            <w:r w:rsidRPr="00D92534">
              <w:rPr>
                <w:sz w:val="16"/>
                <w:szCs w:val="16"/>
              </w:rPr>
              <w:t>2018 год</w:t>
            </w:r>
          </w:p>
        </w:tc>
        <w:tc>
          <w:tcPr>
            <w:tcW w:w="1066" w:type="dxa"/>
            <w:vMerge w:val="restart"/>
            <w:tcBorders>
              <w:top w:val="single" w:sz="4" w:space="0" w:color="auto"/>
              <w:left w:val="single" w:sz="4" w:space="0" w:color="auto"/>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2019 год</w:t>
            </w:r>
          </w:p>
        </w:tc>
        <w:tc>
          <w:tcPr>
            <w:tcW w:w="2404" w:type="dxa"/>
            <w:gridSpan w:val="2"/>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sz w:val="16"/>
                <w:szCs w:val="16"/>
              </w:rPr>
            </w:pPr>
            <w:r w:rsidRPr="00D92534">
              <w:rPr>
                <w:sz w:val="16"/>
                <w:szCs w:val="16"/>
              </w:rPr>
              <w:t>Увеличение (+), снижение (-)</w:t>
            </w:r>
          </w:p>
        </w:tc>
      </w:tr>
      <w:tr w:rsidR="008C3C0D" w:rsidRPr="00D92534">
        <w:trPr>
          <w:trHeight w:val="20"/>
        </w:trPr>
        <w:tc>
          <w:tcPr>
            <w:tcW w:w="4121"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sz w:val="16"/>
                <w:szCs w:val="16"/>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sz w:val="16"/>
                <w:szCs w:val="16"/>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color w:val="000000"/>
                <w:sz w:val="16"/>
                <w:szCs w:val="16"/>
              </w:rPr>
            </w:pPr>
          </w:p>
        </w:tc>
        <w:tc>
          <w:tcPr>
            <w:tcW w:w="1270" w:type="dxa"/>
            <w:tcBorders>
              <w:top w:val="nil"/>
              <w:left w:val="nil"/>
              <w:bottom w:val="single" w:sz="4" w:space="0" w:color="auto"/>
              <w:right w:val="single" w:sz="4" w:space="0" w:color="auto"/>
            </w:tcBorders>
            <w:noWrap/>
            <w:vAlign w:val="bottom"/>
          </w:tcPr>
          <w:p w:rsidR="008C3C0D" w:rsidRPr="00D92534" w:rsidRDefault="008C3C0D" w:rsidP="007B7FF6">
            <w:pPr>
              <w:jc w:val="center"/>
              <w:rPr>
                <w:sz w:val="16"/>
                <w:szCs w:val="16"/>
              </w:rPr>
            </w:pPr>
            <w:r w:rsidRPr="00D92534">
              <w:rPr>
                <w:sz w:val="16"/>
                <w:szCs w:val="16"/>
              </w:rPr>
              <w:t>тыс. руб.</w:t>
            </w:r>
          </w:p>
        </w:tc>
        <w:tc>
          <w:tcPr>
            <w:tcW w:w="1134" w:type="dxa"/>
            <w:tcBorders>
              <w:top w:val="nil"/>
              <w:left w:val="nil"/>
              <w:bottom w:val="single" w:sz="4" w:space="0" w:color="auto"/>
              <w:right w:val="single" w:sz="4" w:space="0" w:color="auto"/>
            </w:tcBorders>
            <w:noWrap/>
            <w:vAlign w:val="bottom"/>
          </w:tcPr>
          <w:p w:rsidR="008C3C0D" w:rsidRPr="00D92534" w:rsidRDefault="008C3C0D" w:rsidP="007B7FF6">
            <w:pPr>
              <w:jc w:val="center"/>
              <w:rPr>
                <w:sz w:val="16"/>
                <w:szCs w:val="16"/>
              </w:rPr>
            </w:pPr>
            <w:r w:rsidRPr="00D92534">
              <w:rPr>
                <w:sz w:val="16"/>
                <w:szCs w:val="16"/>
              </w:rPr>
              <w:t>%</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b/>
                <w:sz w:val="16"/>
                <w:szCs w:val="16"/>
              </w:rPr>
            </w:pPr>
            <w:r w:rsidRPr="00D92534">
              <w:rPr>
                <w:b/>
                <w:sz w:val="16"/>
                <w:szCs w:val="16"/>
              </w:rPr>
              <w:t>Всего</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b/>
                <w:sz w:val="16"/>
                <w:szCs w:val="16"/>
              </w:rPr>
            </w:pPr>
            <w:r w:rsidRPr="00D92534">
              <w:rPr>
                <w:b/>
                <w:sz w:val="16"/>
                <w:szCs w:val="16"/>
              </w:rPr>
              <w:t>0000</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b/>
                <w:sz w:val="16"/>
                <w:szCs w:val="16"/>
              </w:rPr>
            </w:pPr>
            <w:r w:rsidRPr="00D92534">
              <w:rPr>
                <w:b/>
                <w:sz w:val="16"/>
                <w:szCs w:val="16"/>
              </w:rPr>
              <w:t>1766592,1</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b/>
                <w:sz w:val="16"/>
                <w:szCs w:val="16"/>
              </w:rPr>
            </w:pPr>
            <w:r w:rsidRPr="00D92534">
              <w:rPr>
                <w:b/>
                <w:sz w:val="16"/>
                <w:szCs w:val="16"/>
              </w:rPr>
              <w:t>1556353,4</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b/>
                <w:sz w:val="16"/>
                <w:szCs w:val="16"/>
              </w:rPr>
            </w:pPr>
            <w:r w:rsidRPr="00D92534">
              <w:rPr>
                <w:b/>
                <w:sz w:val="16"/>
                <w:szCs w:val="16"/>
              </w:rPr>
              <w:t>-210238,7</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b/>
                <w:sz w:val="16"/>
                <w:szCs w:val="16"/>
              </w:rPr>
            </w:pPr>
            <w:r w:rsidRPr="00D92534">
              <w:rPr>
                <w:b/>
                <w:sz w:val="16"/>
                <w:szCs w:val="16"/>
              </w:rPr>
              <w:t>-11,9</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Другие общегосударственные вопросы</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0113</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85688,5</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85235,7</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-452,8</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-0,5</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0412</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8365,1</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color w:val="000000"/>
                <w:sz w:val="16"/>
                <w:szCs w:val="16"/>
              </w:rPr>
            </w:pPr>
            <w:r w:rsidRPr="00D92534">
              <w:rPr>
                <w:color w:val="000000"/>
                <w:sz w:val="16"/>
                <w:szCs w:val="16"/>
              </w:rPr>
              <w:t>0,0</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-8365,1</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-100,0</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Дополнительное образование детей</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0703</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5598,9</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5522,3</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-76,6</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-1,4</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Среднее профессиональное образование</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0704</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48373,0</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43722,3</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-4650,7</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-9,6</w:t>
            </w:r>
          </w:p>
        </w:tc>
      </w:tr>
      <w:tr w:rsidR="008C3C0D" w:rsidRPr="00D92534">
        <w:trPr>
          <w:trHeight w:val="20"/>
        </w:trPr>
        <w:tc>
          <w:tcPr>
            <w:tcW w:w="412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iCs/>
                <w:color w:val="000000"/>
                <w:sz w:val="16"/>
                <w:szCs w:val="16"/>
              </w:rPr>
            </w:pPr>
            <w:r w:rsidRPr="00D92534">
              <w:rPr>
                <w:iCs/>
                <w:color w:val="000000"/>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0705</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0,0</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100,0</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100,0</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+100,0</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Высшее образование</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0706</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111601,7</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117521,6</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5919,9</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+5,3</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 xml:space="preserve">Другие вопросы в области образования </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0709</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216,0</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213,6</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-2,4</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-1,1</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 xml:space="preserve">Культура </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0801</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1418033,1</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1212749,0</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-205284,1</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-14,5</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Другие вопросы в области культуры, кинематографии</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0804</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68796,5</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68905,6</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109,1</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+0,2</w:t>
            </w:r>
          </w:p>
        </w:tc>
      </w:tr>
      <w:tr w:rsidR="008C3C0D" w:rsidRPr="00D92534">
        <w:trPr>
          <w:trHeight w:val="20"/>
        </w:trPr>
        <w:tc>
          <w:tcPr>
            <w:tcW w:w="4121" w:type="dxa"/>
            <w:tcBorders>
              <w:top w:val="nil"/>
              <w:left w:val="single" w:sz="4" w:space="0" w:color="auto"/>
              <w:bottom w:val="single" w:sz="4" w:space="0" w:color="auto"/>
              <w:right w:val="single" w:sz="4" w:space="0" w:color="auto"/>
            </w:tcBorders>
            <w:noWrap/>
            <w:vAlign w:val="bottom"/>
          </w:tcPr>
          <w:p w:rsidR="008C3C0D" w:rsidRPr="00D92534" w:rsidRDefault="008C3C0D" w:rsidP="007B7FF6">
            <w:pPr>
              <w:rPr>
                <w:sz w:val="16"/>
                <w:szCs w:val="16"/>
              </w:rPr>
            </w:pPr>
            <w:r w:rsidRPr="00D92534">
              <w:rPr>
                <w:sz w:val="16"/>
                <w:szCs w:val="16"/>
              </w:rPr>
              <w:t>Социальное обеспечение населения</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1003</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19919,3</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18715,3</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-1204,0</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-6,0</w:t>
            </w:r>
          </w:p>
        </w:tc>
      </w:tr>
      <w:tr w:rsidR="008C3C0D" w:rsidRPr="00D92534">
        <w:trPr>
          <w:trHeight w:val="20"/>
        </w:trPr>
        <w:tc>
          <w:tcPr>
            <w:tcW w:w="412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iCs/>
                <w:sz w:val="16"/>
                <w:szCs w:val="16"/>
              </w:rPr>
            </w:pPr>
            <w:r w:rsidRPr="00D92534">
              <w:rPr>
                <w:iCs/>
                <w:sz w:val="16"/>
                <w:szCs w:val="16"/>
              </w:rPr>
              <w:t xml:space="preserve">Охрана семьи и детства </w:t>
            </w:r>
          </w:p>
        </w:tc>
        <w:tc>
          <w:tcPr>
            <w:tcW w:w="709" w:type="dxa"/>
            <w:tcBorders>
              <w:top w:val="nil"/>
              <w:left w:val="nil"/>
              <w:bottom w:val="single" w:sz="4" w:space="0" w:color="auto"/>
              <w:right w:val="single" w:sz="4" w:space="0" w:color="auto"/>
            </w:tcBorders>
            <w:noWrap/>
            <w:vAlign w:val="center"/>
          </w:tcPr>
          <w:p w:rsidR="008C3C0D" w:rsidRPr="00D92534" w:rsidRDefault="008C3C0D" w:rsidP="007B7FF6">
            <w:pPr>
              <w:jc w:val="center"/>
              <w:rPr>
                <w:sz w:val="16"/>
                <w:szCs w:val="16"/>
              </w:rPr>
            </w:pPr>
            <w:r w:rsidRPr="00D92534">
              <w:rPr>
                <w:sz w:val="16"/>
                <w:szCs w:val="16"/>
              </w:rPr>
              <w:t>1004</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0,0</w:t>
            </w:r>
          </w:p>
        </w:tc>
        <w:tc>
          <w:tcPr>
            <w:tcW w:w="1066"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3667,9</w:t>
            </w:r>
          </w:p>
        </w:tc>
        <w:tc>
          <w:tcPr>
            <w:tcW w:w="1270"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3667,9</w:t>
            </w:r>
          </w:p>
        </w:tc>
        <w:tc>
          <w:tcPr>
            <w:tcW w:w="1134" w:type="dxa"/>
            <w:tcBorders>
              <w:top w:val="nil"/>
              <w:left w:val="nil"/>
              <w:bottom w:val="single" w:sz="4" w:space="0" w:color="auto"/>
              <w:right w:val="single" w:sz="4" w:space="0" w:color="auto"/>
            </w:tcBorders>
            <w:noWrap/>
            <w:vAlign w:val="center"/>
          </w:tcPr>
          <w:p w:rsidR="008C3C0D" w:rsidRPr="00D92534" w:rsidRDefault="008C3C0D" w:rsidP="007B7FF6">
            <w:pPr>
              <w:jc w:val="right"/>
              <w:rPr>
                <w:sz w:val="16"/>
                <w:szCs w:val="16"/>
              </w:rPr>
            </w:pPr>
            <w:r w:rsidRPr="00D92534">
              <w:rPr>
                <w:sz w:val="16"/>
                <w:szCs w:val="16"/>
              </w:rPr>
              <w:t>+100,0</w:t>
            </w:r>
          </w:p>
        </w:tc>
      </w:tr>
    </w:tbl>
    <w:p w:rsidR="008C3C0D" w:rsidRPr="00D92534" w:rsidRDefault="008C3C0D" w:rsidP="001E5678">
      <w:pPr>
        <w:ind w:firstLine="709"/>
        <w:jc w:val="both"/>
        <w:rPr>
          <w:color w:val="1F497D"/>
        </w:rPr>
      </w:pPr>
      <w:r w:rsidRPr="00D92534">
        <w:t>Как видно из таблицы №1, кассовые расходы Комитета в 2019 году сократились  по отношению к 2018 году на 210238,7 тыс. руб. или на 11,9 процента.</w:t>
      </w:r>
      <w:r w:rsidRPr="00D92534">
        <w:rPr>
          <w:color w:val="1F497D"/>
        </w:rPr>
        <w:t xml:space="preserve"> </w:t>
      </w:r>
    </w:p>
    <w:p w:rsidR="008C3C0D" w:rsidRPr="00D92534" w:rsidRDefault="008C3C0D" w:rsidP="00EE5ACD">
      <w:pPr>
        <w:ind w:firstLine="709"/>
        <w:jc w:val="both"/>
      </w:pPr>
      <w:r w:rsidRPr="00D92534">
        <w:t xml:space="preserve">Основные изменения сложились за счет отсутствия в 2019 году средств на подготовку и проведение чемпионата мира по футболу – 325826,2 тыс. руб. (по подразделу 0412 «Другие вопросы в области национальной экономики» – 8365,1 тыс. руб., по подразделу 0801 «Культура» – 317461,1 тыс. руб.) при одновременном увеличении расходов </w:t>
      </w:r>
      <w:r w:rsidR="00C62D86" w:rsidRPr="00D92534">
        <w:t xml:space="preserve">по этому разделу </w:t>
      </w:r>
      <w:r w:rsidRPr="00D92534">
        <w:t>на предоставление субсидий подведомственным учреждениям на финансовое обеспечение выполнения государственного задания и на иные цели – 100098,8 тыс. руб. (по подразделу 0801 «Культура»).</w:t>
      </w:r>
    </w:p>
    <w:p w:rsidR="008C3C0D" w:rsidRPr="00D92534" w:rsidRDefault="008C3C0D" w:rsidP="00A67854">
      <w:pPr>
        <w:ind w:firstLine="851"/>
        <w:jc w:val="both"/>
      </w:pPr>
      <w:r w:rsidRPr="00D92534">
        <w:t>Согласно форме бюджетной отчетности 0503123 «Отчёт о движении денежных средств» неэффективные расходы бюджетных средств на уплату штрафов за 2019 год составили 898,9 тыс. руб., в том числе на уплату штрафов за нарушение законодательства о закупках и нарушение условий контрактов (договоров) в сумме 823,9 тыс. руб. (с государственного казенного учреждения культуры Волгоградской области «Волгоградская областная детская библиотека» в пользу ООО «Управляющая компания Центрального района» взыскана пеня в сумме 759,4 тыс. руб. по причине несвоевременной оплаты расходов по содержанию общедомового имущества в связи отсутствием доведенных бюджетных ассигнований и лимитов бюджетных обязательств, государственным казенным учреждением культуры Волгоградской области «Волгоградская областная специализированная библиотека для слепых» и государственным казенным учреждением культуры Волгоградской области «Волгоградская областная библиотека для молодежи» уплачены пени по исполнительным листам за несвоевременную оплату услуг энергоснабжающих организаций по причине недостаточности выделенных бюджетных ассигнований), на уплату административного штрафа за нарушение требований пожарной безопасности -  75 тыс. руб.,  в результате чего нарушен принцип эффективного использования бюджетных средств, установленный ст. 34 БК РФ.</w:t>
      </w:r>
    </w:p>
    <w:p w:rsidR="00D92534" w:rsidRDefault="00D92534" w:rsidP="00B32132">
      <w:pPr>
        <w:ind w:firstLine="709"/>
        <w:jc w:val="center"/>
        <w:rPr>
          <w:b/>
          <w:i/>
        </w:rPr>
      </w:pPr>
    </w:p>
    <w:p w:rsidR="00D92534" w:rsidRDefault="00D92534" w:rsidP="00B32132">
      <w:pPr>
        <w:ind w:firstLine="709"/>
        <w:jc w:val="center"/>
        <w:rPr>
          <w:b/>
          <w:i/>
        </w:rPr>
      </w:pPr>
    </w:p>
    <w:p w:rsidR="008C3C0D" w:rsidRPr="00D92534" w:rsidRDefault="008C3C0D" w:rsidP="00B32132">
      <w:pPr>
        <w:ind w:firstLine="709"/>
        <w:jc w:val="center"/>
        <w:rPr>
          <w:b/>
          <w:i/>
        </w:rPr>
      </w:pPr>
      <w:r w:rsidRPr="00D92534">
        <w:rPr>
          <w:b/>
          <w:i/>
        </w:rPr>
        <w:lastRenderedPageBreak/>
        <w:t>Анализ дебиторской и кредиторской задолженности</w:t>
      </w:r>
    </w:p>
    <w:p w:rsidR="008C3C0D" w:rsidRPr="00D92534" w:rsidRDefault="008C3C0D" w:rsidP="00505CB4">
      <w:pPr>
        <w:autoSpaceDE w:val="0"/>
        <w:autoSpaceDN w:val="0"/>
        <w:adjustRightInd w:val="0"/>
        <w:ind w:firstLine="709"/>
        <w:jc w:val="both"/>
      </w:pPr>
      <w:r w:rsidRPr="00D92534">
        <w:t>Информация о динамике дебиторской и кредиторской задолженности в 2019 году приведена в таблице №2.</w:t>
      </w:r>
    </w:p>
    <w:p w:rsidR="008C3C0D" w:rsidRPr="00D92534" w:rsidRDefault="008C3C0D" w:rsidP="002849EE">
      <w:pPr>
        <w:ind w:firstLine="720"/>
        <w:jc w:val="right"/>
      </w:pPr>
      <w:r w:rsidRPr="00D92534">
        <w:t>Таблица №2, тыс. руб.</w:t>
      </w:r>
    </w:p>
    <w:tbl>
      <w:tblPr>
        <w:tblW w:w="9781" w:type="dxa"/>
        <w:tblLook w:val="00A0"/>
      </w:tblPr>
      <w:tblGrid>
        <w:gridCol w:w="4693"/>
        <w:gridCol w:w="1238"/>
        <w:gridCol w:w="1276"/>
        <w:gridCol w:w="960"/>
        <w:gridCol w:w="1614"/>
      </w:tblGrid>
      <w:tr w:rsidR="008C3C0D" w:rsidRPr="00D92534">
        <w:trPr>
          <w:trHeight w:val="495"/>
        </w:trPr>
        <w:tc>
          <w:tcPr>
            <w:tcW w:w="4693" w:type="dxa"/>
            <w:vMerge w:val="restart"/>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jc w:val="center"/>
              <w:rPr>
                <w:b/>
                <w:bCs/>
                <w:sz w:val="18"/>
                <w:szCs w:val="18"/>
              </w:rPr>
            </w:pPr>
            <w:r w:rsidRPr="00D92534">
              <w:rPr>
                <w:b/>
                <w:bCs/>
                <w:sz w:val="18"/>
                <w:szCs w:val="18"/>
              </w:rPr>
              <w:t>Наименование показателя</w:t>
            </w:r>
          </w:p>
        </w:tc>
        <w:tc>
          <w:tcPr>
            <w:tcW w:w="2514" w:type="dxa"/>
            <w:gridSpan w:val="2"/>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sz w:val="18"/>
                <w:szCs w:val="18"/>
              </w:rPr>
            </w:pPr>
            <w:r w:rsidRPr="00D92534">
              <w:rPr>
                <w:b/>
                <w:bCs/>
                <w:sz w:val="18"/>
                <w:szCs w:val="18"/>
              </w:rPr>
              <w:t>Данные о задолженности</w:t>
            </w:r>
          </w:p>
        </w:tc>
        <w:tc>
          <w:tcPr>
            <w:tcW w:w="2574" w:type="dxa"/>
            <w:gridSpan w:val="2"/>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sz w:val="18"/>
                <w:szCs w:val="18"/>
              </w:rPr>
            </w:pPr>
            <w:r w:rsidRPr="00D92534">
              <w:rPr>
                <w:b/>
                <w:bCs/>
                <w:sz w:val="18"/>
                <w:szCs w:val="18"/>
              </w:rPr>
              <w:t>Отклонение</w:t>
            </w:r>
          </w:p>
        </w:tc>
      </w:tr>
      <w:tr w:rsidR="008C3C0D" w:rsidRPr="00D92534">
        <w:trPr>
          <w:trHeight w:val="255"/>
        </w:trPr>
        <w:tc>
          <w:tcPr>
            <w:tcW w:w="4693"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p>
        </w:tc>
        <w:tc>
          <w:tcPr>
            <w:tcW w:w="1238" w:type="dxa"/>
            <w:vMerge w:val="restart"/>
            <w:tcBorders>
              <w:top w:val="nil"/>
              <w:left w:val="single" w:sz="4" w:space="0" w:color="auto"/>
              <w:bottom w:val="single" w:sz="4" w:space="0" w:color="auto"/>
              <w:right w:val="single" w:sz="4" w:space="0" w:color="auto"/>
            </w:tcBorders>
            <w:vAlign w:val="center"/>
          </w:tcPr>
          <w:p w:rsidR="008C3C0D" w:rsidRPr="00D92534" w:rsidRDefault="008C3C0D" w:rsidP="007B7FF6">
            <w:pPr>
              <w:jc w:val="center"/>
              <w:rPr>
                <w:b/>
                <w:bCs/>
                <w:color w:val="000000"/>
                <w:sz w:val="16"/>
                <w:szCs w:val="16"/>
              </w:rPr>
            </w:pPr>
            <w:r w:rsidRPr="00D92534">
              <w:rPr>
                <w:b/>
                <w:bCs/>
                <w:color w:val="000000"/>
                <w:sz w:val="16"/>
                <w:szCs w:val="16"/>
              </w:rPr>
              <w:t>на 01.01.2019</w:t>
            </w:r>
          </w:p>
        </w:tc>
        <w:tc>
          <w:tcPr>
            <w:tcW w:w="1276" w:type="dxa"/>
            <w:vMerge w:val="restart"/>
            <w:tcBorders>
              <w:top w:val="nil"/>
              <w:left w:val="single" w:sz="4" w:space="0" w:color="auto"/>
              <w:bottom w:val="single" w:sz="4" w:space="0" w:color="auto"/>
              <w:right w:val="single" w:sz="4" w:space="0" w:color="auto"/>
            </w:tcBorders>
            <w:vAlign w:val="center"/>
          </w:tcPr>
          <w:p w:rsidR="008C3C0D" w:rsidRPr="00D92534" w:rsidRDefault="008C3C0D" w:rsidP="007B7FF6">
            <w:pPr>
              <w:jc w:val="center"/>
              <w:rPr>
                <w:b/>
                <w:bCs/>
                <w:color w:val="000000"/>
                <w:sz w:val="16"/>
                <w:szCs w:val="16"/>
              </w:rPr>
            </w:pPr>
            <w:r w:rsidRPr="00D92534">
              <w:rPr>
                <w:b/>
                <w:bCs/>
                <w:color w:val="000000"/>
                <w:sz w:val="16"/>
                <w:szCs w:val="16"/>
              </w:rPr>
              <w:t>на 01.01.2020</w:t>
            </w:r>
          </w:p>
        </w:tc>
        <w:tc>
          <w:tcPr>
            <w:tcW w:w="960" w:type="dxa"/>
            <w:vMerge w:val="restart"/>
            <w:tcBorders>
              <w:top w:val="nil"/>
              <w:left w:val="single" w:sz="4" w:space="0" w:color="auto"/>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тыс. руб.</w:t>
            </w:r>
          </w:p>
        </w:tc>
        <w:tc>
          <w:tcPr>
            <w:tcW w:w="1614" w:type="dxa"/>
            <w:vMerge w:val="restart"/>
            <w:tcBorders>
              <w:top w:val="nil"/>
              <w:left w:val="single" w:sz="4" w:space="0" w:color="auto"/>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раз</w:t>
            </w:r>
          </w:p>
        </w:tc>
      </w:tr>
      <w:tr w:rsidR="008C3C0D" w:rsidRPr="00D92534">
        <w:trPr>
          <w:trHeight w:val="255"/>
        </w:trPr>
        <w:tc>
          <w:tcPr>
            <w:tcW w:w="4693"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b/>
                <w:bCs/>
                <w:color w:val="000000"/>
                <w:sz w:val="18"/>
                <w:szCs w:val="18"/>
              </w:rPr>
            </w:pPr>
          </w:p>
        </w:tc>
        <w:tc>
          <w:tcPr>
            <w:tcW w:w="1238" w:type="dxa"/>
            <w:vMerge/>
            <w:tcBorders>
              <w:top w:val="nil"/>
              <w:left w:val="single" w:sz="4" w:space="0" w:color="auto"/>
              <w:bottom w:val="single" w:sz="4" w:space="0" w:color="auto"/>
              <w:right w:val="single" w:sz="4" w:space="0" w:color="auto"/>
            </w:tcBorders>
            <w:vAlign w:val="center"/>
          </w:tcPr>
          <w:p w:rsidR="008C3C0D" w:rsidRPr="00D92534" w:rsidRDefault="008C3C0D" w:rsidP="007B7FF6">
            <w:pPr>
              <w:rPr>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tcPr>
          <w:p w:rsidR="008C3C0D" w:rsidRPr="00D92534" w:rsidRDefault="008C3C0D" w:rsidP="007B7FF6">
            <w:pPr>
              <w:rPr>
                <w:b/>
                <w:bCs/>
                <w:color w:val="000000"/>
                <w:sz w:val="16"/>
                <w:szCs w:val="16"/>
              </w:rPr>
            </w:pPr>
          </w:p>
        </w:tc>
        <w:tc>
          <w:tcPr>
            <w:tcW w:w="960" w:type="dxa"/>
            <w:vMerge/>
            <w:tcBorders>
              <w:top w:val="nil"/>
              <w:left w:val="single" w:sz="4" w:space="0" w:color="auto"/>
              <w:bottom w:val="single" w:sz="4" w:space="0" w:color="auto"/>
              <w:right w:val="single" w:sz="4" w:space="0" w:color="auto"/>
            </w:tcBorders>
            <w:vAlign w:val="center"/>
          </w:tcPr>
          <w:p w:rsidR="008C3C0D" w:rsidRPr="00D92534" w:rsidRDefault="008C3C0D" w:rsidP="007B7FF6">
            <w:pPr>
              <w:rPr>
                <w:b/>
                <w:bCs/>
                <w:color w:val="000000"/>
                <w:sz w:val="18"/>
                <w:szCs w:val="18"/>
              </w:rPr>
            </w:pPr>
          </w:p>
        </w:tc>
        <w:tc>
          <w:tcPr>
            <w:tcW w:w="1614" w:type="dxa"/>
            <w:vMerge/>
            <w:tcBorders>
              <w:top w:val="nil"/>
              <w:left w:val="single" w:sz="4" w:space="0" w:color="auto"/>
              <w:bottom w:val="single" w:sz="4" w:space="0" w:color="auto"/>
              <w:right w:val="single" w:sz="4" w:space="0" w:color="auto"/>
            </w:tcBorders>
            <w:vAlign w:val="center"/>
          </w:tcPr>
          <w:p w:rsidR="008C3C0D" w:rsidRPr="00D92534" w:rsidRDefault="008C3C0D" w:rsidP="007B7FF6">
            <w:pPr>
              <w:rPr>
                <w:b/>
                <w:bCs/>
                <w:color w:val="000000"/>
                <w:sz w:val="18"/>
                <w:szCs w:val="18"/>
              </w:rPr>
            </w:pPr>
          </w:p>
        </w:tc>
      </w:tr>
      <w:tr w:rsidR="008C3C0D" w:rsidRPr="00D92534">
        <w:trPr>
          <w:trHeight w:val="510"/>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b/>
                <w:bCs/>
                <w:i/>
                <w:iCs/>
                <w:color w:val="000000"/>
                <w:sz w:val="20"/>
                <w:szCs w:val="20"/>
              </w:rPr>
            </w:pPr>
            <w:r w:rsidRPr="00D92534">
              <w:rPr>
                <w:b/>
                <w:bCs/>
                <w:i/>
                <w:iCs/>
                <w:color w:val="000000"/>
                <w:sz w:val="20"/>
                <w:szCs w:val="20"/>
              </w:rPr>
              <w:t>Дебиторская  задолженность ИТОГО:</w:t>
            </w:r>
            <w:r w:rsidRPr="00D92534">
              <w:rPr>
                <w:b/>
                <w:bCs/>
                <w:i/>
                <w:iCs/>
                <w:color w:val="000000"/>
                <w:sz w:val="18"/>
                <w:szCs w:val="18"/>
              </w:rPr>
              <w:t xml:space="preserve">  </w:t>
            </w:r>
            <w:r w:rsidRPr="00D92534">
              <w:rPr>
                <w:color w:val="000000"/>
                <w:sz w:val="18"/>
                <w:szCs w:val="18"/>
              </w:rPr>
              <w:t>в том числе:</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5057,1</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304824,7</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299767,6</w:t>
            </w:r>
          </w:p>
        </w:tc>
        <w:tc>
          <w:tcPr>
            <w:tcW w:w="1614"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59,3 раза</w:t>
            </w:r>
          </w:p>
        </w:tc>
      </w:tr>
      <w:tr w:rsidR="008C3C0D" w:rsidRPr="00D92534">
        <w:trPr>
          <w:trHeight w:val="183"/>
        </w:trPr>
        <w:tc>
          <w:tcPr>
            <w:tcW w:w="4693" w:type="dxa"/>
            <w:tcBorders>
              <w:top w:val="single" w:sz="4" w:space="0" w:color="auto"/>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по доходам</w:t>
            </w:r>
          </w:p>
        </w:tc>
        <w:tc>
          <w:tcPr>
            <w:tcW w:w="1238"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66,6</w:t>
            </w:r>
          </w:p>
        </w:tc>
        <w:tc>
          <w:tcPr>
            <w:tcW w:w="1276"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303405,8</w:t>
            </w:r>
          </w:p>
        </w:tc>
        <w:tc>
          <w:tcPr>
            <w:tcW w:w="960"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303339,2</w:t>
            </w:r>
          </w:p>
        </w:tc>
        <w:tc>
          <w:tcPr>
            <w:tcW w:w="1614"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4554,6 раз</w:t>
            </w:r>
          </w:p>
        </w:tc>
      </w:tr>
      <w:tr w:rsidR="008C3C0D" w:rsidRPr="00D92534">
        <w:trPr>
          <w:trHeight w:val="255"/>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по выданным авансам</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3917,7</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776,8</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-3140,9</w:t>
            </w:r>
          </w:p>
        </w:tc>
        <w:tc>
          <w:tcPr>
            <w:tcW w:w="1614"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- 5 раз</w:t>
            </w:r>
          </w:p>
        </w:tc>
      </w:tr>
      <w:tr w:rsidR="008C3C0D" w:rsidRPr="00D92534" w:rsidTr="00155580">
        <w:trPr>
          <w:trHeight w:val="255"/>
        </w:trPr>
        <w:tc>
          <w:tcPr>
            <w:tcW w:w="4693" w:type="dxa"/>
            <w:tcBorders>
              <w:top w:val="single" w:sz="4" w:space="0" w:color="auto"/>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с подотчетными лицами</w:t>
            </w:r>
          </w:p>
        </w:tc>
        <w:tc>
          <w:tcPr>
            <w:tcW w:w="1238"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295,3</w:t>
            </w:r>
          </w:p>
        </w:tc>
        <w:tc>
          <w:tcPr>
            <w:tcW w:w="1276"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76</w:t>
            </w:r>
          </w:p>
        </w:tc>
        <w:tc>
          <w:tcPr>
            <w:tcW w:w="960"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-219,3</w:t>
            </w:r>
          </w:p>
        </w:tc>
        <w:tc>
          <w:tcPr>
            <w:tcW w:w="1614" w:type="dxa"/>
            <w:tcBorders>
              <w:top w:val="single" w:sz="4" w:space="0" w:color="auto"/>
              <w:left w:val="nil"/>
              <w:bottom w:val="single" w:sz="4" w:space="0" w:color="auto"/>
              <w:right w:val="single" w:sz="4" w:space="0" w:color="auto"/>
            </w:tcBorders>
            <w:vAlign w:val="center"/>
          </w:tcPr>
          <w:p w:rsidR="008C3C0D" w:rsidRPr="00D92534" w:rsidRDefault="008C3C0D" w:rsidP="0088146F">
            <w:pPr>
              <w:jc w:val="center"/>
              <w:rPr>
                <w:b/>
                <w:bCs/>
                <w:color w:val="000000"/>
                <w:sz w:val="18"/>
                <w:szCs w:val="18"/>
              </w:rPr>
            </w:pPr>
            <w:r w:rsidRPr="00D92534">
              <w:rPr>
                <w:b/>
                <w:bCs/>
                <w:color w:val="000000"/>
                <w:sz w:val="18"/>
                <w:szCs w:val="18"/>
              </w:rPr>
              <w:t>- 3,9 раз</w:t>
            </w:r>
          </w:p>
        </w:tc>
      </w:tr>
      <w:tr w:rsidR="008C3C0D" w:rsidRPr="00D92534">
        <w:trPr>
          <w:trHeight w:val="255"/>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ущербу и иным доходам</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46</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0</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-46</w:t>
            </w:r>
          </w:p>
        </w:tc>
        <w:tc>
          <w:tcPr>
            <w:tcW w:w="1614"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w:t>
            </w:r>
          </w:p>
        </w:tc>
      </w:tr>
      <w:tr w:rsidR="008C3C0D" w:rsidRPr="00D92534">
        <w:trPr>
          <w:trHeight w:val="255"/>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по платежам в бюджеты</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731,5</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566,1</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-165,4</w:t>
            </w:r>
          </w:p>
        </w:tc>
        <w:tc>
          <w:tcPr>
            <w:tcW w:w="1614" w:type="dxa"/>
            <w:tcBorders>
              <w:top w:val="nil"/>
              <w:left w:val="nil"/>
              <w:bottom w:val="single" w:sz="4" w:space="0" w:color="auto"/>
              <w:right w:val="single" w:sz="4" w:space="0" w:color="auto"/>
            </w:tcBorders>
            <w:vAlign w:val="center"/>
          </w:tcPr>
          <w:p w:rsidR="008C3C0D" w:rsidRPr="00D92534" w:rsidRDefault="008C3C0D" w:rsidP="0088146F">
            <w:pPr>
              <w:jc w:val="center"/>
              <w:rPr>
                <w:b/>
                <w:bCs/>
                <w:color w:val="000000"/>
                <w:sz w:val="18"/>
                <w:szCs w:val="18"/>
              </w:rPr>
            </w:pPr>
            <w:r w:rsidRPr="00D92534">
              <w:rPr>
                <w:b/>
                <w:bCs/>
                <w:color w:val="000000"/>
                <w:sz w:val="18"/>
                <w:szCs w:val="18"/>
              </w:rPr>
              <w:t>- 1,3 раза</w:t>
            </w:r>
          </w:p>
        </w:tc>
      </w:tr>
      <w:tr w:rsidR="008C3C0D" w:rsidRPr="00D92534" w:rsidTr="000E6C05">
        <w:trPr>
          <w:trHeight w:val="120"/>
        </w:trPr>
        <w:tc>
          <w:tcPr>
            <w:tcW w:w="4693" w:type="dxa"/>
            <w:tcBorders>
              <w:top w:val="single" w:sz="4" w:space="0" w:color="auto"/>
              <w:left w:val="single" w:sz="4" w:space="0" w:color="auto"/>
              <w:bottom w:val="single" w:sz="4" w:space="0" w:color="auto"/>
              <w:right w:val="single" w:sz="4" w:space="0" w:color="auto"/>
            </w:tcBorders>
            <w:vAlign w:val="bottom"/>
          </w:tcPr>
          <w:p w:rsidR="008C3C0D" w:rsidRPr="00D92534" w:rsidRDefault="008C3C0D" w:rsidP="007B7FF6">
            <w:pPr>
              <w:rPr>
                <w:b/>
                <w:bCs/>
                <w:i/>
                <w:iCs/>
                <w:color w:val="000000"/>
                <w:sz w:val="20"/>
                <w:szCs w:val="20"/>
              </w:rPr>
            </w:pPr>
            <w:r w:rsidRPr="00D92534">
              <w:rPr>
                <w:b/>
                <w:bCs/>
                <w:i/>
                <w:iCs/>
                <w:color w:val="000000"/>
                <w:sz w:val="20"/>
                <w:szCs w:val="20"/>
              </w:rPr>
              <w:t xml:space="preserve">Кредиторская задолженность ИТОГО: </w:t>
            </w:r>
            <w:r w:rsidRPr="00D92534">
              <w:rPr>
                <w:color w:val="000000"/>
                <w:sz w:val="20"/>
                <w:szCs w:val="20"/>
              </w:rPr>
              <w:t>в</w:t>
            </w:r>
            <w:r w:rsidRPr="00D92534">
              <w:rPr>
                <w:b/>
                <w:bCs/>
                <w:color w:val="000000"/>
                <w:sz w:val="20"/>
                <w:szCs w:val="20"/>
              </w:rPr>
              <w:t xml:space="preserve"> </w:t>
            </w:r>
            <w:r w:rsidRPr="00D92534">
              <w:rPr>
                <w:color w:val="000000"/>
                <w:sz w:val="18"/>
                <w:szCs w:val="18"/>
              </w:rPr>
              <w:t>том числе:</w:t>
            </w:r>
          </w:p>
        </w:tc>
        <w:tc>
          <w:tcPr>
            <w:tcW w:w="1238"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7050,4</w:t>
            </w:r>
          </w:p>
        </w:tc>
        <w:tc>
          <w:tcPr>
            <w:tcW w:w="1276"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3755,9</w:t>
            </w:r>
          </w:p>
        </w:tc>
        <w:tc>
          <w:tcPr>
            <w:tcW w:w="960"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-3294,5</w:t>
            </w:r>
          </w:p>
        </w:tc>
        <w:tc>
          <w:tcPr>
            <w:tcW w:w="1614"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- 1,9 раза</w:t>
            </w:r>
          </w:p>
        </w:tc>
      </w:tr>
      <w:tr w:rsidR="008C3C0D" w:rsidRPr="00D92534">
        <w:trPr>
          <w:trHeight w:val="255"/>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по принятым обязательствам</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6802,6</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3658,1</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-3144,5</w:t>
            </w:r>
          </w:p>
        </w:tc>
        <w:tc>
          <w:tcPr>
            <w:tcW w:w="1614"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- 1,9 раза</w:t>
            </w:r>
          </w:p>
        </w:tc>
      </w:tr>
      <w:tr w:rsidR="008C3C0D" w:rsidRPr="00D92534">
        <w:trPr>
          <w:trHeight w:val="255"/>
        </w:trPr>
        <w:tc>
          <w:tcPr>
            <w:tcW w:w="4693" w:type="dxa"/>
            <w:tcBorders>
              <w:top w:val="single" w:sz="4" w:space="0" w:color="auto"/>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по платежам в бюджеты</w:t>
            </w:r>
          </w:p>
        </w:tc>
        <w:tc>
          <w:tcPr>
            <w:tcW w:w="1238"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65,4</w:t>
            </w:r>
          </w:p>
        </w:tc>
        <w:tc>
          <w:tcPr>
            <w:tcW w:w="1276"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74,2</w:t>
            </w:r>
          </w:p>
        </w:tc>
        <w:tc>
          <w:tcPr>
            <w:tcW w:w="960"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8,8</w:t>
            </w:r>
          </w:p>
        </w:tc>
        <w:tc>
          <w:tcPr>
            <w:tcW w:w="1614" w:type="dxa"/>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1,1 раза</w:t>
            </w:r>
          </w:p>
        </w:tc>
      </w:tr>
      <w:tr w:rsidR="008C3C0D" w:rsidRPr="00D92534">
        <w:trPr>
          <w:trHeight w:val="255"/>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прочие расчеты с кредиторами</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178,8</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0</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-178,8</w:t>
            </w:r>
          </w:p>
        </w:tc>
        <w:tc>
          <w:tcPr>
            <w:tcW w:w="1614"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w:t>
            </w:r>
          </w:p>
        </w:tc>
      </w:tr>
      <w:tr w:rsidR="008C3C0D" w:rsidRPr="00D92534">
        <w:trPr>
          <w:trHeight w:val="255"/>
        </w:trPr>
        <w:tc>
          <w:tcPr>
            <w:tcW w:w="4693" w:type="dxa"/>
            <w:tcBorders>
              <w:top w:val="nil"/>
              <w:left w:val="single" w:sz="4" w:space="0" w:color="auto"/>
              <w:bottom w:val="single" w:sz="4" w:space="0" w:color="auto"/>
              <w:right w:val="single" w:sz="4" w:space="0" w:color="auto"/>
            </w:tcBorders>
            <w:vAlign w:val="bottom"/>
          </w:tcPr>
          <w:p w:rsidR="008C3C0D" w:rsidRPr="00D92534" w:rsidRDefault="008C3C0D" w:rsidP="007B7FF6">
            <w:pPr>
              <w:rPr>
                <w:color w:val="000000"/>
                <w:sz w:val="18"/>
                <w:szCs w:val="18"/>
              </w:rPr>
            </w:pPr>
            <w:r w:rsidRPr="00D92534">
              <w:rPr>
                <w:color w:val="000000"/>
                <w:sz w:val="18"/>
                <w:szCs w:val="18"/>
              </w:rPr>
              <w:t>расчеты по доходам</w:t>
            </w:r>
          </w:p>
        </w:tc>
        <w:tc>
          <w:tcPr>
            <w:tcW w:w="1238"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3,5</w:t>
            </w:r>
          </w:p>
        </w:tc>
        <w:tc>
          <w:tcPr>
            <w:tcW w:w="1276" w:type="dxa"/>
            <w:tcBorders>
              <w:top w:val="nil"/>
              <w:left w:val="nil"/>
              <w:bottom w:val="single" w:sz="4" w:space="0" w:color="auto"/>
              <w:right w:val="single" w:sz="4" w:space="0" w:color="auto"/>
            </w:tcBorders>
            <w:vAlign w:val="center"/>
          </w:tcPr>
          <w:p w:rsidR="008C3C0D" w:rsidRPr="00D92534" w:rsidRDefault="008C3C0D" w:rsidP="007B7FF6">
            <w:pPr>
              <w:jc w:val="center"/>
              <w:rPr>
                <w:color w:val="000000"/>
                <w:sz w:val="18"/>
                <w:szCs w:val="18"/>
              </w:rPr>
            </w:pPr>
            <w:r w:rsidRPr="00D92534">
              <w:rPr>
                <w:color w:val="000000"/>
                <w:sz w:val="18"/>
                <w:szCs w:val="18"/>
              </w:rPr>
              <w:t>23,6</w:t>
            </w:r>
          </w:p>
        </w:tc>
        <w:tc>
          <w:tcPr>
            <w:tcW w:w="960"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20,1</w:t>
            </w:r>
          </w:p>
        </w:tc>
        <w:tc>
          <w:tcPr>
            <w:tcW w:w="1614" w:type="dxa"/>
            <w:tcBorders>
              <w:top w:val="nil"/>
              <w:left w:val="nil"/>
              <w:bottom w:val="single" w:sz="4" w:space="0" w:color="auto"/>
              <w:right w:val="single" w:sz="4" w:space="0" w:color="auto"/>
            </w:tcBorders>
            <w:vAlign w:val="center"/>
          </w:tcPr>
          <w:p w:rsidR="008C3C0D" w:rsidRPr="00D92534" w:rsidRDefault="008C3C0D" w:rsidP="007B7FF6">
            <w:pPr>
              <w:jc w:val="center"/>
              <w:rPr>
                <w:b/>
                <w:bCs/>
                <w:color w:val="000000"/>
                <w:sz w:val="18"/>
                <w:szCs w:val="18"/>
              </w:rPr>
            </w:pPr>
            <w:r w:rsidRPr="00D92534">
              <w:rPr>
                <w:b/>
                <w:bCs/>
                <w:color w:val="000000"/>
                <w:sz w:val="18"/>
                <w:szCs w:val="18"/>
              </w:rPr>
              <w:t>5,7 раза</w:t>
            </w:r>
          </w:p>
        </w:tc>
      </w:tr>
    </w:tbl>
    <w:p w:rsidR="008C3C0D" w:rsidRPr="00D92534" w:rsidRDefault="008C3C0D" w:rsidP="002849EE">
      <w:pPr>
        <w:spacing w:before="120" w:after="120"/>
        <w:ind w:firstLine="720"/>
        <w:jc w:val="center"/>
        <w:rPr>
          <w:i/>
          <w:u w:val="single"/>
        </w:rPr>
      </w:pPr>
      <w:r w:rsidRPr="00D92534">
        <w:rPr>
          <w:i/>
          <w:u w:val="single"/>
        </w:rPr>
        <w:t>Состояние дебиторской задолженности:</w:t>
      </w:r>
    </w:p>
    <w:p w:rsidR="008C3C0D" w:rsidRPr="00D92534" w:rsidRDefault="008C3C0D" w:rsidP="00DB4A1C">
      <w:pPr>
        <w:ind w:firstLine="720"/>
        <w:jc w:val="both"/>
      </w:pPr>
      <w:r w:rsidRPr="00D92534">
        <w:t>Основная сумма задолженности 99,5% приходится на расчеты по доходам –          303405,8 тыс. руб. из которых дебиторская задолженность Министерства культуры Российской Федерации по соглашениям, заключенным в декабре 2019 года, о предоставлении межбюджетных трансфертов в 2020-2022 годах в сумме 282022,5 тыс. руб.</w:t>
      </w:r>
      <w:r w:rsidR="00C62D86" w:rsidRPr="00D92534">
        <w:t>;</w:t>
      </w:r>
      <w:r w:rsidRPr="00D92534">
        <w:t xml:space="preserve"> задолженность физического лица (Дубина Лариса Дмитриевна) – 21296,9 тыс. руб. по уголовному делу, возбужденному после </w:t>
      </w:r>
      <w:r w:rsidR="00C62D86" w:rsidRPr="00D92534">
        <w:t>выявленных нарушений при проведении</w:t>
      </w:r>
      <w:r w:rsidRPr="00D92534">
        <w:t xml:space="preserve"> КСП внешней проверки бюджетной отчетности и отдельных вопросов исполнения областного бюджета за 2013 год главным администратором средств областного бюджета – министерством культуры </w:t>
      </w:r>
      <w:r w:rsidR="00C62D86" w:rsidRPr="00D92534">
        <w:t>Волгоградской области;</w:t>
      </w:r>
      <w:r w:rsidRPr="00D92534">
        <w:t xml:space="preserve"> рас</w:t>
      </w:r>
      <w:r w:rsidR="00C62D86" w:rsidRPr="00D92534">
        <w:t>четы по аренде – 79,7 тыс. руб.;</w:t>
      </w:r>
      <w:r w:rsidRPr="00D92534">
        <w:t xml:space="preserve"> задолженность по платным услугам – 6,7 тыс. рублей.</w:t>
      </w:r>
    </w:p>
    <w:p w:rsidR="008C3C0D" w:rsidRPr="00D92534" w:rsidRDefault="008C3C0D" w:rsidP="002849EE">
      <w:pPr>
        <w:ind w:firstLine="720"/>
        <w:jc w:val="both"/>
      </w:pPr>
      <w:r w:rsidRPr="00D92534">
        <w:t>Кроме того, наиболее крупные суммы дебиторской задолженности сложились по следующим направлениям расходов:</w:t>
      </w:r>
    </w:p>
    <w:p w:rsidR="008C3C0D" w:rsidRPr="00D92534" w:rsidRDefault="008C3C0D" w:rsidP="002849EE">
      <w:pPr>
        <w:pStyle w:val="ConsPlusNormal"/>
        <w:ind w:firstLine="708"/>
        <w:jc w:val="both"/>
        <w:rPr>
          <w:rFonts w:ascii="Times New Roman" w:hAnsi="Times New Roman" w:cs="Times New Roman"/>
          <w:sz w:val="24"/>
          <w:szCs w:val="24"/>
          <w:lang w:eastAsia="en-US"/>
        </w:rPr>
      </w:pPr>
      <w:r w:rsidRPr="00D92534">
        <w:t xml:space="preserve">- </w:t>
      </w:r>
      <w:r w:rsidRPr="00D92534">
        <w:rPr>
          <w:rFonts w:ascii="Times New Roman" w:hAnsi="Times New Roman" w:cs="Times New Roman"/>
          <w:sz w:val="24"/>
          <w:szCs w:val="24"/>
          <w:lang w:eastAsia="en-US"/>
        </w:rPr>
        <w:t>расчеты по выданным авансам – 776,8 тыс. руб. в том числе задолженность по неиспользованным остаткам субсидий на иные цели бюджетных учреждений – 393,2 тыс. руб., по субвенциям муниципальными образованиями Волгоградской области, которые подлежат возврату в областной бюджет в 2020 году, – 208,9 тыс. руб., по договорам на оказание прочих услуг казенным учреждениям – 155,4 тыс. рублей;</w:t>
      </w:r>
    </w:p>
    <w:p w:rsidR="008C3C0D" w:rsidRPr="00D92534" w:rsidRDefault="008C3C0D" w:rsidP="002849EE">
      <w:pPr>
        <w:pStyle w:val="ConsPlusNormal"/>
        <w:ind w:firstLine="708"/>
        <w:jc w:val="both"/>
        <w:rPr>
          <w:rFonts w:ascii="Times New Roman" w:hAnsi="Times New Roman" w:cs="Times New Roman"/>
          <w:color w:val="FF0000"/>
          <w:sz w:val="24"/>
          <w:szCs w:val="24"/>
          <w:lang w:eastAsia="en-US"/>
        </w:rPr>
      </w:pPr>
      <w:r w:rsidRPr="00D92534">
        <w:rPr>
          <w:rFonts w:ascii="Times New Roman" w:hAnsi="Times New Roman" w:cs="Times New Roman"/>
          <w:sz w:val="24"/>
          <w:szCs w:val="24"/>
          <w:lang w:eastAsia="en-US"/>
        </w:rPr>
        <w:t>- расчеты по платежам в бюджеты – 566,1 тыс. руб.;</w:t>
      </w:r>
      <w:r w:rsidRPr="00D92534">
        <w:rPr>
          <w:rFonts w:ascii="Times New Roman" w:hAnsi="Times New Roman" w:cs="Times New Roman"/>
          <w:color w:val="FF0000"/>
          <w:sz w:val="24"/>
          <w:szCs w:val="24"/>
          <w:lang w:eastAsia="en-US"/>
        </w:rPr>
        <w:t xml:space="preserve"> </w:t>
      </w:r>
    </w:p>
    <w:p w:rsidR="008C3C0D" w:rsidRPr="00D92534" w:rsidRDefault="008C3C0D" w:rsidP="002849EE">
      <w:pPr>
        <w:pStyle w:val="ConsPlusNormal"/>
        <w:ind w:firstLine="708"/>
        <w:jc w:val="both"/>
        <w:rPr>
          <w:rFonts w:ascii="Times New Roman" w:hAnsi="Times New Roman" w:cs="Times New Roman"/>
          <w:sz w:val="24"/>
          <w:szCs w:val="24"/>
          <w:lang w:eastAsia="en-US"/>
        </w:rPr>
      </w:pPr>
      <w:r w:rsidRPr="00D92534">
        <w:rPr>
          <w:rFonts w:ascii="Times New Roman" w:hAnsi="Times New Roman" w:cs="Times New Roman"/>
          <w:sz w:val="24"/>
          <w:szCs w:val="24"/>
          <w:lang w:eastAsia="en-US"/>
        </w:rPr>
        <w:t>- расчеты с подотчетными лицами – 76 тыс. руб. (командировочные расходы).</w:t>
      </w:r>
    </w:p>
    <w:p w:rsidR="008C3C0D" w:rsidRPr="00D92534" w:rsidRDefault="008C3C0D" w:rsidP="00900C4E">
      <w:pPr>
        <w:ind w:firstLine="720"/>
        <w:jc w:val="both"/>
      </w:pPr>
      <w:r w:rsidRPr="00D92534">
        <w:t xml:space="preserve">Из общей суммы дебиторской задолженности 1,3 тыс. руб. являются просроченной дебиторской задолженностью в связи с образовавшейся переплатой по налогу на имущество за 2018 год. </w:t>
      </w:r>
    </w:p>
    <w:p w:rsidR="008C3C0D" w:rsidRPr="00D92534" w:rsidRDefault="008C3C0D" w:rsidP="00900C4E">
      <w:pPr>
        <w:ind w:firstLine="720"/>
        <w:jc w:val="center"/>
        <w:rPr>
          <w:i/>
          <w:u w:val="single"/>
        </w:rPr>
      </w:pPr>
      <w:r w:rsidRPr="00D92534">
        <w:rPr>
          <w:i/>
          <w:u w:val="single"/>
        </w:rPr>
        <w:t>Состояние кредиторской задолженности:</w:t>
      </w:r>
    </w:p>
    <w:p w:rsidR="008C3C0D" w:rsidRPr="00D92534" w:rsidRDefault="008C3C0D" w:rsidP="002849EE">
      <w:pPr>
        <w:ind w:firstLine="720"/>
        <w:jc w:val="both"/>
      </w:pPr>
      <w:r w:rsidRPr="00D92534">
        <w:t xml:space="preserve">Кредиторская задолженность на 01.01.2020 по сравнению с началом 2019 года уменьшилась в 1,9 раза и  составила 3755,9 тыс. рублей. </w:t>
      </w:r>
    </w:p>
    <w:p w:rsidR="008C3C0D" w:rsidRPr="00D92534" w:rsidRDefault="008C3C0D" w:rsidP="002849EE">
      <w:pPr>
        <w:ind w:firstLine="720"/>
        <w:jc w:val="both"/>
      </w:pPr>
      <w:r w:rsidRPr="00D92534">
        <w:t>Наиболее крупные суммы задолженности сложились по следующим направлениям расходов:</w:t>
      </w:r>
    </w:p>
    <w:p w:rsidR="008C3C0D" w:rsidRPr="00D92534" w:rsidRDefault="008C3C0D" w:rsidP="002849EE">
      <w:pPr>
        <w:ind w:firstLine="720"/>
        <w:jc w:val="both"/>
      </w:pPr>
      <w:r w:rsidRPr="00D92534">
        <w:t>- субсидии на финансовое обеспечение выполнения государственного задания – 3491,0 тыс. руб.;</w:t>
      </w:r>
    </w:p>
    <w:p w:rsidR="008C3C0D" w:rsidRPr="00D92534" w:rsidRDefault="008C3C0D" w:rsidP="002849EE">
      <w:pPr>
        <w:ind w:firstLine="720"/>
        <w:jc w:val="both"/>
      </w:pPr>
      <w:r w:rsidRPr="00D92534">
        <w:t>- расчеты по коммунальным услугам – 150,8 тыс. руб.;</w:t>
      </w:r>
    </w:p>
    <w:p w:rsidR="008C3C0D" w:rsidRPr="00D92534" w:rsidRDefault="008C3C0D" w:rsidP="002849EE">
      <w:pPr>
        <w:ind w:firstLine="720"/>
        <w:jc w:val="both"/>
      </w:pPr>
      <w:r w:rsidRPr="00D92534">
        <w:t>- расчеты по платежам в бюджет – 74,2 тыс. рублей.</w:t>
      </w:r>
    </w:p>
    <w:p w:rsidR="008C3C0D" w:rsidRPr="00D92534" w:rsidRDefault="008C3C0D" w:rsidP="002849EE">
      <w:pPr>
        <w:ind w:firstLine="720"/>
        <w:jc w:val="both"/>
      </w:pPr>
      <w:r w:rsidRPr="00D92534">
        <w:lastRenderedPageBreak/>
        <w:t>Просроченная кредиторская задолженность по состоянию на 01.01.2020 отсутствует.</w:t>
      </w:r>
    </w:p>
    <w:p w:rsidR="008C3C0D" w:rsidRPr="00D92534" w:rsidRDefault="008C3C0D" w:rsidP="00734F07">
      <w:pPr>
        <w:tabs>
          <w:tab w:val="left" w:pos="993"/>
        </w:tabs>
        <w:autoSpaceDE w:val="0"/>
        <w:autoSpaceDN w:val="0"/>
        <w:adjustRightInd w:val="0"/>
        <w:spacing w:before="120" w:after="120"/>
        <w:ind w:firstLine="709"/>
        <w:jc w:val="center"/>
        <w:rPr>
          <w:b/>
        </w:rPr>
      </w:pPr>
      <w:r w:rsidRPr="00D92534">
        <w:rPr>
          <w:b/>
        </w:rPr>
        <w:t>Анализ исполнения мероприятий в рамках целевых программ</w:t>
      </w:r>
    </w:p>
    <w:p w:rsidR="008C3C0D" w:rsidRPr="00D92534" w:rsidRDefault="008C3C0D" w:rsidP="00734F07">
      <w:pPr>
        <w:ind w:firstLine="709"/>
        <w:jc w:val="both"/>
      </w:pPr>
      <w:r w:rsidRPr="00D92534">
        <w:t>В 2019 году Комитетом осуществлялась реализация мероприятий:</w:t>
      </w:r>
    </w:p>
    <w:p w:rsidR="008C3C0D" w:rsidRPr="00D92534" w:rsidRDefault="008C3C0D" w:rsidP="00734F07">
      <w:pPr>
        <w:ind w:firstLine="709"/>
        <w:jc w:val="both"/>
      </w:pPr>
      <w:r w:rsidRPr="00D92534">
        <w:t xml:space="preserve">- государственной </w:t>
      </w:r>
      <w:hyperlink r:id="rId7" w:history="1">
        <w:r w:rsidRPr="00D92534">
          <w:t>программы</w:t>
        </w:r>
      </w:hyperlink>
      <w:r w:rsidRPr="00D92534">
        <w:t xml:space="preserve"> Волгоградской области «Развитие культуры и туризма в Волгоградской области», утвержденной постановлением Администрации Волгоградской области  от 08.05.2015 №217-п (далее - ГП Развитие культуры, Постановление №217-п), по которой Комитет является ответственным исполнителем;</w:t>
      </w:r>
    </w:p>
    <w:p w:rsidR="008C3C0D" w:rsidRPr="00D92534" w:rsidRDefault="008C3C0D" w:rsidP="00734F07">
      <w:pPr>
        <w:ind w:firstLine="709"/>
        <w:jc w:val="both"/>
      </w:pPr>
      <w:r w:rsidRPr="00D92534">
        <w:t>- подпрограммы «Формирование доступной среды жизнедеятельности для инвалидов и маломобильных групп населения и позитивного отношения общества к проблемам инвалидов» г</w:t>
      </w:r>
      <w:r w:rsidRPr="00D92534">
        <w:rPr>
          <w:rFonts w:eastAsia="Times New Roman"/>
        </w:rPr>
        <w:t>осударственн</w:t>
      </w:r>
      <w:r w:rsidRPr="00D92534">
        <w:t>ой</w:t>
      </w:r>
      <w:r w:rsidRPr="00D92534">
        <w:rPr>
          <w:rFonts w:eastAsia="Times New Roman"/>
        </w:rPr>
        <w:t xml:space="preserve"> программ</w:t>
      </w:r>
      <w:r w:rsidRPr="00D92534">
        <w:t>ы</w:t>
      </w:r>
      <w:r w:rsidRPr="00D92534">
        <w:rPr>
          <w:rFonts w:eastAsia="Times New Roman"/>
        </w:rPr>
        <w:t xml:space="preserve"> Волгоградской области</w:t>
      </w:r>
      <w:r w:rsidRPr="00D92534">
        <w:t xml:space="preserve"> «</w:t>
      </w:r>
      <w:r w:rsidRPr="00D92534">
        <w:rPr>
          <w:rFonts w:eastAsia="Times New Roman"/>
        </w:rPr>
        <w:t xml:space="preserve">Социальная поддержка и защита </w:t>
      </w:r>
      <w:r w:rsidRPr="00D92534">
        <w:t>населения Волгоградской области», утвержденной постановлением Администрации Волгоградской области от 25.09.2017 №504-п (далее – ГП Социальная поддержка и защита населения), в качестве соисполнителя;</w:t>
      </w:r>
    </w:p>
    <w:p w:rsidR="008C3C0D" w:rsidRPr="00D92534" w:rsidRDefault="008C3C0D" w:rsidP="00734F07">
      <w:pPr>
        <w:autoSpaceDE w:val="0"/>
        <w:autoSpaceDN w:val="0"/>
        <w:adjustRightInd w:val="0"/>
        <w:ind w:firstLine="709"/>
        <w:jc w:val="both"/>
      </w:pPr>
      <w:r w:rsidRPr="00D92534">
        <w:t>- п</w:t>
      </w:r>
      <w:r w:rsidRPr="00D92534">
        <w:rPr>
          <w:rFonts w:eastAsia="Times New Roman"/>
          <w:bCs/>
          <w:lang w:eastAsia="en-US"/>
        </w:rPr>
        <w:t xml:space="preserve">одпрограммы «Повышение финансовой грамотности населения в Волгоградской области» государственной </w:t>
      </w:r>
      <w:hyperlink r:id="rId8" w:history="1">
        <w:r w:rsidRPr="00D92534">
          <w:rPr>
            <w:rFonts w:eastAsia="Times New Roman"/>
            <w:bCs/>
            <w:lang w:eastAsia="en-US"/>
          </w:rPr>
          <w:t>программ</w:t>
        </w:r>
      </w:hyperlink>
      <w:r w:rsidRPr="00D92534">
        <w:rPr>
          <w:rFonts w:eastAsia="Times New Roman"/>
          <w:bCs/>
          <w:lang w:eastAsia="en-US"/>
        </w:rPr>
        <w:t>ы Волгоградской области «Управление государственными финансами Волгоградской области», утвержденной постановлением Администрации Волгоградской области от 23.01.2017 № 10-п (далее – ГП Управление государственными финансами Волгоградской области), в качестве соисполнителя.</w:t>
      </w:r>
    </w:p>
    <w:p w:rsidR="008C3C0D" w:rsidRPr="00D92534" w:rsidRDefault="008C3C0D" w:rsidP="00734F07">
      <w:pPr>
        <w:ind w:firstLine="709"/>
        <w:jc w:val="both"/>
      </w:pPr>
      <w:r w:rsidRPr="00D92534">
        <w:t xml:space="preserve"> Обобщённые данные по финансированию указанных программ представлены в   таблице №3.</w:t>
      </w:r>
    </w:p>
    <w:p w:rsidR="008C3C0D" w:rsidRPr="00D92534" w:rsidRDefault="008C3C0D" w:rsidP="00734F07">
      <w:pPr>
        <w:ind w:firstLine="709"/>
        <w:jc w:val="right"/>
      </w:pPr>
      <w:r w:rsidRPr="00D92534">
        <w:t>Таблица №3</w:t>
      </w:r>
    </w:p>
    <w:tbl>
      <w:tblPr>
        <w:tblW w:w="9371" w:type="dxa"/>
        <w:tblLook w:val="00A0"/>
      </w:tblPr>
      <w:tblGrid>
        <w:gridCol w:w="3284"/>
        <w:gridCol w:w="1254"/>
        <w:gridCol w:w="1143"/>
        <w:gridCol w:w="1198"/>
        <w:gridCol w:w="1159"/>
        <w:gridCol w:w="1333"/>
      </w:tblGrid>
      <w:tr w:rsidR="008C3C0D" w:rsidRPr="00D92534">
        <w:trPr>
          <w:trHeight w:val="435"/>
        </w:trPr>
        <w:tc>
          <w:tcPr>
            <w:tcW w:w="3701" w:type="dxa"/>
            <w:vMerge w:val="restart"/>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jc w:val="center"/>
              <w:rPr>
                <w:sz w:val="20"/>
                <w:szCs w:val="20"/>
              </w:rPr>
            </w:pPr>
            <w:r w:rsidRPr="00D92534">
              <w:rPr>
                <w:sz w:val="20"/>
                <w:szCs w:val="20"/>
              </w:rPr>
              <w:t>Наименование ГП</w:t>
            </w:r>
          </w:p>
        </w:tc>
        <w:tc>
          <w:tcPr>
            <w:tcW w:w="3327" w:type="dxa"/>
            <w:gridSpan w:val="3"/>
            <w:tcBorders>
              <w:top w:val="single" w:sz="4" w:space="0" w:color="auto"/>
              <w:left w:val="nil"/>
              <w:bottom w:val="single" w:sz="4" w:space="0" w:color="auto"/>
              <w:right w:val="single" w:sz="4" w:space="0" w:color="auto"/>
            </w:tcBorders>
            <w:vAlign w:val="center"/>
          </w:tcPr>
          <w:p w:rsidR="008C3C0D" w:rsidRPr="00D92534" w:rsidRDefault="008C3C0D" w:rsidP="007B7FF6">
            <w:pPr>
              <w:jc w:val="center"/>
              <w:rPr>
                <w:sz w:val="20"/>
                <w:szCs w:val="20"/>
              </w:rPr>
            </w:pPr>
            <w:r w:rsidRPr="00D92534">
              <w:rPr>
                <w:sz w:val="20"/>
                <w:szCs w:val="20"/>
              </w:rPr>
              <w:t>Утверждено</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jc w:val="center"/>
              <w:rPr>
                <w:sz w:val="20"/>
                <w:szCs w:val="20"/>
              </w:rPr>
            </w:pPr>
            <w:r w:rsidRPr="00D92534">
              <w:rPr>
                <w:sz w:val="20"/>
                <w:szCs w:val="20"/>
              </w:rPr>
              <w:t>Исполнено</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jc w:val="center"/>
              <w:rPr>
                <w:sz w:val="20"/>
                <w:szCs w:val="20"/>
              </w:rPr>
            </w:pPr>
            <w:r w:rsidRPr="00D92534">
              <w:rPr>
                <w:sz w:val="20"/>
                <w:szCs w:val="20"/>
              </w:rPr>
              <w:t>Исполнено от бюджетной росписи  (%)</w:t>
            </w:r>
          </w:p>
        </w:tc>
      </w:tr>
      <w:tr w:rsidR="008C3C0D" w:rsidRPr="00D92534">
        <w:trPr>
          <w:trHeight w:val="227"/>
        </w:trPr>
        <w:tc>
          <w:tcPr>
            <w:tcW w:w="3701"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sz w:val="20"/>
                <w:szCs w:val="20"/>
              </w:rPr>
            </w:pPr>
          </w:p>
        </w:tc>
        <w:tc>
          <w:tcPr>
            <w:tcW w:w="1118" w:type="dxa"/>
            <w:tcBorders>
              <w:top w:val="nil"/>
              <w:left w:val="nil"/>
              <w:bottom w:val="single" w:sz="4" w:space="0" w:color="auto"/>
              <w:right w:val="single" w:sz="4" w:space="0" w:color="auto"/>
            </w:tcBorders>
          </w:tcPr>
          <w:p w:rsidR="008C3C0D" w:rsidRPr="00D92534" w:rsidRDefault="008C3C0D" w:rsidP="007B7FF6">
            <w:pPr>
              <w:jc w:val="center"/>
              <w:rPr>
                <w:sz w:val="20"/>
                <w:szCs w:val="20"/>
              </w:rPr>
            </w:pPr>
            <w:r w:rsidRPr="00D92534">
              <w:rPr>
                <w:sz w:val="20"/>
                <w:szCs w:val="20"/>
              </w:rPr>
              <w:t>программой</w:t>
            </w:r>
          </w:p>
        </w:tc>
        <w:tc>
          <w:tcPr>
            <w:tcW w:w="1150" w:type="dxa"/>
            <w:tcBorders>
              <w:top w:val="nil"/>
              <w:left w:val="nil"/>
              <w:bottom w:val="single" w:sz="4" w:space="0" w:color="auto"/>
              <w:right w:val="single" w:sz="4" w:space="0" w:color="auto"/>
            </w:tcBorders>
          </w:tcPr>
          <w:p w:rsidR="008C3C0D" w:rsidRPr="00D92534" w:rsidRDefault="008C3C0D" w:rsidP="007B7FF6">
            <w:pPr>
              <w:jc w:val="center"/>
              <w:rPr>
                <w:sz w:val="20"/>
                <w:szCs w:val="20"/>
              </w:rPr>
            </w:pPr>
            <w:r w:rsidRPr="00D92534">
              <w:rPr>
                <w:sz w:val="20"/>
                <w:szCs w:val="20"/>
              </w:rPr>
              <w:t>Законом об областном бюджете</w:t>
            </w:r>
          </w:p>
        </w:tc>
        <w:tc>
          <w:tcPr>
            <w:tcW w:w="1059" w:type="dxa"/>
            <w:tcBorders>
              <w:top w:val="nil"/>
              <w:left w:val="nil"/>
              <w:bottom w:val="single" w:sz="4" w:space="0" w:color="auto"/>
              <w:right w:val="single" w:sz="4" w:space="0" w:color="auto"/>
            </w:tcBorders>
          </w:tcPr>
          <w:p w:rsidR="008C3C0D" w:rsidRPr="00D92534" w:rsidRDefault="008C3C0D" w:rsidP="007B7FF6">
            <w:pPr>
              <w:jc w:val="center"/>
              <w:rPr>
                <w:sz w:val="20"/>
                <w:szCs w:val="20"/>
              </w:rPr>
            </w:pPr>
            <w:r w:rsidRPr="00D92534">
              <w:rPr>
                <w:sz w:val="20"/>
                <w:szCs w:val="20"/>
              </w:rPr>
              <w:t>бюджетной росписью</w:t>
            </w:r>
          </w:p>
        </w:tc>
        <w:tc>
          <w:tcPr>
            <w:tcW w:w="971"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tcPr>
          <w:p w:rsidR="008C3C0D" w:rsidRPr="00D92534" w:rsidRDefault="008C3C0D" w:rsidP="007B7FF6">
            <w:pPr>
              <w:rPr>
                <w:sz w:val="20"/>
                <w:szCs w:val="20"/>
              </w:rPr>
            </w:pPr>
          </w:p>
        </w:tc>
      </w:tr>
      <w:tr w:rsidR="008C3C0D" w:rsidRPr="00D92534">
        <w:trPr>
          <w:trHeight w:val="255"/>
        </w:trPr>
        <w:tc>
          <w:tcPr>
            <w:tcW w:w="370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sz w:val="20"/>
                <w:szCs w:val="20"/>
              </w:rPr>
            </w:pPr>
            <w:r w:rsidRPr="00D92534">
              <w:rPr>
                <w:sz w:val="20"/>
                <w:szCs w:val="20"/>
              </w:rPr>
              <w:t>ГП Развитие культуры</w:t>
            </w:r>
          </w:p>
        </w:tc>
        <w:tc>
          <w:tcPr>
            <w:tcW w:w="1118"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1535031,9</w:t>
            </w:r>
          </w:p>
        </w:tc>
        <w:tc>
          <w:tcPr>
            <w:tcW w:w="1150"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1535031,9</w:t>
            </w:r>
          </w:p>
        </w:tc>
        <w:tc>
          <w:tcPr>
            <w:tcW w:w="1059"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1535031,9</w:t>
            </w:r>
          </w:p>
        </w:tc>
        <w:tc>
          <w:tcPr>
            <w:tcW w:w="971"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1512631,6</w:t>
            </w:r>
          </w:p>
        </w:tc>
        <w:tc>
          <w:tcPr>
            <w:tcW w:w="1372"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98,5</w:t>
            </w:r>
          </w:p>
        </w:tc>
      </w:tr>
      <w:tr w:rsidR="008C3C0D" w:rsidRPr="00D92534">
        <w:trPr>
          <w:trHeight w:val="70"/>
        </w:trPr>
        <w:tc>
          <w:tcPr>
            <w:tcW w:w="370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sz w:val="20"/>
                <w:szCs w:val="20"/>
              </w:rPr>
            </w:pPr>
            <w:r w:rsidRPr="00D92534">
              <w:rPr>
                <w:sz w:val="20"/>
                <w:szCs w:val="20"/>
              </w:rPr>
              <w:t>ГП Социальная поддержка и защита населения</w:t>
            </w:r>
          </w:p>
        </w:tc>
        <w:tc>
          <w:tcPr>
            <w:tcW w:w="1118"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1100,0</w:t>
            </w:r>
          </w:p>
        </w:tc>
        <w:tc>
          <w:tcPr>
            <w:tcW w:w="1150"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1100,0</w:t>
            </w:r>
          </w:p>
        </w:tc>
        <w:tc>
          <w:tcPr>
            <w:tcW w:w="1059"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1100,0</w:t>
            </w:r>
          </w:p>
        </w:tc>
        <w:tc>
          <w:tcPr>
            <w:tcW w:w="971"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1100,0</w:t>
            </w:r>
          </w:p>
        </w:tc>
        <w:tc>
          <w:tcPr>
            <w:tcW w:w="1372"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100,0</w:t>
            </w:r>
          </w:p>
        </w:tc>
      </w:tr>
      <w:tr w:rsidR="008C3C0D" w:rsidRPr="00D92534">
        <w:trPr>
          <w:trHeight w:val="493"/>
        </w:trPr>
        <w:tc>
          <w:tcPr>
            <w:tcW w:w="370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sz w:val="20"/>
                <w:szCs w:val="20"/>
              </w:rPr>
            </w:pPr>
            <w:r w:rsidRPr="00D92534">
              <w:rPr>
                <w:sz w:val="20"/>
                <w:szCs w:val="20"/>
              </w:rPr>
              <w:t>ГП Управление государственными финансами Волгоградской области</w:t>
            </w:r>
          </w:p>
        </w:tc>
        <w:tc>
          <w:tcPr>
            <w:tcW w:w="1118"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2000,0</w:t>
            </w:r>
          </w:p>
        </w:tc>
        <w:tc>
          <w:tcPr>
            <w:tcW w:w="1150"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2000,0</w:t>
            </w:r>
          </w:p>
        </w:tc>
        <w:tc>
          <w:tcPr>
            <w:tcW w:w="1059"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2000,0</w:t>
            </w:r>
          </w:p>
        </w:tc>
        <w:tc>
          <w:tcPr>
            <w:tcW w:w="971"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1540,8</w:t>
            </w:r>
          </w:p>
        </w:tc>
        <w:tc>
          <w:tcPr>
            <w:tcW w:w="1372"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77,0</w:t>
            </w:r>
          </w:p>
        </w:tc>
      </w:tr>
      <w:tr w:rsidR="008C3C0D" w:rsidRPr="00D92534">
        <w:trPr>
          <w:trHeight w:val="255"/>
        </w:trPr>
        <w:tc>
          <w:tcPr>
            <w:tcW w:w="370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sz w:val="20"/>
                <w:szCs w:val="20"/>
              </w:rPr>
            </w:pPr>
            <w:r w:rsidRPr="00D92534">
              <w:rPr>
                <w:sz w:val="20"/>
                <w:szCs w:val="20"/>
              </w:rPr>
              <w:t>Итого по ГП</w:t>
            </w:r>
          </w:p>
        </w:tc>
        <w:tc>
          <w:tcPr>
            <w:tcW w:w="1118"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1538131,9</w:t>
            </w:r>
          </w:p>
        </w:tc>
        <w:tc>
          <w:tcPr>
            <w:tcW w:w="1150"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1538131,9</w:t>
            </w:r>
          </w:p>
        </w:tc>
        <w:tc>
          <w:tcPr>
            <w:tcW w:w="1059"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1538131,9</w:t>
            </w:r>
          </w:p>
        </w:tc>
        <w:tc>
          <w:tcPr>
            <w:tcW w:w="971"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1515272,4</w:t>
            </w:r>
          </w:p>
        </w:tc>
        <w:tc>
          <w:tcPr>
            <w:tcW w:w="1372"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98,5</w:t>
            </w:r>
          </w:p>
        </w:tc>
      </w:tr>
      <w:tr w:rsidR="008C3C0D" w:rsidRPr="00D92534">
        <w:trPr>
          <w:trHeight w:val="86"/>
        </w:trPr>
        <w:tc>
          <w:tcPr>
            <w:tcW w:w="370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sz w:val="20"/>
                <w:szCs w:val="20"/>
              </w:rPr>
            </w:pPr>
            <w:r w:rsidRPr="00D92534">
              <w:rPr>
                <w:sz w:val="20"/>
                <w:szCs w:val="20"/>
              </w:rPr>
              <w:t>ВСЕГО расходы  Комитета</w:t>
            </w:r>
          </w:p>
        </w:tc>
        <w:tc>
          <w:tcPr>
            <w:tcW w:w="1118"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Х</w:t>
            </w:r>
          </w:p>
        </w:tc>
        <w:tc>
          <w:tcPr>
            <w:tcW w:w="1150"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1579478,3</w:t>
            </w:r>
          </w:p>
        </w:tc>
        <w:tc>
          <w:tcPr>
            <w:tcW w:w="1059"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1580289,6</w:t>
            </w:r>
          </w:p>
        </w:tc>
        <w:tc>
          <w:tcPr>
            <w:tcW w:w="971"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1556353,4</w:t>
            </w:r>
          </w:p>
        </w:tc>
        <w:tc>
          <w:tcPr>
            <w:tcW w:w="1372"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98,5</w:t>
            </w:r>
          </w:p>
        </w:tc>
      </w:tr>
      <w:tr w:rsidR="008C3C0D" w:rsidRPr="00D92534">
        <w:trPr>
          <w:trHeight w:val="173"/>
        </w:trPr>
        <w:tc>
          <w:tcPr>
            <w:tcW w:w="3701" w:type="dxa"/>
            <w:tcBorders>
              <w:top w:val="nil"/>
              <w:left w:val="single" w:sz="4" w:space="0" w:color="auto"/>
              <w:bottom w:val="single" w:sz="4" w:space="0" w:color="auto"/>
              <w:right w:val="single" w:sz="4" w:space="0" w:color="auto"/>
            </w:tcBorders>
            <w:vAlign w:val="bottom"/>
          </w:tcPr>
          <w:p w:rsidR="008C3C0D" w:rsidRPr="00D92534" w:rsidRDefault="008C3C0D" w:rsidP="007B7FF6">
            <w:pPr>
              <w:rPr>
                <w:sz w:val="20"/>
                <w:szCs w:val="20"/>
              </w:rPr>
            </w:pPr>
            <w:r w:rsidRPr="00D92534">
              <w:rPr>
                <w:sz w:val="20"/>
                <w:szCs w:val="20"/>
              </w:rPr>
              <w:t xml:space="preserve">Доля программных расходов в общих расходах Комитета </w:t>
            </w:r>
          </w:p>
        </w:tc>
        <w:tc>
          <w:tcPr>
            <w:tcW w:w="1118"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Х</w:t>
            </w:r>
          </w:p>
        </w:tc>
        <w:tc>
          <w:tcPr>
            <w:tcW w:w="1150"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Х</w:t>
            </w:r>
          </w:p>
        </w:tc>
        <w:tc>
          <w:tcPr>
            <w:tcW w:w="1059"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97,3</w:t>
            </w:r>
          </w:p>
        </w:tc>
        <w:tc>
          <w:tcPr>
            <w:tcW w:w="971"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97,4</w:t>
            </w:r>
          </w:p>
        </w:tc>
        <w:tc>
          <w:tcPr>
            <w:tcW w:w="1372" w:type="dxa"/>
            <w:tcBorders>
              <w:top w:val="nil"/>
              <w:left w:val="nil"/>
              <w:bottom w:val="single" w:sz="4" w:space="0" w:color="auto"/>
              <w:right w:val="single" w:sz="4" w:space="0" w:color="auto"/>
            </w:tcBorders>
            <w:vAlign w:val="bottom"/>
          </w:tcPr>
          <w:p w:rsidR="008C3C0D" w:rsidRPr="00D92534" w:rsidRDefault="008C3C0D" w:rsidP="007B7FF6">
            <w:pPr>
              <w:jc w:val="center"/>
              <w:rPr>
                <w:sz w:val="20"/>
                <w:szCs w:val="20"/>
              </w:rPr>
            </w:pPr>
            <w:r w:rsidRPr="00D92534">
              <w:rPr>
                <w:sz w:val="20"/>
                <w:szCs w:val="20"/>
              </w:rPr>
              <w:t>Х</w:t>
            </w:r>
          </w:p>
        </w:tc>
      </w:tr>
    </w:tbl>
    <w:p w:rsidR="008C3C0D" w:rsidRPr="00D92534" w:rsidRDefault="008C3C0D" w:rsidP="00734F07">
      <w:pPr>
        <w:spacing w:before="120" w:after="120"/>
        <w:ind w:firstLine="709"/>
        <w:jc w:val="center"/>
        <w:rPr>
          <w:i/>
        </w:rPr>
      </w:pPr>
      <w:r w:rsidRPr="00D92534">
        <w:rPr>
          <w:i/>
        </w:rPr>
        <w:t xml:space="preserve"> ГП Развитие культуры</w:t>
      </w:r>
    </w:p>
    <w:p w:rsidR="008C3C0D" w:rsidRPr="00D92534" w:rsidRDefault="008C3C0D" w:rsidP="00734F07">
      <w:pPr>
        <w:ind w:firstLine="567"/>
        <w:jc w:val="both"/>
        <w:rPr>
          <w:b/>
        </w:rPr>
      </w:pPr>
      <w:r w:rsidRPr="00D92534">
        <w:t>Основная доля программных расходов 1512631,6 тыс. руб., или 99,8% от всех программных расходов Комитета направлена на реализацию мероприятий ГП Развитие культуры.</w:t>
      </w:r>
    </w:p>
    <w:p w:rsidR="008C3C0D" w:rsidRPr="00D92534" w:rsidRDefault="008C3C0D" w:rsidP="00734F07">
      <w:pPr>
        <w:ind w:firstLine="709"/>
        <w:jc w:val="both"/>
      </w:pPr>
      <w:r w:rsidRPr="00D92534">
        <w:t xml:space="preserve">Соисполнителями по ГП Развитие культуры являлись комитет государственной охраны объектов культурного наследия Волгоградской области (далее Облкультнаследие), комитет строительства Волгоградской области (далее Комитет строительства). </w:t>
      </w:r>
    </w:p>
    <w:p w:rsidR="008C3C0D" w:rsidRPr="00D92534" w:rsidRDefault="008C3C0D" w:rsidP="00734F07">
      <w:pPr>
        <w:autoSpaceDE w:val="0"/>
        <w:autoSpaceDN w:val="0"/>
        <w:adjustRightInd w:val="0"/>
        <w:ind w:firstLine="709"/>
        <w:jc w:val="both"/>
      </w:pPr>
      <w:r w:rsidRPr="00D92534">
        <w:t xml:space="preserve">Бюджетной росписью Комитета финансирование государственной программы на 2019 год предусмотрено в сумме 1535031,9 тыс. руб., что соответствует  объему бюджетных ассигнований, утвержденных Законом об областном бюджете на 2019 год.  Кассовый расход произведен в размере 1512631,6 тыс. руб., или 98,5% от утвержденных бюджетной росписью назначений. </w:t>
      </w:r>
    </w:p>
    <w:p w:rsidR="008C3C0D" w:rsidRPr="00D92534" w:rsidRDefault="008C3C0D" w:rsidP="00734F07">
      <w:pPr>
        <w:ind w:firstLine="708"/>
        <w:jc w:val="both"/>
        <w:rPr>
          <w:i/>
        </w:rPr>
      </w:pPr>
      <w:r w:rsidRPr="00D92534">
        <w:t>Основную долю расходов в ГП Развитие культуры составили расходы на предоставление субсидии на выполнение государственного задания 1225345,2 тыс. руб., или 81% от всех расходов на ГП Развитие культуры, и субсидии на иные цели подведомственным учреждениям 50675,8 тыс. руб., или 3,4 процента</w:t>
      </w:r>
      <w:r w:rsidRPr="00D92534">
        <w:rPr>
          <w:i/>
        </w:rPr>
        <w:t>.</w:t>
      </w:r>
    </w:p>
    <w:p w:rsidR="008C3C0D" w:rsidRPr="00D92534" w:rsidRDefault="008C3C0D" w:rsidP="00A332D1">
      <w:pPr>
        <w:autoSpaceDE w:val="0"/>
        <w:autoSpaceDN w:val="0"/>
        <w:adjustRightInd w:val="0"/>
        <w:ind w:firstLine="709"/>
        <w:jc w:val="both"/>
        <w:rPr>
          <w:rFonts w:eastAsia="Times New Roman"/>
          <w:lang w:eastAsia="en-US"/>
        </w:rPr>
      </w:pPr>
      <w:r w:rsidRPr="00D92534">
        <w:lastRenderedPageBreak/>
        <w:t>Остатки на счетах бюджетных и автономных учреждений за 2019 год по бюджетной деятельности увеличились на 1225,1 тыс. руб., или на 14,0 % (с 8728 тыс. руб. до 9953,1 тыс. руб.). Остатки средств по субсидии на выполнение государственного задания увеличились на 2367,2 тыс. руб. или на 41,5 % (с 5701,1 тыс. руб. до 8068,3 тыс. руб.), по субсидии на иные цели уменьшились на 1142,1 тыс. руб. или на 37,7% (с 3026,9 тыс. руб. до 1884,8 ты</w:t>
      </w:r>
      <w:r w:rsidR="001F1B86" w:rsidRPr="00D92534">
        <w:t>с. руб.). Доля остатков средств</w:t>
      </w:r>
      <w:r w:rsidRPr="00D92534">
        <w:t xml:space="preserve"> в общей сумме перечисленных подведомственным учреждениям субсидий (1279971,1 тыс. руб.) составляет 0,8 %, в том числе по субсидии на выполнение государственного задания 0,7 %, по субсидии на иные цели – 3,5 процента.   </w:t>
      </w:r>
      <w:r w:rsidRPr="00D92534">
        <w:rPr>
          <w:rFonts w:eastAsia="Times New Roman"/>
          <w:lang w:eastAsia="en-US"/>
        </w:rPr>
        <w:t>Постановлением Администрации Волгоградской области от 30.12.2015 № 818-п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Волгоградской области и финансовом обеспечении выполнения государственного задания»</w:t>
      </w:r>
      <w:r w:rsidR="00C33A16" w:rsidRPr="00D92534">
        <w:rPr>
          <w:rFonts w:eastAsia="Times New Roman"/>
          <w:lang w:eastAsia="en-US"/>
        </w:rPr>
        <w:t xml:space="preserve"> (далее – Постановление №818-п)</w:t>
      </w:r>
      <w:r w:rsidRPr="00D92534">
        <w:rPr>
          <w:rFonts w:eastAsia="Times New Roman"/>
          <w:lang w:eastAsia="en-US"/>
        </w:rPr>
        <w:t xml:space="preserve"> возврат остатков неиспользованной субсидии при выполнении подведомственным учреждением государственного задания не предусмотрен. По неиспользованным остаткам </w:t>
      </w:r>
      <w:r w:rsidR="00C62D86" w:rsidRPr="00D92534">
        <w:rPr>
          <w:rFonts w:eastAsia="Times New Roman"/>
          <w:lang w:eastAsia="en-US"/>
        </w:rPr>
        <w:t>субсидии на иные цели Комитетом</w:t>
      </w:r>
      <w:r w:rsidRPr="00D92534">
        <w:rPr>
          <w:rFonts w:eastAsia="Times New Roman"/>
          <w:lang w:eastAsia="en-US"/>
        </w:rPr>
        <w:t xml:space="preserve"> в соответствие с п.2 Порядка взыскания неиспользованных остатков субсидий, предоставленных из бюджета Волгоградской области государственным бюджетным и автономным учреждениям Волгоградской области, государственным унитарным предприятиям Волгоградской области, лицевые счета которым открыты в Управлении Федерального казначейства по Волгоградской области, утвержденного прика</w:t>
      </w:r>
      <w:r w:rsidR="00C62D86" w:rsidRPr="00D92534">
        <w:rPr>
          <w:rFonts w:eastAsia="Times New Roman"/>
          <w:lang w:eastAsia="en-US"/>
        </w:rPr>
        <w:t>зом Облфина от 02.06.2016 № 204</w:t>
      </w:r>
      <w:r w:rsidRPr="00D92534">
        <w:rPr>
          <w:rFonts w:eastAsia="Times New Roman"/>
          <w:lang w:eastAsia="en-US"/>
        </w:rPr>
        <w:t xml:space="preserve"> решение о наличии потребности в направлении их на те же цели в текущем финансовом году будет приниматься в 2020 году. </w:t>
      </w:r>
      <w:r w:rsidR="00C62D86" w:rsidRPr="00D92534">
        <w:rPr>
          <w:rFonts w:eastAsia="Times New Roman"/>
          <w:lang w:eastAsia="en-US"/>
        </w:rPr>
        <w:t>Так, в</w:t>
      </w:r>
      <w:r w:rsidRPr="00D92534">
        <w:rPr>
          <w:rFonts w:eastAsia="Times New Roman"/>
          <w:lang w:eastAsia="en-US"/>
        </w:rPr>
        <w:t xml:space="preserve"> 2019 году по остатку субсидии на иные цели сложившегося на 01.01.2019 в сумме 3026,9 тыс. руб.</w:t>
      </w:r>
      <w:r w:rsidR="00BB4EEF" w:rsidRPr="00D92534">
        <w:rPr>
          <w:rFonts w:eastAsia="Times New Roman"/>
          <w:lang w:eastAsia="en-US"/>
        </w:rPr>
        <w:t>,</w:t>
      </w:r>
      <w:r w:rsidRPr="00D92534">
        <w:rPr>
          <w:rFonts w:eastAsia="Times New Roman"/>
          <w:lang w:eastAsia="en-US"/>
        </w:rPr>
        <w:t xml:space="preserve"> Комитетом было принято решение о использовании его в полном объеме на те же цели в отчетном году.</w:t>
      </w:r>
    </w:p>
    <w:p w:rsidR="008C3C0D" w:rsidRPr="00D92534" w:rsidRDefault="008C3C0D" w:rsidP="00734F07">
      <w:pPr>
        <w:ind w:firstLine="708"/>
        <w:jc w:val="both"/>
      </w:pPr>
      <w:r w:rsidRPr="00D92534">
        <w:t>При этом их кредиторская задолженность по бюджетной деятельности за 2019 год уменьшилась на 7471,6 тыс. руб., или в 2,3 раза (с 13386,3 тыс. руб. до 5914,7 тыс. руб.).</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В соответствии с таблицей 1 «Сведения о достижении значений целевых показателей» годового доклада о ходе реализации и оценке эффективности реализации ГП Развитие культуры запланировано достижение значений 31 целевого показателя программы, из которых перевыполнены 14  показателей, выполнены – 4, не выполнены –13 </w:t>
      </w:r>
      <w:r w:rsidR="00311278" w:rsidRPr="00D92534">
        <w:rPr>
          <w:rFonts w:eastAsia="Times New Roman"/>
          <w:lang w:eastAsia="en-US"/>
        </w:rPr>
        <w:t xml:space="preserve">(42%) </w:t>
      </w:r>
      <w:r w:rsidRPr="00D92534">
        <w:rPr>
          <w:rFonts w:eastAsia="Times New Roman"/>
          <w:lang w:eastAsia="en-US"/>
        </w:rPr>
        <w:t>(приложение №4).</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Согласно пояснениям Комитета причинами невыполнения 13 целевых показателей программы являются:</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 </w:t>
      </w:r>
      <w:r w:rsidRPr="00D92534">
        <w:rPr>
          <w:rFonts w:eastAsia="Times New Roman"/>
          <w:i/>
          <w:lang w:eastAsia="en-US"/>
        </w:rPr>
        <w:t>«Доля зданий учреждений культуры, находящихся в удовлетворительном состоянии, в общем количестве зданий данных учреждений»</w:t>
      </w:r>
      <w:r w:rsidRPr="00D92534">
        <w:rPr>
          <w:rFonts w:eastAsia="Times New Roman"/>
          <w:lang w:eastAsia="en-US"/>
        </w:rPr>
        <w:t xml:space="preserve"> при плане 93,1 % выполнено 92,8 % по причине уменьшения общего количества зданий учреждений культуры, в связи с переходом </w:t>
      </w:r>
      <w:r w:rsidR="00C62D86" w:rsidRPr="00D92534">
        <w:t>(в большей части находящихся в удовлетворительном состоянии)</w:t>
      </w:r>
      <w:r w:rsidR="00C62D86" w:rsidRPr="00D92534">
        <w:rPr>
          <w:rFonts w:eastAsia="Times New Roman"/>
          <w:lang w:eastAsia="en-US"/>
        </w:rPr>
        <w:t xml:space="preserve"> – </w:t>
      </w:r>
      <w:r w:rsidRPr="00D92534">
        <w:rPr>
          <w:rFonts w:eastAsia="Times New Roman"/>
          <w:lang w:eastAsia="en-US"/>
        </w:rPr>
        <w:t>в другие ведомства;</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 </w:t>
      </w:r>
      <w:r w:rsidRPr="00D92534">
        <w:rPr>
          <w:rFonts w:eastAsia="Times New Roman"/>
          <w:i/>
          <w:lang w:eastAsia="en-US"/>
        </w:rPr>
        <w:t>«Доля публичных библиотек, подключенных к информационно-телекоммуникационной сети Интернет, в общем количестве библиотек Волгоградской области»</w:t>
      </w:r>
      <w:r w:rsidRPr="00D92534">
        <w:rPr>
          <w:rFonts w:eastAsia="Times New Roman"/>
          <w:lang w:eastAsia="en-US"/>
        </w:rPr>
        <w:t xml:space="preserve"> при плане 90,2 % выполнено 74,4% по причине отсутствия технической возможности зон доступа связи;</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 </w:t>
      </w:r>
      <w:r w:rsidRPr="00D92534">
        <w:rPr>
          <w:rFonts w:eastAsia="Times New Roman"/>
          <w:i/>
          <w:lang w:eastAsia="en-US"/>
        </w:rPr>
        <w:t>«Охват населения библиотечным обслуживанием»</w:t>
      </w:r>
      <w:r w:rsidRPr="00D92534">
        <w:rPr>
          <w:rFonts w:eastAsia="Times New Roman"/>
          <w:lang w:eastAsia="en-US"/>
        </w:rPr>
        <w:t xml:space="preserve"> при плане 34,81 % выполнено 30,1 % по причине закрытия 3 общедоступных муниципальных библиотек;</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 </w:t>
      </w:r>
      <w:r w:rsidRPr="00D92534">
        <w:rPr>
          <w:rFonts w:eastAsia="Times New Roman"/>
          <w:i/>
          <w:lang w:eastAsia="en-US"/>
        </w:rPr>
        <w:t>«Доля представленных (во всех формах) зрителю музейных предметов в общем количестве музейных предметов основного фонда»</w:t>
      </w:r>
      <w:r w:rsidRPr="00D92534">
        <w:rPr>
          <w:rFonts w:eastAsia="Times New Roman"/>
          <w:lang w:eastAsia="en-US"/>
        </w:rPr>
        <w:t xml:space="preserve"> при плане 34,2% выполнено 34,0 % по причине недостаточности выставочных площадей в муниципальных музеях;</w:t>
      </w:r>
    </w:p>
    <w:p w:rsidR="008C3C0D" w:rsidRPr="00D92534" w:rsidRDefault="008C3C0D" w:rsidP="00F02AAF">
      <w:pPr>
        <w:autoSpaceDE w:val="0"/>
        <w:autoSpaceDN w:val="0"/>
        <w:adjustRightInd w:val="0"/>
        <w:jc w:val="both"/>
        <w:rPr>
          <w:rFonts w:eastAsia="Times New Roman"/>
          <w:lang w:eastAsia="en-US"/>
        </w:rPr>
      </w:pPr>
      <w:r w:rsidRPr="00D92534">
        <w:rPr>
          <w:rFonts w:eastAsia="Times New Roman"/>
          <w:lang w:eastAsia="en-US"/>
        </w:rPr>
        <w:t xml:space="preserve">- показатели </w:t>
      </w:r>
      <w:r w:rsidRPr="00D92534">
        <w:rPr>
          <w:rFonts w:eastAsia="Times New Roman"/>
          <w:i/>
          <w:lang w:eastAsia="en-US"/>
        </w:rPr>
        <w:t xml:space="preserve">«Доля объектов культурного наследия (памятников истории и культуры) с утвержденным предметом охраны от общего количества объектов культурного наследия, расположенных на территории Волгоградской области», «Доля объектов культурного наследия (памятников истории и культуры) с установленными границами территории от общего количества объектов культурного наследия, расположенных на территории Волгоградской области» </w:t>
      </w:r>
      <w:r w:rsidRPr="00D92534">
        <w:rPr>
          <w:rFonts w:eastAsia="Times New Roman"/>
          <w:lang w:eastAsia="en-US"/>
        </w:rPr>
        <w:t>и</w:t>
      </w:r>
      <w:r w:rsidRPr="00D92534">
        <w:rPr>
          <w:rFonts w:eastAsia="Times New Roman"/>
          <w:i/>
          <w:lang w:eastAsia="en-US"/>
        </w:rPr>
        <w:t xml:space="preserve"> «Доля объектов культурного наследия (памятников истории и </w:t>
      </w:r>
      <w:r w:rsidRPr="00D92534">
        <w:rPr>
          <w:rFonts w:eastAsia="Times New Roman"/>
          <w:i/>
          <w:lang w:eastAsia="en-US"/>
        </w:rPr>
        <w:lastRenderedPageBreak/>
        <w:t>культуры) с утвержденными охранными обязательствами от общего количества объектов культурного наследия, расположенных на территории Волгоградской области, требующих обеспечения охранными обязательствами»</w:t>
      </w:r>
      <w:r w:rsidRPr="00D92534">
        <w:rPr>
          <w:rFonts w:eastAsia="Times New Roman"/>
          <w:lang w:eastAsia="en-US"/>
        </w:rPr>
        <w:t xml:space="preserve"> не достигнуты по причине недостаточности трудовых ресурсов в сфере культурного наследия (исполнитель - комитет государственной охраны объектов культурного наследия Волгоградской области);</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 показатели </w:t>
      </w:r>
      <w:r w:rsidRPr="00D92534">
        <w:rPr>
          <w:rFonts w:eastAsia="Times New Roman"/>
          <w:i/>
          <w:lang w:eastAsia="en-US"/>
        </w:rPr>
        <w:t>«Увеличение количества посещений театрально-концертных мероприятий (по сравнению с предыдущим годом)», «Доля театральных мероприятий для детей в общем количестве выездных мероприятий и гастролей театров в России» и «Количество проведенных за пределами своей территории в России гастролей концертных организаций, самостоятельных коллективов и театров»</w:t>
      </w:r>
      <w:r w:rsidRPr="00D92534">
        <w:rPr>
          <w:rFonts w:eastAsia="Times New Roman"/>
          <w:lang w:eastAsia="en-US"/>
        </w:rPr>
        <w:t xml:space="preserve"> не достигнуты по причине уменьшения количества мероприятий в 2019 году по сравнению с 2018 годом, в котором на территории Волгоградской области проводились Чемпионат мира по футболу и мероприятия Года театра;</w:t>
      </w:r>
    </w:p>
    <w:p w:rsidR="008C3C0D" w:rsidRPr="00D92534" w:rsidRDefault="008C3C0D" w:rsidP="00B17090">
      <w:pPr>
        <w:autoSpaceDE w:val="0"/>
        <w:autoSpaceDN w:val="0"/>
        <w:adjustRightInd w:val="0"/>
        <w:jc w:val="both"/>
        <w:rPr>
          <w:rFonts w:eastAsia="Times New Roman"/>
          <w:lang w:eastAsia="en-US"/>
        </w:rPr>
      </w:pPr>
      <w:r w:rsidRPr="00D92534">
        <w:rPr>
          <w:rFonts w:eastAsia="Times New Roman"/>
          <w:lang w:eastAsia="en-US"/>
        </w:rPr>
        <w:t xml:space="preserve">- показатели </w:t>
      </w:r>
      <w:r w:rsidRPr="00D92534">
        <w:rPr>
          <w:rFonts w:eastAsia="Times New Roman"/>
          <w:i/>
          <w:lang w:eastAsia="en-US"/>
        </w:rPr>
        <w:t>«Средняя численность детей от 7 до 15 лет, обучающихся в детских школах искусств (на 1 тыс. человек указанной категории)»</w:t>
      </w:r>
      <w:r w:rsidRPr="00D92534">
        <w:rPr>
          <w:rFonts w:eastAsia="Times New Roman"/>
          <w:lang w:eastAsia="en-US"/>
        </w:rPr>
        <w:t xml:space="preserve"> и </w:t>
      </w:r>
      <w:r w:rsidRPr="00D92534">
        <w:rPr>
          <w:rFonts w:eastAsia="Times New Roman"/>
          <w:i/>
          <w:lang w:eastAsia="en-US"/>
        </w:rPr>
        <w:t xml:space="preserve">«Доля детей, обучающихся в детских музыкальных школах, в общей численности обучающихся детей Волгоградской области» </w:t>
      </w:r>
      <w:r w:rsidRPr="00D92534">
        <w:rPr>
          <w:rFonts w:eastAsia="Times New Roman"/>
          <w:lang w:eastAsia="en-US"/>
        </w:rPr>
        <w:t>формируются на основании данных официальной ведомственной и статистической отчетности, представляемых в Комитет и не достигнуты по причине изменений в 2019 году порядка статистического учета и не отражения в нем информации о детях, обучающихся в 6 муниципальных учреждениях дополнительного образования, относящихся к сфере образования, и использовавшейся ранее для расчета данных показателей</w:t>
      </w:r>
      <w:r w:rsidR="009C6CE1" w:rsidRPr="00D92534">
        <w:rPr>
          <w:rFonts w:eastAsia="Times New Roman"/>
          <w:lang w:eastAsia="en-US"/>
        </w:rPr>
        <w:t xml:space="preserve">. </w:t>
      </w:r>
      <w:r w:rsidR="000B4779" w:rsidRPr="00D92534">
        <w:rPr>
          <w:rFonts w:eastAsia="Times New Roman"/>
          <w:lang w:eastAsia="en-US"/>
        </w:rPr>
        <w:t>Следует отметить, что</w:t>
      </w:r>
      <w:r w:rsidR="005E249F" w:rsidRPr="00D92534">
        <w:rPr>
          <w:rFonts w:eastAsia="Times New Roman"/>
          <w:lang w:eastAsia="en-US"/>
        </w:rPr>
        <w:t xml:space="preserve"> изменения были внесены</w:t>
      </w:r>
      <w:r w:rsidR="001F4BF0" w:rsidRPr="00D92534">
        <w:t xml:space="preserve"> приказом Росстата от 04.04.2019 № 195 «Об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детских музыкальных, художественных, хореографических школ и школ искусств» в апреле 2019 года, но небыли учтены Комитетом</w:t>
      </w:r>
      <w:r w:rsidR="009C6CE1" w:rsidRPr="00D92534">
        <w:t xml:space="preserve"> при внесении изменений в ГП Развитие культуры</w:t>
      </w:r>
      <w:r w:rsidRPr="00D92534">
        <w:rPr>
          <w:rFonts w:eastAsia="Times New Roman"/>
          <w:lang w:eastAsia="en-US"/>
        </w:rPr>
        <w:t>;</w:t>
      </w:r>
    </w:p>
    <w:p w:rsidR="008C3C0D" w:rsidRPr="00D92534" w:rsidRDefault="008C3C0D" w:rsidP="00734F07">
      <w:pPr>
        <w:autoSpaceDE w:val="0"/>
        <w:autoSpaceDN w:val="0"/>
        <w:adjustRightInd w:val="0"/>
        <w:ind w:firstLine="709"/>
        <w:jc w:val="both"/>
        <w:rPr>
          <w:rFonts w:eastAsia="Times New Roman"/>
          <w:lang w:eastAsia="en-US"/>
        </w:rPr>
      </w:pPr>
      <w:r w:rsidRPr="00D92534">
        <w:rPr>
          <w:rFonts w:eastAsia="Times New Roman"/>
          <w:lang w:eastAsia="en-US"/>
        </w:rPr>
        <w:t xml:space="preserve">-  </w:t>
      </w:r>
      <w:r w:rsidRPr="00D92534">
        <w:rPr>
          <w:rFonts w:eastAsia="Times New Roman"/>
          <w:i/>
          <w:lang w:eastAsia="en-US"/>
        </w:rPr>
        <w:t>«Обеспеченность зрительскими местами учреждений культурно-досугового типа в расчете на 1 тыс. человек»</w:t>
      </w:r>
      <w:r w:rsidRPr="00D92534">
        <w:rPr>
          <w:rFonts w:eastAsia="Times New Roman"/>
          <w:lang w:eastAsia="en-US"/>
        </w:rPr>
        <w:t xml:space="preserve"> при плане 64,41 единицы достигнуто 59,4 единицы по причине закрытия 2 учреждений культуры в Алексеевском районе и проведения муниципальными образованиями Волгоградской области реконструкции, капитального ремонта зрительных залов.</w:t>
      </w:r>
    </w:p>
    <w:p w:rsidR="008C3C0D" w:rsidRPr="00D92534" w:rsidRDefault="008C3C0D" w:rsidP="00734F07">
      <w:pPr>
        <w:autoSpaceDE w:val="0"/>
        <w:autoSpaceDN w:val="0"/>
        <w:adjustRightInd w:val="0"/>
        <w:ind w:firstLine="709"/>
        <w:jc w:val="both"/>
        <w:rPr>
          <w:rFonts w:eastAsia="Times New Roman"/>
          <w:lang w:eastAsia="en-US"/>
        </w:rPr>
      </w:pPr>
      <w:r w:rsidRPr="00D92534">
        <w:t>В соответствии с постановлением Правительства Волгоградской области от 27.08.2013 № 423-п «Об утверждении Порядка разработки, реализации и оценки эффективности реализации государственных программ Волгоградской области» (далее – Порядок №423-п) Комитетом проведена оценка эффективности реализации ГП Развитие культуры, согласно которой эффективность реализации государственной программы признана высокой и составила 97,9 процента. Однако, согласно расчету эффективности реализации ГП Развитие культуры, проведенного КСП, эффективность ее реализации составила 91,9 % (высокая), так как Комитетом при расчете не были учтены отдельные мероприятия, финансирование на реализацию которых было предусмотрено, и они выполнялись в 2019 году, но достижение непосредственного результата запланировано в последующих годах. Это свидетельствует о проведении некачественной оценки эффективности реализации государственной программы, н</w:t>
      </w:r>
      <w:r w:rsidRPr="00D92534">
        <w:rPr>
          <w:spacing w:val="-4"/>
        </w:rPr>
        <w:t xml:space="preserve">арушения Порядка №423-п и требует внесения изменений в </w:t>
      </w:r>
      <w:r w:rsidRPr="00D92534">
        <w:rPr>
          <w:rFonts w:eastAsia="Times New Roman"/>
          <w:lang w:eastAsia="en-US"/>
        </w:rPr>
        <w:t>годовой доклад о ходе реализации и оценке эффективности реализации ГП Развитие культуры.</w:t>
      </w:r>
    </w:p>
    <w:p w:rsidR="00714E97" w:rsidRPr="00D92534" w:rsidRDefault="00714E97" w:rsidP="00734F07">
      <w:pPr>
        <w:autoSpaceDE w:val="0"/>
        <w:autoSpaceDN w:val="0"/>
        <w:adjustRightInd w:val="0"/>
        <w:ind w:firstLine="709"/>
        <w:jc w:val="both"/>
      </w:pPr>
      <w:r w:rsidRPr="00D92534">
        <w:t>Кроме того, расчетная эффективность реализации ГП Развитие культуры, проведенная КСП в соответствии с Постановление 423-п, является высокой при невыпонении 42% показателей, что, по мнению КСП, требует соответствующих корректировок указанного постановления</w:t>
      </w:r>
      <w:r w:rsidR="00C660FD" w:rsidRPr="00D92534">
        <w:t>.</w:t>
      </w:r>
    </w:p>
    <w:p w:rsidR="008C3C0D" w:rsidRPr="00D92534" w:rsidRDefault="008C3C0D" w:rsidP="00734F07">
      <w:pPr>
        <w:autoSpaceDE w:val="0"/>
        <w:autoSpaceDN w:val="0"/>
        <w:adjustRightInd w:val="0"/>
        <w:spacing w:before="120" w:after="120"/>
        <w:ind w:firstLine="709"/>
        <w:jc w:val="center"/>
        <w:rPr>
          <w:i/>
          <w:color w:val="FF0000"/>
        </w:rPr>
      </w:pPr>
      <w:r w:rsidRPr="00D92534">
        <w:rPr>
          <w:i/>
        </w:rPr>
        <w:t xml:space="preserve"> ГП Социальная поддержка и защита населения</w:t>
      </w:r>
    </w:p>
    <w:p w:rsidR="008C3C0D" w:rsidRPr="00D92534" w:rsidRDefault="008C3C0D" w:rsidP="00734F07">
      <w:pPr>
        <w:autoSpaceDE w:val="0"/>
        <w:autoSpaceDN w:val="0"/>
        <w:adjustRightInd w:val="0"/>
        <w:ind w:firstLine="709"/>
        <w:jc w:val="both"/>
        <w:rPr>
          <w:color w:val="FF0000"/>
        </w:rPr>
      </w:pPr>
      <w:r w:rsidRPr="00D92534">
        <w:lastRenderedPageBreak/>
        <w:t>Бюджетной росписью Комитета финансирование государственной программы на 2019 год предусмотрено в сумме 1100,0 тыс. руб., что соответствует  объему бюджетных ассигнований, утвержденных Законом об областном бюджете на 2019 год.  Кассовый расход произведен в размере 1100,0 тыс. руб., или 100,0% от утвержденных бюджетной росписью назначений.</w:t>
      </w:r>
    </w:p>
    <w:p w:rsidR="008C3C0D" w:rsidRPr="00D92534" w:rsidRDefault="008C3C0D" w:rsidP="00734F07">
      <w:pPr>
        <w:autoSpaceDE w:val="0"/>
        <w:autoSpaceDN w:val="0"/>
        <w:adjustRightInd w:val="0"/>
        <w:ind w:firstLine="709"/>
        <w:jc w:val="both"/>
      </w:pPr>
      <w:r w:rsidRPr="00D92534">
        <w:t>В рамках реализации государственной программы средства областного бюджета в сумме 1000,0 тыс. руб. направлены на выполнение мероприятия по адаптации для инвалидов и других маломобильных групп населения здания государственного ГКУ «Государственный архив Волгоградской области».</w:t>
      </w:r>
    </w:p>
    <w:p w:rsidR="008C3C0D" w:rsidRPr="00D92534" w:rsidRDefault="008C3C0D" w:rsidP="00734F07">
      <w:pPr>
        <w:autoSpaceDE w:val="0"/>
        <w:autoSpaceDN w:val="0"/>
        <w:adjustRightInd w:val="0"/>
        <w:ind w:firstLine="709"/>
        <w:jc w:val="both"/>
        <w:rPr>
          <w:rFonts w:eastAsia="Times New Roman"/>
          <w:i/>
          <w:lang w:eastAsia="en-US"/>
        </w:rPr>
      </w:pPr>
      <w:r w:rsidRPr="00D92534">
        <w:t xml:space="preserve">Кроме того, на основании соглашения от 03.07.2019 №42, заключенного Комитетом с  государственным образовательным бюджетным учреждением культуры высшего образования «Волгоградский государственный институт искусств и культуры», представлены субсидии на иные цели для реализации мероприятия </w:t>
      </w:r>
      <w:r w:rsidRPr="00D92534">
        <w:rPr>
          <w:i/>
        </w:rPr>
        <w:t>«</w:t>
      </w:r>
      <w:r w:rsidRPr="00D92534">
        <w:rPr>
          <w:rFonts w:eastAsia="Times New Roman"/>
          <w:i/>
          <w:lang w:eastAsia="en-US"/>
        </w:rPr>
        <w:t xml:space="preserve">Организация повышения квалификации и профессиональной переподготовки специалистов, занятых в сфере реабилитации и абилитации инвалидов и детей-инвалидов, сопровождаемого проживания инвалидов» </w:t>
      </w:r>
      <w:r w:rsidRPr="00D92534">
        <w:rPr>
          <w:rFonts w:eastAsia="Times New Roman"/>
          <w:lang w:eastAsia="en-US"/>
        </w:rPr>
        <w:t>в сумме 100,0 тыс. руб., в том числе средства федерального бюджета – 86,0 тыс. руб., областного бюджета – 14 тыс. рублей.</w:t>
      </w:r>
      <w:r w:rsidRPr="00D92534">
        <w:rPr>
          <w:rFonts w:eastAsia="Times New Roman"/>
          <w:i/>
          <w:lang w:eastAsia="en-US"/>
        </w:rPr>
        <w:t xml:space="preserve"> </w:t>
      </w:r>
    </w:p>
    <w:p w:rsidR="008C3C0D" w:rsidRPr="00D92534" w:rsidRDefault="008C3C0D" w:rsidP="00734F07">
      <w:pPr>
        <w:autoSpaceDE w:val="0"/>
        <w:autoSpaceDN w:val="0"/>
        <w:adjustRightInd w:val="0"/>
        <w:ind w:firstLine="709"/>
        <w:jc w:val="both"/>
        <w:rPr>
          <w:rFonts w:eastAsia="Times New Roman"/>
          <w:i/>
          <w:lang w:eastAsia="en-US"/>
        </w:rPr>
      </w:pPr>
      <w:r w:rsidRPr="00D92534">
        <w:t>По данным ежеквартального отчета о ходе реализации государственной программы, непосредственный результат реализации мероприятий государственной программы достигнут.</w:t>
      </w:r>
    </w:p>
    <w:p w:rsidR="008C3C0D" w:rsidRPr="00D92534" w:rsidRDefault="008C3C0D" w:rsidP="00734F07">
      <w:pPr>
        <w:autoSpaceDE w:val="0"/>
        <w:autoSpaceDN w:val="0"/>
        <w:adjustRightInd w:val="0"/>
        <w:spacing w:before="120" w:after="120"/>
        <w:ind w:firstLine="709"/>
        <w:jc w:val="center"/>
        <w:rPr>
          <w:i/>
        </w:rPr>
      </w:pPr>
      <w:r w:rsidRPr="00D92534">
        <w:rPr>
          <w:i/>
        </w:rPr>
        <w:t>ГП Управление государственными финансами Волгоградской области</w:t>
      </w:r>
    </w:p>
    <w:p w:rsidR="008C3C0D" w:rsidRPr="00D92534" w:rsidRDefault="008C3C0D" w:rsidP="00734F07">
      <w:pPr>
        <w:autoSpaceDE w:val="0"/>
        <w:autoSpaceDN w:val="0"/>
        <w:adjustRightInd w:val="0"/>
        <w:ind w:firstLine="709"/>
        <w:jc w:val="both"/>
      </w:pPr>
      <w:r w:rsidRPr="00D92534">
        <w:t>Бюджетной росписью Комитета финансирование государственной программы на 2019 год предусмотрено в сумме 2000,0 тыс. руб., что соответствует  объему бюджетных ассигнований, утвержденных Законом об областном бюджете на 2019 год.  Кассовый расход произведен в размере 1540,8 тыс. руб., или 77,0% от утвержденных бюджетной росписью назначений.</w:t>
      </w:r>
    </w:p>
    <w:p w:rsidR="008C3C0D" w:rsidRPr="00D92534" w:rsidRDefault="008C3C0D" w:rsidP="00734F07">
      <w:pPr>
        <w:autoSpaceDE w:val="0"/>
        <w:autoSpaceDN w:val="0"/>
        <w:adjustRightInd w:val="0"/>
        <w:ind w:firstLine="539"/>
        <w:jc w:val="both"/>
        <w:rPr>
          <w:b/>
          <w:i/>
        </w:rPr>
      </w:pPr>
      <w:r w:rsidRPr="00D92534">
        <w:t xml:space="preserve">В рамках реализации государственной программы Комитетом государственному учреждению культуры «Волгоградский областной театр кукол» была перечислена субсидия на иные цели в сумме 1540,8 тыс. руб. на выполнение мероприятия </w:t>
      </w:r>
      <w:r w:rsidRPr="00D92534">
        <w:rPr>
          <w:i/>
        </w:rPr>
        <w:t>«</w:t>
      </w:r>
      <w:r w:rsidRPr="00D92534">
        <w:rPr>
          <w:rFonts w:eastAsia="Times New Roman"/>
          <w:i/>
          <w:lang w:eastAsia="en-US"/>
        </w:rPr>
        <w:t>Предоставление субсидий на иные цели государственным бюджетным и автономным учреждениям, в отношении которых комитет культуры Волгоградской области осуществляет функции и полномочия учредителя, на проведение спектаклей, направленных на повышение финансовой грамотности населения</w:t>
      </w:r>
      <w:r w:rsidRPr="00D92534">
        <w:rPr>
          <w:i/>
        </w:rPr>
        <w:t xml:space="preserve">». </w:t>
      </w:r>
      <w:r w:rsidRPr="00D92534">
        <w:t>По данным ежеквартального отчета о ходе реализации государственной программы, непосредственный результат по показу 35 спектаклей достигнут.</w:t>
      </w:r>
    </w:p>
    <w:p w:rsidR="008C3C0D" w:rsidRPr="00D92534" w:rsidRDefault="008C3C0D" w:rsidP="00B32132">
      <w:pPr>
        <w:autoSpaceDE w:val="0"/>
        <w:autoSpaceDN w:val="0"/>
        <w:adjustRightInd w:val="0"/>
        <w:ind w:firstLine="709"/>
        <w:jc w:val="center"/>
        <w:rPr>
          <w:b/>
          <w:i/>
        </w:rPr>
      </w:pPr>
      <w:r w:rsidRPr="00D92534">
        <w:rPr>
          <w:b/>
          <w:i/>
        </w:rPr>
        <w:t xml:space="preserve">Состояние внутреннего финансового аудита </w:t>
      </w:r>
    </w:p>
    <w:p w:rsidR="008C3C0D" w:rsidRPr="00D92534" w:rsidRDefault="008C3C0D" w:rsidP="0027700A">
      <w:pPr>
        <w:ind w:firstLine="709"/>
        <w:jc w:val="both"/>
      </w:pPr>
      <w:r w:rsidRPr="00D92534">
        <w:t>Положение об осуществлении внутреннего финансового аудита в Комитете утверждено приказом Комитета от 27.11.2018 №01-20/232 (изменения от 22.05.2019 №01-20/136) (далее Положение №01-20/232).</w:t>
      </w:r>
    </w:p>
    <w:p w:rsidR="008C3C0D" w:rsidRPr="00D92534" w:rsidRDefault="008C3C0D" w:rsidP="0027700A">
      <w:pPr>
        <w:ind w:firstLine="709"/>
        <w:jc w:val="both"/>
      </w:pPr>
      <w:r w:rsidRPr="00D92534">
        <w:t>Внутренний финансовый аудит осуществлялся сектором внутреннего финансового аудита. Сектор непосредственно подчиняется председателю Комитета.</w:t>
      </w:r>
    </w:p>
    <w:p w:rsidR="008C3C0D" w:rsidRPr="00D92534" w:rsidRDefault="008C3C0D" w:rsidP="0027700A">
      <w:pPr>
        <w:ind w:firstLine="709"/>
        <w:jc w:val="both"/>
      </w:pPr>
      <w:r w:rsidRPr="00D92534">
        <w:t xml:space="preserve">Информация о состоянии внутреннего финансового аудита Комитета представлена в приложении №5. </w:t>
      </w:r>
    </w:p>
    <w:p w:rsidR="008C3C0D" w:rsidRPr="00D92534" w:rsidRDefault="008C3C0D" w:rsidP="0027700A">
      <w:pPr>
        <w:ind w:firstLine="709"/>
        <w:jc w:val="both"/>
      </w:pPr>
      <w:r w:rsidRPr="00D92534">
        <w:rPr>
          <w:bCs/>
        </w:rPr>
        <w:t>План внутреннего финансового аудита на 2019 год утвержден приказом Комитета от 19.12.2018 №01-20/252 (с изменениями от 19.07.2019)</w:t>
      </w:r>
      <w:r w:rsidRPr="00D92534">
        <w:t xml:space="preserve">. Запланировано проведение 5 аудиторских проверок. </w:t>
      </w:r>
    </w:p>
    <w:p w:rsidR="008C3C0D" w:rsidRPr="00D92534" w:rsidRDefault="008C3C0D" w:rsidP="0027700A">
      <w:pPr>
        <w:ind w:firstLine="709"/>
        <w:jc w:val="both"/>
      </w:pPr>
      <w:r w:rsidRPr="00D92534">
        <w:t>Согласно пояснительной записке к годовому отчету о результатах внутреннего финансового аудита на 01.01.2020 в 2019 году проведено 5 аудиторских проверок, в том числе подготовлено заключение по вопросам обоснованности и полноты документов, направляемых в Облфин в целях составления и рассмотрения проекта областного бюджета.</w:t>
      </w:r>
    </w:p>
    <w:p w:rsidR="008C3C0D" w:rsidRPr="00D92534" w:rsidRDefault="008C3C0D" w:rsidP="0027700A">
      <w:pPr>
        <w:ind w:firstLine="709"/>
        <w:jc w:val="both"/>
      </w:pPr>
      <w:r w:rsidRPr="00D92534">
        <w:t xml:space="preserve">Проведена оценка осуществления внутреннего финансового контроля в 4 структурных подразделениях Комитета, по результатам которой установлено, что </w:t>
      </w:r>
      <w:r w:rsidRPr="00D92534">
        <w:lastRenderedPageBreak/>
        <w:t xml:space="preserve">бюджетные процедуры, предусмотренные п.2.3 Порядка осуществления внутреннего финансового контроля и внутреннего финансового аудита на территории Волгоградской области, утвержденного постановлением Правительства Волгоградской области от 26.05.2014 №266-п, при проведении контроля охвачены не в полном объеме, что является нарушением. </w:t>
      </w:r>
    </w:p>
    <w:p w:rsidR="008C3C0D" w:rsidRPr="00D92534" w:rsidRDefault="008C3C0D" w:rsidP="00C47987">
      <w:pPr>
        <w:ind w:firstLine="709"/>
        <w:jc w:val="both"/>
      </w:pPr>
      <w:r w:rsidRPr="00D92534">
        <w:t>По результатам проведенных проверок в 2019 году  с баланса Комитета депонированную сумму в размере 179,6 тыс. руб., как кредиторскую задолженность, невостребованную кредиторами списали на забалансовый счет «20»,  в доход областного бюджета перечислена долгосрочная дебиторская задолженность в сумме 12,7 тыс. рублей.</w:t>
      </w:r>
    </w:p>
    <w:p w:rsidR="008C3C0D" w:rsidRPr="00D92534" w:rsidRDefault="008C3C0D" w:rsidP="0027700A">
      <w:pPr>
        <w:ind w:firstLine="709"/>
        <w:jc w:val="both"/>
      </w:pPr>
      <w:r w:rsidRPr="00D92534">
        <w:t>Сведения о данных субъектом аудита рекомендациях и их исполнении представлены в приложении №5.</w:t>
      </w:r>
    </w:p>
    <w:p w:rsidR="008C3C0D" w:rsidRPr="00D92534" w:rsidRDefault="008C3C0D" w:rsidP="00EB514C">
      <w:pPr>
        <w:ind w:firstLine="709"/>
        <w:jc w:val="center"/>
        <w:rPr>
          <w:b/>
          <w:i/>
        </w:rPr>
      </w:pPr>
      <w:r w:rsidRPr="00D92534">
        <w:rPr>
          <w:b/>
          <w:i/>
        </w:rPr>
        <w:t>Выводы</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 xml:space="preserve">Проверкой состава и содержания бюджетной отчетности установлено 5 случаев нарушения положений Инструкции № 191н, в том числе 2 случая грубого нарушения требований бухгалтерского учета и составления отчетности, которые устранены в ходе проверки. </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 xml:space="preserve">Доходы бюджета исполнены в сумме </w:t>
      </w:r>
      <w:r w:rsidRPr="00D92534">
        <w:rPr>
          <w:bCs/>
        </w:rPr>
        <w:t>63881,5</w:t>
      </w:r>
      <w:r w:rsidRPr="00D92534">
        <w:t xml:space="preserve"> тыс. руб., что превышает плановые назначения на </w:t>
      </w:r>
      <w:r w:rsidRPr="00D92534">
        <w:rPr>
          <w:bCs/>
        </w:rPr>
        <w:t>501,6</w:t>
      </w:r>
      <w:r w:rsidRPr="00D92534">
        <w:t xml:space="preserve"> тыс. руб. или 0,8 процента. В разрезе источников доходов исполнение по отношению к прогнозным показателям составило от 0 до 13,7 раза, что в соответствии со Стандартом финансового контроля КСП следует расценивать как некачественное планирование.</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 xml:space="preserve">Исполнение кассовых расходов составило </w:t>
      </w:r>
      <w:r w:rsidRPr="00D92534">
        <w:rPr>
          <w:bCs/>
        </w:rPr>
        <w:t>1556353,4</w:t>
      </w:r>
      <w:r w:rsidRPr="00D92534">
        <w:t xml:space="preserve"> тыс. руб., или 98,5% от бюджетных назначений, утвержденных бюджетной росписью и 98,7% от доведенных лимитов (1576830,3 тыс. руб.).</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Несвоевременная оплата подведомственными учреждениями своих обязательств привела к  дополнительным расходам областного бюджета на оплату в 2019 году штрафов (пени) в сумме 898,9 тыс. руб., в результате чего нарушен принцип эффективного использования бюджетных средств, установленный ст. 34 БК РФ.</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 xml:space="preserve">Дебиторская задолженность Комитета увеличилась в 59,3 раза и по состоянию на 01.01.2020 составляла </w:t>
      </w:r>
      <w:r w:rsidRPr="00D92534">
        <w:rPr>
          <w:bCs/>
        </w:rPr>
        <w:t>304824,7</w:t>
      </w:r>
      <w:r w:rsidRPr="00D92534">
        <w:t xml:space="preserve"> тыс. рублей. Основная сумма приходится на задолженность Министерства культуры Российской Федерации по соглашениям, заключенным в декабре 2019 года о предоставлении в 2020-2022 годах межбюджетных трансфертов в сумме 282022,5 тыс. рублей.</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Кредиторская задолженность на 01.01.2020 по сравнению с началом 2019 года уменьшилась в 1,9 раза и составила 3755,9 тыс. рублей.</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rPr>
          <w:rFonts w:eastAsia="Times New Roman"/>
          <w:lang w:eastAsia="en-US"/>
        </w:rPr>
        <w:t xml:space="preserve">В 2019 году  было запланировано достижение значений 31 целевого показателя ГП Развитие культуры, из которых не выполнены –13 или 42%, при уровне финансирования мероприятий государственной программы 98,5 процента. </w:t>
      </w:r>
    </w:p>
    <w:p w:rsidR="00340820" w:rsidRPr="00D92534" w:rsidRDefault="00DE6011" w:rsidP="00EB514C">
      <w:pPr>
        <w:numPr>
          <w:ilvl w:val="0"/>
          <w:numId w:val="7"/>
        </w:numPr>
        <w:tabs>
          <w:tab w:val="left" w:pos="993"/>
        </w:tabs>
        <w:autoSpaceDE w:val="0"/>
        <w:autoSpaceDN w:val="0"/>
        <w:adjustRightInd w:val="0"/>
        <w:ind w:left="0" w:firstLine="709"/>
        <w:jc w:val="both"/>
      </w:pPr>
      <w:r w:rsidRPr="00D92534">
        <w:rPr>
          <w:rFonts w:eastAsia="Times New Roman"/>
          <w:lang w:eastAsia="en-US"/>
        </w:rPr>
        <w:t>И</w:t>
      </w:r>
      <w:r w:rsidR="006062F7" w:rsidRPr="00D92534">
        <w:rPr>
          <w:rFonts w:eastAsia="Times New Roman"/>
          <w:lang w:eastAsia="en-US"/>
        </w:rPr>
        <w:t>зменени</w:t>
      </w:r>
      <w:r w:rsidRPr="00D92534">
        <w:rPr>
          <w:rFonts w:eastAsia="Times New Roman"/>
          <w:lang w:eastAsia="en-US"/>
        </w:rPr>
        <w:t>я, вносимые</w:t>
      </w:r>
      <w:r w:rsidR="006062F7" w:rsidRPr="00D92534">
        <w:rPr>
          <w:rFonts w:eastAsia="Times New Roman"/>
          <w:lang w:eastAsia="en-US"/>
        </w:rPr>
        <w:t xml:space="preserve"> в нормативные правовые акты Российской Федерации, влияющи</w:t>
      </w:r>
      <w:r w:rsidRPr="00D92534">
        <w:rPr>
          <w:rFonts w:eastAsia="Times New Roman"/>
          <w:lang w:eastAsia="en-US"/>
        </w:rPr>
        <w:t>е</w:t>
      </w:r>
      <w:r w:rsidR="006062F7" w:rsidRPr="00D92534">
        <w:rPr>
          <w:rFonts w:eastAsia="Times New Roman"/>
          <w:lang w:eastAsia="en-US"/>
        </w:rPr>
        <w:t xml:space="preserve"> на объективность формирования целевых пока</w:t>
      </w:r>
      <w:r w:rsidR="00B30150" w:rsidRPr="00D92534">
        <w:rPr>
          <w:rFonts w:eastAsia="Times New Roman"/>
          <w:lang w:eastAsia="en-US"/>
        </w:rPr>
        <w:t xml:space="preserve">зателей ГП Развитие культуры, </w:t>
      </w:r>
      <w:r w:rsidR="00BE737D" w:rsidRPr="00D92534">
        <w:t>не уч</w:t>
      </w:r>
      <w:r w:rsidRPr="00D92534">
        <w:t>итывались</w:t>
      </w:r>
      <w:r w:rsidR="00BE737D" w:rsidRPr="00D92534">
        <w:t xml:space="preserve"> Комитетом при внесении изменений в ГП Развитие культуры</w:t>
      </w:r>
      <w:r w:rsidR="008830CF" w:rsidRPr="00D92534">
        <w:t>;</w:t>
      </w:r>
    </w:p>
    <w:p w:rsidR="008C3C0D" w:rsidRPr="00D92534" w:rsidRDefault="008C3C0D" w:rsidP="00EB514C">
      <w:pPr>
        <w:numPr>
          <w:ilvl w:val="0"/>
          <w:numId w:val="7"/>
        </w:numPr>
        <w:tabs>
          <w:tab w:val="left" w:pos="993"/>
        </w:tabs>
        <w:autoSpaceDE w:val="0"/>
        <w:autoSpaceDN w:val="0"/>
        <w:adjustRightInd w:val="0"/>
        <w:ind w:left="0" w:firstLine="709"/>
        <w:jc w:val="both"/>
      </w:pPr>
      <w:r w:rsidRPr="00D92534">
        <w:t>Комитетом при проведении оценки эффективности реализации государственной программы в расчете не были учтены отдельные мероприятия, финансирование которых было предусмотрено и они реализовывались в 2019 году, но достижение непосредственного результата по ним было запланировано в последующих годах, что свидетельствует о проведении некачественной оценки эффективности реализации государственной программы и н</w:t>
      </w:r>
      <w:r w:rsidRPr="00D92534">
        <w:rPr>
          <w:spacing w:val="-4"/>
        </w:rPr>
        <w:t>арушения порядка проведения оценки эффективности реализации государственных программ.</w:t>
      </w:r>
    </w:p>
    <w:p w:rsidR="00C62D86" w:rsidRPr="00D92534" w:rsidRDefault="006A3EE4" w:rsidP="00EB514C">
      <w:pPr>
        <w:numPr>
          <w:ilvl w:val="0"/>
          <w:numId w:val="7"/>
        </w:numPr>
        <w:tabs>
          <w:tab w:val="left" w:pos="993"/>
        </w:tabs>
        <w:autoSpaceDE w:val="0"/>
        <w:autoSpaceDN w:val="0"/>
        <w:adjustRightInd w:val="0"/>
        <w:ind w:left="0" w:firstLine="709"/>
        <w:jc w:val="both"/>
      </w:pPr>
      <w:r w:rsidRPr="00D92534">
        <w:t>Расчетная эффективность реализации ГП Развитие культуры, проведенная КСП в соответствии с Постановление 423-п, является высокой при невыпонении 42% показателей, что, по мнению КСП, требует соответствующих корректировок указанного постановления.</w:t>
      </w:r>
    </w:p>
    <w:p w:rsidR="0007750A" w:rsidRPr="00D92534" w:rsidRDefault="00D679AA" w:rsidP="00EB514C">
      <w:pPr>
        <w:numPr>
          <w:ilvl w:val="0"/>
          <w:numId w:val="7"/>
        </w:numPr>
        <w:tabs>
          <w:tab w:val="left" w:pos="993"/>
        </w:tabs>
        <w:autoSpaceDE w:val="0"/>
        <w:autoSpaceDN w:val="0"/>
        <w:adjustRightInd w:val="0"/>
        <w:ind w:left="0" w:firstLine="709"/>
        <w:jc w:val="both"/>
      </w:pPr>
      <w:r w:rsidRPr="00D92534">
        <w:t xml:space="preserve">Остатки на счетах бюджетных и автономных учреждений по бюджетной деятельности увеличились на 1225,1 тыс. руб., или на 14,0 % </w:t>
      </w:r>
      <w:r w:rsidR="00AB478C" w:rsidRPr="00D92534">
        <w:t xml:space="preserve">и составили на 01.01.2020 </w:t>
      </w:r>
      <w:r w:rsidRPr="00D92534">
        <w:lastRenderedPageBreak/>
        <w:t>9953,1 тыс. руб.</w:t>
      </w:r>
      <w:r w:rsidR="00491F52" w:rsidRPr="00D92534">
        <w:t xml:space="preserve"> (субсидии на выполнение государственного задания - 8068,3 тыс. руб., субсидии на иные цели - 1884,8 тыс. руб.)</w:t>
      </w:r>
      <w:r w:rsidRPr="00D92534">
        <w:t xml:space="preserve"> </w:t>
      </w:r>
      <w:r w:rsidR="003A14A5" w:rsidRPr="00D92534">
        <w:t>при сокращении кредиторской задолженности учреждений</w:t>
      </w:r>
      <w:r w:rsidR="00D17FF7" w:rsidRPr="00D92534">
        <w:t>.</w:t>
      </w:r>
    </w:p>
    <w:p w:rsidR="008C3C0D" w:rsidRPr="00D92534" w:rsidRDefault="008C3C0D" w:rsidP="006551DF">
      <w:pPr>
        <w:pStyle w:val="ListParagraph"/>
        <w:tabs>
          <w:tab w:val="left" w:pos="993"/>
        </w:tabs>
        <w:autoSpaceDE w:val="0"/>
        <w:autoSpaceDN w:val="0"/>
        <w:adjustRightInd w:val="0"/>
        <w:spacing w:after="0" w:line="240" w:lineRule="auto"/>
        <w:ind w:left="709"/>
        <w:jc w:val="center"/>
        <w:outlineLvl w:val="2"/>
        <w:rPr>
          <w:rFonts w:ascii="Times New Roman" w:hAnsi="Times New Roman"/>
          <w:b/>
          <w:i/>
          <w:sz w:val="24"/>
          <w:szCs w:val="24"/>
          <w:lang w:eastAsia="ru-RU"/>
        </w:rPr>
      </w:pPr>
      <w:r w:rsidRPr="00D92534">
        <w:rPr>
          <w:rFonts w:ascii="Times New Roman" w:hAnsi="Times New Roman"/>
          <w:b/>
          <w:i/>
          <w:sz w:val="24"/>
          <w:szCs w:val="24"/>
          <w:lang w:eastAsia="ru-RU"/>
        </w:rPr>
        <w:t>Предложения</w:t>
      </w:r>
    </w:p>
    <w:p w:rsidR="008C3C0D" w:rsidRPr="00D92534" w:rsidRDefault="008C3C0D" w:rsidP="003904D0">
      <w:pPr>
        <w:pStyle w:val="ListParagraph"/>
        <w:tabs>
          <w:tab w:val="left" w:pos="993"/>
        </w:tabs>
        <w:autoSpaceDE w:val="0"/>
        <w:autoSpaceDN w:val="0"/>
        <w:adjustRightInd w:val="0"/>
        <w:spacing w:after="0" w:line="240" w:lineRule="auto"/>
        <w:ind w:left="0" w:firstLine="709"/>
        <w:jc w:val="both"/>
        <w:outlineLvl w:val="2"/>
        <w:rPr>
          <w:rFonts w:ascii="Times New Roman" w:hAnsi="Times New Roman"/>
          <w:i/>
          <w:sz w:val="24"/>
          <w:szCs w:val="24"/>
          <w:lang w:eastAsia="ru-RU"/>
        </w:rPr>
      </w:pPr>
      <w:r w:rsidRPr="00D92534">
        <w:rPr>
          <w:rFonts w:ascii="Times New Roman" w:hAnsi="Times New Roman"/>
          <w:i/>
          <w:sz w:val="24"/>
          <w:szCs w:val="24"/>
          <w:lang w:eastAsia="ru-RU"/>
        </w:rPr>
        <w:t>Комитету:</w:t>
      </w:r>
    </w:p>
    <w:p w:rsidR="008C3C0D" w:rsidRPr="00D92534" w:rsidRDefault="008C3C0D" w:rsidP="003904D0">
      <w:pPr>
        <w:pStyle w:val="ListParagraph"/>
        <w:numPr>
          <w:ilvl w:val="0"/>
          <w:numId w:val="20"/>
        </w:numPr>
        <w:autoSpaceDE w:val="0"/>
        <w:autoSpaceDN w:val="0"/>
        <w:adjustRightInd w:val="0"/>
        <w:spacing w:after="0" w:line="240" w:lineRule="auto"/>
        <w:ind w:left="0" w:firstLine="709"/>
        <w:jc w:val="both"/>
        <w:rPr>
          <w:rFonts w:ascii="Times New Roman" w:hAnsi="Times New Roman"/>
          <w:sz w:val="24"/>
          <w:szCs w:val="24"/>
        </w:rPr>
      </w:pPr>
      <w:r w:rsidRPr="00D92534">
        <w:rPr>
          <w:rFonts w:ascii="Times New Roman" w:hAnsi="Times New Roman"/>
          <w:sz w:val="24"/>
          <w:szCs w:val="24"/>
        </w:rPr>
        <w:t>Провести работу с ответственными должностными лицами для принятия мер:</w:t>
      </w:r>
    </w:p>
    <w:p w:rsidR="008C3C0D" w:rsidRPr="00D92534" w:rsidRDefault="008C3C0D" w:rsidP="003904D0">
      <w:pPr>
        <w:pStyle w:val="ListParagraph"/>
        <w:autoSpaceDE w:val="0"/>
        <w:autoSpaceDN w:val="0"/>
        <w:adjustRightInd w:val="0"/>
        <w:spacing w:after="0" w:line="240" w:lineRule="auto"/>
        <w:ind w:left="0" w:firstLine="709"/>
        <w:jc w:val="both"/>
        <w:rPr>
          <w:rFonts w:ascii="Times New Roman" w:hAnsi="Times New Roman"/>
          <w:sz w:val="24"/>
          <w:szCs w:val="24"/>
        </w:rPr>
      </w:pPr>
      <w:r w:rsidRPr="00D92534">
        <w:rPr>
          <w:rFonts w:ascii="Times New Roman" w:hAnsi="Times New Roman"/>
          <w:sz w:val="24"/>
          <w:szCs w:val="24"/>
        </w:rPr>
        <w:t xml:space="preserve">1.1 по  обеспечению осуществления бюджетного учета и составления бухгалтерской отчетности в соответствии с установленными требованиями, в том числе по проведению учебы со специалистами подведомственных учреждений, уполномоченными на ее составление; </w:t>
      </w:r>
    </w:p>
    <w:p w:rsidR="008C3C0D" w:rsidRPr="00D92534" w:rsidRDefault="008C3C0D" w:rsidP="003904D0">
      <w:pPr>
        <w:pStyle w:val="ListParagraph"/>
        <w:tabs>
          <w:tab w:val="left" w:pos="993"/>
        </w:tabs>
        <w:autoSpaceDE w:val="0"/>
        <w:autoSpaceDN w:val="0"/>
        <w:adjustRightInd w:val="0"/>
        <w:spacing w:after="0" w:line="240" w:lineRule="auto"/>
        <w:ind w:left="0" w:firstLine="709"/>
        <w:jc w:val="both"/>
        <w:outlineLvl w:val="2"/>
        <w:rPr>
          <w:rFonts w:ascii="Times New Roman" w:hAnsi="Times New Roman"/>
          <w:sz w:val="24"/>
          <w:szCs w:val="24"/>
        </w:rPr>
      </w:pPr>
      <w:r w:rsidRPr="00D92534">
        <w:rPr>
          <w:rFonts w:ascii="Times New Roman" w:hAnsi="Times New Roman"/>
          <w:sz w:val="24"/>
          <w:szCs w:val="24"/>
        </w:rPr>
        <w:t>1.2 по обеспечению достоверности планирования прогнозных показателей поступлений администрируемых неналоговых поступлений в соответствии со ст. 160.1 БК РФ;</w:t>
      </w:r>
    </w:p>
    <w:p w:rsidR="008C3C0D" w:rsidRPr="00D92534" w:rsidRDefault="008C3C0D" w:rsidP="00B5177C">
      <w:pPr>
        <w:pStyle w:val="ListParagraph"/>
        <w:tabs>
          <w:tab w:val="left" w:pos="993"/>
        </w:tabs>
        <w:autoSpaceDE w:val="0"/>
        <w:autoSpaceDN w:val="0"/>
        <w:adjustRightInd w:val="0"/>
        <w:spacing w:after="0" w:line="240" w:lineRule="auto"/>
        <w:ind w:left="0" w:firstLine="709"/>
        <w:jc w:val="both"/>
        <w:outlineLvl w:val="2"/>
        <w:rPr>
          <w:rFonts w:ascii="Times New Roman" w:hAnsi="Times New Roman"/>
          <w:sz w:val="24"/>
          <w:szCs w:val="24"/>
        </w:rPr>
      </w:pPr>
      <w:r w:rsidRPr="00D92534">
        <w:rPr>
          <w:rFonts w:ascii="Times New Roman" w:hAnsi="Times New Roman"/>
          <w:b/>
          <w:sz w:val="24"/>
          <w:szCs w:val="24"/>
        </w:rPr>
        <w:t>2.</w:t>
      </w:r>
      <w:r w:rsidRPr="00D92534">
        <w:rPr>
          <w:rFonts w:ascii="Times New Roman" w:hAnsi="Times New Roman"/>
          <w:sz w:val="24"/>
          <w:szCs w:val="24"/>
        </w:rPr>
        <w:t xml:space="preserve"> Установить и устранить причины, приведшие к неэффективным расходам областного бюджета на оплату в 2019 году штрафов (пени) в сумме 898,9 тыс. рублей.</w:t>
      </w:r>
    </w:p>
    <w:p w:rsidR="00D51421" w:rsidRPr="00D92534" w:rsidRDefault="008C3C0D" w:rsidP="003D455A">
      <w:pPr>
        <w:tabs>
          <w:tab w:val="left" w:pos="851"/>
        </w:tabs>
        <w:ind w:firstLine="709"/>
        <w:jc w:val="both"/>
      </w:pPr>
      <w:r w:rsidRPr="00D92534">
        <w:rPr>
          <w:b/>
        </w:rPr>
        <w:t>3. </w:t>
      </w:r>
      <w:r w:rsidRPr="00D92534">
        <w:t>При внесении изменений в ГП Развитие культуры обеспечить</w:t>
      </w:r>
      <w:r w:rsidR="00D51421" w:rsidRPr="00D92534">
        <w:t>:</w:t>
      </w:r>
    </w:p>
    <w:p w:rsidR="008C3C0D" w:rsidRPr="00D92534" w:rsidRDefault="00D51421" w:rsidP="003D455A">
      <w:pPr>
        <w:tabs>
          <w:tab w:val="left" w:pos="851"/>
        </w:tabs>
        <w:ind w:firstLine="709"/>
        <w:jc w:val="both"/>
      </w:pPr>
      <w:r w:rsidRPr="00D92534">
        <w:t>3.1.</w:t>
      </w:r>
      <w:r w:rsidR="008C3C0D" w:rsidRPr="00D92534">
        <w:t xml:space="preserve"> взаимосвязь непосредственных показателей реализации мероприятия с объемом их финансового обеспечения</w:t>
      </w:r>
      <w:r w:rsidRPr="00D92534">
        <w:t>;</w:t>
      </w:r>
    </w:p>
    <w:p w:rsidR="00D51421" w:rsidRPr="00D92534" w:rsidRDefault="00D51421" w:rsidP="003D455A">
      <w:pPr>
        <w:tabs>
          <w:tab w:val="left" w:pos="851"/>
        </w:tabs>
        <w:ind w:firstLine="709"/>
        <w:jc w:val="both"/>
      </w:pPr>
      <w:r w:rsidRPr="00D92534">
        <w:t>3.2. объективнос</w:t>
      </w:r>
      <w:r w:rsidR="00E565B1" w:rsidRPr="00D92534">
        <w:t>т</w:t>
      </w:r>
      <w:r w:rsidRPr="00D92534">
        <w:t xml:space="preserve">ь </w:t>
      </w:r>
      <w:r w:rsidR="00E565B1" w:rsidRPr="00D92534">
        <w:t>целевых показателей, с учетом изменений действующего законодательства РФ.</w:t>
      </w:r>
    </w:p>
    <w:p w:rsidR="008C3C0D" w:rsidRPr="00D92534" w:rsidRDefault="008C3C0D" w:rsidP="003D455A">
      <w:pPr>
        <w:tabs>
          <w:tab w:val="left" w:pos="851"/>
        </w:tabs>
        <w:ind w:firstLine="709"/>
        <w:jc w:val="both"/>
        <w:rPr>
          <w:rFonts w:eastAsia="Times New Roman"/>
          <w:lang w:eastAsia="en-US"/>
        </w:rPr>
      </w:pPr>
      <w:r w:rsidRPr="00D92534">
        <w:rPr>
          <w:b/>
        </w:rPr>
        <w:t>4.</w:t>
      </w:r>
      <w:r w:rsidRPr="00D92534">
        <w:t xml:space="preserve"> Направить в комитет экономической политики и развития Волгоградской области</w:t>
      </w:r>
      <w:r w:rsidRPr="00D92534">
        <w:rPr>
          <w:spacing w:val="-4"/>
        </w:rPr>
        <w:t xml:space="preserve"> откорректированный </w:t>
      </w:r>
      <w:r w:rsidRPr="00D92534">
        <w:rPr>
          <w:rFonts w:eastAsia="Times New Roman"/>
          <w:lang w:eastAsia="en-US"/>
        </w:rPr>
        <w:t>годовой доклад о ходе реализации и оценке эффективности реализации ГП Развитие культуры.</w:t>
      </w:r>
    </w:p>
    <w:p w:rsidR="007E34DE" w:rsidRPr="00D92534" w:rsidRDefault="007E34DE" w:rsidP="003D455A">
      <w:pPr>
        <w:tabs>
          <w:tab w:val="left" w:pos="851"/>
        </w:tabs>
        <w:ind w:firstLine="709"/>
        <w:jc w:val="both"/>
        <w:rPr>
          <w:rFonts w:eastAsia="Times New Roman"/>
          <w:lang w:eastAsia="en-US"/>
        </w:rPr>
      </w:pPr>
      <w:r w:rsidRPr="00D92534">
        <w:rPr>
          <w:rFonts w:eastAsia="Times New Roman"/>
          <w:b/>
          <w:lang w:eastAsia="en-US"/>
        </w:rPr>
        <w:t>5.</w:t>
      </w:r>
      <w:r w:rsidR="00A301BE" w:rsidRPr="00D92534">
        <w:rPr>
          <w:rFonts w:eastAsia="Times New Roman"/>
          <w:b/>
          <w:lang w:eastAsia="en-US"/>
        </w:rPr>
        <w:t xml:space="preserve"> </w:t>
      </w:r>
      <w:r w:rsidR="00DA53B7" w:rsidRPr="00D92534">
        <w:rPr>
          <w:rFonts w:eastAsia="Times New Roman"/>
          <w:lang w:eastAsia="en-US"/>
        </w:rPr>
        <w:t>Взыскать с подведомственных учреждений</w:t>
      </w:r>
      <w:r w:rsidR="00CA4B6D" w:rsidRPr="00D92534">
        <w:rPr>
          <w:rFonts w:eastAsia="Times New Roman"/>
          <w:lang w:eastAsia="en-US"/>
        </w:rPr>
        <w:t xml:space="preserve"> в доход областного бюджета</w:t>
      </w:r>
      <w:r w:rsidR="00DA53B7" w:rsidRPr="00D92534">
        <w:rPr>
          <w:rFonts w:eastAsia="Times New Roman"/>
          <w:lang w:eastAsia="en-US"/>
        </w:rPr>
        <w:t xml:space="preserve"> остатки неиспользованн</w:t>
      </w:r>
      <w:r w:rsidR="00CA4B6D" w:rsidRPr="00D92534">
        <w:rPr>
          <w:rFonts w:eastAsia="Times New Roman"/>
          <w:lang w:eastAsia="en-US"/>
        </w:rPr>
        <w:t>ой</w:t>
      </w:r>
      <w:r w:rsidR="00DA53B7" w:rsidRPr="00D92534">
        <w:rPr>
          <w:rFonts w:eastAsia="Times New Roman"/>
          <w:lang w:eastAsia="en-US"/>
        </w:rPr>
        <w:t xml:space="preserve"> субсидии на иные цели</w:t>
      </w:r>
      <w:r w:rsidR="00D17FF7" w:rsidRPr="00D92534">
        <w:rPr>
          <w:rFonts w:eastAsia="Times New Roman"/>
          <w:lang w:eastAsia="en-US"/>
        </w:rPr>
        <w:t>,</w:t>
      </w:r>
      <w:r w:rsidR="00DA53B7" w:rsidRPr="00D92534">
        <w:rPr>
          <w:rFonts w:eastAsia="Times New Roman"/>
          <w:lang w:eastAsia="en-US"/>
        </w:rPr>
        <w:t xml:space="preserve"> </w:t>
      </w:r>
      <w:r w:rsidR="00536295" w:rsidRPr="00D92534">
        <w:rPr>
          <w:rFonts w:eastAsia="Times New Roman"/>
          <w:lang w:eastAsia="en-US"/>
        </w:rPr>
        <w:t xml:space="preserve">в отношении которых Комитетом не принято </w:t>
      </w:r>
      <w:r w:rsidR="00DA53B7" w:rsidRPr="00D92534">
        <w:rPr>
          <w:rFonts w:eastAsia="Times New Roman"/>
          <w:lang w:eastAsia="en-US"/>
        </w:rPr>
        <w:t>решение о наличии потребности в направлении их на те же цели в текущем финансовом году</w:t>
      </w:r>
      <w:r w:rsidR="00536295" w:rsidRPr="00D92534">
        <w:rPr>
          <w:rFonts w:eastAsia="Times New Roman"/>
          <w:lang w:eastAsia="en-US"/>
        </w:rPr>
        <w:t>.</w:t>
      </w:r>
    </w:p>
    <w:p w:rsidR="00D17FF7" w:rsidRPr="00D92534" w:rsidRDefault="00D17FF7" w:rsidP="00D25719">
      <w:pPr>
        <w:autoSpaceDE w:val="0"/>
        <w:autoSpaceDN w:val="0"/>
        <w:adjustRightInd w:val="0"/>
        <w:ind w:firstLine="709"/>
        <w:jc w:val="both"/>
        <w:rPr>
          <w:rFonts w:eastAsia="Times New Roman"/>
          <w:lang w:eastAsia="en-US"/>
        </w:rPr>
      </w:pPr>
      <w:r w:rsidRPr="00D92534">
        <w:rPr>
          <w:rFonts w:eastAsia="Times New Roman"/>
          <w:b/>
          <w:lang w:eastAsia="en-US"/>
        </w:rPr>
        <w:t xml:space="preserve">6. </w:t>
      </w:r>
      <w:r w:rsidR="00E35E90" w:rsidRPr="00D92534">
        <w:rPr>
          <w:rFonts w:eastAsia="Times New Roman"/>
          <w:lang w:eastAsia="en-US"/>
        </w:rPr>
        <w:t>Рассмотреть вопрос</w:t>
      </w:r>
      <w:r w:rsidR="00BC01D7" w:rsidRPr="00D92534">
        <w:rPr>
          <w:rFonts w:eastAsia="Times New Roman"/>
          <w:lang w:eastAsia="en-US"/>
        </w:rPr>
        <w:t xml:space="preserve"> о корректировке нормативных затрат</w:t>
      </w:r>
      <w:r w:rsidR="003F777C" w:rsidRPr="00D92534">
        <w:rPr>
          <w:rFonts w:eastAsia="Times New Roman"/>
          <w:lang w:eastAsia="en-US"/>
        </w:rPr>
        <w:t xml:space="preserve">, определяемых в соответствии с </w:t>
      </w:r>
      <w:r w:rsidR="00BC01D7" w:rsidRPr="00D92534">
        <w:rPr>
          <w:rFonts w:eastAsia="Times New Roman"/>
          <w:lang w:eastAsia="en-US"/>
        </w:rPr>
        <w:t xml:space="preserve"> </w:t>
      </w:r>
      <w:r w:rsidR="00C33A16" w:rsidRPr="00D92534">
        <w:rPr>
          <w:rFonts w:eastAsia="Times New Roman"/>
          <w:lang w:eastAsia="en-US"/>
        </w:rPr>
        <w:t>Постановлением №818-п</w:t>
      </w:r>
      <w:r w:rsidR="006230F7" w:rsidRPr="00D92534">
        <w:rPr>
          <w:rFonts w:eastAsia="Times New Roman"/>
          <w:lang w:eastAsia="en-US"/>
        </w:rPr>
        <w:t>, с целью снижения остатков</w:t>
      </w:r>
      <w:r w:rsidR="006230F7" w:rsidRPr="00D92534">
        <w:t xml:space="preserve"> средств на счетах бюджетных и автономных учреждений</w:t>
      </w:r>
      <w:r w:rsidR="006230F7" w:rsidRPr="00D92534">
        <w:rPr>
          <w:rFonts w:eastAsia="Times New Roman"/>
          <w:lang w:eastAsia="en-US"/>
        </w:rPr>
        <w:t xml:space="preserve"> по субсидии на выполнение </w:t>
      </w:r>
      <w:r w:rsidR="00D25719" w:rsidRPr="00D92534">
        <w:rPr>
          <w:rFonts w:eastAsia="Times New Roman"/>
          <w:lang w:eastAsia="en-US"/>
        </w:rPr>
        <w:t>государственного задания.</w:t>
      </w:r>
    </w:p>
    <w:p w:rsidR="00D25719" w:rsidRPr="00D92534" w:rsidRDefault="00D25719" w:rsidP="00D25719">
      <w:pPr>
        <w:autoSpaceDE w:val="0"/>
        <w:autoSpaceDN w:val="0"/>
        <w:adjustRightInd w:val="0"/>
        <w:ind w:firstLine="709"/>
        <w:jc w:val="both"/>
        <w:rPr>
          <w:rFonts w:eastAsia="Times New Roman"/>
          <w:lang w:eastAsia="en-US"/>
        </w:rPr>
      </w:pPr>
    </w:p>
    <w:p w:rsidR="008C3C0D" w:rsidRPr="00D92534" w:rsidRDefault="008C3C0D" w:rsidP="00D76F85">
      <w:pPr>
        <w:tabs>
          <w:tab w:val="left" w:pos="851"/>
        </w:tabs>
        <w:ind w:firstLine="709"/>
        <w:jc w:val="both"/>
        <w:rPr>
          <w:rFonts w:eastAsia="Times New Roman"/>
          <w:i/>
          <w:lang w:eastAsia="en-US"/>
        </w:rPr>
      </w:pPr>
      <w:r w:rsidRPr="00D92534">
        <w:rPr>
          <w:rFonts w:eastAsia="Times New Roman"/>
          <w:i/>
          <w:lang w:eastAsia="en-US"/>
        </w:rPr>
        <w:t>Комитету экономической политики и развития Волгоградской области:</w:t>
      </w:r>
    </w:p>
    <w:p w:rsidR="008C3C0D" w:rsidRPr="00D92534" w:rsidRDefault="008C3C0D" w:rsidP="00E35E90">
      <w:pPr>
        <w:pStyle w:val="af7"/>
        <w:numPr>
          <w:ilvl w:val="0"/>
          <w:numId w:val="24"/>
        </w:numPr>
        <w:tabs>
          <w:tab w:val="left" w:pos="0"/>
        </w:tabs>
        <w:autoSpaceDE w:val="0"/>
        <w:autoSpaceDN w:val="0"/>
        <w:adjustRightInd w:val="0"/>
        <w:ind w:left="0" w:firstLine="709"/>
        <w:jc w:val="both"/>
      </w:pPr>
      <w:r w:rsidRPr="00D92534">
        <w:t xml:space="preserve">Рассмотреть вопрос </w:t>
      </w:r>
      <w:r w:rsidR="006A3EE4" w:rsidRPr="00D92534">
        <w:t>необходимости корректировки Постановления 423-п</w:t>
      </w:r>
      <w:r w:rsidRPr="00D92534">
        <w:t xml:space="preserve">, </w:t>
      </w:r>
      <w:r w:rsidR="006A3EE4" w:rsidRPr="00D92534">
        <w:t xml:space="preserve">в части </w:t>
      </w:r>
      <w:r w:rsidR="00F23637" w:rsidRPr="00D92534">
        <w:t xml:space="preserve">некорректности признания достижения реализации высокой </w:t>
      </w:r>
      <w:r w:rsidRPr="00D92534">
        <w:t xml:space="preserve">ее высокой при не достижении </w:t>
      </w:r>
      <w:r w:rsidR="00F23637" w:rsidRPr="00D92534">
        <w:t>значительного числа показателей программы.</w:t>
      </w:r>
      <w:r w:rsidRPr="00D92534">
        <w:t xml:space="preserve"> </w:t>
      </w:r>
    </w:p>
    <w:p w:rsidR="008C3C0D" w:rsidRPr="00D92534" w:rsidRDefault="008C3C0D" w:rsidP="003D455A">
      <w:pPr>
        <w:tabs>
          <w:tab w:val="left" w:pos="993"/>
        </w:tabs>
        <w:autoSpaceDE w:val="0"/>
        <w:autoSpaceDN w:val="0"/>
        <w:adjustRightInd w:val="0"/>
        <w:outlineLvl w:val="2"/>
        <w:rPr>
          <w:b/>
          <w:i/>
          <w:color w:val="FF0000"/>
        </w:rPr>
      </w:pPr>
    </w:p>
    <w:p w:rsidR="008C3C0D" w:rsidRPr="00D92534" w:rsidRDefault="008C3C0D" w:rsidP="00FC5C39">
      <w:pPr>
        <w:ind w:firstLine="708"/>
        <w:jc w:val="both"/>
        <w:rPr>
          <w:color w:val="FF0000"/>
        </w:rPr>
      </w:pPr>
    </w:p>
    <w:p w:rsidR="008C3C0D" w:rsidRPr="003D455A" w:rsidRDefault="008C3C0D" w:rsidP="00B32132">
      <w:pPr>
        <w:autoSpaceDE w:val="0"/>
        <w:autoSpaceDN w:val="0"/>
        <w:adjustRightInd w:val="0"/>
        <w:ind w:firstLine="709"/>
        <w:jc w:val="both"/>
        <w:rPr>
          <w:noProof/>
        </w:rPr>
      </w:pPr>
      <w:r w:rsidRPr="00D92534">
        <w:rPr>
          <w:b/>
          <w:noProof/>
        </w:rPr>
        <w:t>Аудитор                                                                                                М.Е.Татаринцев</w:t>
      </w:r>
    </w:p>
    <w:sectPr w:rsidR="008C3C0D" w:rsidRPr="003D455A" w:rsidSect="00D25719">
      <w:headerReference w:type="even" r:id="rId9"/>
      <w:headerReference w:type="default" r:id="rId10"/>
      <w:pgSz w:w="11906" w:h="16838" w:code="9"/>
      <w:pgMar w:top="993" w:right="849" w:bottom="1134"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CC" w:rsidRDefault="000140CC" w:rsidP="00223DA8">
      <w:r>
        <w:separator/>
      </w:r>
    </w:p>
  </w:endnote>
  <w:endnote w:type="continuationSeparator" w:id="1">
    <w:p w:rsidR="000140CC" w:rsidRDefault="000140CC" w:rsidP="00223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CC" w:rsidRDefault="000140CC" w:rsidP="00223DA8">
      <w:r>
        <w:separator/>
      </w:r>
    </w:p>
  </w:footnote>
  <w:footnote w:type="continuationSeparator" w:id="1">
    <w:p w:rsidR="000140CC" w:rsidRDefault="000140CC" w:rsidP="00223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222" w:rsidRDefault="00375222" w:rsidP="00022E2A">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75222" w:rsidRDefault="0037522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222" w:rsidRDefault="00375222" w:rsidP="00022E2A">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28E7">
      <w:rPr>
        <w:rStyle w:val="a9"/>
        <w:noProof/>
      </w:rPr>
      <w:t>11</w:t>
    </w:r>
    <w:r>
      <w:rPr>
        <w:rStyle w:val="a9"/>
      </w:rPr>
      <w:fldChar w:fldCharType="end"/>
    </w:r>
  </w:p>
  <w:p w:rsidR="00375222" w:rsidRDefault="0037522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BF2"/>
    <w:multiLevelType w:val="hybridMultilevel"/>
    <w:tmpl w:val="5BAAFCFE"/>
    <w:lvl w:ilvl="0" w:tplc="773A7726">
      <w:start w:val="1"/>
      <w:numFmt w:val="decimal"/>
      <w:lvlText w:val="%1."/>
      <w:lvlJc w:val="left"/>
      <w:pPr>
        <w:tabs>
          <w:tab w:val="num" w:pos="567"/>
        </w:tabs>
        <w:ind w:left="397"/>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C141F03"/>
    <w:multiLevelType w:val="hybridMultilevel"/>
    <w:tmpl w:val="E9D8BC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3E4795"/>
    <w:multiLevelType w:val="hybridMultilevel"/>
    <w:tmpl w:val="C6B487DC"/>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3">
    <w:nsid w:val="0E3A6D1D"/>
    <w:multiLevelType w:val="hybridMultilevel"/>
    <w:tmpl w:val="75C22F8C"/>
    <w:lvl w:ilvl="0" w:tplc="04190001">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hint="default"/>
      </w:rPr>
    </w:lvl>
    <w:lvl w:ilvl="2" w:tplc="04190005">
      <w:start w:val="1"/>
      <w:numFmt w:val="bullet"/>
      <w:lvlText w:val=""/>
      <w:lvlJc w:val="left"/>
      <w:pPr>
        <w:ind w:left="2936" w:hanging="360"/>
      </w:pPr>
      <w:rPr>
        <w:rFonts w:ascii="Wingdings" w:hAnsi="Wingdings" w:hint="default"/>
      </w:rPr>
    </w:lvl>
    <w:lvl w:ilvl="3" w:tplc="04190001">
      <w:start w:val="1"/>
      <w:numFmt w:val="bullet"/>
      <w:lvlText w:val=""/>
      <w:lvlJc w:val="left"/>
      <w:pPr>
        <w:ind w:left="3656" w:hanging="360"/>
      </w:pPr>
      <w:rPr>
        <w:rFonts w:ascii="Symbol" w:hAnsi="Symbol" w:hint="default"/>
      </w:rPr>
    </w:lvl>
    <w:lvl w:ilvl="4" w:tplc="04190003">
      <w:start w:val="1"/>
      <w:numFmt w:val="bullet"/>
      <w:lvlText w:val="o"/>
      <w:lvlJc w:val="left"/>
      <w:pPr>
        <w:ind w:left="4376" w:hanging="360"/>
      </w:pPr>
      <w:rPr>
        <w:rFonts w:ascii="Courier New" w:hAnsi="Courier New" w:hint="default"/>
      </w:rPr>
    </w:lvl>
    <w:lvl w:ilvl="5" w:tplc="04190005">
      <w:start w:val="1"/>
      <w:numFmt w:val="bullet"/>
      <w:lvlText w:val=""/>
      <w:lvlJc w:val="left"/>
      <w:pPr>
        <w:ind w:left="5096" w:hanging="360"/>
      </w:pPr>
      <w:rPr>
        <w:rFonts w:ascii="Wingdings" w:hAnsi="Wingdings" w:hint="default"/>
      </w:rPr>
    </w:lvl>
    <w:lvl w:ilvl="6" w:tplc="04190001">
      <w:start w:val="1"/>
      <w:numFmt w:val="bullet"/>
      <w:lvlText w:val=""/>
      <w:lvlJc w:val="left"/>
      <w:pPr>
        <w:ind w:left="5816" w:hanging="360"/>
      </w:pPr>
      <w:rPr>
        <w:rFonts w:ascii="Symbol" w:hAnsi="Symbol" w:hint="default"/>
      </w:rPr>
    </w:lvl>
    <w:lvl w:ilvl="7" w:tplc="04190003">
      <w:start w:val="1"/>
      <w:numFmt w:val="bullet"/>
      <w:lvlText w:val="o"/>
      <w:lvlJc w:val="left"/>
      <w:pPr>
        <w:ind w:left="6536" w:hanging="360"/>
      </w:pPr>
      <w:rPr>
        <w:rFonts w:ascii="Courier New" w:hAnsi="Courier New" w:hint="default"/>
      </w:rPr>
    </w:lvl>
    <w:lvl w:ilvl="8" w:tplc="04190005">
      <w:start w:val="1"/>
      <w:numFmt w:val="bullet"/>
      <w:lvlText w:val=""/>
      <w:lvlJc w:val="left"/>
      <w:pPr>
        <w:ind w:left="7256" w:hanging="360"/>
      </w:pPr>
      <w:rPr>
        <w:rFonts w:ascii="Wingdings" w:hAnsi="Wingdings" w:hint="default"/>
      </w:rPr>
    </w:lvl>
  </w:abstractNum>
  <w:abstractNum w:abstractNumId="4">
    <w:nsid w:val="12254414"/>
    <w:multiLevelType w:val="hybridMultilevel"/>
    <w:tmpl w:val="285CCEB6"/>
    <w:lvl w:ilvl="0" w:tplc="B9F8E2A4">
      <w:start w:val="1"/>
      <w:numFmt w:val="bullet"/>
      <w:lvlText w:val=""/>
      <w:lvlJc w:val="left"/>
      <w:pPr>
        <w:ind w:left="928" w:hanging="360"/>
      </w:pPr>
      <w:rPr>
        <w:rFonts w:ascii="Wingdings" w:hAnsi="Wingdings" w:hint="default"/>
        <w:color w:val="auto"/>
      </w:rPr>
    </w:lvl>
    <w:lvl w:ilvl="1" w:tplc="04190003">
      <w:start w:val="1"/>
      <w:numFmt w:val="bullet"/>
      <w:lvlText w:val="o"/>
      <w:lvlJc w:val="left"/>
      <w:pPr>
        <w:ind w:left="601" w:hanging="360"/>
      </w:pPr>
      <w:rPr>
        <w:rFonts w:ascii="Courier New" w:hAnsi="Courier New" w:hint="default"/>
      </w:rPr>
    </w:lvl>
    <w:lvl w:ilvl="2" w:tplc="04190005">
      <w:start w:val="1"/>
      <w:numFmt w:val="bullet"/>
      <w:lvlText w:val=""/>
      <w:lvlJc w:val="left"/>
      <w:pPr>
        <w:ind w:left="1321" w:hanging="360"/>
      </w:pPr>
      <w:rPr>
        <w:rFonts w:ascii="Wingdings" w:hAnsi="Wingdings" w:hint="default"/>
      </w:rPr>
    </w:lvl>
    <w:lvl w:ilvl="3" w:tplc="04190001">
      <w:start w:val="1"/>
      <w:numFmt w:val="bullet"/>
      <w:lvlText w:val=""/>
      <w:lvlJc w:val="left"/>
      <w:pPr>
        <w:ind w:left="2041" w:hanging="360"/>
      </w:pPr>
      <w:rPr>
        <w:rFonts w:ascii="Symbol" w:hAnsi="Symbol" w:hint="default"/>
      </w:rPr>
    </w:lvl>
    <w:lvl w:ilvl="4" w:tplc="04190003">
      <w:start w:val="1"/>
      <w:numFmt w:val="bullet"/>
      <w:lvlText w:val="o"/>
      <w:lvlJc w:val="left"/>
      <w:pPr>
        <w:ind w:left="2761" w:hanging="360"/>
      </w:pPr>
      <w:rPr>
        <w:rFonts w:ascii="Courier New" w:hAnsi="Courier New" w:hint="default"/>
      </w:rPr>
    </w:lvl>
    <w:lvl w:ilvl="5" w:tplc="04190005">
      <w:start w:val="1"/>
      <w:numFmt w:val="bullet"/>
      <w:lvlText w:val=""/>
      <w:lvlJc w:val="left"/>
      <w:pPr>
        <w:ind w:left="3481" w:hanging="360"/>
      </w:pPr>
      <w:rPr>
        <w:rFonts w:ascii="Wingdings" w:hAnsi="Wingdings" w:hint="default"/>
      </w:rPr>
    </w:lvl>
    <w:lvl w:ilvl="6" w:tplc="04190001">
      <w:start w:val="1"/>
      <w:numFmt w:val="bullet"/>
      <w:lvlText w:val=""/>
      <w:lvlJc w:val="left"/>
      <w:pPr>
        <w:ind w:left="4201" w:hanging="360"/>
      </w:pPr>
      <w:rPr>
        <w:rFonts w:ascii="Symbol" w:hAnsi="Symbol" w:hint="default"/>
      </w:rPr>
    </w:lvl>
    <w:lvl w:ilvl="7" w:tplc="04190003">
      <w:start w:val="1"/>
      <w:numFmt w:val="bullet"/>
      <w:lvlText w:val="o"/>
      <w:lvlJc w:val="left"/>
      <w:pPr>
        <w:ind w:left="4921" w:hanging="360"/>
      </w:pPr>
      <w:rPr>
        <w:rFonts w:ascii="Courier New" w:hAnsi="Courier New" w:hint="default"/>
      </w:rPr>
    </w:lvl>
    <w:lvl w:ilvl="8" w:tplc="04190005">
      <w:start w:val="1"/>
      <w:numFmt w:val="bullet"/>
      <w:lvlText w:val=""/>
      <w:lvlJc w:val="left"/>
      <w:pPr>
        <w:ind w:left="5641" w:hanging="360"/>
      </w:pPr>
      <w:rPr>
        <w:rFonts w:ascii="Wingdings" w:hAnsi="Wingdings" w:hint="default"/>
      </w:rPr>
    </w:lvl>
  </w:abstractNum>
  <w:abstractNum w:abstractNumId="5">
    <w:nsid w:val="152D0658"/>
    <w:multiLevelType w:val="hybridMultilevel"/>
    <w:tmpl w:val="5A4C824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2EEE2505"/>
    <w:multiLevelType w:val="hybridMultilevel"/>
    <w:tmpl w:val="407061E4"/>
    <w:lvl w:ilvl="0" w:tplc="BE020D30">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0706E15"/>
    <w:multiLevelType w:val="hybridMultilevel"/>
    <w:tmpl w:val="0AB05B94"/>
    <w:lvl w:ilvl="0" w:tplc="D6F053D8">
      <w:start w:val="1"/>
      <w:numFmt w:val="decimal"/>
      <w:lvlText w:val="%1."/>
      <w:lvlJc w:val="left"/>
      <w:pPr>
        <w:ind w:left="900" w:hanging="360"/>
      </w:pPr>
      <w:rPr>
        <w:rFonts w:eastAsia="Times New Roman"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31195516"/>
    <w:multiLevelType w:val="hybridMultilevel"/>
    <w:tmpl w:val="99585BCA"/>
    <w:lvl w:ilvl="0" w:tplc="E1BA4D9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9">
    <w:nsid w:val="31927A17"/>
    <w:multiLevelType w:val="hybridMultilevel"/>
    <w:tmpl w:val="067C1CCE"/>
    <w:lvl w:ilvl="0" w:tplc="8A2891F0">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DC6E06"/>
    <w:multiLevelType w:val="hybridMultilevel"/>
    <w:tmpl w:val="54F24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B528FF"/>
    <w:multiLevelType w:val="hybridMultilevel"/>
    <w:tmpl w:val="E20C9C66"/>
    <w:lvl w:ilvl="0" w:tplc="90582DF6">
      <w:start w:val="1"/>
      <w:numFmt w:val="decimal"/>
      <w:lvlText w:val="%1."/>
      <w:lvlJc w:val="left"/>
      <w:pPr>
        <w:ind w:left="1684" w:hanging="975"/>
      </w:pPr>
      <w:rPr>
        <w:rFonts w:cs="Times New Roman" w:hint="default"/>
        <w:b/>
        <w:i w:val="0"/>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FB65EDB"/>
    <w:multiLevelType w:val="hybridMultilevel"/>
    <w:tmpl w:val="89E00092"/>
    <w:lvl w:ilvl="0" w:tplc="E4CADF5C">
      <w:start w:val="1"/>
      <w:numFmt w:val="decimal"/>
      <w:lvlText w:val="%1)"/>
      <w:lvlJc w:val="left"/>
      <w:pPr>
        <w:ind w:left="1774"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C1F0F91"/>
    <w:multiLevelType w:val="hybridMultilevel"/>
    <w:tmpl w:val="634E44C8"/>
    <w:lvl w:ilvl="0" w:tplc="33D0442A">
      <w:start w:val="1"/>
      <w:numFmt w:val="decimal"/>
      <w:lvlText w:val="%1."/>
      <w:lvlJc w:val="left"/>
      <w:pPr>
        <w:ind w:left="1069"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4C726BC8"/>
    <w:multiLevelType w:val="hybridMultilevel"/>
    <w:tmpl w:val="E20C9C66"/>
    <w:lvl w:ilvl="0" w:tplc="90582DF6">
      <w:start w:val="1"/>
      <w:numFmt w:val="decimal"/>
      <w:lvlText w:val="%1."/>
      <w:lvlJc w:val="left"/>
      <w:pPr>
        <w:ind w:left="1684" w:hanging="975"/>
      </w:pPr>
      <w:rPr>
        <w:rFonts w:cs="Times New Roman" w:hint="default"/>
        <w:b/>
        <w:i w:val="0"/>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D53218D"/>
    <w:multiLevelType w:val="hybridMultilevel"/>
    <w:tmpl w:val="90244E78"/>
    <w:lvl w:ilvl="0" w:tplc="04190001">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hint="default"/>
      </w:rPr>
    </w:lvl>
    <w:lvl w:ilvl="2" w:tplc="04190005">
      <w:start w:val="1"/>
      <w:numFmt w:val="bullet"/>
      <w:lvlText w:val=""/>
      <w:lvlJc w:val="left"/>
      <w:pPr>
        <w:ind w:left="2936" w:hanging="360"/>
      </w:pPr>
      <w:rPr>
        <w:rFonts w:ascii="Wingdings" w:hAnsi="Wingdings" w:hint="default"/>
      </w:rPr>
    </w:lvl>
    <w:lvl w:ilvl="3" w:tplc="04190001">
      <w:start w:val="1"/>
      <w:numFmt w:val="bullet"/>
      <w:lvlText w:val=""/>
      <w:lvlJc w:val="left"/>
      <w:pPr>
        <w:ind w:left="3656" w:hanging="360"/>
      </w:pPr>
      <w:rPr>
        <w:rFonts w:ascii="Symbol" w:hAnsi="Symbol" w:hint="default"/>
      </w:rPr>
    </w:lvl>
    <w:lvl w:ilvl="4" w:tplc="04190003">
      <w:start w:val="1"/>
      <w:numFmt w:val="bullet"/>
      <w:lvlText w:val="o"/>
      <w:lvlJc w:val="left"/>
      <w:pPr>
        <w:ind w:left="4376" w:hanging="360"/>
      </w:pPr>
      <w:rPr>
        <w:rFonts w:ascii="Courier New" w:hAnsi="Courier New" w:hint="default"/>
      </w:rPr>
    </w:lvl>
    <w:lvl w:ilvl="5" w:tplc="04190005">
      <w:start w:val="1"/>
      <w:numFmt w:val="bullet"/>
      <w:lvlText w:val=""/>
      <w:lvlJc w:val="left"/>
      <w:pPr>
        <w:ind w:left="5096" w:hanging="360"/>
      </w:pPr>
      <w:rPr>
        <w:rFonts w:ascii="Wingdings" w:hAnsi="Wingdings" w:hint="default"/>
      </w:rPr>
    </w:lvl>
    <w:lvl w:ilvl="6" w:tplc="04190001">
      <w:start w:val="1"/>
      <w:numFmt w:val="bullet"/>
      <w:lvlText w:val=""/>
      <w:lvlJc w:val="left"/>
      <w:pPr>
        <w:ind w:left="5816" w:hanging="360"/>
      </w:pPr>
      <w:rPr>
        <w:rFonts w:ascii="Symbol" w:hAnsi="Symbol" w:hint="default"/>
      </w:rPr>
    </w:lvl>
    <w:lvl w:ilvl="7" w:tplc="04190003">
      <w:start w:val="1"/>
      <w:numFmt w:val="bullet"/>
      <w:lvlText w:val="o"/>
      <w:lvlJc w:val="left"/>
      <w:pPr>
        <w:ind w:left="6536" w:hanging="360"/>
      </w:pPr>
      <w:rPr>
        <w:rFonts w:ascii="Courier New" w:hAnsi="Courier New" w:hint="default"/>
      </w:rPr>
    </w:lvl>
    <w:lvl w:ilvl="8" w:tplc="04190005">
      <w:start w:val="1"/>
      <w:numFmt w:val="bullet"/>
      <w:lvlText w:val=""/>
      <w:lvlJc w:val="left"/>
      <w:pPr>
        <w:ind w:left="7256" w:hanging="360"/>
      </w:pPr>
      <w:rPr>
        <w:rFonts w:ascii="Wingdings" w:hAnsi="Wingdings" w:hint="default"/>
      </w:rPr>
    </w:lvl>
  </w:abstractNum>
  <w:abstractNum w:abstractNumId="16">
    <w:nsid w:val="58601B82"/>
    <w:multiLevelType w:val="hybridMultilevel"/>
    <w:tmpl w:val="DC7CFCD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7">
    <w:nsid w:val="62F63503"/>
    <w:multiLevelType w:val="hybridMultilevel"/>
    <w:tmpl w:val="D6CCD6E8"/>
    <w:lvl w:ilvl="0" w:tplc="04190001">
      <w:start w:val="1"/>
      <w:numFmt w:val="bullet"/>
      <w:lvlText w:val=""/>
      <w:lvlJc w:val="left"/>
      <w:pPr>
        <w:ind w:left="810" w:hanging="360"/>
      </w:pPr>
      <w:rPr>
        <w:rFonts w:ascii="Symbol" w:hAnsi="Symbol" w:hint="default"/>
      </w:rPr>
    </w:lvl>
    <w:lvl w:ilvl="1" w:tplc="04190003">
      <w:start w:val="1"/>
      <w:numFmt w:val="bullet"/>
      <w:lvlText w:val="o"/>
      <w:lvlJc w:val="left"/>
      <w:pPr>
        <w:ind w:left="1530" w:hanging="360"/>
      </w:pPr>
      <w:rPr>
        <w:rFonts w:ascii="Courier New" w:hAnsi="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hint="default"/>
      </w:rPr>
    </w:lvl>
    <w:lvl w:ilvl="8" w:tplc="04190005">
      <w:start w:val="1"/>
      <w:numFmt w:val="bullet"/>
      <w:lvlText w:val=""/>
      <w:lvlJc w:val="left"/>
      <w:pPr>
        <w:ind w:left="6570" w:hanging="360"/>
      </w:pPr>
      <w:rPr>
        <w:rFonts w:ascii="Wingdings" w:hAnsi="Wingdings" w:hint="default"/>
      </w:rPr>
    </w:lvl>
  </w:abstractNum>
  <w:abstractNum w:abstractNumId="18">
    <w:nsid w:val="665D4778"/>
    <w:multiLevelType w:val="hybridMultilevel"/>
    <w:tmpl w:val="4CCE0468"/>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6AF1E8E"/>
    <w:multiLevelType w:val="hybridMultilevel"/>
    <w:tmpl w:val="3190CD9C"/>
    <w:lvl w:ilvl="0" w:tplc="771E1ADA">
      <w:start w:val="6"/>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9C6FCF"/>
    <w:multiLevelType w:val="hybridMultilevel"/>
    <w:tmpl w:val="71F089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ED33725"/>
    <w:multiLevelType w:val="hybridMultilevel"/>
    <w:tmpl w:val="7F50A0F2"/>
    <w:lvl w:ilvl="0" w:tplc="DC761EE8">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4"/>
  </w:num>
  <w:num w:numId="4">
    <w:abstractNumId w:val="8"/>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20"/>
  </w:num>
  <w:num w:numId="10">
    <w:abstractNumId w:val="2"/>
  </w:num>
  <w:num w:numId="11">
    <w:abstractNumId w:val="10"/>
  </w:num>
  <w:num w:numId="12">
    <w:abstractNumId w:val="17"/>
  </w:num>
  <w:num w:numId="13">
    <w:abstractNumId w:val="1"/>
  </w:num>
  <w:num w:numId="14">
    <w:abstractNumId w:val="18"/>
  </w:num>
  <w:num w:numId="15">
    <w:abstractNumId w:val="12"/>
  </w:num>
  <w:num w:numId="16">
    <w:abstractNumId w:val="7"/>
  </w:num>
  <w:num w:numId="17">
    <w:abstractNumId w:val="15"/>
  </w:num>
  <w:num w:numId="18">
    <w:abstractNumId w:val="3"/>
  </w:num>
  <w:num w:numId="19">
    <w:abstractNumId w:val="11"/>
  </w:num>
  <w:num w:numId="20">
    <w:abstractNumId w:val="13"/>
  </w:num>
  <w:num w:numId="21">
    <w:abstractNumId w:val="6"/>
  </w:num>
  <w:num w:numId="22">
    <w:abstractNumId w:val="9"/>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DD3278"/>
    <w:rsid w:val="0000228C"/>
    <w:rsid w:val="000035B0"/>
    <w:rsid w:val="00004146"/>
    <w:rsid w:val="0000574C"/>
    <w:rsid w:val="00005C82"/>
    <w:rsid w:val="00006320"/>
    <w:rsid w:val="0000661F"/>
    <w:rsid w:val="0000709A"/>
    <w:rsid w:val="00007A61"/>
    <w:rsid w:val="0001026D"/>
    <w:rsid w:val="00010B0A"/>
    <w:rsid w:val="000140CC"/>
    <w:rsid w:val="00014D26"/>
    <w:rsid w:val="0001528C"/>
    <w:rsid w:val="00015588"/>
    <w:rsid w:val="00016A9C"/>
    <w:rsid w:val="00017353"/>
    <w:rsid w:val="00017482"/>
    <w:rsid w:val="00020B0D"/>
    <w:rsid w:val="000217BB"/>
    <w:rsid w:val="00022B3B"/>
    <w:rsid w:val="00022E2A"/>
    <w:rsid w:val="00023A44"/>
    <w:rsid w:val="00024578"/>
    <w:rsid w:val="00026922"/>
    <w:rsid w:val="00027006"/>
    <w:rsid w:val="00027206"/>
    <w:rsid w:val="00027577"/>
    <w:rsid w:val="000334E0"/>
    <w:rsid w:val="000337F6"/>
    <w:rsid w:val="00033925"/>
    <w:rsid w:val="00034DCA"/>
    <w:rsid w:val="0003532A"/>
    <w:rsid w:val="0003539D"/>
    <w:rsid w:val="00037FEC"/>
    <w:rsid w:val="00040974"/>
    <w:rsid w:val="00041499"/>
    <w:rsid w:val="00041DC1"/>
    <w:rsid w:val="00041FE3"/>
    <w:rsid w:val="00042232"/>
    <w:rsid w:val="00042FD4"/>
    <w:rsid w:val="00043204"/>
    <w:rsid w:val="000435E1"/>
    <w:rsid w:val="000438F5"/>
    <w:rsid w:val="00043F8E"/>
    <w:rsid w:val="00044F46"/>
    <w:rsid w:val="00045A77"/>
    <w:rsid w:val="00045A88"/>
    <w:rsid w:val="000468EB"/>
    <w:rsid w:val="00050B58"/>
    <w:rsid w:val="00052BF7"/>
    <w:rsid w:val="00053DDF"/>
    <w:rsid w:val="0005604B"/>
    <w:rsid w:val="0006057C"/>
    <w:rsid w:val="000607BC"/>
    <w:rsid w:val="0006234E"/>
    <w:rsid w:val="00062502"/>
    <w:rsid w:val="0006410F"/>
    <w:rsid w:val="00066955"/>
    <w:rsid w:val="000675FF"/>
    <w:rsid w:val="00075972"/>
    <w:rsid w:val="0007750A"/>
    <w:rsid w:val="000777D0"/>
    <w:rsid w:val="000806D4"/>
    <w:rsid w:val="00080F57"/>
    <w:rsid w:val="00081DC9"/>
    <w:rsid w:val="00082EF2"/>
    <w:rsid w:val="000843C5"/>
    <w:rsid w:val="00084B08"/>
    <w:rsid w:val="00084EBA"/>
    <w:rsid w:val="00085216"/>
    <w:rsid w:val="00087945"/>
    <w:rsid w:val="0009075A"/>
    <w:rsid w:val="000908AB"/>
    <w:rsid w:val="00091185"/>
    <w:rsid w:val="000936D3"/>
    <w:rsid w:val="00095185"/>
    <w:rsid w:val="000953AB"/>
    <w:rsid w:val="00095BEC"/>
    <w:rsid w:val="0009778B"/>
    <w:rsid w:val="000A0166"/>
    <w:rsid w:val="000A04C4"/>
    <w:rsid w:val="000A0B34"/>
    <w:rsid w:val="000A19D0"/>
    <w:rsid w:val="000A203B"/>
    <w:rsid w:val="000A4034"/>
    <w:rsid w:val="000A4E6F"/>
    <w:rsid w:val="000A7F8B"/>
    <w:rsid w:val="000B0EFF"/>
    <w:rsid w:val="000B4779"/>
    <w:rsid w:val="000B4857"/>
    <w:rsid w:val="000B5441"/>
    <w:rsid w:val="000B7722"/>
    <w:rsid w:val="000C06DC"/>
    <w:rsid w:val="000C1D5A"/>
    <w:rsid w:val="000C280C"/>
    <w:rsid w:val="000C2842"/>
    <w:rsid w:val="000C2AD2"/>
    <w:rsid w:val="000C441F"/>
    <w:rsid w:val="000C497E"/>
    <w:rsid w:val="000C4A32"/>
    <w:rsid w:val="000C4F4C"/>
    <w:rsid w:val="000C5102"/>
    <w:rsid w:val="000C680E"/>
    <w:rsid w:val="000C79C7"/>
    <w:rsid w:val="000C7ECB"/>
    <w:rsid w:val="000D01A7"/>
    <w:rsid w:val="000D2936"/>
    <w:rsid w:val="000D305B"/>
    <w:rsid w:val="000D3FCA"/>
    <w:rsid w:val="000D5266"/>
    <w:rsid w:val="000D6246"/>
    <w:rsid w:val="000D69BA"/>
    <w:rsid w:val="000E0DA1"/>
    <w:rsid w:val="000E12F0"/>
    <w:rsid w:val="000E2677"/>
    <w:rsid w:val="000E3675"/>
    <w:rsid w:val="000E4E87"/>
    <w:rsid w:val="000E6C05"/>
    <w:rsid w:val="000E7818"/>
    <w:rsid w:val="000F5A9A"/>
    <w:rsid w:val="000F792A"/>
    <w:rsid w:val="0010063D"/>
    <w:rsid w:val="00101CF7"/>
    <w:rsid w:val="00104AF5"/>
    <w:rsid w:val="00105D3E"/>
    <w:rsid w:val="001063D4"/>
    <w:rsid w:val="00106CC5"/>
    <w:rsid w:val="001072DA"/>
    <w:rsid w:val="001075E3"/>
    <w:rsid w:val="001124B8"/>
    <w:rsid w:val="0011292D"/>
    <w:rsid w:val="001135BE"/>
    <w:rsid w:val="00113ED0"/>
    <w:rsid w:val="00114EF8"/>
    <w:rsid w:val="001169E4"/>
    <w:rsid w:val="00120FCF"/>
    <w:rsid w:val="00123597"/>
    <w:rsid w:val="001242F9"/>
    <w:rsid w:val="001251C7"/>
    <w:rsid w:val="001252A9"/>
    <w:rsid w:val="00127F2A"/>
    <w:rsid w:val="00132CDF"/>
    <w:rsid w:val="0013432C"/>
    <w:rsid w:val="001357BE"/>
    <w:rsid w:val="00136500"/>
    <w:rsid w:val="001365D7"/>
    <w:rsid w:val="0013690E"/>
    <w:rsid w:val="001422C4"/>
    <w:rsid w:val="001424E4"/>
    <w:rsid w:val="00144D50"/>
    <w:rsid w:val="00144E6B"/>
    <w:rsid w:val="001458E7"/>
    <w:rsid w:val="001460A5"/>
    <w:rsid w:val="00146BD2"/>
    <w:rsid w:val="001479D7"/>
    <w:rsid w:val="001508C9"/>
    <w:rsid w:val="001515A1"/>
    <w:rsid w:val="001542BE"/>
    <w:rsid w:val="0015433D"/>
    <w:rsid w:val="001550AF"/>
    <w:rsid w:val="00155580"/>
    <w:rsid w:val="0015780D"/>
    <w:rsid w:val="00162649"/>
    <w:rsid w:val="00164289"/>
    <w:rsid w:val="00166202"/>
    <w:rsid w:val="001671C3"/>
    <w:rsid w:val="0016773D"/>
    <w:rsid w:val="00171154"/>
    <w:rsid w:val="001719B4"/>
    <w:rsid w:val="00172168"/>
    <w:rsid w:val="00173AC4"/>
    <w:rsid w:val="00174040"/>
    <w:rsid w:val="00174A05"/>
    <w:rsid w:val="0018262D"/>
    <w:rsid w:val="001838FE"/>
    <w:rsid w:val="00185EA8"/>
    <w:rsid w:val="001865E8"/>
    <w:rsid w:val="001866DE"/>
    <w:rsid w:val="001905B3"/>
    <w:rsid w:val="001919BD"/>
    <w:rsid w:val="00192206"/>
    <w:rsid w:val="00192C42"/>
    <w:rsid w:val="0019421D"/>
    <w:rsid w:val="00194F7B"/>
    <w:rsid w:val="00196A12"/>
    <w:rsid w:val="001978BC"/>
    <w:rsid w:val="00197A80"/>
    <w:rsid w:val="001A0B5F"/>
    <w:rsid w:val="001A1528"/>
    <w:rsid w:val="001A2034"/>
    <w:rsid w:val="001A2DFE"/>
    <w:rsid w:val="001A2E23"/>
    <w:rsid w:val="001A444C"/>
    <w:rsid w:val="001A5B4B"/>
    <w:rsid w:val="001A6C2D"/>
    <w:rsid w:val="001A706B"/>
    <w:rsid w:val="001A7C28"/>
    <w:rsid w:val="001B0597"/>
    <w:rsid w:val="001B094F"/>
    <w:rsid w:val="001B21A2"/>
    <w:rsid w:val="001C27AE"/>
    <w:rsid w:val="001C3231"/>
    <w:rsid w:val="001C3389"/>
    <w:rsid w:val="001C3B36"/>
    <w:rsid w:val="001C3DB2"/>
    <w:rsid w:val="001C4785"/>
    <w:rsid w:val="001C6F48"/>
    <w:rsid w:val="001D0833"/>
    <w:rsid w:val="001D2124"/>
    <w:rsid w:val="001D260E"/>
    <w:rsid w:val="001D3550"/>
    <w:rsid w:val="001D356C"/>
    <w:rsid w:val="001D3B12"/>
    <w:rsid w:val="001D4F42"/>
    <w:rsid w:val="001D5D83"/>
    <w:rsid w:val="001D7E35"/>
    <w:rsid w:val="001E0D69"/>
    <w:rsid w:val="001E3A94"/>
    <w:rsid w:val="001E4F32"/>
    <w:rsid w:val="001E5678"/>
    <w:rsid w:val="001E64B8"/>
    <w:rsid w:val="001E7143"/>
    <w:rsid w:val="001F0393"/>
    <w:rsid w:val="001F0BDB"/>
    <w:rsid w:val="001F0DDB"/>
    <w:rsid w:val="001F1B86"/>
    <w:rsid w:val="001F36C4"/>
    <w:rsid w:val="001F4A84"/>
    <w:rsid w:val="001F4BF0"/>
    <w:rsid w:val="001F6515"/>
    <w:rsid w:val="001F6BE5"/>
    <w:rsid w:val="001F7140"/>
    <w:rsid w:val="002010E2"/>
    <w:rsid w:val="00201F95"/>
    <w:rsid w:val="002031C8"/>
    <w:rsid w:val="002040DE"/>
    <w:rsid w:val="002060C5"/>
    <w:rsid w:val="00207C52"/>
    <w:rsid w:val="00210137"/>
    <w:rsid w:val="00211D57"/>
    <w:rsid w:val="00217638"/>
    <w:rsid w:val="00221722"/>
    <w:rsid w:val="00222690"/>
    <w:rsid w:val="002234E0"/>
    <w:rsid w:val="00223DA8"/>
    <w:rsid w:val="00224D18"/>
    <w:rsid w:val="002303A6"/>
    <w:rsid w:val="00230AE0"/>
    <w:rsid w:val="002315AF"/>
    <w:rsid w:val="00234694"/>
    <w:rsid w:val="00234D5A"/>
    <w:rsid w:val="0023533C"/>
    <w:rsid w:val="00235400"/>
    <w:rsid w:val="00236873"/>
    <w:rsid w:val="00237C8C"/>
    <w:rsid w:val="00242958"/>
    <w:rsid w:val="00242B17"/>
    <w:rsid w:val="00243793"/>
    <w:rsid w:val="002438F0"/>
    <w:rsid w:val="00244B8E"/>
    <w:rsid w:val="00244E5C"/>
    <w:rsid w:val="00245E63"/>
    <w:rsid w:val="0025062C"/>
    <w:rsid w:val="00250C8F"/>
    <w:rsid w:val="00253AB4"/>
    <w:rsid w:val="002543A2"/>
    <w:rsid w:val="002553C3"/>
    <w:rsid w:val="002553D4"/>
    <w:rsid w:val="00255A15"/>
    <w:rsid w:val="00256E5A"/>
    <w:rsid w:val="00256FA2"/>
    <w:rsid w:val="00261F1B"/>
    <w:rsid w:val="00263D59"/>
    <w:rsid w:val="002641CD"/>
    <w:rsid w:val="00264788"/>
    <w:rsid w:val="002657D0"/>
    <w:rsid w:val="00265C99"/>
    <w:rsid w:val="00267260"/>
    <w:rsid w:val="00267685"/>
    <w:rsid w:val="00272442"/>
    <w:rsid w:val="00272C22"/>
    <w:rsid w:val="00273DCE"/>
    <w:rsid w:val="00274371"/>
    <w:rsid w:val="00274C33"/>
    <w:rsid w:val="00274FFC"/>
    <w:rsid w:val="00276266"/>
    <w:rsid w:val="0027700A"/>
    <w:rsid w:val="002800AC"/>
    <w:rsid w:val="00280C47"/>
    <w:rsid w:val="00280E60"/>
    <w:rsid w:val="00281D73"/>
    <w:rsid w:val="002825AB"/>
    <w:rsid w:val="00283043"/>
    <w:rsid w:val="00283094"/>
    <w:rsid w:val="0028373C"/>
    <w:rsid w:val="00283A3C"/>
    <w:rsid w:val="002849EE"/>
    <w:rsid w:val="00284ED4"/>
    <w:rsid w:val="00285723"/>
    <w:rsid w:val="002858A8"/>
    <w:rsid w:val="002865FB"/>
    <w:rsid w:val="00286D80"/>
    <w:rsid w:val="002875E5"/>
    <w:rsid w:val="00287A1A"/>
    <w:rsid w:val="00290E1B"/>
    <w:rsid w:val="00294253"/>
    <w:rsid w:val="00294847"/>
    <w:rsid w:val="0029543F"/>
    <w:rsid w:val="00297F49"/>
    <w:rsid w:val="002A2A1E"/>
    <w:rsid w:val="002A5423"/>
    <w:rsid w:val="002A5A1D"/>
    <w:rsid w:val="002A7A47"/>
    <w:rsid w:val="002B0379"/>
    <w:rsid w:val="002B08B8"/>
    <w:rsid w:val="002B21A1"/>
    <w:rsid w:val="002B2F80"/>
    <w:rsid w:val="002B33EB"/>
    <w:rsid w:val="002B3C2F"/>
    <w:rsid w:val="002B51D3"/>
    <w:rsid w:val="002C1862"/>
    <w:rsid w:val="002C2421"/>
    <w:rsid w:val="002C44DC"/>
    <w:rsid w:val="002C47F8"/>
    <w:rsid w:val="002D06EB"/>
    <w:rsid w:val="002D1F9E"/>
    <w:rsid w:val="002D42E9"/>
    <w:rsid w:val="002D4D59"/>
    <w:rsid w:val="002E0669"/>
    <w:rsid w:val="002E0F8A"/>
    <w:rsid w:val="002E32EF"/>
    <w:rsid w:val="002E48FF"/>
    <w:rsid w:val="002E4E11"/>
    <w:rsid w:val="002E73C7"/>
    <w:rsid w:val="002F50F8"/>
    <w:rsid w:val="002F59E4"/>
    <w:rsid w:val="002F6101"/>
    <w:rsid w:val="002F6664"/>
    <w:rsid w:val="002F7D0D"/>
    <w:rsid w:val="00301861"/>
    <w:rsid w:val="00305D9C"/>
    <w:rsid w:val="0030643F"/>
    <w:rsid w:val="003109E6"/>
    <w:rsid w:val="00311278"/>
    <w:rsid w:val="003126F3"/>
    <w:rsid w:val="003129D5"/>
    <w:rsid w:val="00316F5D"/>
    <w:rsid w:val="0032066E"/>
    <w:rsid w:val="003211F7"/>
    <w:rsid w:val="003221C7"/>
    <w:rsid w:val="00322223"/>
    <w:rsid w:val="00322D77"/>
    <w:rsid w:val="00323480"/>
    <w:rsid w:val="0032483D"/>
    <w:rsid w:val="0032633D"/>
    <w:rsid w:val="003301D8"/>
    <w:rsid w:val="00331AF8"/>
    <w:rsid w:val="00331B26"/>
    <w:rsid w:val="00332091"/>
    <w:rsid w:val="00332D1B"/>
    <w:rsid w:val="003339CB"/>
    <w:rsid w:val="00333B18"/>
    <w:rsid w:val="00333EE5"/>
    <w:rsid w:val="0033720E"/>
    <w:rsid w:val="00337771"/>
    <w:rsid w:val="00340203"/>
    <w:rsid w:val="00340820"/>
    <w:rsid w:val="00341C5B"/>
    <w:rsid w:val="00342A3B"/>
    <w:rsid w:val="003432BD"/>
    <w:rsid w:val="00347C62"/>
    <w:rsid w:val="00350C67"/>
    <w:rsid w:val="00353615"/>
    <w:rsid w:val="0035565A"/>
    <w:rsid w:val="00355EF1"/>
    <w:rsid w:val="003560BF"/>
    <w:rsid w:val="00357BB3"/>
    <w:rsid w:val="00361BDB"/>
    <w:rsid w:val="0036221F"/>
    <w:rsid w:val="00362A01"/>
    <w:rsid w:val="003657AF"/>
    <w:rsid w:val="00365EC6"/>
    <w:rsid w:val="00366AF4"/>
    <w:rsid w:val="00370C4F"/>
    <w:rsid w:val="00371177"/>
    <w:rsid w:val="00372256"/>
    <w:rsid w:val="00375222"/>
    <w:rsid w:val="00375949"/>
    <w:rsid w:val="00376660"/>
    <w:rsid w:val="00377754"/>
    <w:rsid w:val="00380CB8"/>
    <w:rsid w:val="00381D72"/>
    <w:rsid w:val="00381E05"/>
    <w:rsid w:val="003820F3"/>
    <w:rsid w:val="003830F3"/>
    <w:rsid w:val="00383192"/>
    <w:rsid w:val="00383A48"/>
    <w:rsid w:val="00383A6C"/>
    <w:rsid w:val="003842D6"/>
    <w:rsid w:val="00385785"/>
    <w:rsid w:val="00385A1D"/>
    <w:rsid w:val="00386BD2"/>
    <w:rsid w:val="00386E61"/>
    <w:rsid w:val="0038715F"/>
    <w:rsid w:val="00387FFC"/>
    <w:rsid w:val="003904D0"/>
    <w:rsid w:val="00391780"/>
    <w:rsid w:val="00391B96"/>
    <w:rsid w:val="00393FCD"/>
    <w:rsid w:val="0039504A"/>
    <w:rsid w:val="0039527B"/>
    <w:rsid w:val="003960EF"/>
    <w:rsid w:val="003967CE"/>
    <w:rsid w:val="0039717A"/>
    <w:rsid w:val="003A05F9"/>
    <w:rsid w:val="003A14A5"/>
    <w:rsid w:val="003A2464"/>
    <w:rsid w:val="003A25C0"/>
    <w:rsid w:val="003A4026"/>
    <w:rsid w:val="003A4A5D"/>
    <w:rsid w:val="003B3908"/>
    <w:rsid w:val="003B4EAB"/>
    <w:rsid w:val="003B686D"/>
    <w:rsid w:val="003C1E36"/>
    <w:rsid w:val="003C6FA6"/>
    <w:rsid w:val="003D3589"/>
    <w:rsid w:val="003D455A"/>
    <w:rsid w:val="003E2071"/>
    <w:rsid w:val="003E5A7C"/>
    <w:rsid w:val="003E61A2"/>
    <w:rsid w:val="003E6AD0"/>
    <w:rsid w:val="003F01BE"/>
    <w:rsid w:val="003F0396"/>
    <w:rsid w:val="003F0A0B"/>
    <w:rsid w:val="003F1610"/>
    <w:rsid w:val="003F19E8"/>
    <w:rsid w:val="003F222D"/>
    <w:rsid w:val="003F23C4"/>
    <w:rsid w:val="003F34D5"/>
    <w:rsid w:val="003F76BC"/>
    <w:rsid w:val="003F777C"/>
    <w:rsid w:val="004003B9"/>
    <w:rsid w:val="004005AF"/>
    <w:rsid w:val="00400822"/>
    <w:rsid w:val="004008C4"/>
    <w:rsid w:val="004028FB"/>
    <w:rsid w:val="00402AD5"/>
    <w:rsid w:val="00403B6B"/>
    <w:rsid w:val="00403EA2"/>
    <w:rsid w:val="00410761"/>
    <w:rsid w:val="004130EB"/>
    <w:rsid w:val="004141CA"/>
    <w:rsid w:val="00420252"/>
    <w:rsid w:val="00423F90"/>
    <w:rsid w:val="00424536"/>
    <w:rsid w:val="00424B56"/>
    <w:rsid w:val="004314E9"/>
    <w:rsid w:val="004317BE"/>
    <w:rsid w:val="004319CE"/>
    <w:rsid w:val="00432A12"/>
    <w:rsid w:val="00432F2F"/>
    <w:rsid w:val="0043332F"/>
    <w:rsid w:val="0043343A"/>
    <w:rsid w:val="00434263"/>
    <w:rsid w:val="00440464"/>
    <w:rsid w:val="00440CBE"/>
    <w:rsid w:val="00442085"/>
    <w:rsid w:val="00442AC3"/>
    <w:rsid w:val="00442F0A"/>
    <w:rsid w:val="00443609"/>
    <w:rsid w:val="00447094"/>
    <w:rsid w:val="004478B1"/>
    <w:rsid w:val="004500D8"/>
    <w:rsid w:val="00450426"/>
    <w:rsid w:val="004509EB"/>
    <w:rsid w:val="00450A6A"/>
    <w:rsid w:val="00451012"/>
    <w:rsid w:val="00452147"/>
    <w:rsid w:val="0045354F"/>
    <w:rsid w:val="004539D6"/>
    <w:rsid w:val="00454789"/>
    <w:rsid w:val="0045630A"/>
    <w:rsid w:val="00460AD9"/>
    <w:rsid w:val="004610C3"/>
    <w:rsid w:val="0046518B"/>
    <w:rsid w:val="0047037D"/>
    <w:rsid w:val="00471E33"/>
    <w:rsid w:val="00474B91"/>
    <w:rsid w:val="004750A9"/>
    <w:rsid w:val="004755FC"/>
    <w:rsid w:val="0047577B"/>
    <w:rsid w:val="0047686E"/>
    <w:rsid w:val="00480894"/>
    <w:rsid w:val="00480CA8"/>
    <w:rsid w:val="0048197D"/>
    <w:rsid w:val="0048216E"/>
    <w:rsid w:val="004831C2"/>
    <w:rsid w:val="004833C7"/>
    <w:rsid w:val="0048381D"/>
    <w:rsid w:val="004846D6"/>
    <w:rsid w:val="00484868"/>
    <w:rsid w:val="00484D01"/>
    <w:rsid w:val="004861EC"/>
    <w:rsid w:val="00486A5D"/>
    <w:rsid w:val="00487D78"/>
    <w:rsid w:val="00491577"/>
    <w:rsid w:val="00491F52"/>
    <w:rsid w:val="00495E2C"/>
    <w:rsid w:val="004965E8"/>
    <w:rsid w:val="00497844"/>
    <w:rsid w:val="004A0BE2"/>
    <w:rsid w:val="004A131D"/>
    <w:rsid w:val="004A340C"/>
    <w:rsid w:val="004A3EE6"/>
    <w:rsid w:val="004A414C"/>
    <w:rsid w:val="004A4FD3"/>
    <w:rsid w:val="004A695C"/>
    <w:rsid w:val="004A75BE"/>
    <w:rsid w:val="004A7B69"/>
    <w:rsid w:val="004A7F62"/>
    <w:rsid w:val="004B11C4"/>
    <w:rsid w:val="004B1463"/>
    <w:rsid w:val="004B23E4"/>
    <w:rsid w:val="004B67FA"/>
    <w:rsid w:val="004B717F"/>
    <w:rsid w:val="004C03C5"/>
    <w:rsid w:val="004C26F8"/>
    <w:rsid w:val="004C33A8"/>
    <w:rsid w:val="004C6555"/>
    <w:rsid w:val="004C70AF"/>
    <w:rsid w:val="004C769B"/>
    <w:rsid w:val="004C7734"/>
    <w:rsid w:val="004C7E8D"/>
    <w:rsid w:val="004D001A"/>
    <w:rsid w:val="004D0572"/>
    <w:rsid w:val="004D17CA"/>
    <w:rsid w:val="004D19C4"/>
    <w:rsid w:val="004D4AFF"/>
    <w:rsid w:val="004D6B0F"/>
    <w:rsid w:val="004D6D38"/>
    <w:rsid w:val="004D6F3C"/>
    <w:rsid w:val="004E059D"/>
    <w:rsid w:val="004E174D"/>
    <w:rsid w:val="004E21E9"/>
    <w:rsid w:val="004E3A62"/>
    <w:rsid w:val="004E4110"/>
    <w:rsid w:val="004E4580"/>
    <w:rsid w:val="004E4F08"/>
    <w:rsid w:val="004E4FA7"/>
    <w:rsid w:val="004E584F"/>
    <w:rsid w:val="004E5C81"/>
    <w:rsid w:val="004E5D4D"/>
    <w:rsid w:val="004E60D2"/>
    <w:rsid w:val="004E7963"/>
    <w:rsid w:val="004F4514"/>
    <w:rsid w:val="004F4B1A"/>
    <w:rsid w:val="004F4B98"/>
    <w:rsid w:val="004F5329"/>
    <w:rsid w:val="004F5331"/>
    <w:rsid w:val="004F5534"/>
    <w:rsid w:val="004F72C9"/>
    <w:rsid w:val="00500DDA"/>
    <w:rsid w:val="00500FC1"/>
    <w:rsid w:val="005014EF"/>
    <w:rsid w:val="00502693"/>
    <w:rsid w:val="00503757"/>
    <w:rsid w:val="00503EE0"/>
    <w:rsid w:val="005040A2"/>
    <w:rsid w:val="00504310"/>
    <w:rsid w:val="00504A65"/>
    <w:rsid w:val="005050A4"/>
    <w:rsid w:val="00505CB4"/>
    <w:rsid w:val="00506C7F"/>
    <w:rsid w:val="00506DD0"/>
    <w:rsid w:val="00507203"/>
    <w:rsid w:val="00507ABC"/>
    <w:rsid w:val="00507BF9"/>
    <w:rsid w:val="00510C18"/>
    <w:rsid w:val="00512BC3"/>
    <w:rsid w:val="00515DF2"/>
    <w:rsid w:val="00516E60"/>
    <w:rsid w:val="00524F78"/>
    <w:rsid w:val="00525F47"/>
    <w:rsid w:val="00526F5B"/>
    <w:rsid w:val="00527AA0"/>
    <w:rsid w:val="0053131A"/>
    <w:rsid w:val="00531A38"/>
    <w:rsid w:val="005323D8"/>
    <w:rsid w:val="005329CE"/>
    <w:rsid w:val="00533ADC"/>
    <w:rsid w:val="005348B4"/>
    <w:rsid w:val="0053575B"/>
    <w:rsid w:val="00536295"/>
    <w:rsid w:val="005376CA"/>
    <w:rsid w:val="00537A88"/>
    <w:rsid w:val="00540C56"/>
    <w:rsid w:val="00540FF1"/>
    <w:rsid w:val="0054131C"/>
    <w:rsid w:val="00544B40"/>
    <w:rsid w:val="0054559A"/>
    <w:rsid w:val="00545B6B"/>
    <w:rsid w:val="00546306"/>
    <w:rsid w:val="00551577"/>
    <w:rsid w:val="00551709"/>
    <w:rsid w:val="005520B0"/>
    <w:rsid w:val="00552853"/>
    <w:rsid w:val="005566CF"/>
    <w:rsid w:val="005602B7"/>
    <w:rsid w:val="00560DA8"/>
    <w:rsid w:val="00561D14"/>
    <w:rsid w:val="00562DAD"/>
    <w:rsid w:val="00563233"/>
    <w:rsid w:val="00564534"/>
    <w:rsid w:val="00565772"/>
    <w:rsid w:val="00565814"/>
    <w:rsid w:val="005664BC"/>
    <w:rsid w:val="00572D8D"/>
    <w:rsid w:val="005738B8"/>
    <w:rsid w:val="00573C49"/>
    <w:rsid w:val="005748EB"/>
    <w:rsid w:val="005753E0"/>
    <w:rsid w:val="005772A4"/>
    <w:rsid w:val="00581471"/>
    <w:rsid w:val="00582AA7"/>
    <w:rsid w:val="00582D8D"/>
    <w:rsid w:val="00585584"/>
    <w:rsid w:val="0058687A"/>
    <w:rsid w:val="00590A02"/>
    <w:rsid w:val="00592984"/>
    <w:rsid w:val="005951F3"/>
    <w:rsid w:val="00595DAF"/>
    <w:rsid w:val="00596AAC"/>
    <w:rsid w:val="00597629"/>
    <w:rsid w:val="00597B36"/>
    <w:rsid w:val="00597EC7"/>
    <w:rsid w:val="005A0A77"/>
    <w:rsid w:val="005A0DE1"/>
    <w:rsid w:val="005A3A35"/>
    <w:rsid w:val="005A4E1D"/>
    <w:rsid w:val="005A5160"/>
    <w:rsid w:val="005B173E"/>
    <w:rsid w:val="005B25A3"/>
    <w:rsid w:val="005B25D6"/>
    <w:rsid w:val="005B2E45"/>
    <w:rsid w:val="005B31FB"/>
    <w:rsid w:val="005B36AB"/>
    <w:rsid w:val="005B3804"/>
    <w:rsid w:val="005B7B56"/>
    <w:rsid w:val="005B7F0A"/>
    <w:rsid w:val="005C20B6"/>
    <w:rsid w:val="005C2440"/>
    <w:rsid w:val="005C3310"/>
    <w:rsid w:val="005C3F19"/>
    <w:rsid w:val="005C42CB"/>
    <w:rsid w:val="005C6DC5"/>
    <w:rsid w:val="005C7237"/>
    <w:rsid w:val="005D246C"/>
    <w:rsid w:val="005D2B03"/>
    <w:rsid w:val="005D2FD4"/>
    <w:rsid w:val="005D34A4"/>
    <w:rsid w:val="005D5AE9"/>
    <w:rsid w:val="005D7226"/>
    <w:rsid w:val="005D7261"/>
    <w:rsid w:val="005E1480"/>
    <w:rsid w:val="005E249F"/>
    <w:rsid w:val="005E2A3F"/>
    <w:rsid w:val="005E4A2C"/>
    <w:rsid w:val="005E5D51"/>
    <w:rsid w:val="005F1407"/>
    <w:rsid w:val="005F279C"/>
    <w:rsid w:val="005F2DFC"/>
    <w:rsid w:val="005F3C4F"/>
    <w:rsid w:val="005F4A58"/>
    <w:rsid w:val="005F6285"/>
    <w:rsid w:val="005F7B2D"/>
    <w:rsid w:val="00601CA8"/>
    <w:rsid w:val="006028E7"/>
    <w:rsid w:val="0060470C"/>
    <w:rsid w:val="006059D6"/>
    <w:rsid w:val="006062F7"/>
    <w:rsid w:val="0061068E"/>
    <w:rsid w:val="0061087E"/>
    <w:rsid w:val="0061090F"/>
    <w:rsid w:val="00612C6B"/>
    <w:rsid w:val="00613F70"/>
    <w:rsid w:val="0062069F"/>
    <w:rsid w:val="006209C0"/>
    <w:rsid w:val="006230F7"/>
    <w:rsid w:val="0062355D"/>
    <w:rsid w:val="00624D4F"/>
    <w:rsid w:val="0062606B"/>
    <w:rsid w:val="00626D0C"/>
    <w:rsid w:val="00630BF1"/>
    <w:rsid w:val="00631B20"/>
    <w:rsid w:val="00634620"/>
    <w:rsid w:val="00634899"/>
    <w:rsid w:val="00634A0A"/>
    <w:rsid w:val="006351B3"/>
    <w:rsid w:val="00636AD7"/>
    <w:rsid w:val="006415E0"/>
    <w:rsid w:val="0064242E"/>
    <w:rsid w:val="00642E68"/>
    <w:rsid w:val="00645216"/>
    <w:rsid w:val="006461FE"/>
    <w:rsid w:val="00646C41"/>
    <w:rsid w:val="006521F7"/>
    <w:rsid w:val="00652250"/>
    <w:rsid w:val="00652359"/>
    <w:rsid w:val="006551DF"/>
    <w:rsid w:val="00655FAC"/>
    <w:rsid w:val="00660CAB"/>
    <w:rsid w:val="00662A66"/>
    <w:rsid w:val="006660B4"/>
    <w:rsid w:val="0066704C"/>
    <w:rsid w:val="006704BE"/>
    <w:rsid w:val="00670CE8"/>
    <w:rsid w:val="006735C5"/>
    <w:rsid w:val="00675E9E"/>
    <w:rsid w:val="0068349C"/>
    <w:rsid w:val="00683D86"/>
    <w:rsid w:val="00685176"/>
    <w:rsid w:val="00686658"/>
    <w:rsid w:val="0068722B"/>
    <w:rsid w:val="006904B3"/>
    <w:rsid w:val="006904EE"/>
    <w:rsid w:val="00691995"/>
    <w:rsid w:val="0069360A"/>
    <w:rsid w:val="00694A88"/>
    <w:rsid w:val="006978B6"/>
    <w:rsid w:val="006A0CAB"/>
    <w:rsid w:val="006A1170"/>
    <w:rsid w:val="006A35B9"/>
    <w:rsid w:val="006A3898"/>
    <w:rsid w:val="006A3EE4"/>
    <w:rsid w:val="006A54AB"/>
    <w:rsid w:val="006A56FE"/>
    <w:rsid w:val="006A6FE5"/>
    <w:rsid w:val="006B3425"/>
    <w:rsid w:val="006B3A37"/>
    <w:rsid w:val="006B3C4F"/>
    <w:rsid w:val="006B5748"/>
    <w:rsid w:val="006B5F66"/>
    <w:rsid w:val="006B6D9C"/>
    <w:rsid w:val="006B6FDD"/>
    <w:rsid w:val="006C0A80"/>
    <w:rsid w:val="006C1DAE"/>
    <w:rsid w:val="006C2726"/>
    <w:rsid w:val="006C2E78"/>
    <w:rsid w:val="006C4783"/>
    <w:rsid w:val="006C4FBC"/>
    <w:rsid w:val="006C519C"/>
    <w:rsid w:val="006C57B6"/>
    <w:rsid w:val="006C75E8"/>
    <w:rsid w:val="006D0918"/>
    <w:rsid w:val="006D1ECE"/>
    <w:rsid w:val="006D3803"/>
    <w:rsid w:val="006D52A0"/>
    <w:rsid w:val="006D5DA4"/>
    <w:rsid w:val="006D655D"/>
    <w:rsid w:val="006D657D"/>
    <w:rsid w:val="006D733E"/>
    <w:rsid w:val="006D791F"/>
    <w:rsid w:val="006E04FF"/>
    <w:rsid w:val="006E0A3A"/>
    <w:rsid w:val="006E154B"/>
    <w:rsid w:val="006E19A7"/>
    <w:rsid w:val="006E1CBF"/>
    <w:rsid w:val="006E3533"/>
    <w:rsid w:val="006E51DB"/>
    <w:rsid w:val="006E7CC4"/>
    <w:rsid w:val="006F0452"/>
    <w:rsid w:val="006F0504"/>
    <w:rsid w:val="006F1263"/>
    <w:rsid w:val="006F2E77"/>
    <w:rsid w:val="006F2EC9"/>
    <w:rsid w:val="006F33A2"/>
    <w:rsid w:val="006F48C3"/>
    <w:rsid w:val="006F51D7"/>
    <w:rsid w:val="00700334"/>
    <w:rsid w:val="00701A0E"/>
    <w:rsid w:val="007022FC"/>
    <w:rsid w:val="007028BB"/>
    <w:rsid w:val="00703234"/>
    <w:rsid w:val="00705269"/>
    <w:rsid w:val="00706E7A"/>
    <w:rsid w:val="00706F66"/>
    <w:rsid w:val="007072CA"/>
    <w:rsid w:val="00707B60"/>
    <w:rsid w:val="00710E48"/>
    <w:rsid w:val="00712690"/>
    <w:rsid w:val="007127A3"/>
    <w:rsid w:val="00714D5B"/>
    <w:rsid w:val="00714E97"/>
    <w:rsid w:val="00715AF1"/>
    <w:rsid w:val="00717C60"/>
    <w:rsid w:val="00721B9C"/>
    <w:rsid w:val="00722946"/>
    <w:rsid w:val="00722E34"/>
    <w:rsid w:val="00723DC2"/>
    <w:rsid w:val="00726362"/>
    <w:rsid w:val="00727018"/>
    <w:rsid w:val="007275B7"/>
    <w:rsid w:val="0073099F"/>
    <w:rsid w:val="007318E1"/>
    <w:rsid w:val="007326B9"/>
    <w:rsid w:val="00732A47"/>
    <w:rsid w:val="0073475A"/>
    <w:rsid w:val="007349AB"/>
    <w:rsid w:val="00734EA1"/>
    <w:rsid w:val="00734F07"/>
    <w:rsid w:val="007354A0"/>
    <w:rsid w:val="0073587A"/>
    <w:rsid w:val="007361C4"/>
    <w:rsid w:val="00736477"/>
    <w:rsid w:val="007375D9"/>
    <w:rsid w:val="007377B7"/>
    <w:rsid w:val="00737F4D"/>
    <w:rsid w:val="00740B6F"/>
    <w:rsid w:val="007424F0"/>
    <w:rsid w:val="00745873"/>
    <w:rsid w:val="0074769D"/>
    <w:rsid w:val="007520E7"/>
    <w:rsid w:val="00752EBB"/>
    <w:rsid w:val="00753340"/>
    <w:rsid w:val="00754019"/>
    <w:rsid w:val="007548BE"/>
    <w:rsid w:val="007561AC"/>
    <w:rsid w:val="00756A21"/>
    <w:rsid w:val="00756EB7"/>
    <w:rsid w:val="00756EFB"/>
    <w:rsid w:val="007570F6"/>
    <w:rsid w:val="00761FFB"/>
    <w:rsid w:val="00763CC0"/>
    <w:rsid w:val="0076461D"/>
    <w:rsid w:val="00764879"/>
    <w:rsid w:val="007659D7"/>
    <w:rsid w:val="00767429"/>
    <w:rsid w:val="0076749D"/>
    <w:rsid w:val="0077090B"/>
    <w:rsid w:val="00770A85"/>
    <w:rsid w:val="00770ADD"/>
    <w:rsid w:val="00775B3A"/>
    <w:rsid w:val="00776058"/>
    <w:rsid w:val="00776330"/>
    <w:rsid w:val="00780827"/>
    <w:rsid w:val="00781819"/>
    <w:rsid w:val="00781D1C"/>
    <w:rsid w:val="00786201"/>
    <w:rsid w:val="0078787E"/>
    <w:rsid w:val="0078793B"/>
    <w:rsid w:val="007927A2"/>
    <w:rsid w:val="0079357C"/>
    <w:rsid w:val="00794F97"/>
    <w:rsid w:val="0079511F"/>
    <w:rsid w:val="007964B9"/>
    <w:rsid w:val="00796E02"/>
    <w:rsid w:val="007A0436"/>
    <w:rsid w:val="007A2CAE"/>
    <w:rsid w:val="007A31B0"/>
    <w:rsid w:val="007A34D8"/>
    <w:rsid w:val="007A3F30"/>
    <w:rsid w:val="007A51C2"/>
    <w:rsid w:val="007A730C"/>
    <w:rsid w:val="007A7605"/>
    <w:rsid w:val="007B0B98"/>
    <w:rsid w:val="007B1E19"/>
    <w:rsid w:val="007B3CA4"/>
    <w:rsid w:val="007B4105"/>
    <w:rsid w:val="007B41DA"/>
    <w:rsid w:val="007B5E37"/>
    <w:rsid w:val="007B6EC8"/>
    <w:rsid w:val="007B7FF6"/>
    <w:rsid w:val="007C104C"/>
    <w:rsid w:val="007C3850"/>
    <w:rsid w:val="007C3A69"/>
    <w:rsid w:val="007C3CCC"/>
    <w:rsid w:val="007C4960"/>
    <w:rsid w:val="007C5924"/>
    <w:rsid w:val="007D0ECD"/>
    <w:rsid w:val="007D11FB"/>
    <w:rsid w:val="007D1390"/>
    <w:rsid w:val="007D1C17"/>
    <w:rsid w:val="007D374B"/>
    <w:rsid w:val="007D3877"/>
    <w:rsid w:val="007D3ABD"/>
    <w:rsid w:val="007D499F"/>
    <w:rsid w:val="007D4BCC"/>
    <w:rsid w:val="007D64FD"/>
    <w:rsid w:val="007E235F"/>
    <w:rsid w:val="007E30A2"/>
    <w:rsid w:val="007E34DE"/>
    <w:rsid w:val="007E5E92"/>
    <w:rsid w:val="007E7836"/>
    <w:rsid w:val="007F02D1"/>
    <w:rsid w:val="007F0714"/>
    <w:rsid w:val="007F0AE5"/>
    <w:rsid w:val="007F2157"/>
    <w:rsid w:val="007F3081"/>
    <w:rsid w:val="007F3F97"/>
    <w:rsid w:val="007F40D2"/>
    <w:rsid w:val="007F4599"/>
    <w:rsid w:val="007F5632"/>
    <w:rsid w:val="007F68DB"/>
    <w:rsid w:val="007F6BE4"/>
    <w:rsid w:val="00800754"/>
    <w:rsid w:val="00802C7D"/>
    <w:rsid w:val="0080305F"/>
    <w:rsid w:val="0080390C"/>
    <w:rsid w:val="00804F35"/>
    <w:rsid w:val="00806747"/>
    <w:rsid w:val="00807858"/>
    <w:rsid w:val="0081109C"/>
    <w:rsid w:val="00811FD9"/>
    <w:rsid w:val="00815B48"/>
    <w:rsid w:val="0081688F"/>
    <w:rsid w:val="00816915"/>
    <w:rsid w:val="008211AC"/>
    <w:rsid w:val="00821A31"/>
    <w:rsid w:val="00823647"/>
    <w:rsid w:val="0082522D"/>
    <w:rsid w:val="008257B0"/>
    <w:rsid w:val="00825EBA"/>
    <w:rsid w:val="00827091"/>
    <w:rsid w:val="00827157"/>
    <w:rsid w:val="008275E9"/>
    <w:rsid w:val="0083095D"/>
    <w:rsid w:val="008321B0"/>
    <w:rsid w:val="008357F8"/>
    <w:rsid w:val="00835D04"/>
    <w:rsid w:val="00840A88"/>
    <w:rsid w:val="00840AF2"/>
    <w:rsid w:val="00841C69"/>
    <w:rsid w:val="0084276D"/>
    <w:rsid w:val="008429C7"/>
    <w:rsid w:val="0084379D"/>
    <w:rsid w:val="008526F1"/>
    <w:rsid w:val="00852FE1"/>
    <w:rsid w:val="00853AC5"/>
    <w:rsid w:val="008554EC"/>
    <w:rsid w:val="00855816"/>
    <w:rsid w:val="008569C6"/>
    <w:rsid w:val="008569FF"/>
    <w:rsid w:val="0085789D"/>
    <w:rsid w:val="00861D02"/>
    <w:rsid w:val="00864B4D"/>
    <w:rsid w:val="00865331"/>
    <w:rsid w:val="0087044A"/>
    <w:rsid w:val="0087163B"/>
    <w:rsid w:val="00871CD1"/>
    <w:rsid w:val="008726BB"/>
    <w:rsid w:val="00872890"/>
    <w:rsid w:val="00873D5B"/>
    <w:rsid w:val="00874BD4"/>
    <w:rsid w:val="00874E9C"/>
    <w:rsid w:val="00875F8D"/>
    <w:rsid w:val="008766B9"/>
    <w:rsid w:val="00877957"/>
    <w:rsid w:val="00880C21"/>
    <w:rsid w:val="008811B2"/>
    <w:rsid w:val="0088146F"/>
    <w:rsid w:val="008830CF"/>
    <w:rsid w:val="00883411"/>
    <w:rsid w:val="00883E2F"/>
    <w:rsid w:val="0088623C"/>
    <w:rsid w:val="00886A46"/>
    <w:rsid w:val="008903B7"/>
    <w:rsid w:val="00891883"/>
    <w:rsid w:val="00891A85"/>
    <w:rsid w:val="00893D64"/>
    <w:rsid w:val="0089539A"/>
    <w:rsid w:val="008967BF"/>
    <w:rsid w:val="00897986"/>
    <w:rsid w:val="00897CF2"/>
    <w:rsid w:val="008A002F"/>
    <w:rsid w:val="008A049C"/>
    <w:rsid w:val="008A1313"/>
    <w:rsid w:val="008A174D"/>
    <w:rsid w:val="008A3EF8"/>
    <w:rsid w:val="008A4DD7"/>
    <w:rsid w:val="008A5D3F"/>
    <w:rsid w:val="008A6BBC"/>
    <w:rsid w:val="008B0011"/>
    <w:rsid w:val="008B5100"/>
    <w:rsid w:val="008B5A38"/>
    <w:rsid w:val="008B6BBF"/>
    <w:rsid w:val="008C0092"/>
    <w:rsid w:val="008C0B34"/>
    <w:rsid w:val="008C1A52"/>
    <w:rsid w:val="008C28AB"/>
    <w:rsid w:val="008C34B0"/>
    <w:rsid w:val="008C3C0D"/>
    <w:rsid w:val="008C67CE"/>
    <w:rsid w:val="008C7309"/>
    <w:rsid w:val="008D0334"/>
    <w:rsid w:val="008D0E8B"/>
    <w:rsid w:val="008D1930"/>
    <w:rsid w:val="008D19A3"/>
    <w:rsid w:val="008D286E"/>
    <w:rsid w:val="008D54D9"/>
    <w:rsid w:val="008D56D9"/>
    <w:rsid w:val="008D57B6"/>
    <w:rsid w:val="008E11C0"/>
    <w:rsid w:val="008E173D"/>
    <w:rsid w:val="008E330D"/>
    <w:rsid w:val="008E3AC8"/>
    <w:rsid w:val="008E5037"/>
    <w:rsid w:val="008E7761"/>
    <w:rsid w:val="008E7987"/>
    <w:rsid w:val="008F36DB"/>
    <w:rsid w:val="008F47CA"/>
    <w:rsid w:val="008F5D3D"/>
    <w:rsid w:val="008F646F"/>
    <w:rsid w:val="00900C4E"/>
    <w:rsid w:val="00902885"/>
    <w:rsid w:val="00903CC6"/>
    <w:rsid w:val="00906521"/>
    <w:rsid w:val="009066AB"/>
    <w:rsid w:val="009070DA"/>
    <w:rsid w:val="00911A87"/>
    <w:rsid w:val="00912FAC"/>
    <w:rsid w:val="00916F24"/>
    <w:rsid w:val="00921119"/>
    <w:rsid w:val="00922367"/>
    <w:rsid w:val="009305E3"/>
    <w:rsid w:val="009315EF"/>
    <w:rsid w:val="00931CE2"/>
    <w:rsid w:val="00934731"/>
    <w:rsid w:val="00936CF8"/>
    <w:rsid w:val="00942DA0"/>
    <w:rsid w:val="0094387E"/>
    <w:rsid w:val="00943BFC"/>
    <w:rsid w:val="00945A62"/>
    <w:rsid w:val="00950768"/>
    <w:rsid w:val="00950AA0"/>
    <w:rsid w:val="009517DA"/>
    <w:rsid w:val="009532EA"/>
    <w:rsid w:val="009538AC"/>
    <w:rsid w:val="009547BE"/>
    <w:rsid w:val="009547E1"/>
    <w:rsid w:val="009548E3"/>
    <w:rsid w:val="00954B80"/>
    <w:rsid w:val="009577C2"/>
    <w:rsid w:val="00957855"/>
    <w:rsid w:val="009632C9"/>
    <w:rsid w:val="00964CC6"/>
    <w:rsid w:val="009660BF"/>
    <w:rsid w:val="009675FE"/>
    <w:rsid w:val="009701B5"/>
    <w:rsid w:val="0097215A"/>
    <w:rsid w:val="00973A63"/>
    <w:rsid w:val="00976C93"/>
    <w:rsid w:val="00977519"/>
    <w:rsid w:val="009822FE"/>
    <w:rsid w:val="0098594A"/>
    <w:rsid w:val="00987BB7"/>
    <w:rsid w:val="009901BF"/>
    <w:rsid w:val="00990920"/>
    <w:rsid w:val="009920CC"/>
    <w:rsid w:val="00992C5C"/>
    <w:rsid w:val="00992E78"/>
    <w:rsid w:val="009947A1"/>
    <w:rsid w:val="00994AEB"/>
    <w:rsid w:val="00994AF2"/>
    <w:rsid w:val="00994BB9"/>
    <w:rsid w:val="00995696"/>
    <w:rsid w:val="00996608"/>
    <w:rsid w:val="009A190C"/>
    <w:rsid w:val="009A25A6"/>
    <w:rsid w:val="009A264D"/>
    <w:rsid w:val="009A3107"/>
    <w:rsid w:val="009A3AED"/>
    <w:rsid w:val="009A4617"/>
    <w:rsid w:val="009A4865"/>
    <w:rsid w:val="009A6AEE"/>
    <w:rsid w:val="009B0EC2"/>
    <w:rsid w:val="009B1A35"/>
    <w:rsid w:val="009B610D"/>
    <w:rsid w:val="009B6171"/>
    <w:rsid w:val="009B662F"/>
    <w:rsid w:val="009B69BB"/>
    <w:rsid w:val="009B6AF2"/>
    <w:rsid w:val="009B7B38"/>
    <w:rsid w:val="009C2533"/>
    <w:rsid w:val="009C2D28"/>
    <w:rsid w:val="009C6B6B"/>
    <w:rsid w:val="009C6CE1"/>
    <w:rsid w:val="009D1653"/>
    <w:rsid w:val="009D2443"/>
    <w:rsid w:val="009D2F11"/>
    <w:rsid w:val="009D363C"/>
    <w:rsid w:val="009D3F9F"/>
    <w:rsid w:val="009D4102"/>
    <w:rsid w:val="009D51C5"/>
    <w:rsid w:val="009D53A1"/>
    <w:rsid w:val="009E110F"/>
    <w:rsid w:val="009E1DCF"/>
    <w:rsid w:val="009E212E"/>
    <w:rsid w:val="009F1ED2"/>
    <w:rsid w:val="009F3081"/>
    <w:rsid w:val="009F30C4"/>
    <w:rsid w:val="009F456C"/>
    <w:rsid w:val="009F4E62"/>
    <w:rsid w:val="009F5F85"/>
    <w:rsid w:val="009F7048"/>
    <w:rsid w:val="009F73AC"/>
    <w:rsid w:val="009F77B7"/>
    <w:rsid w:val="00A0110C"/>
    <w:rsid w:val="00A02647"/>
    <w:rsid w:val="00A03B92"/>
    <w:rsid w:val="00A046EA"/>
    <w:rsid w:val="00A06CEC"/>
    <w:rsid w:val="00A11A9A"/>
    <w:rsid w:val="00A11B81"/>
    <w:rsid w:val="00A1243E"/>
    <w:rsid w:val="00A12E90"/>
    <w:rsid w:val="00A12EF1"/>
    <w:rsid w:val="00A17AD5"/>
    <w:rsid w:val="00A20D69"/>
    <w:rsid w:val="00A2240A"/>
    <w:rsid w:val="00A274D7"/>
    <w:rsid w:val="00A27D5B"/>
    <w:rsid w:val="00A301BE"/>
    <w:rsid w:val="00A332D1"/>
    <w:rsid w:val="00A3374C"/>
    <w:rsid w:val="00A339B6"/>
    <w:rsid w:val="00A35144"/>
    <w:rsid w:val="00A3600E"/>
    <w:rsid w:val="00A36CBC"/>
    <w:rsid w:val="00A401B1"/>
    <w:rsid w:val="00A411A0"/>
    <w:rsid w:val="00A411EF"/>
    <w:rsid w:val="00A41814"/>
    <w:rsid w:val="00A4299E"/>
    <w:rsid w:val="00A4391D"/>
    <w:rsid w:val="00A43A4B"/>
    <w:rsid w:val="00A43E79"/>
    <w:rsid w:val="00A446FF"/>
    <w:rsid w:val="00A44826"/>
    <w:rsid w:val="00A47034"/>
    <w:rsid w:val="00A47068"/>
    <w:rsid w:val="00A47347"/>
    <w:rsid w:val="00A510A5"/>
    <w:rsid w:val="00A512C1"/>
    <w:rsid w:val="00A53C62"/>
    <w:rsid w:val="00A54012"/>
    <w:rsid w:val="00A567A1"/>
    <w:rsid w:val="00A56BDF"/>
    <w:rsid w:val="00A577D2"/>
    <w:rsid w:val="00A60A75"/>
    <w:rsid w:val="00A67854"/>
    <w:rsid w:val="00A71751"/>
    <w:rsid w:val="00A7274B"/>
    <w:rsid w:val="00A7406B"/>
    <w:rsid w:val="00A811B8"/>
    <w:rsid w:val="00A81CA1"/>
    <w:rsid w:val="00A81FE4"/>
    <w:rsid w:val="00A82793"/>
    <w:rsid w:val="00A83DAE"/>
    <w:rsid w:val="00A875D2"/>
    <w:rsid w:val="00A92B22"/>
    <w:rsid w:val="00A94D51"/>
    <w:rsid w:val="00A960C4"/>
    <w:rsid w:val="00A96BF9"/>
    <w:rsid w:val="00AA16C2"/>
    <w:rsid w:val="00AA2C56"/>
    <w:rsid w:val="00AA3139"/>
    <w:rsid w:val="00AA474B"/>
    <w:rsid w:val="00AA47A8"/>
    <w:rsid w:val="00AA7D79"/>
    <w:rsid w:val="00AB02EE"/>
    <w:rsid w:val="00AB0572"/>
    <w:rsid w:val="00AB1769"/>
    <w:rsid w:val="00AB21C4"/>
    <w:rsid w:val="00AB478C"/>
    <w:rsid w:val="00AB545B"/>
    <w:rsid w:val="00AB5661"/>
    <w:rsid w:val="00AB5AFF"/>
    <w:rsid w:val="00AB6666"/>
    <w:rsid w:val="00AB6AD5"/>
    <w:rsid w:val="00AB6FA5"/>
    <w:rsid w:val="00AC13C9"/>
    <w:rsid w:val="00AC484F"/>
    <w:rsid w:val="00AC732E"/>
    <w:rsid w:val="00AD3DD1"/>
    <w:rsid w:val="00AD56F1"/>
    <w:rsid w:val="00AD729B"/>
    <w:rsid w:val="00AE0514"/>
    <w:rsid w:val="00AE363B"/>
    <w:rsid w:val="00AE4AB9"/>
    <w:rsid w:val="00AE5050"/>
    <w:rsid w:val="00AF302B"/>
    <w:rsid w:val="00AF68B7"/>
    <w:rsid w:val="00AF6AD7"/>
    <w:rsid w:val="00AF6E4A"/>
    <w:rsid w:val="00AF7FFC"/>
    <w:rsid w:val="00B01173"/>
    <w:rsid w:val="00B014D1"/>
    <w:rsid w:val="00B021B0"/>
    <w:rsid w:val="00B035B6"/>
    <w:rsid w:val="00B05830"/>
    <w:rsid w:val="00B061BB"/>
    <w:rsid w:val="00B06B2B"/>
    <w:rsid w:val="00B074ED"/>
    <w:rsid w:val="00B10C9F"/>
    <w:rsid w:val="00B11131"/>
    <w:rsid w:val="00B13B5D"/>
    <w:rsid w:val="00B13F70"/>
    <w:rsid w:val="00B14CC5"/>
    <w:rsid w:val="00B1565C"/>
    <w:rsid w:val="00B15F28"/>
    <w:rsid w:val="00B16A9C"/>
    <w:rsid w:val="00B17090"/>
    <w:rsid w:val="00B21320"/>
    <w:rsid w:val="00B216FF"/>
    <w:rsid w:val="00B21FE5"/>
    <w:rsid w:val="00B2483A"/>
    <w:rsid w:val="00B261D5"/>
    <w:rsid w:val="00B30150"/>
    <w:rsid w:val="00B3080C"/>
    <w:rsid w:val="00B32132"/>
    <w:rsid w:val="00B336CA"/>
    <w:rsid w:val="00B37017"/>
    <w:rsid w:val="00B37924"/>
    <w:rsid w:val="00B37DE2"/>
    <w:rsid w:val="00B40673"/>
    <w:rsid w:val="00B41853"/>
    <w:rsid w:val="00B423D8"/>
    <w:rsid w:val="00B4338D"/>
    <w:rsid w:val="00B4398B"/>
    <w:rsid w:val="00B441AB"/>
    <w:rsid w:val="00B451F0"/>
    <w:rsid w:val="00B46FC0"/>
    <w:rsid w:val="00B5000F"/>
    <w:rsid w:val="00B5177C"/>
    <w:rsid w:val="00B522FE"/>
    <w:rsid w:val="00B542B3"/>
    <w:rsid w:val="00B542B8"/>
    <w:rsid w:val="00B5486C"/>
    <w:rsid w:val="00B60B11"/>
    <w:rsid w:val="00B612BD"/>
    <w:rsid w:val="00B62233"/>
    <w:rsid w:val="00B63C53"/>
    <w:rsid w:val="00B63D2D"/>
    <w:rsid w:val="00B6553C"/>
    <w:rsid w:val="00B661A1"/>
    <w:rsid w:val="00B708C4"/>
    <w:rsid w:val="00B7220C"/>
    <w:rsid w:val="00B72C89"/>
    <w:rsid w:val="00B73456"/>
    <w:rsid w:val="00B77107"/>
    <w:rsid w:val="00B8232D"/>
    <w:rsid w:val="00B826C7"/>
    <w:rsid w:val="00B828CE"/>
    <w:rsid w:val="00B84934"/>
    <w:rsid w:val="00B8636D"/>
    <w:rsid w:val="00B90C7F"/>
    <w:rsid w:val="00B916EB"/>
    <w:rsid w:val="00B92125"/>
    <w:rsid w:val="00B93997"/>
    <w:rsid w:val="00B940AF"/>
    <w:rsid w:val="00B96AA9"/>
    <w:rsid w:val="00BA2A7C"/>
    <w:rsid w:val="00BA4E3B"/>
    <w:rsid w:val="00BA501E"/>
    <w:rsid w:val="00BB14C6"/>
    <w:rsid w:val="00BB4EEF"/>
    <w:rsid w:val="00BB6B01"/>
    <w:rsid w:val="00BB722C"/>
    <w:rsid w:val="00BC01D7"/>
    <w:rsid w:val="00BC298B"/>
    <w:rsid w:val="00BC2EAB"/>
    <w:rsid w:val="00BC48A3"/>
    <w:rsid w:val="00BC61E5"/>
    <w:rsid w:val="00BC6D62"/>
    <w:rsid w:val="00BC7AA7"/>
    <w:rsid w:val="00BC7B98"/>
    <w:rsid w:val="00BD1577"/>
    <w:rsid w:val="00BD28F6"/>
    <w:rsid w:val="00BD323E"/>
    <w:rsid w:val="00BD4C28"/>
    <w:rsid w:val="00BD676D"/>
    <w:rsid w:val="00BD6A61"/>
    <w:rsid w:val="00BD6FBD"/>
    <w:rsid w:val="00BD70B2"/>
    <w:rsid w:val="00BD70F7"/>
    <w:rsid w:val="00BE0CAA"/>
    <w:rsid w:val="00BE1A46"/>
    <w:rsid w:val="00BE369F"/>
    <w:rsid w:val="00BE3DAD"/>
    <w:rsid w:val="00BE4B2A"/>
    <w:rsid w:val="00BE7305"/>
    <w:rsid w:val="00BE735C"/>
    <w:rsid w:val="00BE737D"/>
    <w:rsid w:val="00BF13A4"/>
    <w:rsid w:val="00BF15B8"/>
    <w:rsid w:val="00BF221C"/>
    <w:rsid w:val="00BF6245"/>
    <w:rsid w:val="00BF6E94"/>
    <w:rsid w:val="00BF7983"/>
    <w:rsid w:val="00C00077"/>
    <w:rsid w:val="00C03726"/>
    <w:rsid w:val="00C0391F"/>
    <w:rsid w:val="00C04811"/>
    <w:rsid w:val="00C07037"/>
    <w:rsid w:val="00C07229"/>
    <w:rsid w:val="00C07A8A"/>
    <w:rsid w:val="00C12164"/>
    <w:rsid w:val="00C12C37"/>
    <w:rsid w:val="00C138B3"/>
    <w:rsid w:val="00C13A4F"/>
    <w:rsid w:val="00C1477B"/>
    <w:rsid w:val="00C14EC5"/>
    <w:rsid w:val="00C1598F"/>
    <w:rsid w:val="00C16ADE"/>
    <w:rsid w:val="00C17930"/>
    <w:rsid w:val="00C21DBD"/>
    <w:rsid w:val="00C23208"/>
    <w:rsid w:val="00C2468D"/>
    <w:rsid w:val="00C24DCF"/>
    <w:rsid w:val="00C258F3"/>
    <w:rsid w:val="00C27F9B"/>
    <w:rsid w:val="00C31508"/>
    <w:rsid w:val="00C317A3"/>
    <w:rsid w:val="00C3272E"/>
    <w:rsid w:val="00C33A16"/>
    <w:rsid w:val="00C34FC4"/>
    <w:rsid w:val="00C35287"/>
    <w:rsid w:val="00C35663"/>
    <w:rsid w:val="00C37494"/>
    <w:rsid w:val="00C459D4"/>
    <w:rsid w:val="00C46599"/>
    <w:rsid w:val="00C473D2"/>
    <w:rsid w:val="00C47987"/>
    <w:rsid w:val="00C47BEC"/>
    <w:rsid w:val="00C53E18"/>
    <w:rsid w:val="00C53E4E"/>
    <w:rsid w:val="00C53F07"/>
    <w:rsid w:val="00C54118"/>
    <w:rsid w:val="00C54BE3"/>
    <w:rsid w:val="00C60DAE"/>
    <w:rsid w:val="00C6247F"/>
    <w:rsid w:val="00C62D86"/>
    <w:rsid w:val="00C642F7"/>
    <w:rsid w:val="00C64832"/>
    <w:rsid w:val="00C652EC"/>
    <w:rsid w:val="00C6556A"/>
    <w:rsid w:val="00C660FD"/>
    <w:rsid w:val="00C66FCD"/>
    <w:rsid w:val="00C6707E"/>
    <w:rsid w:val="00C677DC"/>
    <w:rsid w:val="00C67C15"/>
    <w:rsid w:val="00C703F5"/>
    <w:rsid w:val="00C717B3"/>
    <w:rsid w:val="00C72A7F"/>
    <w:rsid w:val="00C738A1"/>
    <w:rsid w:val="00C74156"/>
    <w:rsid w:val="00C76CD0"/>
    <w:rsid w:val="00C77997"/>
    <w:rsid w:val="00C80A3D"/>
    <w:rsid w:val="00C82ECD"/>
    <w:rsid w:val="00C86991"/>
    <w:rsid w:val="00C86AFB"/>
    <w:rsid w:val="00C908D9"/>
    <w:rsid w:val="00C910CF"/>
    <w:rsid w:val="00C9164B"/>
    <w:rsid w:val="00C92F1F"/>
    <w:rsid w:val="00C95078"/>
    <w:rsid w:val="00C9561B"/>
    <w:rsid w:val="00C95824"/>
    <w:rsid w:val="00C95E91"/>
    <w:rsid w:val="00CA4B6D"/>
    <w:rsid w:val="00CA5097"/>
    <w:rsid w:val="00CA5679"/>
    <w:rsid w:val="00CA79DE"/>
    <w:rsid w:val="00CB0772"/>
    <w:rsid w:val="00CB0A6E"/>
    <w:rsid w:val="00CB1303"/>
    <w:rsid w:val="00CB17F2"/>
    <w:rsid w:val="00CB238F"/>
    <w:rsid w:val="00CB3D19"/>
    <w:rsid w:val="00CB40C4"/>
    <w:rsid w:val="00CB47CC"/>
    <w:rsid w:val="00CB4B47"/>
    <w:rsid w:val="00CB5C20"/>
    <w:rsid w:val="00CB67A9"/>
    <w:rsid w:val="00CB7E17"/>
    <w:rsid w:val="00CB7F16"/>
    <w:rsid w:val="00CC07B2"/>
    <w:rsid w:val="00CC1985"/>
    <w:rsid w:val="00CC30B6"/>
    <w:rsid w:val="00CC589F"/>
    <w:rsid w:val="00CC63D5"/>
    <w:rsid w:val="00CC79E3"/>
    <w:rsid w:val="00CD14A6"/>
    <w:rsid w:val="00CD3275"/>
    <w:rsid w:val="00CD4CFA"/>
    <w:rsid w:val="00CE1F8E"/>
    <w:rsid w:val="00CE47EA"/>
    <w:rsid w:val="00CE47F0"/>
    <w:rsid w:val="00CE4E82"/>
    <w:rsid w:val="00CE552C"/>
    <w:rsid w:val="00CE74AD"/>
    <w:rsid w:val="00CF0F61"/>
    <w:rsid w:val="00CF40B9"/>
    <w:rsid w:val="00CF4F7C"/>
    <w:rsid w:val="00CF7885"/>
    <w:rsid w:val="00D0320C"/>
    <w:rsid w:val="00D042DA"/>
    <w:rsid w:val="00D053E1"/>
    <w:rsid w:val="00D054E9"/>
    <w:rsid w:val="00D07502"/>
    <w:rsid w:val="00D07B24"/>
    <w:rsid w:val="00D102D4"/>
    <w:rsid w:val="00D10342"/>
    <w:rsid w:val="00D10B9F"/>
    <w:rsid w:val="00D11447"/>
    <w:rsid w:val="00D12AF0"/>
    <w:rsid w:val="00D13094"/>
    <w:rsid w:val="00D160B7"/>
    <w:rsid w:val="00D16F87"/>
    <w:rsid w:val="00D17284"/>
    <w:rsid w:val="00D176ED"/>
    <w:rsid w:val="00D17FF7"/>
    <w:rsid w:val="00D20EF3"/>
    <w:rsid w:val="00D215C6"/>
    <w:rsid w:val="00D21F56"/>
    <w:rsid w:val="00D22534"/>
    <w:rsid w:val="00D23F5C"/>
    <w:rsid w:val="00D24DA8"/>
    <w:rsid w:val="00D25719"/>
    <w:rsid w:val="00D25C68"/>
    <w:rsid w:val="00D26D56"/>
    <w:rsid w:val="00D27FD6"/>
    <w:rsid w:val="00D3299B"/>
    <w:rsid w:val="00D339B7"/>
    <w:rsid w:val="00D3620E"/>
    <w:rsid w:val="00D36C45"/>
    <w:rsid w:val="00D37557"/>
    <w:rsid w:val="00D4193F"/>
    <w:rsid w:val="00D43C17"/>
    <w:rsid w:val="00D43EDC"/>
    <w:rsid w:val="00D44433"/>
    <w:rsid w:val="00D4668D"/>
    <w:rsid w:val="00D467BB"/>
    <w:rsid w:val="00D47A11"/>
    <w:rsid w:val="00D508EF"/>
    <w:rsid w:val="00D50F49"/>
    <w:rsid w:val="00D51421"/>
    <w:rsid w:val="00D52B10"/>
    <w:rsid w:val="00D536A9"/>
    <w:rsid w:val="00D536B0"/>
    <w:rsid w:val="00D562B2"/>
    <w:rsid w:val="00D566EF"/>
    <w:rsid w:val="00D57692"/>
    <w:rsid w:val="00D602F7"/>
    <w:rsid w:val="00D6081D"/>
    <w:rsid w:val="00D63384"/>
    <w:rsid w:val="00D64FCF"/>
    <w:rsid w:val="00D6508D"/>
    <w:rsid w:val="00D66BAE"/>
    <w:rsid w:val="00D679AA"/>
    <w:rsid w:val="00D730A9"/>
    <w:rsid w:val="00D747A7"/>
    <w:rsid w:val="00D75BAA"/>
    <w:rsid w:val="00D76085"/>
    <w:rsid w:val="00D76AF1"/>
    <w:rsid w:val="00D76F85"/>
    <w:rsid w:val="00D834E3"/>
    <w:rsid w:val="00D84F41"/>
    <w:rsid w:val="00D8570D"/>
    <w:rsid w:val="00D85D6B"/>
    <w:rsid w:val="00D85DF7"/>
    <w:rsid w:val="00D8608E"/>
    <w:rsid w:val="00D8683E"/>
    <w:rsid w:val="00D869B6"/>
    <w:rsid w:val="00D8733D"/>
    <w:rsid w:val="00D87349"/>
    <w:rsid w:val="00D875D0"/>
    <w:rsid w:val="00D87C5C"/>
    <w:rsid w:val="00D91D4C"/>
    <w:rsid w:val="00D91E2C"/>
    <w:rsid w:val="00D92324"/>
    <w:rsid w:val="00D92534"/>
    <w:rsid w:val="00D93689"/>
    <w:rsid w:val="00D9508F"/>
    <w:rsid w:val="00D950E7"/>
    <w:rsid w:val="00D97383"/>
    <w:rsid w:val="00D97664"/>
    <w:rsid w:val="00DA2BBD"/>
    <w:rsid w:val="00DA539D"/>
    <w:rsid w:val="00DA53B7"/>
    <w:rsid w:val="00DA6B2E"/>
    <w:rsid w:val="00DA70BF"/>
    <w:rsid w:val="00DA7D32"/>
    <w:rsid w:val="00DB036D"/>
    <w:rsid w:val="00DB12CB"/>
    <w:rsid w:val="00DB1FD7"/>
    <w:rsid w:val="00DB4989"/>
    <w:rsid w:val="00DB4A1C"/>
    <w:rsid w:val="00DB5406"/>
    <w:rsid w:val="00DB5AE4"/>
    <w:rsid w:val="00DB5DB2"/>
    <w:rsid w:val="00DB5FB1"/>
    <w:rsid w:val="00DB716C"/>
    <w:rsid w:val="00DB7B51"/>
    <w:rsid w:val="00DC04EA"/>
    <w:rsid w:val="00DC468A"/>
    <w:rsid w:val="00DC555B"/>
    <w:rsid w:val="00DD0223"/>
    <w:rsid w:val="00DD170D"/>
    <w:rsid w:val="00DD323A"/>
    <w:rsid w:val="00DD3278"/>
    <w:rsid w:val="00DD3557"/>
    <w:rsid w:val="00DD38B3"/>
    <w:rsid w:val="00DD3BCA"/>
    <w:rsid w:val="00DD46E4"/>
    <w:rsid w:val="00DD4A49"/>
    <w:rsid w:val="00DD4DA6"/>
    <w:rsid w:val="00DD58A8"/>
    <w:rsid w:val="00DD68F7"/>
    <w:rsid w:val="00DD6A12"/>
    <w:rsid w:val="00DD7231"/>
    <w:rsid w:val="00DE463B"/>
    <w:rsid w:val="00DE5BAC"/>
    <w:rsid w:val="00DE6011"/>
    <w:rsid w:val="00DE6988"/>
    <w:rsid w:val="00DE6D63"/>
    <w:rsid w:val="00DE7996"/>
    <w:rsid w:val="00DF33B1"/>
    <w:rsid w:val="00DF3DA4"/>
    <w:rsid w:val="00DF6FA1"/>
    <w:rsid w:val="00DF7FFB"/>
    <w:rsid w:val="00E00199"/>
    <w:rsid w:val="00E02F1C"/>
    <w:rsid w:val="00E02F49"/>
    <w:rsid w:val="00E05DB0"/>
    <w:rsid w:val="00E06AF1"/>
    <w:rsid w:val="00E10D98"/>
    <w:rsid w:val="00E10F1D"/>
    <w:rsid w:val="00E11CF8"/>
    <w:rsid w:val="00E11F94"/>
    <w:rsid w:val="00E12348"/>
    <w:rsid w:val="00E13ABD"/>
    <w:rsid w:val="00E14450"/>
    <w:rsid w:val="00E171BC"/>
    <w:rsid w:val="00E17523"/>
    <w:rsid w:val="00E20391"/>
    <w:rsid w:val="00E2045C"/>
    <w:rsid w:val="00E20E46"/>
    <w:rsid w:val="00E223A8"/>
    <w:rsid w:val="00E23A0E"/>
    <w:rsid w:val="00E25A7D"/>
    <w:rsid w:val="00E27E8C"/>
    <w:rsid w:val="00E310A9"/>
    <w:rsid w:val="00E33ACA"/>
    <w:rsid w:val="00E341A5"/>
    <w:rsid w:val="00E355CB"/>
    <w:rsid w:val="00E3568A"/>
    <w:rsid w:val="00E35E90"/>
    <w:rsid w:val="00E360B4"/>
    <w:rsid w:val="00E37C30"/>
    <w:rsid w:val="00E41DCC"/>
    <w:rsid w:val="00E442CF"/>
    <w:rsid w:val="00E44798"/>
    <w:rsid w:val="00E44D2E"/>
    <w:rsid w:val="00E45FE9"/>
    <w:rsid w:val="00E46219"/>
    <w:rsid w:val="00E514E4"/>
    <w:rsid w:val="00E52267"/>
    <w:rsid w:val="00E53282"/>
    <w:rsid w:val="00E55714"/>
    <w:rsid w:val="00E55E4D"/>
    <w:rsid w:val="00E562C6"/>
    <w:rsid w:val="00E565B1"/>
    <w:rsid w:val="00E56A30"/>
    <w:rsid w:val="00E57305"/>
    <w:rsid w:val="00E6002F"/>
    <w:rsid w:val="00E6161C"/>
    <w:rsid w:val="00E63422"/>
    <w:rsid w:val="00E63AE9"/>
    <w:rsid w:val="00E63DE6"/>
    <w:rsid w:val="00E64CA0"/>
    <w:rsid w:val="00E65AF2"/>
    <w:rsid w:val="00E66D59"/>
    <w:rsid w:val="00E713DD"/>
    <w:rsid w:val="00E72FF6"/>
    <w:rsid w:val="00E73F5C"/>
    <w:rsid w:val="00E775E1"/>
    <w:rsid w:val="00E80275"/>
    <w:rsid w:val="00E80566"/>
    <w:rsid w:val="00E82618"/>
    <w:rsid w:val="00E82C0F"/>
    <w:rsid w:val="00E835D5"/>
    <w:rsid w:val="00E85DEB"/>
    <w:rsid w:val="00E9170A"/>
    <w:rsid w:val="00E92A79"/>
    <w:rsid w:val="00E9332E"/>
    <w:rsid w:val="00E93696"/>
    <w:rsid w:val="00E94C66"/>
    <w:rsid w:val="00E94F39"/>
    <w:rsid w:val="00E97EFE"/>
    <w:rsid w:val="00EA03C0"/>
    <w:rsid w:val="00EA5868"/>
    <w:rsid w:val="00EB2A20"/>
    <w:rsid w:val="00EB2A6B"/>
    <w:rsid w:val="00EB2B16"/>
    <w:rsid w:val="00EB3395"/>
    <w:rsid w:val="00EB39EA"/>
    <w:rsid w:val="00EB3F7D"/>
    <w:rsid w:val="00EB514C"/>
    <w:rsid w:val="00EB5EAF"/>
    <w:rsid w:val="00EC1802"/>
    <w:rsid w:val="00EC2E6F"/>
    <w:rsid w:val="00EC5312"/>
    <w:rsid w:val="00EC566B"/>
    <w:rsid w:val="00EC65EF"/>
    <w:rsid w:val="00EC6CDC"/>
    <w:rsid w:val="00ED0370"/>
    <w:rsid w:val="00ED1539"/>
    <w:rsid w:val="00ED346F"/>
    <w:rsid w:val="00ED40E2"/>
    <w:rsid w:val="00ED6643"/>
    <w:rsid w:val="00ED6F3E"/>
    <w:rsid w:val="00ED74AA"/>
    <w:rsid w:val="00EE3457"/>
    <w:rsid w:val="00EE5236"/>
    <w:rsid w:val="00EE57D0"/>
    <w:rsid w:val="00EE5ACD"/>
    <w:rsid w:val="00EF253C"/>
    <w:rsid w:val="00EF2A22"/>
    <w:rsid w:val="00EF3778"/>
    <w:rsid w:val="00EF412E"/>
    <w:rsid w:val="00EF4163"/>
    <w:rsid w:val="00EF5D22"/>
    <w:rsid w:val="00EF6E0A"/>
    <w:rsid w:val="00F00276"/>
    <w:rsid w:val="00F02AAF"/>
    <w:rsid w:val="00F02CD6"/>
    <w:rsid w:val="00F03E1A"/>
    <w:rsid w:val="00F06298"/>
    <w:rsid w:val="00F118F1"/>
    <w:rsid w:val="00F11AE2"/>
    <w:rsid w:val="00F11E19"/>
    <w:rsid w:val="00F120C3"/>
    <w:rsid w:val="00F12645"/>
    <w:rsid w:val="00F13AB4"/>
    <w:rsid w:val="00F13CB6"/>
    <w:rsid w:val="00F141B9"/>
    <w:rsid w:val="00F1483B"/>
    <w:rsid w:val="00F15E12"/>
    <w:rsid w:val="00F1716C"/>
    <w:rsid w:val="00F17BA4"/>
    <w:rsid w:val="00F200B4"/>
    <w:rsid w:val="00F22462"/>
    <w:rsid w:val="00F2266F"/>
    <w:rsid w:val="00F23637"/>
    <w:rsid w:val="00F24C6D"/>
    <w:rsid w:val="00F25544"/>
    <w:rsid w:val="00F25828"/>
    <w:rsid w:val="00F25B2A"/>
    <w:rsid w:val="00F27A03"/>
    <w:rsid w:val="00F30D60"/>
    <w:rsid w:val="00F31D6C"/>
    <w:rsid w:val="00F35FE1"/>
    <w:rsid w:val="00F43958"/>
    <w:rsid w:val="00F43AA7"/>
    <w:rsid w:val="00F43E52"/>
    <w:rsid w:val="00F443A1"/>
    <w:rsid w:val="00F45C85"/>
    <w:rsid w:val="00F50BB0"/>
    <w:rsid w:val="00F5134D"/>
    <w:rsid w:val="00F51AA8"/>
    <w:rsid w:val="00F52C67"/>
    <w:rsid w:val="00F52D72"/>
    <w:rsid w:val="00F53B10"/>
    <w:rsid w:val="00F53D66"/>
    <w:rsid w:val="00F5408F"/>
    <w:rsid w:val="00F54211"/>
    <w:rsid w:val="00F55033"/>
    <w:rsid w:val="00F56768"/>
    <w:rsid w:val="00F56A68"/>
    <w:rsid w:val="00F6020B"/>
    <w:rsid w:val="00F611AB"/>
    <w:rsid w:val="00F64190"/>
    <w:rsid w:val="00F64FF0"/>
    <w:rsid w:val="00F742AB"/>
    <w:rsid w:val="00F7736B"/>
    <w:rsid w:val="00F80257"/>
    <w:rsid w:val="00F806AB"/>
    <w:rsid w:val="00F809A3"/>
    <w:rsid w:val="00F83164"/>
    <w:rsid w:val="00F83A1E"/>
    <w:rsid w:val="00F85361"/>
    <w:rsid w:val="00F85E64"/>
    <w:rsid w:val="00F86709"/>
    <w:rsid w:val="00F874C0"/>
    <w:rsid w:val="00F87752"/>
    <w:rsid w:val="00F915F2"/>
    <w:rsid w:val="00F930A3"/>
    <w:rsid w:val="00F97324"/>
    <w:rsid w:val="00FA12A2"/>
    <w:rsid w:val="00FA12D7"/>
    <w:rsid w:val="00FA3295"/>
    <w:rsid w:val="00FA490D"/>
    <w:rsid w:val="00FA72CF"/>
    <w:rsid w:val="00FB2844"/>
    <w:rsid w:val="00FB5738"/>
    <w:rsid w:val="00FC0C19"/>
    <w:rsid w:val="00FC334A"/>
    <w:rsid w:val="00FC5C39"/>
    <w:rsid w:val="00FD02B3"/>
    <w:rsid w:val="00FD0D87"/>
    <w:rsid w:val="00FD1858"/>
    <w:rsid w:val="00FD2344"/>
    <w:rsid w:val="00FD2C15"/>
    <w:rsid w:val="00FD61FC"/>
    <w:rsid w:val="00FD6E83"/>
    <w:rsid w:val="00FD6EE9"/>
    <w:rsid w:val="00FE183F"/>
    <w:rsid w:val="00FE1D18"/>
    <w:rsid w:val="00FE21B9"/>
    <w:rsid w:val="00FE3B57"/>
    <w:rsid w:val="00FE4DC1"/>
    <w:rsid w:val="00FE5C01"/>
    <w:rsid w:val="00FE65EF"/>
    <w:rsid w:val="00FE6EB1"/>
    <w:rsid w:val="00FE705A"/>
    <w:rsid w:val="00FE7064"/>
    <w:rsid w:val="00FE78C2"/>
    <w:rsid w:val="00FF1A01"/>
    <w:rsid w:val="00FF2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CC5"/>
    <w:rPr>
      <w:rFonts w:ascii="Times New Roman" w:hAnsi="Times New Roman"/>
      <w:sz w:val="24"/>
      <w:szCs w:val="24"/>
    </w:rPr>
  </w:style>
  <w:style w:type="paragraph" w:styleId="1">
    <w:name w:val="heading 1"/>
    <w:basedOn w:val="a"/>
    <w:next w:val="a"/>
    <w:link w:val="10"/>
    <w:qFormat/>
    <w:rsid w:val="00DD327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D3278"/>
    <w:rPr>
      <w:rFonts w:ascii="Arial" w:hAnsi="Arial" w:cs="Times New Roman"/>
      <w:b/>
      <w:bCs/>
      <w:color w:val="000080"/>
      <w:sz w:val="20"/>
      <w:szCs w:val="20"/>
      <w:lang w:eastAsia="ru-RU"/>
    </w:rPr>
  </w:style>
  <w:style w:type="paragraph" w:styleId="a3">
    <w:name w:val="Body Text"/>
    <w:basedOn w:val="a"/>
    <w:link w:val="a4"/>
    <w:rsid w:val="00DD3278"/>
    <w:pPr>
      <w:spacing w:after="120"/>
    </w:pPr>
  </w:style>
  <w:style w:type="character" w:customStyle="1" w:styleId="a4">
    <w:name w:val="Основной текст Знак"/>
    <w:link w:val="a3"/>
    <w:locked/>
    <w:rsid w:val="00DD3278"/>
    <w:rPr>
      <w:rFonts w:ascii="Times New Roman" w:hAnsi="Times New Roman" w:cs="Times New Roman"/>
      <w:sz w:val="24"/>
      <w:szCs w:val="24"/>
      <w:lang w:eastAsia="ru-RU"/>
    </w:rPr>
  </w:style>
  <w:style w:type="paragraph" w:styleId="a5">
    <w:name w:val="Title"/>
    <w:basedOn w:val="a"/>
    <w:link w:val="a6"/>
    <w:qFormat/>
    <w:rsid w:val="00DD3278"/>
    <w:pPr>
      <w:jc w:val="center"/>
    </w:pPr>
    <w:rPr>
      <w:b/>
      <w:szCs w:val="20"/>
    </w:rPr>
  </w:style>
  <w:style w:type="character" w:customStyle="1" w:styleId="a6">
    <w:name w:val="Название Знак"/>
    <w:link w:val="a5"/>
    <w:locked/>
    <w:rsid w:val="00DD3278"/>
    <w:rPr>
      <w:rFonts w:ascii="Times New Roman" w:hAnsi="Times New Roman" w:cs="Times New Roman"/>
      <w:b/>
      <w:sz w:val="20"/>
      <w:szCs w:val="20"/>
      <w:lang w:eastAsia="ru-RU"/>
    </w:rPr>
  </w:style>
  <w:style w:type="paragraph" w:styleId="a7">
    <w:name w:val="header"/>
    <w:basedOn w:val="a"/>
    <w:link w:val="a8"/>
    <w:rsid w:val="00DD3278"/>
    <w:pPr>
      <w:tabs>
        <w:tab w:val="center" w:pos="4677"/>
        <w:tab w:val="right" w:pos="9355"/>
      </w:tabs>
    </w:pPr>
  </w:style>
  <w:style w:type="character" w:customStyle="1" w:styleId="a8">
    <w:name w:val="Верхний колонтитул Знак"/>
    <w:link w:val="a7"/>
    <w:locked/>
    <w:rsid w:val="00DD3278"/>
    <w:rPr>
      <w:rFonts w:ascii="Times New Roman" w:hAnsi="Times New Roman" w:cs="Times New Roman"/>
      <w:sz w:val="24"/>
      <w:szCs w:val="24"/>
      <w:lang w:eastAsia="ru-RU"/>
    </w:rPr>
  </w:style>
  <w:style w:type="character" w:styleId="a9">
    <w:name w:val="page number"/>
    <w:rsid w:val="00DD3278"/>
    <w:rPr>
      <w:rFonts w:cs="Times New Roman"/>
    </w:rPr>
  </w:style>
  <w:style w:type="paragraph" w:customStyle="1" w:styleId="aa">
    <w:name w:val="Заголовок статьи"/>
    <w:basedOn w:val="a"/>
    <w:next w:val="a"/>
    <w:rsid w:val="00DD3278"/>
    <w:pPr>
      <w:autoSpaceDE w:val="0"/>
      <w:autoSpaceDN w:val="0"/>
      <w:adjustRightInd w:val="0"/>
      <w:ind w:left="1612" w:hanging="892"/>
      <w:jc w:val="both"/>
    </w:pPr>
    <w:rPr>
      <w:rFonts w:ascii="Arial" w:eastAsia="Times New Roman" w:hAnsi="Arial" w:cs="Arial"/>
      <w:sz w:val="20"/>
      <w:szCs w:val="20"/>
      <w:lang w:eastAsia="en-US"/>
    </w:rPr>
  </w:style>
  <w:style w:type="paragraph" w:styleId="ab">
    <w:name w:val="Body Text Indent"/>
    <w:basedOn w:val="a"/>
    <w:link w:val="ac"/>
    <w:rsid w:val="004B67FA"/>
    <w:pPr>
      <w:spacing w:after="120"/>
      <w:ind w:left="283"/>
    </w:pPr>
  </w:style>
  <w:style w:type="character" w:customStyle="1" w:styleId="ac">
    <w:name w:val="Основной текст с отступом Знак"/>
    <w:link w:val="ab"/>
    <w:locked/>
    <w:rsid w:val="004B67FA"/>
    <w:rPr>
      <w:rFonts w:ascii="Times New Roman" w:hAnsi="Times New Roman" w:cs="Times New Roman"/>
      <w:sz w:val="24"/>
      <w:szCs w:val="24"/>
      <w:lang w:eastAsia="ru-RU"/>
    </w:rPr>
  </w:style>
  <w:style w:type="character" w:customStyle="1" w:styleId="iceouttxt51">
    <w:name w:val="iceouttxt51"/>
    <w:rsid w:val="004B67FA"/>
    <w:rPr>
      <w:rFonts w:ascii="Arial" w:hAnsi="Arial" w:cs="Arial"/>
      <w:color w:val="666666"/>
      <w:sz w:val="14"/>
      <w:szCs w:val="14"/>
    </w:rPr>
  </w:style>
  <w:style w:type="paragraph" w:customStyle="1" w:styleId="ListParagraph">
    <w:name w:val="List Paragraph"/>
    <w:basedOn w:val="a"/>
    <w:rsid w:val="00A60A75"/>
    <w:pPr>
      <w:spacing w:after="200" w:line="276" w:lineRule="auto"/>
      <w:ind w:left="720"/>
    </w:pPr>
    <w:rPr>
      <w:rFonts w:ascii="Calibri" w:eastAsia="Times New Roman" w:hAnsi="Calibri"/>
      <w:sz w:val="22"/>
      <w:szCs w:val="22"/>
      <w:lang w:eastAsia="en-US"/>
    </w:rPr>
  </w:style>
  <w:style w:type="paragraph" w:styleId="ad">
    <w:name w:val="footer"/>
    <w:basedOn w:val="a"/>
    <w:link w:val="ae"/>
    <w:semiHidden/>
    <w:rsid w:val="00B60B11"/>
    <w:pPr>
      <w:tabs>
        <w:tab w:val="center" w:pos="4677"/>
        <w:tab w:val="right" w:pos="9355"/>
      </w:tabs>
    </w:pPr>
  </w:style>
  <w:style w:type="character" w:customStyle="1" w:styleId="ae">
    <w:name w:val="Нижний колонтитул Знак"/>
    <w:link w:val="ad"/>
    <w:semiHidden/>
    <w:locked/>
    <w:rsid w:val="00B60B11"/>
    <w:rPr>
      <w:rFonts w:ascii="Times New Roman" w:hAnsi="Times New Roman" w:cs="Times New Roman"/>
      <w:sz w:val="24"/>
      <w:szCs w:val="24"/>
      <w:lang w:eastAsia="ru-RU"/>
    </w:rPr>
  </w:style>
  <w:style w:type="paragraph" w:customStyle="1" w:styleId="ConsPlusNormal">
    <w:name w:val="ConsPlusNormal"/>
    <w:rsid w:val="00CE4E82"/>
    <w:pPr>
      <w:widowControl w:val="0"/>
      <w:autoSpaceDE w:val="0"/>
      <w:autoSpaceDN w:val="0"/>
      <w:adjustRightInd w:val="0"/>
    </w:pPr>
    <w:rPr>
      <w:rFonts w:ascii="Arial" w:hAnsi="Arial" w:cs="Arial"/>
    </w:rPr>
  </w:style>
  <w:style w:type="paragraph" w:styleId="af">
    <w:name w:val="Normal (Web)"/>
    <w:basedOn w:val="a"/>
    <w:rsid w:val="00B522FE"/>
    <w:pPr>
      <w:spacing w:before="100" w:beforeAutospacing="1" w:after="100" w:afterAutospacing="1"/>
    </w:pPr>
  </w:style>
  <w:style w:type="character" w:styleId="af0">
    <w:name w:val="Strong"/>
    <w:qFormat/>
    <w:rsid w:val="004E059D"/>
    <w:rPr>
      <w:rFonts w:cs="Times New Roman"/>
      <w:b/>
      <w:bCs/>
    </w:rPr>
  </w:style>
  <w:style w:type="paragraph" w:customStyle="1" w:styleId="af1">
    <w:name w:val="Прижатый влево"/>
    <w:basedOn w:val="a"/>
    <w:next w:val="a"/>
    <w:rsid w:val="005E1480"/>
    <w:pPr>
      <w:autoSpaceDE w:val="0"/>
      <w:autoSpaceDN w:val="0"/>
      <w:adjustRightInd w:val="0"/>
    </w:pPr>
    <w:rPr>
      <w:rFonts w:ascii="Arial" w:eastAsia="Times New Roman" w:hAnsi="Arial" w:cs="Arial"/>
      <w:lang w:eastAsia="en-US"/>
    </w:rPr>
  </w:style>
  <w:style w:type="paragraph" w:customStyle="1" w:styleId="p2">
    <w:name w:val="p2"/>
    <w:basedOn w:val="a"/>
    <w:rsid w:val="00903CC6"/>
    <w:pPr>
      <w:spacing w:before="100" w:beforeAutospacing="1" w:after="100" w:afterAutospacing="1"/>
    </w:pPr>
  </w:style>
  <w:style w:type="paragraph" w:styleId="af2">
    <w:name w:val="Balloon Text"/>
    <w:basedOn w:val="a"/>
    <w:link w:val="af3"/>
    <w:semiHidden/>
    <w:rsid w:val="00357BB3"/>
    <w:rPr>
      <w:rFonts w:ascii="Tahoma" w:hAnsi="Tahoma" w:cs="Tahoma"/>
      <w:sz w:val="16"/>
      <w:szCs w:val="16"/>
    </w:rPr>
  </w:style>
  <w:style w:type="character" w:customStyle="1" w:styleId="af3">
    <w:name w:val="Текст выноски Знак"/>
    <w:link w:val="af2"/>
    <w:semiHidden/>
    <w:locked/>
    <w:rsid w:val="00357BB3"/>
    <w:rPr>
      <w:rFonts w:ascii="Tahoma" w:hAnsi="Tahoma" w:cs="Tahoma"/>
      <w:sz w:val="16"/>
      <w:szCs w:val="16"/>
      <w:lang w:eastAsia="ru-RU"/>
    </w:rPr>
  </w:style>
  <w:style w:type="paragraph" w:customStyle="1" w:styleId="ConsPlusCell">
    <w:name w:val="ConsPlusCell"/>
    <w:rsid w:val="005753E0"/>
    <w:pPr>
      <w:autoSpaceDE w:val="0"/>
      <w:autoSpaceDN w:val="0"/>
      <w:adjustRightInd w:val="0"/>
    </w:pPr>
    <w:rPr>
      <w:rFonts w:ascii="Times New Roman" w:eastAsia="Times New Roman" w:hAnsi="Times New Roman"/>
      <w:sz w:val="24"/>
      <w:szCs w:val="24"/>
    </w:rPr>
  </w:style>
  <w:style w:type="table" w:styleId="af4">
    <w:name w:val="Table Grid"/>
    <w:basedOn w:val="a1"/>
    <w:rsid w:val="00EE52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5520B0"/>
    <w:rPr>
      <w:rFonts w:cs="Times New Roman"/>
      <w:color w:val="0000FF"/>
      <w:u w:val="single"/>
    </w:rPr>
  </w:style>
  <w:style w:type="paragraph" w:customStyle="1" w:styleId="ConsPlusTitle">
    <w:name w:val="ConsPlusTitle"/>
    <w:rsid w:val="003960EF"/>
    <w:pPr>
      <w:autoSpaceDE w:val="0"/>
      <w:autoSpaceDN w:val="0"/>
      <w:adjustRightInd w:val="0"/>
    </w:pPr>
    <w:rPr>
      <w:rFonts w:ascii="Times New Roman" w:eastAsia="Times New Roman" w:hAnsi="Times New Roman"/>
      <w:b/>
      <w:bCs/>
      <w:sz w:val="24"/>
      <w:szCs w:val="24"/>
      <w:lang w:eastAsia="en-US"/>
    </w:rPr>
  </w:style>
  <w:style w:type="paragraph" w:customStyle="1" w:styleId="NoSpacing">
    <w:name w:val="No Spacing"/>
    <w:rsid w:val="00E02F49"/>
    <w:rPr>
      <w:rFonts w:eastAsia="Times New Roman"/>
      <w:sz w:val="22"/>
      <w:szCs w:val="22"/>
      <w:lang w:eastAsia="en-US"/>
    </w:rPr>
  </w:style>
  <w:style w:type="paragraph" w:styleId="3">
    <w:name w:val="Body Text Indent 3"/>
    <w:basedOn w:val="a"/>
    <w:link w:val="30"/>
    <w:rsid w:val="00B06B2B"/>
    <w:pPr>
      <w:spacing w:after="120"/>
      <w:ind w:left="283"/>
    </w:pPr>
    <w:rPr>
      <w:rFonts w:ascii="Calibri" w:hAnsi="Calibri"/>
      <w:sz w:val="16"/>
      <w:szCs w:val="16"/>
      <w:lang w:val="en-US" w:eastAsia="en-US"/>
    </w:rPr>
  </w:style>
  <w:style w:type="character" w:customStyle="1" w:styleId="30">
    <w:name w:val="Основной текст с отступом 3 Знак"/>
    <w:link w:val="3"/>
    <w:locked/>
    <w:rsid w:val="00B06B2B"/>
    <w:rPr>
      <w:rFonts w:ascii="Calibri" w:hAnsi="Calibri" w:cs="Times New Roman"/>
      <w:sz w:val="16"/>
      <w:szCs w:val="16"/>
      <w:lang w:val="en-US"/>
    </w:rPr>
  </w:style>
  <w:style w:type="character" w:customStyle="1" w:styleId="af6">
    <w:name w:val="Гипертекстовая ссылка"/>
    <w:rsid w:val="00B5177C"/>
    <w:rPr>
      <w:color w:val="008000"/>
    </w:rPr>
  </w:style>
  <w:style w:type="paragraph" w:styleId="af7">
    <w:name w:val="List Paragraph"/>
    <w:basedOn w:val="a"/>
    <w:uiPriority w:val="34"/>
    <w:qFormat/>
    <w:rsid w:val="007E34DE"/>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67D4172342A52396F310139EF7A878A2D1295AF03D168B03A34B2C76EEDC81C2CB9E085241210E74CD591C07A6628174B9E607C2F26CEC2F886CEl5Z0H" TargetMode="External"/><Relationship Id="rId3" Type="http://schemas.openxmlformats.org/officeDocument/2006/relationships/settings" Target="settings.xml"/><Relationship Id="rId7" Type="http://schemas.openxmlformats.org/officeDocument/2006/relationships/hyperlink" Target="consultantplus://offline/ref=F0B53699B683C06FB7971ECC9F981D0DBDF06FDEFD0EEF7D41A604485746481395EDB39E367E3F76025B27DEw175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5568</Words>
  <Characters>31743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37237</CharactersWithSpaces>
  <SharedDoc>false</SharedDoc>
  <HLinks>
    <vt:vector size="12" baseType="variant">
      <vt:variant>
        <vt:i4>6357101</vt:i4>
      </vt:variant>
      <vt:variant>
        <vt:i4>3</vt:i4>
      </vt:variant>
      <vt:variant>
        <vt:i4>0</vt:i4>
      </vt:variant>
      <vt:variant>
        <vt:i4>5</vt:i4>
      </vt:variant>
      <vt:variant>
        <vt:lpwstr>consultantplus://offline/ref=7D367D4172342A52396F310139EF7A878A2D1295AF03D168B03A34B2C76EEDC81C2CB9E085241210E74CD591C07A6628174B9E607C2F26CEC2F886CEl5Z0H</vt:lpwstr>
      </vt:variant>
      <vt:variant>
        <vt:lpwstr/>
      </vt:variant>
      <vt:variant>
        <vt:i4>3342391</vt:i4>
      </vt:variant>
      <vt:variant>
        <vt:i4>0</vt:i4>
      </vt:variant>
      <vt:variant>
        <vt:i4>0</vt:i4>
      </vt:variant>
      <vt:variant>
        <vt:i4>5</vt:i4>
      </vt:variant>
      <vt:variant>
        <vt:lpwstr>consultantplus://offline/ref=F0B53699B683C06FB7971ECC9F981D0DBDF06FDEFD0EEF7D41A604485746481395EDB39E367E3F76025B27DEw175M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Зубрева</dc:creator>
  <cp:lastModifiedBy>P_Nazarov</cp:lastModifiedBy>
  <cp:revision>2</cp:revision>
  <cp:lastPrinted>2020-04-20T11:59:00Z</cp:lastPrinted>
  <dcterms:created xsi:type="dcterms:W3CDTF">2020-04-20T12:01:00Z</dcterms:created>
  <dcterms:modified xsi:type="dcterms:W3CDTF">2020-04-20T12:01:00Z</dcterms:modified>
</cp:coreProperties>
</file>